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>CORTE INTERAMERICANA DE DERECHOS HUMANOS</w:t>
        <w:br/>
        <w:br/>
        <w:br/>
        <w:t>CASO MASACRES DE EL MOZOTE Y LUGARES ALEDAÑOS VS. EL SALVADOR</w:t>
        <w:br/>
        <w:br/>
        <w:br/>
        <w:t>SENTENCIA DE 25 DE OCTUBRE DE 2012</w:t>
        <w:br/>
        <w:br/>
        <w:t>(Fondo, Reparaciones y Costas)</w:t>
        <w:br/>
        <w:br/>
        <w:br/>
        <w:br/>
        <w:t>En el caso Masacres de El Mozote y lugares aledaños,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>Diego García-Sayán, Presidente;</w:t>
        <w:br/>
        <w:t>Manuel E. Ventura Robles, Vicepresidente;</w:t>
        <w:br/>
        <w:t>Leonardo A. Franco, Juez;</w:t>
        <w:br/>
        <w:t>Margarette May Macaulay, Jueza;</w:t>
        <w:br/>
        <w:t>Rhadys Abreu Blondet, Jueza;</w:t>
        <w:br/>
        <w:t>Alberto Pérez Pérez, Juez, y</w:t>
        <w:br/>
        <w:t>Eduardo Vio Grossi,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 65  y  67  del  Reglamento  de  la</w:t>
        <w:br/>
        <w:t>Corte( (en adelante también “el Reglamento”), dicta la  presente  Sentencia,</w:t>
        <w:br/>
        <w:t>que se estructura en el siguiente orden:</w:t>
        <w:br/>
        <w:br/>
        <w:br/>
        <w:br/>
        <w:t xml:space="preserve">                             Tabla de contenidos</w:t>
        <w:br/>
        <w:br/>
        <w:t>|                                                              |Párrafo |</w:t>
        <w:br/>
        <w:t>|I INTRODUCCIÓN DE LA CAUSA Y OBJETO DE LA CONTROVERSIA          |1     |</w:t>
        <w:br/>
        <w:t>|II PROCEDIMIENTO ANTE LA CORTE                                  |6     |</w:t>
        <w:br/>
        <w:t>|III RECONOCIMIENTO DE LOS HECHOS CONTENIDOS EN EL INFORME DE    |17    |</w:t>
        <w:br/>
        <w:t>|FONDO DE LA COMISIÓN INTERAMERICANA                             |      |</w:t>
        <w:br/>
        <w:t>|IV COMPETENCIA                                                  |29    |</w:t>
        <w:br/>
        <w:t>|V PRUEBA                                                        |31    |</w:t>
        <w:br/>
        <w:t>| A. Prueba documental, testimonial y pericial                   |32    |</w:t>
        <w:br/>
        <w:t>| B. Admisión de la prueba                                       |33    |</w:t>
        <w:br/>
        <w:t>|VI CONSIDERACIONES PREVIAS                                      |42    |</w:t>
        <w:br/>
        <w:t>| A. Determinación de las presuntas víctimas                     |42    |</w:t>
        <w:br/>
        <w:t>| B. Violaciones de derechos humanos alegadas por los            |58    |</w:t>
        <w:br/>
        <w:t>|representantes                                                  |      |</w:t>
        <w:br/>
        <w:t>|VII DERECHOS A LA VIDA, A LA INTEGRIDAD PERSONAL, A LA LIBERTAD |61    |</w:t>
        <w:br/>
        <w:t>|PERSONAL, A LA VIDA PRIVADA, A LAS MEDIDAS DE PROTECCIÓN DEL    |      |</w:t>
        <w:br/>
        <w:t>|NIÑO, A LA PROPIEDAD PRIVADA, Y DE CIRCULACIÓN Y DE RESIDENCIA  |      |</w:t>
        <w:br/>
        <w:t>|EN RELACIÓN CON LAS OBLIGACIONES DE RESPETAR Y GARANTIZAR LOS   |      |</w:t>
        <w:br/>
        <w:t>|DERECHOS                                                        |      |</w:t>
        <w:br/>
        <w:t>| A. Los hechos del presente caso                                |62    |</w:t>
        <w:br/>
        <w:t>|  1) El conflicto armado en El Salvador                         |62    |</w:t>
        <w:br/>
        <w:t>|  2) Los operativos de tierra arrasada y la creación de los     |67    |</w:t>
        <w:br/>
        <w:t>|Batallones de Infantería de Reacción Inmediata                  |      |</w:t>
        <w:br/>
        <w:t>|  3) Las masacres de El Mozote y lugares aledaños               |73    |</w:t>
        <w:br/>
        <w:t>|   a) Antecedentes                                              |80    |</w:t>
        <w:br/>
        <w:t>|   b) La “Operación Rescate” o “Yunque y Martillo” llevada a    |83    |</w:t>
        <w:br/>
        <w:t>|cabo    por el Batallón de Infantería de Reacción Inmediata     |      |</w:t>
        <w:br/>
        <w:t>|“Atlacatl”                                                      |      |</w:t>
        <w:br/>
        <w:t>|   c) La masacre en el caserío El Mozote                        |87    |</w:t>
        <w:br/>
        <w:t>|   d) La masacre en el cantón La Joya                           |98    |</w:t>
        <w:br/>
        <w:t>|   e) La masacre en el caserío Ranchería                       |106   |</w:t>
        <w:br/>
        <w:t>|   f) La masacre en el caserío Los Toriles                      |110   |</w:t>
        <w:br/>
        <w:t>|   g) La masacre en el caserío Jocote Amarillo                  |113   |</w:t>
        <w:br/>
        <w:t>|   h) La masacre en el cantón Cerro Pando y en una cueva del    |117   |</w:t>
        <w:br/>
        <w:t>|Cerro Ortiz                                                     |      |</w:t>
        <w:br/>
        <w:t>|  4) Los desplazamientos internos e internacionales             |122   |</w:t>
        <w:br/>
        <w:t>| B. Argumentos de la Comisión y alegatos de las partes          |128   |</w:t>
        <w:br/>
        <w:t>| C. Consideraciones de la Corte                                 |141   |</w:t>
        <w:br/>
        <w:t>|  1) Las violaciones de derechos humanos alegadas en perjuicio  |142   |</w:t>
        <w:br/>
        <w:t>|de   las personas ejecutadas                                    |      |</w:t>
        <w:br/>
        <w:t>|  2) Las violaciones de derechos humanos alegadas en perjuicio  |169   |</w:t>
        <w:br/>
        <w:t>|de   las personas sobrevivientes                                |      |</w:t>
        <w:br/>
        <w:t>|  3) Las violaciones de derechos humanos alegadas en perjuicio  |197   |</w:t>
        <w:br/>
        <w:t>|de   los familiares de las personas ejecutadas                  |      |</w:t>
        <w:br/>
        <w:t>|  4) Conclusión                                                 |203   |</w:t>
        <w:br/>
        <w:t>|VIII DERECHOS A LAS GARANTÍAS JUDICIALES, A LA PROTECCIÓN       |209   |</w:t>
        <w:br/>
        <w:t>|JUDICIAL Y A LA LIBERTAD DE PENSAMIENTO Y DE EXPRESIÓN EN       |      |</w:t>
        <w:br/>
        <w:t>|RELACIÓN CON LAS OBLIGACIONES DE RESPETAR Y GARANTIZAR LOS      |      |</w:t>
        <w:br/>
        <w:t>|DERECHOS Y EL DEBER DE ADOPTAR DISPOSICIONES DE DERECHO INTERNO |      |</w:t>
        <w:br/>
        <w:t>|Y ARTÍCULOS 1, 6 Y 8 DE LA CONVENCIÓN INTERAMERICANA PARA       |      |</w:t>
        <w:br/>
        <w:t>|PREVENIR Y SANCIONAR LA TORTURA Y 7.B) DE LA CONVENCIÓN DE BELÉM|      |</w:t>
        <w:br/>
        <w:t>|DO PARÁ                                                         |      |</w:t>
        <w:br/>
        <w:t>| A. La investigación de los hechos del presente caso            |210   |</w:t>
        <w:br/>
        <w:t>|  1) Inicio de las investigaciones y diligencias realizadas     |211   |</w:t>
        <w:br/>
        <w:t>|  2) Las exhumaciones realizadas con el apoyo de técnicos       |230   |</w:t>
        <w:br/>
        <w:t>|extranjeros                                                     |      |</w:t>
        <w:br/>
        <w:t>| B. La obligación de investigar los hechos del presente caso    |242   |</w:t>
        <w:br/>
        <w:t>| C. Deber de iniciar una investigación ex officio               |250   |</w:t>
        <w:br/>
        <w:t>| D. Falta de debida diligencia en la investigación penal        |253   |</w:t>
        <w:br/>
        <w:t>| E. La Ley de Amnistía General para la Consolidación de la Paz y|265   |</w:t>
        <w:br/>
        <w:t>|su  aplicación al presente caso                                 |      |</w:t>
        <w:br/>
        <w:t>|  1) Los hechos relativos al proceso de paz y la Ley de Amnistía|266   |</w:t>
        <w:br/>
        <w:t>|General para la Consolidación de la Paz                         |      |</w:t>
        <w:br/>
        <w:t>|   a) El conflicto armado interno y el proceso de negociaciones |266   |</w:t>
        <w:br/>
        <w:t>|hacia la paz                                                    |      |</w:t>
        <w:br/>
        <w:t>|   b) La Ley de Reconciliación Nacional y la Ley de Amnistía    |274   |</w:t>
        <w:br/>
        <w:t>|General    para la Consolidación de la Paz                      |      |</w:t>
        <w:br/>
        <w:t>|   c) La decisión de sobreseimiento del Juzgado Segundo de      |276   |</w:t>
        <w:br/>
        <w:t>|Primera Instancia de San Francisco Gotera                       |      |</w:t>
        <w:br/>
        <w:t>|   d) Decisiones de la Sala de lo Constitucional de la Corte    |277   |</w:t>
        <w:br/>
        <w:t>|Suprema    de Justicia                                          |      |</w:t>
        <w:br/>
        <w:t>|   e) Solicitudes de reapertura                                 |279   |</w:t>
        <w:br/>
        <w:t>|  2) Argumentos de la Comisión y alegatos de las partes         |281   |</w:t>
        <w:br/>
        <w:t>|  3) Consideraciones de la Corte                                |283   |</w:t>
        <w:br/>
        <w:t>| F. Derecho a conocer la verdad                                 |297   |</w:t>
        <w:br/>
        <w:t>| G. Conclusión                                                  |299   |</w:t>
        <w:br/>
        <w:t>|IX REPARACIONES (Aplicación del artículo 63.1 de la Convención  |302   |</w:t>
        <w:br/>
        <w:t>|Americana)                                                      |      |</w:t>
        <w:br/>
        <w:t>| A. Parte Lesionada                                             |306   |</w:t>
        <w:br/>
        <w:t>| B. Obligación de investigar los hechos que generaron las       |312   |</w:t>
        <w:br/>
        <w:t>|violaciones e  identificar, juzgar y, en su caso, sancionar a   |      |</w:t>
        <w:br/>
        <w:t>|los responsables, así como  localizar, identificar y entregar a |      |</w:t>
        <w:br/>
        <w:t>|sus familiares los restos de las  víctimas de las masacres      |      |</w:t>
        <w:br/>
        <w:t>| C. Medidas de restitución, rehabilitación, satisfacción y      |335   |</w:t>
        <w:br/>
        <w:t>|garantías de no  repetición                                     |      |</w:t>
        <w:br/>
        <w:t>| D. Indemnización Compensatoria                                 |379   |</w:t>
        <w:br/>
        <w:t>| E. Costas y gastos                                             |385   |</w:t>
        <w:br/>
        <w:t>| F. Reintegro de los gastos al Fondo de Asistencia Legal de     |394   |</w:t>
        <w:br/>
        <w:t>|Víctimas                                                        |      |</w:t>
        <w:br/>
        <w:t>| G. Modalidad de cumplimiento de los pagos ordenados            |397   |</w:t>
        <w:br/>
        <w:t>|X PUNTOS RESOLUTIVOS                                            |403   |</w:t>
        <w:br/>
        <w:br/>
        <w:br/>
        <w:t>I</w:t>
        <w:br/>
        <w:t>INTRODUCCIÓN DE LA CAUSA Y OBJETO DE LA CONTROVERSIA</w:t>
        <w:br/>
        <w:br/>
        <w:t xml:space="preserve">      1. El 8 de marzo de  2011  la  Comisión  Interamericana  de  Derechos</w:t>
        <w:br/>
        <w:t xml:space="preserve">         Humanos (en adelante “la Comisión Interamericana” o “la Comisión”)</w:t>
        <w:br/>
        <w:t xml:space="preserve">         sometió a la jurisdicción de  la  Corte,  de  conformidad  con  lo</w:t>
        <w:br/>
        <w:t xml:space="preserve">         dispuesto en los artículos 51 y 61 de la Convención Americana,  el</w:t>
        <w:br/>
        <w:t xml:space="preserve">         caso No. 10.720 en contra de  la  República  de  El  Salvador  (en</w:t>
        <w:br/>
        <w:t xml:space="preserve">         adelante también  “el  Estado  salvadoreño”,  “el  Estado”  o  “El</w:t>
        <w:br/>
        <w:t xml:space="preserve">         Salvador”). La petición inicial fue presentada ante la Comisión el</w:t>
        <w:br/>
        <w:t xml:space="preserve">         30 de  octubre  de  1990  por  la  Oficina  de  Tutela  Legal  del</w:t>
        <w:br/>
        <w:t xml:space="preserve">         Arzobispado de San Salvador (OTLA). El 5  de  abril  de  2000  los</w:t>
        <w:br/>
        <w:t xml:space="preserve">         peticionarios acreditaron al Centro por la Justicia y  el  Derecho</w:t>
        <w:br/>
        <w:t xml:space="preserve">         Internacional (CEJIL)  como  co-peticionarios  para  el  caso.  La</w:t>
        <w:br/>
        <w:t xml:space="preserve">         Comisión declaró admisible dicha petición mediante el  Informe  de</w:t>
        <w:br/>
        <w:t xml:space="preserve">         admisibilidad No. 24/06  de  2  de  marzo  de  2006[1].  El  3  de</w:t>
        <w:br/>
        <w:t xml:space="preserve">         noviembre de 2010 aprobó  el  Informe  de  fondo  No.  177/10  (en</w:t>
        <w:br/>
        <w:t xml:space="preserve">         adelante “informe de fondo”), en los términos del artículo  50  de</w:t>
        <w:br/>
        <w:t xml:space="preserve">         la Convención, en el cual realizó una serie de recomendaciones  al</w:t>
        <w:br/>
        <w:t xml:space="preserve">         Estado. Mediante  comunicación  de  8  de  diciembre  de  2010  se</w:t>
        <w:br/>
        <w:t xml:space="preserve">         notificó al Estado el referido informe y se le concedió  un  plazo</w:t>
        <w:br/>
        <w:t xml:space="preserve">         de  dos  meses  para  informar  sobre  el  cumplimiento   de   las</w:t>
        <w:br/>
        <w:t xml:space="preserve">         recomendaciones de la Comisión.  Ante  el  incumplimiento  de  las</w:t>
        <w:br/>
        <w:t xml:space="preserve">         recomendaciones por parte del Estado, la Comisión decidió  someter</w:t>
        <w:br/>
        <w:t xml:space="preserve">         el presente caso a  la  jurisdicción  de  la  Corte.  La  Comisión</w:t>
        <w:br/>
        <w:t xml:space="preserve">         designó  como  delegados  al  entonces  Comisionado  Paulo  Sérgio</w:t>
        <w:br/>
        <w:t xml:space="preserve">         Pinheiro y a su entonces Secretario Ejecutivo Santiago A.  Canton,</w:t>
        <w:br/>
        <w:t xml:space="preserve">         y  como  asesoras  legales  a  su  Secretaria  Ejecutiva   Adjunta</w:t>
        <w:br/>
        <w:t xml:space="preserve">         Elizabeth Abi-Mershed, y  a  Isabel  Madariaga  y  Silvia  Serrano</w:t>
        <w:br/>
        <w:t xml:space="preserve">         Guzmán, abogadas de la Secretaría Ejecutiva de la Comisión.</w:t>
        <w:br/>
        <w:br/>
        <w:t xml:space="preserve">      2. El caso se relaciona  con  las  alegadas  masacres  sucesivas  que</w:t>
        <w:br/>
        <w:t xml:space="preserve">         habrían sido cometidas entre el 11 y el 13 de diciembre de 1981 en</w:t>
        <w:br/>
        <w:t xml:space="preserve">         el marco de un operativo militar del Batallón Atlacatl, junto  con</w:t>
        <w:br/>
        <w:t xml:space="preserve">         otras dependencias militares, en siete localidades del  norte  del</w:t>
        <w:br/>
        <w:t xml:space="preserve">         Departamento de Morazán, República de El Salvador, en  las  cuales</w:t>
        <w:br/>
        <w:t xml:space="preserve">         aproximadamente un millar de personas  habrían  perdido  la  vida,</w:t>
        <w:br/>
        <w:t xml:space="preserve">         “incluyendo un alarmante número de niños y niñas”, así como con la</w:t>
        <w:br/>
        <w:t xml:space="preserve">         alegada investigación que se habría iniciado por estos hechos y el</w:t>
        <w:br/>
        <w:t xml:space="preserve">         “sobreseimiento dictado el 27 de septiembre de 1993 con base en la</w:t>
        <w:br/>
        <w:t xml:space="preserve">         Ley de Amnistía General para  la  Consolidación  de  la  Paz,  que</w:t>
        <w:br/>
        <w:t xml:space="preserve">         contin[uaría] vigente en  El  Salvador”  y,  finalmente,  con  las</w:t>
        <w:br/>
        <w:t xml:space="preserve">         alegadas  exhumaciones  que   se   habrían   realizado   en   años</w:t>
        <w:br/>
        <w:t xml:space="preserve">         posteriores,  pero  sin  dar  lugar  a  la  reactivación  de   las</w:t>
        <w:br/>
        <w:t xml:space="preserve">         investigaciones,  “a  pesar  de  reiteradas  solicitudes   a   las</w:t>
        <w:br/>
        <w:t xml:space="preserve">         autoridades correspondientes”.</w:t>
        <w:br/>
        <w:br/>
        <w:t xml:space="preserve">      3. Según la Comisión, las alegadas masacres del presente caso habrían</w:t>
        <w:br/>
        <w:t xml:space="preserve">         ocurrido en el período más cruento de las operaciones llamadas  de</w:t>
        <w:br/>
        <w:t xml:space="preserve">         “contrainsurgencia”, desplegadas de manera masiva  contra  civiles</w:t>
        <w:br/>
        <w:t xml:space="preserve">         por el ejército salvadoreño durante el conflicto armado, siendo el</w:t>
        <w:br/>
        <w:t xml:space="preserve">         carácter sistemático y generalizado de este tipo de acciones  cuya</w:t>
        <w:br/>
        <w:t xml:space="preserve">         finalidad habría sido sembrar el terror en la  población,  lo  que</w:t>
        <w:br/>
        <w:t xml:space="preserve">         permitiría concluir que las alegadas masacres  del  presente  caso</w:t>
        <w:br/>
        <w:t xml:space="preserve">         habrían constituido “una de las manifestaciones más aberrantes  de</w:t>
        <w:br/>
        <w:t xml:space="preserve">         los crímenes de lesa humanidad cometidos en la época por parte  de</w:t>
        <w:br/>
        <w:t xml:space="preserve">         la institución militar salvadoreña”.  No  obstante,  debido  a  la</w:t>
        <w:br/>
        <w:t xml:space="preserve">         alegada  vigencia  de  la  Ley  de  Amnistía   General   para   la</w:t>
        <w:br/>
        <w:t xml:space="preserve">         Consolidación de la Paz, así como a reiteradas omisiones por parte</w:t>
        <w:br/>
        <w:t xml:space="preserve">         del Estado, estos graves hechos permanecerían en la impunidad.</w:t>
        <w:br/>
        <w:br/>
        <w:t xml:space="preserve">      4. En su informe de fondo, la Comisión llegó a la conclusión  de  que</w:t>
        <w:br/>
        <w:t xml:space="preserve">         el Estado de El Salvador era responsable internacionalmente por la</w:t>
        <w:br/>
        <w:t xml:space="preserve">         violación:</w:t>
        <w:br/>
        <w:br/>
        <w:t xml:space="preserve">    • de los derechos a la vida, integridad personal  y  libertad  personal,</w:t>
        <w:br/>
        <w:t xml:space="preserve">      consagrados en los articulas 4, 5, 7 de la  Convención  Americana,  en</w:t>
        <w:br/>
        <w:t xml:space="preserve">      relación con el artículo 1.1 del mismo instrumento,  en  perjuicio  de</w:t>
        <w:br/>
        <w:t xml:space="preserve">      las víctimas ejecutadas extrajudicialmente;</w:t>
        <w:br/>
        <w:br/>
        <w:t xml:space="preserve">    • de  las  obligaciones  especiales  respecto  de  los  niños  y  niñas,</w:t>
        <w:br/>
        <w:t xml:space="preserve">      establecidas en el artículo 19 de la Convención Americana, en relación</w:t>
        <w:br/>
        <w:t xml:space="preserve">      con el artículo 1.1 del mismo instrumento, en perjuicio de las niñas y</w:t>
        <w:br/>
        <w:t xml:space="preserve">      niños ejecutados extrajudicialmente;</w:t>
        <w:br/>
        <w:br/>
        <w:t xml:space="preserve">    • de los derechos a la integridad personal y vida privada consagrados en</w:t>
        <w:br/>
        <w:t xml:space="preserve">      los articulas 5 y 11 de la Convención Americana, en perjuicio  de  las</w:t>
        <w:br/>
        <w:t xml:space="preserve">      mujeres violadas sexualmente en el caserío El Mozote;</w:t>
        <w:br/>
        <w:br/>
        <w:t xml:space="preserve">    • del derecho a la propiedad privada consagrado en el artículo 21 de  la</w:t>
        <w:br/>
        <w:t xml:space="preserve">      Convención Americana, en  relación  con  el  artículo  1.1  del  mismo</w:t>
        <w:br/>
        <w:t xml:space="preserve">      instrumento, en  perjuicio  de  las  víctimas  ejecutadas  que  fueron</w:t>
        <w:br/>
        <w:t xml:space="preserve">      despojadas de  sus  bienes,  así  como  de  los  sobrevivientes  cuyas</w:t>
        <w:br/>
        <w:t xml:space="preserve">      viviendas fueron destruidas o sus medios de subsistencia arrebatados o</w:t>
        <w:br/>
        <w:t xml:space="preserve">      eliminados;</w:t>
        <w:br/>
        <w:br/>
        <w:t xml:space="preserve">    • del derecho a la integridad personal consagrado en el artículo 5 de la</w:t>
        <w:br/>
        <w:t xml:space="preserve">      Convención Americana, en  relación  con  el  artículo  1.1  del  mismo</w:t>
        <w:br/>
        <w:t xml:space="preserve">      instrumento, en perjuicio de los sobrevivientes y  familiares  de  las</w:t>
        <w:br/>
        <w:t xml:space="preserve">      víctimas ejecutadas;</w:t>
        <w:br/>
        <w:br/>
        <w:t xml:space="preserve">    • del derecho a la libertad de circulación y residencia consagrado en el</w:t>
        <w:br/>
        <w:t xml:space="preserve">      artículo 22 de la Convención Americana, en relación  con  el  artículo</w:t>
        <w:br/>
        <w:t xml:space="preserve">      1.1 del mismo instrumento, en perjuicio de  las  personas  desplazadas</w:t>
        <w:br/>
        <w:t xml:space="preserve">      forzosamente; y</w:t>
        <w:br/>
        <w:br/>
        <w:t xml:space="preserve">    • de los derechos a  las  garantías  judiciales  y  protección  judicial</w:t>
        <w:br/>
        <w:t xml:space="preserve">      consagrados en los artículos 8 y 25 de  la  Convención  Americana,  en</w:t>
        <w:br/>
        <w:t xml:space="preserve">      relación con las obligaciones establecidas en los articulas  1.1  y  2</w:t>
        <w:br/>
        <w:t xml:space="preserve">      del mismo instrumento; de los artículos 1, 6  y  8  de  la  Convención</w:t>
        <w:br/>
        <w:t xml:space="preserve">      Interamericana para Prevenir y Sancionar la Tortura; y del artículo  7</w:t>
        <w:br/>
        <w:t xml:space="preserve">      de la Convención Interamericana para Prevenir, Sancionar  y  Erradicar</w:t>
        <w:br/>
        <w:t xml:space="preserve">      la Violencia contra la Mujer o  “Convención  de  Belém  do  Pará”,  en</w:t>
        <w:br/>
        <w:t xml:space="preserve">      perjuicio  de  los  sobrevivientes  y  familiares  de   las   víctimas</w:t>
        <w:br/>
        <w:t xml:space="preserve">      ejecutadas.</w:t>
        <w:br/>
        <w:br/>
        <w:br/>
        <w:t xml:space="preserve">      5. La Comisión sometió a la Corte Interamericana[2]  las  acciones  y</w:t>
        <w:br/>
        <w:t xml:space="preserve">         omisiones estatales ocurridas con posteridad  al  6  de  junio  de</w:t>
        <w:br/>
        <w:t xml:space="preserve">         1995, fecha de reconocimiento de la competencia contenciosa de  la</w:t>
        <w:br/>
        <w:t xml:space="preserve">         Corte por parte de El Salvador, a saber, la vigencia de la Ley  de</w:t>
        <w:br/>
        <w:t xml:space="preserve">         Amnistía General para la Consolidación de la Paz de 20 de marzo de</w:t>
        <w:br/>
        <w:t xml:space="preserve">         1993; la omisión en  la  reapertura  de  las  investigaciones;  la</w:t>
        <w:br/>
        <w:t xml:space="preserve">         ausencia de esfuerzos continuados y  sostenidos  para  exhumar  la</w:t>
        <w:br/>
        <w:t xml:space="preserve">         mayor cantidad posible de restos mortales; la falta de seguimiento</w:t>
        <w:br/>
        <w:t xml:space="preserve">         judicial a las exhumaciones realizadas y a la información obtenida</w:t>
        <w:br/>
        <w:t xml:space="preserve">         en el marco de las mismas;  la  ausencia  de  respuesta  ante  las</w:t>
        <w:br/>
        <w:t xml:space="preserve">         solicitudes de reapertura de las averiguaciones;  los  efectos  de</w:t>
        <w:br/>
        <w:t xml:space="preserve">         las masacres y su impunidad en los familiares  sobrevivientes;  la</w:t>
        <w:br/>
        <w:t xml:space="preserve">         falta de reparación a favor de  los  mismos;  y  la  situación  de</w:t>
        <w:br/>
        <w:t xml:space="preserve">         desplazamiento de algunas presuntas  víctimas.  Lo  anterior,  sin</w:t>
        <w:br/>
        <w:t xml:space="preserve">         perjuicio de que el Estado de El Salvador aceptara la  competencia</w:t>
        <w:br/>
        <w:t xml:space="preserve">         de la Corte para  conocer  la  totalidad  del  presente  caso,  de</w:t>
        <w:br/>
        <w:t xml:space="preserve">         conformidad con lo estipulado en el artículo 62.2 de la Convención</w:t>
        <w:br/>
        <w:t xml:space="preserve">         Americana. Como consecuencia, la Comisión solicitó que se ordenara</w:t>
        <w:br/>
        <w:t xml:space="preserve">         al Estado la adopción de determinadas medidas de reparación.</w:t>
        <w:br/>
        <w:br/>
        <w:br/>
        <w:br/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 xml:space="preserve">      6. El sometimiento del caso por parte de la Comisión  fue  notificado</w:t>
        <w:br/>
        <w:t xml:space="preserve">         el 14 y 15 de junio de 2011, respectivamente, a los representantes</w:t>
        <w:br/>
        <w:t xml:space="preserve">         de las presuntas víctimas[3] (en adelante “los representantes”)  y</w:t>
        <w:br/>
        <w:t xml:space="preserve">         al Estado.</w:t>
        <w:br/>
        <w:br/>
        <w:t xml:space="preserve">      7. El 12 de agosto de 2011 el Centro por la  Justicia  y  el  Derecho</w:t>
        <w:br/>
        <w:t xml:space="preserve">         Internacional (CEJIL) y la Oficina de Tutela Legal  del  Arzobispo</w:t>
        <w:br/>
        <w:t xml:space="preserve">         de  San  Salvador  (OTLA),  en  su  calidad   de   representantes,</w:t>
        <w:br/>
        <w:t xml:space="preserve">         remitieron su escrito de solicitudes,  argumentos  y  pruebas  (en</w:t>
        <w:br/>
        <w:t xml:space="preserve">         adelante “escrito de solicitudes y argumentos”), en  los  términos</w:t>
        <w:br/>
        <w:t xml:space="preserve">         de los artículos  25  y  40  del  Reglamento.  Los  representantes</w:t>
        <w:br/>
        <w:t xml:space="preserve">         solicitaron a la Corte que declare que el  Estado  es  responsable</w:t>
        <w:br/>
        <w:t xml:space="preserve">         por la violación:</w:t>
        <w:br/>
        <w:br/>
        <w:t xml:space="preserve">    • de los derechos de los familiares de las presuntas víctimas y  de  las</w:t>
        <w:br/>
        <w:t xml:space="preserve">      presuntas víctimas sobrevivientes de  las  masacres  a  la  protección</w:t>
        <w:br/>
        <w:t xml:space="preserve">      judicial y a las garantías judiciales, contenidos en los artículos 8 y</w:t>
        <w:br/>
        <w:t xml:space="preserve">      25 de la Convención Americana en concordancia con el incumplimiento de</w:t>
        <w:br/>
        <w:t xml:space="preserve">      sus obligaciones contenidas  en  los  artículos  1.1  y  2  del  mismo</w:t>
        <w:br/>
        <w:t xml:space="preserve">      tratado, en los artículos 1, 6 y 8  de  la  Convención  Interamericana</w:t>
        <w:br/>
        <w:t xml:space="preserve">      para Prevenir y Sancionar la Tortura, y el artículo 7 de la Convención</w:t>
        <w:br/>
        <w:t xml:space="preserve">      de Belém do Pará, en virtud de la falta de investigación de los hechos</w:t>
        <w:br/>
        <w:t xml:space="preserve">      de las masacres a raíz de la aplicación de la Ley de Amnistía  General</w:t>
        <w:br/>
        <w:t xml:space="preserve">      para la Consolidación de la Paz  y  por  haber  incurrido  en  retardo</w:t>
        <w:br/>
        <w:t xml:space="preserve">      injustificado en las investigaciones;</w:t>
        <w:br/>
        <w:br/>
        <w:t xml:space="preserve">    • de los derechos de  las  presuntas  víctimas  de  las  masacres  a  la</w:t>
        <w:br/>
        <w:t xml:space="preserve">      integridad personal y a la vida, contenidos en los artículos 5 y 4  de</w:t>
        <w:br/>
        <w:t xml:space="preserve">      la Convención Americana, en concordancia con el incumplimiento de  las</w:t>
        <w:br/>
        <w:t xml:space="preserve">      obligaciones contenidas en el artículo 1.1 del mismo tratado,  por  la</w:t>
        <w:br/>
        <w:t xml:space="preserve">      falta de investigación de las graves violaciones  a  derechos  humanos</w:t>
        <w:br/>
        <w:t xml:space="preserve">      cometidas en este caso;</w:t>
        <w:br/>
        <w:br/>
        <w:t xml:space="preserve">    • del derecho a la verdad de las presuntas víctimas de este caso el cual</w:t>
        <w:br/>
        <w:t xml:space="preserve">      está amparado conjuntamente por  los  artículos  8,  13  y  25  de  la</w:t>
        <w:br/>
        <w:t xml:space="preserve">      Convención Americana,  en  relación  con  la  obligación  general  del</w:t>
        <w:br/>
        <w:t xml:space="preserve">      artículo 1.1 del mismo tratado, por la situación de impunidad  en  que</w:t>
        <w:br/>
        <w:t xml:space="preserve">      permanecen las masacres de El Mozote y lugares aledaños;</w:t>
        <w:br/>
        <w:br/>
        <w:t xml:space="preserve">    • del derecho  a  la  integridad  personal  de  las  presuntas  víctimas</w:t>
        <w:br/>
        <w:t xml:space="preserve">      sobrevivientes de las masacres y de los familiares  de  las  presuntas</w:t>
        <w:br/>
        <w:t xml:space="preserve">      víctimas asesinadas, protegido por el  artículo  5  de  la  Convención</w:t>
        <w:br/>
        <w:t xml:space="preserve">      Americana, en concordancia con el incumplimiento de  las  obligaciones</w:t>
        <w:br/>
        <w:t xml:space="preserve">      contenidas  en  el  artículo  1.1  del  mismo  instrumento,   por   el</w:t>
        <w:br/>
        <w:t xml:space="preserve">      sufrimiento causado a raíz de las violaciones cometidas en este caso;</w:t>
        <w:br/>
        <w:br/>
        <w:t xml:space="preserve">    • del derecho a  la  propiedad,  contenido  en  el  artículo  21  de  la</w:t>
        <w:br/>
        <w:t xml:space="preserve">      Convención Americana, en concordancia con  el  incumplimiento  de  las</w:t>
        <w:br/>
        <w:t xml:space="preserve">      obligaciones contenidas en el artículo 1.1 del mismo  instrumento,  en</w:t>
        <w:br/>
        <w:t xml:space="preserve">      perjuicio de  todas  las  presuntas  víctimas  sobrevivientes  de  las</w:t>
        <w:br/>
        <w:t xml:space="preserve">      masacres; y</w:t>
        <w:br/>
        <w:br/>
        <w:t xml:space="preserve">    • de los derechos contenidos en los artículos 11 y 22 de  la  Convención</w:t>
        <w:br/>
        <w:t xml:space="preserve">      Americana, en concordancia con el incumplimiento de  las  obligaciones</w:t>
        <w:br/>
        <w:t xml:space="preserve">      contenidas en el artículo 1.1 del mismo  instrumento,  en  virtud  del</w:t>
        <w:br/>
        <w:t xml:space="preserve">      desplazamiento  de   las   presuntas   víctimas   que   continuó   con</w:t>
        <w:br/>
        <w:t xml:space="preserve">      posterioridad al 6 de junio de 1995.</w:t>
        <w:br/>
        <w:br/>
        <w:br/>
        <w:br/>
        <w:t>Asimismo, solicitaron al Tribunal que ordenara  al  Estado  la  adopción  de</w:t>
        <w:br/>
        <w:t>diversas medidas de reparación y el pago de costas y gastos procesales.</w:t>
        <w:br/>
        <w:br/>
        <w:t xml:space="preserve">      8. Por otra parte, las presuntas víctimas solicitaron, por intermedio</w:t>
        <w:br/>
        <w:t xml:space="preserve">         de sus representantes, “que se determine procedente  la  solicitud</w:t>
        <w:br/>
        <w:t xml:space="preserve">         de asistencia legal  en  este  caso  para  cubrir  algunos  costos</w:t>
        <w:br/>
        <w:t xml:space="preserve">         concretos relacionados con la  producción  de  prueba  durante  el</w:t>
        <w:br/>
        <w:t xml:space="preserve">         proceso ante la Corte”,  dado  que  “no  c[ontaban]  con  recursos</w:t>
        <w:br/>
        <w:t xml:space="preserve">         económicos  para  hacer  frente  a  este  proceso”.  Al  respecto,</w:t>
        <w:br/>
        <w:t xml:space="preserve">         mediante Resolución de 1 de diciembre de 2011[4] el Presidente  de</w:t>
        <w:br/>
        <w:t xml:space="preserve">         la Corte Interamericana  de  Derechos  Humanos  (en  adelante  “el</w:t>
        <w:br/>
        <w:t xml:space="preserve">         Presidente de la Corte” o “el Presidente”),  en  ejercicio  de  la</w:t>
        <w:br/>
        <w:t xml:space="preserve">         facultad que le otorga el artículo 3 del Reglamento  de  la  Corte</w:t>
        <w:br/>
        <w:t xml:space="preserve">         sobre el Funcionamiento  del  Fondo  de  Asistencia  Legal[5]  (en</w:t>
        <w:br/>
        <w:t xml:space="preserve">         adelante “el Reglamento del Fondo de Asistencia  Legal”),  dispuso</w:t>
        <w:br/>
        <w:t xml:space="preserve">         declarar procedente la solicitud  interpuesta  por  las  presuntas</w:t>
        <w:br/>
        <w:t xml:space="preserve">         víctimas, a través de sus representantes, y otorgar la  asistencia</w:t>
        <w:br/>
        <w:t xml:space="preserve">         económica necesaria para la presentación de un  máximo  de  cuatro</w:t>
        <w:br/>
        <w:t xml:space="preserve">         declaraciones, y que el destino  y  objeto  específicos  de  dicha</w:t>
        <w:br/>
        <w:t xml:space="preserve">         asistencia  se  precisarían  al  momento  de  decidir   sobre   la</w:t>
        <w:br/>
        <w:t xml:space="preserve">         evacuación de prueba pericial y testimonial,  y  la  apertura  del</w:t>
        <w:br/>
        <w:t xml:space="preserve">         procedimiento oral.</w:t>
        <w:br/>
        <w:br/>
        <w:t xml:space="preserve">      9. El 26 de diciembre de  2011  el  Estado  presentó  su  escrito  de</w:t>
        <w:br/>
        <w:t xml:space="preserve">         contestación al sometimiento del caso y al escrito de solicitudes,</w:t>
        <w:br/>
        <w:t xml:space="preserve">         argumentos y pruebas (en adelante “escrito de  contestación”).  En</w:t>
        <w:br/>
        <w:t xml:space="preserve">         su escrito de contestación, El Salvador reconoció  y  aceptó  “los</w:t>
        <w:br/>
        <w:t xml:space="preserve">         hechos alegados en la demanda [sic] presentada por la […] Comisión</w:t>
        <w:br/>
        <w:t xml:space="preserve">         […] que han sido considerados como hechos probados en  su  informe</w:t>
        <w:br/>
        <w:t xml:space="preserve">         de fondo”, así como los  hechos  relacionados  en  el  escrito  de</w:t>
        <w:br/>
        <w:t xml:space="preserve">         solicitudes, argumentos y pruebas remitido por los  representantes</w:t>
        <w:br/>
        <w:t xml:space="preserve">         de las presuntas víctimas, aunque presentó observaciones sobre  la</w:t>
        <w:br/>
        <w:t xml:space="preserve">         pérdida de  propiedades  y  el  desplazamiento  de  las  presuntas</w:t>
        <w:br/>
        <w:t xml:space="preserve">         víctimas sobrevivientes. Asimismo, declaró unilateralmente que “la</w:t>
        <w:br/>
        <w:t xml:space="preserve">         limitación  de  competencia  –erróneamente  denominada  ‘reserva’-</w:t>
        <w:br/>
        <w:t xml:space="preserve">         contenida en el numeral II de la declaración  escrita  del  06  de</w:t>
        <w:br/>
        <w:t xml:space="preserve">         junio de 1995, no es oponible ni  operativa  dentro  del  presente</w:t>
        <w:br/>
        <w:t xml:space="preserve">         caso”. En virtud  de  dicha  declaratoria  de  reconocimiento,  el</w:t>
        <w:br/>
        <w:t xml:space="preserve">         Estado salvadoreño manifestó que renunciaba a  la  posibilidad  de</w:t>
        <w:br/>
        <w:t xml:space="preserve">         oponer excepciones preliminares  conforme  a  lo  previsto  en  el</w:t>
        <w:br/>
        <w:t xml:space="preserve">         artículo 42 del Reglamento.  De  la  misma  forma,  el  Estado  no</w:t>
        <w:br/>
        <w:t xml:space="preserve">         ofreció declarantes ni peritos, según lo previsto en  el  artículo</w:t>
        <w:br/>
        <w:t xml:space="preserve">         41.1, letras b y c del Reglamento.</w:t>
        <w:br/>
        <w:br/>
        <w:t xml:space="preserve">     10. El 10  de  febrero  de  2012  los  representantes  y  la  Comisión</w:t>
        <w:br/>
        <w:t xml:space="preserve">         remitieron sus respectivas observaciones sobre  el  reconocimiento</w:t>
        <w:br/>
        <w:t xml:space="preserve">         efectuado por el Estado salvadoreño.</w:t>
        <w:br/>
        <w:br/>
        <w:t xml:space="preserve">     11. Luego de la presentación de los escritos principales (supra párrs.</w:t>
        <w:br/>
        <w:t xml:space="preserve">         1, 7 y 9), el Presidente de la Corte ordenó,  mediante  Resolución</w:t>
        <w:br/>
        <w:t xml:space="preserve">         de 22 de marzo de 2012[6], recibir las declaraciones rendidas ante</w:t>
        <w:br/>
        <w:t xml:space="preserve">         fedatario  público  (affidávit)   de   ocho   declarantes,   todos</w:t>
        <w:br/>
        <w:t xml:space="preserve">         propuestos  por  los  representantes,  así  como  los   dictámenes</w:t>
        <w:br/>
        <w:t xml:space="preserve">         periciales de tres peritos, uno propuesto por la  Comisión  y  dos</w:t>
        <w:br/>
        <w:t xml:space="preserve">         propuestos  por  los  representantes.   El   Estado   no   ofreció</w:t>
        <w:br/>
        <w:t xml:space="preserve">         declarantes  ni  peritos.  Los  representantes,  el  Estado  y  la</w:t>
        <w:br/>
        <w:t xml:space="preserve">         Comisión tuvieron oportunidad  de  formular,  según  correspondía,</w:t>
        <w:br/>
        <w:t xml:space="preserve">         preguntas a los declarantes y a  los  peritos,  previamente  a  la</w:t>
        <w:br/>
        <w:t xml:space="preserve">         rendición  de  las  declaraciones  y  peritajes  respectivos  ante</w:t>
        <w:br/>
        <w:t xml:space="preserve">         fedatario público, así como de presentar observaciones  sobre  los</w:t>
        <w:br/>
        <w:t xml:space="preserve">         mismos. Sólo la Comisión remitió preguntas[7]. El 18 de  abril  de</w:t>
        <w:br/>
        <w:t xml:space="preserve">         2012 los representantes y la Comisión remitieron las declaraciones</w:t>
        <w:br/>
        <w:t xml:space="preserve">         rendidas ante fedatario público.</w:t>
        <w:br/>
        <w:br/>
        <w:t xml:space="preserve">     12. Asimismo, el Presidente convocó a las partes y a la Comisión a una</w:t>
        <w:br/>
        <w:t xml:space="preserve">         audiencia  pública   para   recibir   sus   alegatos   finales   y</w:t>
        <w:br/>
        <w:t xml:space="preserve">         observaciones finales orales, respectivamente, sobre  el  fondo  y</w:t>
        <w:br/>
        <w:t xml:space="preserve">         eventuales reparaciones y costas, así como  tres  declaraciones  y</w:t>
        <w:br/>
        <w:t xml:space="preserve">         dos   dictámenes   periciales,   todos    propuestos    por    los</w:t>
        <w:br/>
        <w:t xml:space="preserve">         representantes.  Por  último,  el  Presidente   dispuso   que   la</w:t>
        <w:br/>
        <w:t xml:space="preserve">         asistencia económica del Fondo de Asistencia Legal (supra párr. 8)</w:t>
        <w:br/>
        <w:t xml:space="preserve">         estuviera asignada para cubrir  los  gastos  de  viaje  y  estadía</w:t>
        <w:br/>
        <w:t xml:space="preserve">         necesarios  para  que  las   tres   declarantes   y   una   perito</w:t>
        <w:br/>
        <w:t xml:space="preserve">         comparecieran ante el Tribunal y pudiesen rendir sus declaraciones</w:t>
        <w:br/>
        <w:t xml:space="preserve">         y peritaje, respectivamente, en la referida audiencia pública.</w:t>
        <w:br/>
        <w:br/>
        <w:t xml:space="preserve">     13. La audiencia pública fue celebrada el 23 de abril de 2012  durante</w:t>
        <w:br/>
        <w:t xml:space="preserve">         el 45º Período Extraordinario de Sesiones de la  Corte,  realizado</w:t>
        <w:br/>
        <w:t xml:space="preserve">         en la ciudad de Guayaquil, República del Ecuador[8].</w:t>
        <w:br/>
        <w:br/>
        <w:t xml:space="preserve">     14. El 23 de mayo de 2012 los representantes y  el  Estado  remitieron</w:t>
        <w:br/>
        <w:t xml:space="preserve">         sus  alegatos  finales  escritos,   mientras   que   la   Comisión</w:t>
        <w:br/>
        <w:t xml:space="preserve">         Interamericana presentó sus observaciones finales escritas  en  el</w:t>
        <w:br/>
        <w:t xml:space="preserve">         presente caso. Se otorgó la oportunidad para que las partes  y  la</w:t>
        <w:br/>
        <w:t xml:space="preserve">         Comisión hicieran las  observaciones  que  estimaran  pertinentes,</w:t>
        <w:br/>
        <w:t xml:space="preserve">         según correspondiera, sobre los  anexos  a  dichos  escritos.  Los</w:t>
        <w:br/>
        <w:t xml:space="preserve">         representantes presentaron observaciones el 21 de junio  de  2012,</w:t>
        <w:br/>
        <w:t xml:space="preserve">         la Comisión indicó que no  tenía  observaciones  y  el  Estado  no</w:t>
        <w:br/>
        <w:t xml:space="preserve">         presentó observaciones en el plazo otorgado a tal efecto.</w:t>
        <w:br/>
        <w:br/>
        <w:t xml:space="preserve">     15. El 13 de julio de 2012  se  informó  al  Estado  de  El  Salvador,</w:t>
        <w:br/>
        <w:t xml:space="preserve">         siguiendo  instrucciones  del  Presidente  de  la   Corte   y   de</w:t>
        <w:br/>
        <w:t xml:space="preserve">         conformidad  con  el  artículo  5  del  Reglamento  del  Fondo  de</w:t>
        <w:br/>
        <w:t xml:space="preserve">         Asistencia Legal, las  erogaciones  realizadas  en  aplicación  de</w:t>
        <w:br/>
        <w:t xml:space="preserve">         dicho Fondo. El Estado presentó sus observaciones al  respecto  el</w:t>
        <w:br/>
        <w:t xml:space="preserve">         20 de julio de 2012.</w:t>
        <w:br/>
        <w:br/>
        <w:t xml:space="preserve">     16. La Corte recibió escritos en calidad de amicus curiae  presentados</w:t>
        <w:br/>
        <w:t xml:space="preserve">         por el señor Oscar Humberto Luna, Procurador para  la  Defensa  de</w:t>
        <w:br/>
        <w:t xml:space="preserve">         los Derechos Humanos de El Salvador[9], y por  el  señor  Ezequiel</w:t>
        <w:br/>
        <w:t xml:space="preserve">         Heffes[10].</w:t>
        <w:br/>
        <w:t xml:space="preserve">                                     III</w:t>
        <w:br/>
        <w:t xml:space="preserve">                   RECONOCIMIENTO DE LOS HECHOS CONTENIDOS</w:t>
        <w:br/>
        <w:t xml:space="preserve">            EN EL INFORME DE FONDO DE LA COMISIÓN INTERAMERICANA</w:t>
        <w:br/>
        <w:br/>
        <w:t xml:space="preserve">     17. El Estado, teniendo en cuenta lo expresado por el Presidente de la</w:t>
        <w:br/>
        <w:t xml:space="preserve">         República de El Salvador el 16 de enero de 2010,  en  ocasión  del</w:t>
        <w:br/>
        <w:t xml:space="preserve">         acto de conmemoración del 18°  Aniversario  de  la  Firma  de  los</w:t>
        <w:br/>
        <w:t xml:space="preserve">         Acuerdos de Paz en El Salvador, reconoció  y  aceptó  “los  hechos</w:t>
        <w:br/>
        <w:t xml:space="preserve">         alegados en la  demanda  [sic]  presentada  por  la  […]  Comisión</w:t>
        <w:br/>
        <w:t xml:space="preserve">         Interamericana […] en el presente caso y que han sido considerados</w:t>
        <w:br/>
        <w:t xml:space="preserve">         como hechos probados en  su  informe  de  fondo  177/10”.  Además,</w:t>
        <w:br/>
        <w:t xml:space="preserve">         aceptó los hechos relacionados en  el  escrito  de  solicitudes  y</w:t>
        <w:br/>
        <w:t xml:space="preserve">         argumentos de los representantes, “específicamente  los  descritos</w:t>
        <w:br/>
        <w:t xml:space="preserve">         en el apartado C  del  capítulo  II  de  dicho  escrito  autónomo,</w:t>
        <w:br/>
        <w:t xml:space="preserve">         referidos a las exhumaciones que fueron promovidas entre los  años</w:t>
        <w:br/>
        <w:t xml:space="preserve">         2000 a 2004, a la solicitud de reapertura del caso a nivel interno</w:t>
        <w:br/>
        <w:t xml:space="preserve">         presentada en el año 2006 por  la  Oficina  de  Tutela  Legal  del</w:t>
        <w:br/>
        <w:t xml:space="preserve">         Arzobispado  y  al  sufrimiento  experimentado  por  las  víctimas</w:t>
        <w:br/>
        <w:t xml:space="preserve">         sobrevivientes y sus familiares”. En relación con el punto  4  del</w:t>
        <w:br/>
        <w:t xml:space="preserve">         apartado C del escrito de solicitudes y argumentos, referido a  la</w:t>
        <w:br/>
        <w:t xml:space="preserve">         pérdida de  propiedades  y  el  desplazamiento  de  las  presuntas</w:t>
        <w:br/>
        <w:t xml:space="preserve">         víctimas sobrevivientes, el Estado sólo  reconoció  “aquellos  que</w:t>
        <w:br/>
        <w:t xml:space="preserve">         proceden de testimonios fidedignos de víctimas sobrevivientes, así</w:t>
        <w:br/>
        <w:t xml:space="preserve">         como  los  descritos  en  informes  oficiales  [de  la]   Comisión</w:t>
        <w:br/>
        <w:t xml:space="preserve">         Interamericana de Derechos Humanos, de Órganos Internacionales  de</w:t>
        <w:br/>
        <w:t xml:space="preserve">         Protección que hayan integrado o integren aún  el  sistema  de  la</w:t>
        <w:br/>
        <w:t xml:space="preserve">         Organización de las Naciones Unidas, así como los contenidos en el</w:t>
        <w:br/>
        <w:t xml:space="preserve">         Informe de la Comisión de la Verdad de la  misma  Organización  de</w:t>
        <w:br/>
        <w:t xml:space="preserve">         las Naciones Unidas, creada en virtud de los Acuerdos de Paz de El</w:t>
        <w:br/>
        <w:t xml:space="preserve">         Salvador”. El Estado no  se  pronunció  explícitamente  sobre  las</w:t>
        <w:br/>
        <w:t xml:space="preserve">         alegadas violaciones de derechos contenidas en los escritos de  la</w:t>
        <w:br/>
        <w:t xml:space="preserve">         Comisión y de los representantes. De  igual  modo,  el  Estado  no</w:t>
        <w:br/>
        <w:t xml:space="preserve">         presentó observaciones sobre los listados con la identificación de</w:t>
        <w:br/>
        <w:t xml:space="preserve">         “las víctimas ejecutadas extrajudicialmente”, “los  sobrevivientes</w:t>
        <w:br/>
        <w:t xml:space="preserve">         y  familiares  de  las  víctimas  ejecutadas”  y   “las   víctimas</w:t>
        <w:br/>
        <w:t xml:space="preserve">         desplazadas  forzosamente”,  remitidos  por  la  Comisión  y   los</w:t>
        <w:br/>
        <w:t xml:space="preserve">         representantes.</w:t>
        <w:br/>
        <w:br/>
        <w:t xml:space="preserve">     18. Respecto  a  las  reparaciones,  el  Estado  reconoció  tanto  “su</w:t>
        <w:br/>
        <w:t xml:space="preserve">         obligación de investigar los hechos denunciados, procesar mediante</w:t>
        <w:br/>
        <w:t xml:space="preserve">         juicio justo y, en su caso, sancionar a los  responsables  de  los</w:t>
        <w:br/>
        <w:t xml:space="preserve">         hechos planteados en la demanda” como “su obligación de adecuar su</w:t>
        <w:br/>
        <w:t xml:space="preserve">         legislación  interna  de  conformidad  a  lo  dispuesto   por   el</w:t>
        <w:br/>
        <w:t xml:space="preserve">         [a]rtículo 2,  en  relación  al  artículo  1.1  de  la  Convención</w:t>
        <w:br/>
        <w:t xml:space="preserve">         Americana”. Además, el Estado expresó su disposición por  impulsar</w:t>
        <w:br/>
        <w:t xml:space="preserve">         las medidas de reparación  recomendadas  por  la  Comisión  en  su</w:t>
        <w:br/>
        <w:t xml:space="preserve">         informe de fondo 177/10. Durante la audiencia  pública  y  en  sus</w:t>
        <w:br/>
        <w:t xml:space="preserve">         alegatos finales, el Estado expresó su disposición  de  aceptar  y</w:t>
        <w:br/>
        <w:t xml:space="preserve">         realizar, en el plazo razonable que por su naturaleza requiera: a)</w:t>
        <w:br/>
        <w:t xml:space="preserve">         la plena identificación de las víctimas de las masacres, tanto  de</w:t>
        <w:br/>
        <w:t xml:space="preserve">         las personas ejecutadas como de las sobrevivientes, así  como  sus</w:t>
        <w:br/>
        <w:t xml:space="preserve">         familiares  y  de  las  personas  que  sufrieron   desplazamientos</w:t>
        <w:br/>
        <w:t xml:space="preserve">         forzados; b) la continuidad de los trabajos de exhumación  de  las</w:t>
        <w:br/>
        <w:t xml:space="preserve">         víctimas que aún se encuentren pendientes;  c)  el  reconocimiento</w:t>
        <w:br/>
        <w:t xml:space="preserve">         público  de  la  responsabilidad,  “medida  que  ya  se   ha[bría]</w:t>
        <w:br/>
        <w:t xml:space="preserve">         concretado”; d) la publicación de  las  partes  relevantes  de  la</w:t>
        <w:br/>
        <w:t xml:space="preserve">         sentencia que emita la Corte; e)  la  creación  de  espacios  para</w:t>
        <w:br/>
        <w:t xml:space="preserve">         reconocer la  dignidad  de  las  víctimas  y  recordarlas;  f)  la</w:t>
        <w:br/>
        <w:t xml:space="preserve">         producción y difusión de un audiovisual; g) la designación  de  un</w:t>
        <w:br/>
        <w:t xml:space="preserve">         día nacional de las víctimas de las masacres; h) la  provisión  de</w:t>
        <w:br/>
        <w:t xml:space="preserve">         servicios de salud médica y atención psicosocial a  las  víctimas;</w:t>
        <w:br/>
        <w:t xml:space="preserve">         i) la generación de condiciones para el retorno  de  las  personas</w:t>
        <w:br/>
        <w:t xml:space="preserve">         que aún permanecen desplazadas, y j) el impulso de un programa  de</w:t>
        <w:br/>
        <w:t xml:space="preserve">         desarrollo social en beneficio de las víctimas en  este  caso.  En</w:t>
        <w:br/>
        <w:t xml:space="preserve">         cuanto a las  solicitudes  de  reparaciones  relacionadas  con  la</w:t>
        <w:br/>
        <w:t xml:space="preserve">         cesación de “homenajes a  los  responsables  de  la  masacre”,  el</w:t>
        <w:br/>
        <w:t xml:space="preserve">         Estado presentó ciertas consideraciones y expresó  su  disposición</w:t>
        <w:br/>
        <w:t xml:space="preserve">         de atender lo que disponga la Corte. En relación con las costas  y</w:t>
        <w:br/>
        <w:t xml:space="preserve">         gastos solicitados por los representantes, indicó  que  “el  monto</w:t>
        <w:br/>
        <w:t xml:space="preserve">         […] excede  el  estándar  de  precedentes  establecidos  por  [la]</w:t>
        <w:br/>
        <w:t xml:space="preserve">         Corte”.</w:t>
        <w:br/>
        <w:br/>
        <w:t xml:space="preserve">     19. El 16 de enero de 2012, con ocasión  del  20º  Aniversario  de  la</w:t>
        <w:br/>
        <w:t xml:space="preserve">         firma de los Acuerdos de Paz, el Presidente de El Salvador,  señor</w:t>
        <w:br/>
        <w:t xml:space="preserve">         Mauricio Funes, pronunció un discurso en  El  Mozote  en  el  cual</w:t>
        <w:br/>
        <w:t xml:space="preserve">         manifestó, entre otros:</w:t>
        <w:br/>
        <w:br/>
        <w:t xml:space="preserve">      Como Jefe del Estado, […] reconozco que en los cantones El Mozote,  El</w:t>
        <w:br/>
        <w:t xml:space="preserve">      Pinalito, Ranchería, Los Toriles, Jocote  Amarillo,  Cerro  Pando,  La</w:t>
        <w:br/>
        <w:t xml:space="preserve">      Joya y Cerro Ortiz, los días y las noches del  10,  11,  12  y  13  de</w:t>
        <w:br/>
        <w:t xml:space="preserve">      diciembre de 1981, tropas  del  Batallón  de  Infantería  de  Reacción</w:t>
        <w:br/>
        <w:t xml:space="preserve">      Inmediata Atlacatl, de la Fuerza Armada de El Salvador,  asesinaron  a</w:t>
        <w:br/>
        <w:t xml:space="preserve">      cerca de un millar de personas, la mayoría  niñas  y  niños.  Aquí  se</w:t>
        <w:br/>
        <w:t xml:space="preserve">      cometieron un sinnúmero de actos  de  barbarie  y  violaciones  a  los</w:t>
        <w:br/>
        <w:t xml:space="preserve">      derechos humanos: se torturó y ejecutó a inocentes;  mujeres  y  niñas</w:t>
        <w:br/>
        <w:t xml:space="preserve">      sufrieron abusos sexuales, cientos de salvadoreños y salvadoreñas  hoy</w:t>
        <w:br/>
        <w:t xml:space="preserve">      forman parte de una larga lista de  desaparecidos,  mientras  otros  y</w:t>
        <w:br/>
        <w:t xml:space="preserve">      otras debieron emigrar y perderlo todo para salvar sus vidas […].  Por</w:t>
        <w:br/>
        <w:t xml:space="preserve">      esa masacre, por las aberrantes violaciones de los derechos humanos  y</w:t>
        <w:br/>
        <w:t xml:space="preserve">      por los abusos perpetrados, en nombre del Estado salvadoreño […]  pido</w:t>
        <w:br/>
        <w:t xml:space="preserve">      perdón a las familias de las víctimas y  a  las  comunidades  vecinas.</w:t>
        <w:br/>
        <w:t xml:space="preserve">      Pido perdón a las madres, padres, hijos, hijas, hermanos, hermanas que</w:t>
        <w:br/>
        <w:t xml:space="preserve">      no saben hasta el día de hoy el paradero de sus seres  queridos.  Pido</w:t>
        <w:br/>
        <w:t xml:space="preserve">      perdón al pueblo salvadoreño que fue víctima de este tipo de violencia</w:t>
        <w:br/>
        <w:t xml:space="preserve">      atroz e inaceptable. Este pedido de perdón, que no pretende borrar  el</w:t>
        <w:br/>
        <w:t xml:space="preserve">      dolor, es un acto de reconocimiento y de dignificación de las víctimas</w:t>
        <w:br/>
        <w:t xml:space="preserve">      de esta tragedia. […] Es expresión de nuestro compromiso para resarcir</w:t>
        <w:br/>
        <w:t xml:space="preserve">      moral y materialmente, en la medida en que las  arcas  del  Estado  lo</w:t>
        <w:br/>
        <w:t xml:space="preserve">      permitan, a los familiares de las víctimas. [Y] es también, un acto de</w:t>
        <w:br/>
        <w:t xml:space="preserve">      responsabilidad ante el pueblo salvadoreño y ante la  historia  porque</w:t>
        <w:br/>
        <w:t xml:space="preserve">      en la medida en que se reconoce la verdad y se actúa con justicia,  se</w:t>
        <w:br/>
        <w:t xml:space="preserve">      construyen las bases de la paz y la convivencia.</w:t>
        <w:br/>
        <w:br/>
        <w:t xml:space="preserve">     20. Es de destacar que en forma concordante, en el  transcurso  de  la</w:t>
        <w:br/>
        <w:t xml:space="preserve">         audiencia pública el Estado expresó “su  profundo  pesar  por  los</w:t>
        <w:br/>
        <w:t xml:space="preserve">         deplorables actos perpetrados por  oficiales  y  miembros  de  las</w:t>
        <w:br/>
        <w:t xml:space="preserve">         fuerzas armadas  de  El  Salvador,  sobre  todo  del  Batallón  de</w:t>
        <w:br/>
        <w:t xml:space="preserve">         Infantería  Atlacatl,  que  en  diciembre   de   1981   realizaron</w:t>
        <w:br/>
        <w:t xml:space="preserve">         exterminio de población civil en los caseríos  y  cantones  de  El</w:t>
        <w:br/>
        <w:t xml:space="preserve">         Mozote, Ranchería, Los  Toriles,  Cerro  Pando,  La  Joya,  Jocote</w:t>
        <w:br/>
        <w:t xml:space="preserve">         Amarillo, El Pinalito, Cerro Ortiz, entre otros  sitios,  como  el</w:t>
        <w:br/>
        <w:t xml:space="preserve">         poblado de Arambala”. Asimismo,  reconoció  el  contenido  de  las</w:t>
        <w:br/>
        <w:t xml:space="preserve">         deposiciones de las señoras María Dorila Márquez de Márquez, María</w:t>
        <w:br/>
        <w:t xml:space="preserve">         del Rosario López Sánchez y María Margarita Chica Márquez como  la</w:t>
        <w:br/>
        <w:t xml:space="preserve">         verdad de lo ocurrido, personas a quienes junto con sus familiares</w:t>
        <w:br/>
        <w:t xml:space="preserve">         pidió perdón  “por  el  daño  inconmensurable  que  tales  agentes</w:t>
        <w:br/>
        <w:t xml:space="preserve">         estatales perpetraron con tan infinita crueldad”,  haciendo  dicho</w:t>
        <w:br/>
        <w:t xml:space="preserve">         pedido de perdón estatal extensivo a  las  víctimas  y  familiares</w:t>
        <w:br/>
        <w:t xml:space="preserve">         sobrevivientes de dichas masacres.  Además,  el  Estado  presentó,</w:t>
        <w:br/>
        <w:t xml:space="preserve">         entre otros documentos, un “[s]uplemento sobre los 20 años  de  la</w:t>
        <w:br/>
        <w:t xml:space="preserve">         firma de los Acuerdos  de  Paz  en  El  Salvador,  conteniendo  un</w:t>
        <w:br/>
        <w:t xml:space="preserve">         listado de [936] víctimas de las masacres de El Mozote  y  lugares</w:t>
        <w:br/>
        <w:t xml:space="preserve">         aledaños, cuya fuente es la misma Comunidad de El Mozote”.</w:t>
        <w:br/>
        <w:br/>
        <w:t xml:space="preserve">     21. La Comisión expresó  su  satisfacción  por  el  reconocimiento  de</w:t>
        <w:br/>
        <w:t xml:space="preserve">         responsabilidad internacional efectuado por el Estado y  consideró</w:t>
        <w:br/>
        <w:t xml:space="preserve">         que el mismo tiene un  valor  histórico  de  la  mayor  relevancia</w:t>
        <w:br/>
        <w:t xml:space="preserve">         debido a la especial gravedad de los hechos del presente caso.  Al</w:t>
        <w:br/>
        <w:t xml:space="preserve">         respecto, consideró que “del  contenido  de  la  contestación  del</w:t>
        <w:br/>
        <w:t xml:space="preserve">         Estado, se desprende la aceptación de la competencia de  la  Corte</w:t>
        <w:br/>
        <w:t xml:space="preserve">         […] para conocer el  presente  caso  en  su  totalidad,  esto  es,</w:t>
        <w:br/>
        <w:t xml:space="preserve">         incluyendo todos los hechos  descritos  en  el  informe  de  fondo</w:t>
        <w:br/>
        <w:t xml:space="preserve">         177/10 y reconocidos como ciertos por el Estado en su  respuesta”.</w:t>
        <w:br/>
        <w:t xml:space="preserve">         Por otro lado, advirtió que si bien el Estado reconoce los  hechos</w:t>
        <w:br/>
        <w:t xml:space="preserve">         y la responsabilidad internacional  derivada  de  los  mismos,  no</w:t>
        <w:br/>
        <w:t xml:space="preserve">         incorpora  un  pronunciamiento  expreso  sobre  cada  una  de  las</w:t>
        <w:br/>
        <w:t xml:space="preserve">         violaciones a la Convención Americana sobre Derechos Humanos, a la</w:t>
        <w:br/>
        <w:t xml:space="preserve">         Convención Interamericana para Prevenir y Sancionar la Tortura y a</w:t>
        <w:br/>
        <w:t xml:space="preserve">         la Convención Interamericana para Prevenir, Sancionar y  Erradicar</w:t>
        <w:br/>
        <w:t xml:space="preserve">         la Violencia contra la Mujer. En razón de lo  anterior  y  por  la</w:t>
        <w:br/>
        <w:t xml:space="preserve">         necesidad de contribuir a la recuperación de la memoria  histórica</w:t>
        <w:br/>
        <w:t xml:space="preserve">         de  las  víctimas   ejecutadas   y   al   efecto   reparador   del</w:t>
        <w:br/>
        <w:t xml:space="preserve">         esclarecimiento  judicial  de  los  hechos  para  los  familiares,</w:t>
        <w:br/>
        <w:t xml:space="preserve">         consideró  necesario  que  la  Corte  efectúe  una   determinación</w:t>
        <w:br/>
        <w:t xml:space="preserve">         pormenorizada de los  hechos  del  caso  y  de  sus  consecuencias</w:t>
        <w:br/>
        <w:t xml:space="preserve">         jurídicas  bajo  los  instrumentos   interamericanos   aplicables.</w:t>
        <w:br/>
        <w:t xml:space="preserve">         Resaltó además  la  importancia  de  que  el  Estado  disponga  un</w:t>
        <w:br/>
        <w:t xml:space="preserve">         mecanismo de identificación de víctimas ejecutadas,  familiares  y</w:t>
        <w:br/>
        <w:t xml:space="preserve">         sobrevivientes, en coordinación y complemento de las gestiones  ya</w:t>
        <w:br/>
        <w:t xml:space="preserve">         avanzadas por los representantes, “[d]ebido a que las reparaciones</w:t>
        <w:br/>
        <w:t xml:space="preserve">         se encuentran estrechamente vinculadas con  la  identificación  de</w:t>
        <w:br/>
        <w:t xml:space="preserve">         víctimas”.</w:t>
        <w:br/>
        <w:br/>
        <w:t xml:space="preserve">     22. Los representantes reconocieron la buena voluntad  del  Estado  al</w:t>
        <w:br/>
        <w:t xml:space="preserve">         realizar un reconocimiento  de  responsabilidad  en  este  caso  y</w:t>
        <w:br/>
        <w:t xml:space="preserve">         presentaron las siguientes observaciones al respecto: i)  a  pesar</w:t>
        <w:br/>
        <w:t xml:space="preserve">         de que el Estado declaró que entendía que la limitación presentada</w:t>
        <w:br/>
        <w:t xml:space="preserve">         en el momento de  aceptar  la  competencia  de  la  Corte  “no  es</w:t>
        <w:br/>
        <w:t xml:space="preserve">         oponible, ni operativa dentro  del  presente  caso”,  no  quedaría</w:t>
        <w:br/>
        <w:t xml:space="preserve">         claro si aceptaba que la Corte tiene competencia para pronunciarse</w:t>
        <w:br/>
        <w:t xml:space="preserve">         sobre todos los hechos del caso, sin embargo,  en  su  escrito  de</w:t>
        <w:br/>
        <w:t xml:space="preserve">         alegatos finales consideraron que con base en  las  actitudes  del</w:t>
        <w:br/>
        <w:t xml:space="preserve">         Estado en las etapas procesales  de  este  caso,  la  Corte  podía</w:t>
        <w:br/>
        <w:t xml:space="preserve">         pronunciarse sobre todos los hechos y, en consecuencia, todas  las</w:t>
        <w:br/>
        <w:t xml:space="preserve">         alegadas violaciones; ii) pese al  amplio  reconocimiento  de  los</w:t>
        <w:br/>
        <w:t xml:space="preserve">         hechos, “el Estado no se pronunci[ó] específicamente acerca de las</w:t>
        <w:br/>
        <w:t xml:space="preserve">         violaciones  a  los  derechos  humanos  por  las  que  se   acepta</w:t>
        <w:br/>
        <w:t xml:space="preserve">         responsabilidad”, y “[t]ampoco  indica  a  quiénes  reconoce  como</w:t>
        <w:br/>
        <w:t xml:space="preserve">         víctimas del caso”; iii) si  bien  el  Estado  se  ha  pronunciado</w:t>
        <w:br/>
        <w:t xml:space="preserve">         favorablemente acerca de  la  implementación  de  algunas  de  las</w:t>
        <w:br/>
        <w:t xml:space="preserve">         medidas solicitadas, en algunos casos,  “lo  ha  hecho  s[ó]lo  en</w:t>
        <w:br/>
        <w:t xml:space="preserve">         relación a algunos aspectos de [é]stas y en otros sin  especificar</w:t>
        <w:br/>
        <w:t xml:space="preserve">         cuál sería su verdadero alcance”, y iv) en relación con los hechos</w:t>
        <w:br/>
        <w:t xml:space="preserve">         relativos a los desplazamientos forzados, destrucción de bienes  y</w:t>
        <w:br/>
        <w:t xml:space="preserve">         el  contexto  de  violencia  en  que  los  mismos  se  produjeron,</w:t>
        <w:br/>
        <w:t xml:space="preserve">         consideraron  que  la  información  contenida  en  el  escrito  de</w:t>
        <w:br/>
        <w:t xml:space="preserve">         solicitudes y argumentos, aún si es de carácter general, debe  ser</w:t>
        <w:br/>
        <w:t xml:space="preserve">         tomada en cuenta por la Corte para valorar cómo el  desplazamiento</w:t>
        <w:br/>
        <w:t xml:space="preserve">         forzado afectó a las  víctimas  de  las  masacres.  Asimismo,  los</w:t>
        <w:br/>
        <w:t xml:space="preserve">         representantes consideraron fundamental que  la  Corte  emita  una</w:t>
        <w:br/>
        <w:t xml:space="preserve">         sentencia en este caso, en la cual establezca  los  hechos  y  las</w:t>
        <w:br/>
        <w:t xml:space="preserve">         violaciones que estos generaron, por su carácter reparador, porque</w:t>
        <w:br/>
        <w:t xml:space="preserve">         contribuye a la preservación de la memoria histórica, a evitar que</w:t>
        <w:br/>
        <w:t xml:space="preserve">         se repitan hechos  similares  y  a  satisfacer  los  fines  de  la</w:t>
        <w:br/>
        <w:t xml:space="preserve">         jurisdicción interamericana, lo cual es particularmente importante</w:t>
        <w:br/>
        <w:t xml:space="preserve">         en el presente caso “en el que los hechos fueron negados por  años</w:t>
        <w:br/>
        <w:t xml:space="preserve">         por las autoridades y cuyos perpetradores aún hoy en  día  reciben</w:t>
        <w:br/>
        <w:t xml:space="preserve">         tratamiento de héroes”. Además, valoraron la  disposición  estatal</w:t>
        <w:br/>
        <w:t xml:space="preserve">         en   materia   de   reparaciones.   Indicaron   también   que   el</w:t>
        <w:br/>
        <w:t xml:space="preserve">         pronunciamiento de esta Corte “es fundamental para que  el  Estado</w:t>
        <w:br/>
        <w:t xml:space="preserve">         […] cumpla con  su  deber  de  adecuar  su  derecho  interno  para</w:t>
        <w:br/>
        <w:t xml:space="preserve">         eliminar los obstáculos que por años han impedido que las víctimas</w:t>
        <w:br/>
        <w:t xml:space="preserve">         de graves violaciones a  derechos  humanos  durante  el  conflicto</w:t>
        <w:br/>
        <w:t xml:space="preserve">         armado reciban justicia”.</w:t>
        <w:br/>
        <w:br/>
        <w:t xml:space="preserve">     23. De conformidad con los artículos 62 y 64 del Reglamento[11]  y  en</w:t>
        <w:br/>
        <w:t xml:space="preserve">         ejercicio de sus  poderes  de  tutela  judicial  internacional  de</w:t>
        <w:br/>
        <w:t xml:space="preserve">         derechos humanos, cuestión  de  orden  público  internacional  que</w:t>
        <w:br/>
        <w:t xml:space="preserve">         trasciende la voluntad de las partes, incumbe  al  Tribunal  velar</w:t>
        <w:br/>
        <w:t xml:space="preserve">         porque los actos de  allanamiento  resulten  aceptables  para  los</w:t>
        <w:br/>
        <w:t xml:space="preserve">         fines que busca cumplir el sistema interamericano. En  esta  tarea</w:t>
        <w:br/>
        <w:t xml:space="preserve">         no se limita únicamente a constatar, registrar o  tomar  nota  del</w:t>
        <w:br/>
        <w:t xml:space="preserve">         reconocimiento  efectuado  por  el  Estado,  o  a  verificar   las</w:t>
        <w:br/>
        <w:t xml:space="preserve">         condiciones formales de los mencionados actos, sino que  los  debe</w:t>
        <w:br/>
        <w:t xml:space="preserve">         confrontar  con  la  naturaleza  y  gravedad  de  las  violaciones</w:t>
        <w:br/>
        <w:t xml:space="preserve">         alegadas,  las  exigencias  e  interés   de   la   justicia,   las</w:t>
        <w:br/>
        <w:t xml:space="preserve">         circunstancias particulares del  caso  concreto  y  la  actitud  y</w:t>
        <w:br/>
        <w:t xml:space="preserve">         posición de las partes[12], de manera tal que pueda  precisar,  en</w:t>
        <w:br/>
        <w:t xml:space="preserve">         cuanto sea posible y en el ejercicio de su competencia, la  verdad</w:t>
        <w:br/>
        <w:t xml:space="preserve">         de lo acontecido[13].</w:t>
        <w:br/>
        <w:br/>
        <w:t xml:space="preserve">     24. La Corte observa que, aunque  el  Estado  omitió  especificar  las</w:t>
        <w:br/>
        <w:t xml:space="preserve">         violaciones que reconocía, es clara su disposición de aceptar  los</w:t>
        <w:br/>
        <w:t xml:space="preserve">         hechos contenidos en el informe de fondo en los términos en que el</w:t>
        <w:br/>
        <w:t xml:space="preserve">         caso fue sometido ante la  Corte,  esto  es,  con  la  posibilidad</w:t>
        <w:br/>
        <w:t xml:space="preserve">         expresa planteada por la Comisión de que el Estado reconociera “la</w:t>
        <w:br/>
        <w:t xml:space="preserve">         competencia de la Corte para conocer  la  totalidad  del  presente</w:t>
        <w:br/>
        <w:t xml:space="preserve">         caso”, lo que en efecto aconteció  (supra  párr.  9).  Tomando  en</w:t>
        <w:br/>
        <w:t xml:space="preserve">         cuenta lo anterior, el  reconocimiento  realizado  por  el  Estado</w:t>
        <w:br/>
        <w:t xml:space="preserve">         representa para la Corte una  admisión  de  la  totalidad  de  los</w:t>
        <w:br/>
        <w:t xml:space="preserve">         hechos que han sido considerados como probados en el  Capítulo  IV</w:t>
        <w:br/>
        <w:t xml:space="preserve">         del informe de fondo, los cuales comprenden los hechos ocurridos a</w:t>
        <w:br/>
        <w:t xml:space="preserve">         partir del año 1980 y hasta el año 2007, y que se  desarrollan  en</w:t>
        <w:br/>
        <w:t xml:space="preserve">         los acápites denominados “A. Contexto”, “B. Las masacres”, “C.  La</w:t>
        <w:br/>
        <w:t xml:space="preserve">         investigación penal”, “D.  La  decisión  de  sobreseimiento  y  la</w:t>
        <w:br/>
        <w:t xml:space="preserve">         aplicación de la ley de amnistía general para la consolidación  de</w:t>
        <w:br/>
        <w:t xml:space="preserve">         la  paz”,  “E.  Solicitudes  de  reapertura  del  proceso”  y  “F.</w:t>
        <w:br/>
        <w:t xml:space="preserve">         Exhumaciones posteriores a la decisión del Juez Segundo de Primera</w:t>
        <w:br/>
        <w:t xml:space="preserve">         Instancia de San Francisco de Gotera de 27 de septiembre de 1993”.</w:t>
        <w:br/>
        <w:t xml:space="preserve">         Además, el Estado aceptó los hechos incluidos  en  el  escrito  de</w:t>
        <w:br/>
        <w:t xml:space="preserve">         solicitudes y argumentos de  los  representantes,  específicamente</w:t>
        <w:br/>
        <w:t xml:space="preserve">         los que  se  desarrollan  en  los  acápites  denominados  “a.  Las</w:t>
        <w:br/>
        <w:t xml:space="preserve">         exhumaciones promovidas entre 2000 y 2004” y “b. La  solicitud  de</w:t>
        <w:br/>
        <w:t xml:space="preserve">         reapertura  presentada  en  el  2006”,   así   como   el   numeral</w:t>
        <w:br/>
        <w:t xml:space="preserve">         identificado  como  “3.  El  sufrimiento  experimentado  por   las</w:t>
        <w:br/>
        <w:t xml:space="preserve">         víctimas sobrevivientes y sus familiares producto de la  impunidad</w:t>
        <w:br/>
        <w:t xml:space="preserve">         en que se mantienen los hechos”.</w:t>
        <w:br/>
        <w:br/>
        <w:t xml:space="preserve">     25. En relación con los hechos que se refieren a la alegada pérdida de</w:t>
        <w:br/>
        <w:t xml:space="preserve">         propiedades y al supuesto desplazamiento de las presuntas víctimas</w:t>
        <w:br/>
        <w:t xml:space="preserve">         sobrevivientes, el Estado aceptó aquellos contenidos en el informe</w:t>
        <w:br/>
        <w:t xml:space="preserve">         de fondo.  En  cuanto  a  los  expuestos  en  el  escrito  de  los</w:t>
        <w:br/>
        <w:t xml:space="preserve">         representantes  que  permitan  explicar,   detallar,   aclarar   o</w:t>
        <w:br/>
        <w:t xml:space="preserve">         desestimar los  que  hayan  sido  mencionados  en  el  informe  de</w:t>
        <w:br/>
        <w:t xml:space="preserve">         fondo[14], la Corte estima que  los  alegatos  del  Estado  (supra</w:t>
        <w:br/>
        <w:t xml:space="preserve">         párr. 17) se relacionan con  una  cuestión  de  valoración  de  la</w:t>
        <w:br/>
        <w:t xml:space="preserve">         prueba. Por ende, la  Corte  determinará  lo  que  corresponda  al</w:t>
        <w:br/>
        <w:t xml:space="preserve">         respecto en los capítulos correspondientes, teniendo en cuenta las</w:t>
        <w:br/>
        <w:t xml:space="preserve">         observaciones del Estado.</w:t>
        <w:br/>
        <w:br/>
        <w:t xml:space="preserve">     26. En razón de lo  anterior,  la  Corte  considera  que  subsiste  la</w:t>
        <w:br/>
        <w:t xml:space="preserve">         controversia respecto a las consecuencias jurídicas de los  hechos</w:t>
        <w:br/>
        <w:t xml:space="preserve">         reconocidos, en razón de las alegadas violaciones de los artículos</w:t>
        <w:br/>
        <w:t xml:space="preserve">         4, 5, 7, 8, 11, 13, 19, 21, 22 y 25 de la Convención Americana, en</w:t>
        <w:br/>
        <w:t xml:space="preserve">         relación con las obligaciones establecidas en los artículos 1.1  y</w:t>
        <w:br/>
        <w:t xml:space="preserve">         2 del mismo  instrumento;  de  los  artículos  1,  6  y  8  de  la</w:t>
        <w:br/>
        <w:t xml:space="preserve">         Convención Interamericana para Prevenir y Sancionar la Tortura,  y</w:t>
        <w:br/>
        <w:t xml:space="preserve">         del artículo 7 de  la  Convención  Interamericana  para  Prevenir,</w:t>
        <w:br/>
        <w:t xml:space="preserve">         Sancionar y Erradicar la Violencia contra la Mujer “Convención  de</w:t>
        <w:br/>
        <w:t xml:space="preserve">         Belém do Pará”, todos  ellos  en  los  términos,  respectivamente,</w:t>
        <w:br/>
        <w:t xml:space="preserve">         alegados por la  Comisión  y  por  los  representantes.  Asimismo,</w:t>
        <w:br/>
        <w:t xml:space="preserve">         subsiste la controversia  respecto  a  la  identificación  de  las</w:t>
        <w:br/>
        <w:t xml:space="preserve">         víctimas en el presente caso y sobre el cumplimiento de la  medida</w:t>
        <w:br/>
        <w:t xml:space="preserve">         de reparación consistente  en  el  reconocimiento  público  de  la</w:t>
        <w:br/>
        <w:t xml:space="preserve">         responsabilidad, la cual sostiene  el  Estado  que  ya  se  habría</w:t>
        <w:br/>
        <w:t xml:space="preserve">         concretado. Finalmente, en relación  con  las  otras  pretensiones</w:t>
        <w:br/>
        <w:t xml:space="preserve">         relativas a las reparaciones, este Tribunal observa que aún existe</w:t>
        <w:br/>
        <w:t xml:space="preserve">         controversia  en  cuanto  al  alcance  de  las  mismas  y  de  los</w:t>
        <w:br/>
        <w:t xml:space="preserve">         resultados que el Estado  invoca.  Consecuentemente,  el  Tribunal</w:t>
        <w:br/>
        <w:t xml:space="preserve">         resolverá lo conducente.</w:t>
        <w:br/>
        <w:br/>
        <w:t xml:space="preserve">     27.  En  tal  sentido,  el  reconocimiento  efectuado  por  el  Estado</w:t>
        <w:br/>
        <w:t xml:space="preserve">         constituye una aceptación total de los  hechos,  el  cual  produce</w:t>
        <w:br/>
        <w:t xml:space="preserve">         plenos efectos jurídicos de acuerdo con los artículos 62 y 64  del</w:t>
        <w:br/>
        <w:t xml:space="preserve">         Reglamento de la Corte, correspondiendo a  esta  Corte  determinar</w:t>
        <w:br/>
        <w:t xml:space="preserve">         sus consecuencias jurídicas. En consideración de  la  gravedad  de</w:t>
        <w:br/>
        <w:t xml:space="preserve">         los hechos y de las violaciones alegadas, la Corte procederá a  la</w:t>
        <w:br/>
        <w:t xml:space="preserve">         determinación amplia y detallada de los hechos ocurridos, toda vez</w:t>
        <w:br/>
        <w:t xml:space="preserve">         que ello contribuye a la reparación de las víctimas, a evitar  que</w:t>
        <w:br/>
        <w:t xml:space="preserve">         se repitan hechos similares y a satisfacer, en suma, los fines  de</w:t>
        <w:br/>
        <w:t xml:space="preserve">         la jurisdicción interamericana sobre derechos humanos[15], y luego</w:t>
        <w:br/>
        <w:t xml:space="preserve">         analizará  las  violaciones  alegadas  por  la  Comisión   y   los</w:t>
        <w:br/>
        <w:t xml:space="preserve">         representantes, así como  las  correspondientes  consecuencias  en</w:t>
        <w:br/>
        <w:t xml:space="preserve">         cuanto a las reparaciones.</w:t>
        <w:br/>
        <w:br/>
        <w:t xml:space="preserve">     28. Este Tribunal resalta el discurso pronunciado por el Presidente de</w:t>
        <w:br/>
        <w:t xml:space="preserve">         la República de El Salvador el 16 de enero de 2012,  así  como  el</w:t>
        <w:br/>
        <w:t xml:space="preserve">         pedido de perdón a las víctimas  sobrevivientes  y  familiares  de</w:t>
        <w:br/>
        <w:t xml:space="preserve">         dichas masacres, los cuales tienen un alto valor simbólico en aras</w:t>
        <w:br/>
        <w:t xml:space="preserve">         de que no se repitan hechos similares. De igual forma, destaca  el</w:t>
        <w:br/>
        <w:t xml:space="preserve">         compromiso manifestado por  el  Estado  relativo  a  impulsar  las</w:t>
        <w:br/>
        <w:t xml:space="preserve">         medidas de reparación necesarias en  permanente  diálogo  con  los</w:t>
        <w:br/>
        <w:t xml:space="preserve">         representantes y bajo los criterios que establezca la Corte. Todas</w:t>
        <w:br/>
        <w:t xml:space="preserve">         estas acciones constituyen una contribución positiva al desarrollo</w:t>
        <w:br/>
        <w:t xml:space="preserve">         de este proceso, a la vigencia de los principios que  inspiran  la</w:t>
        <w:br/>
        <w:t xml:space="preserve">         Convención[16] y, en parte, a la satisfacción de  las  necesidades</w:t>
        <w:br/>
        <w:t xml:space="preserve">         de  reparación  de  las  víctimas  de  violaciones   de   derechos</w:t>
        <w:br/>
        <w:t xml:space="preserve">         humanos[17].</w:t>
        <w:br/>
        <w:br/>
        <w:t xml:space="preserve">                                     IV</w:t>
        <w:br/>
        <w:t xml:space="preserve">                                 COMPETENCIA</w:t>
        <w:br/>
        <w:br/>
        <w:t xml:space="preserve">     29. La  Corte  Interamericana  es  competente,  en  los  términos  del</w:t>
        <w:br/>
        <w:t xml:space="preserve">         artículo 62.3 de la Convención para conocer el presente caso, dado</w:t>
        <w:br/>
        <w:t xml:space="preserve">         que El Salvador es Estado Parte de la Convención  Americana  desde</w:t>
        <w:br/>
        <w:t xml:space="preserve">         el 23 de junio de 1978 y reconoció la competencia  contenciosa  de</w:t>
        <w:br/>
        <w:t xml:space="preserve">         la Corte el 6 de junio de 1995. Además, El Salvador  depositó  los</w:t>
        <w:br/>
        <w:t xml:space="preserve">         instrumentos de ratificación de la Convención Interamericana  para</w:t>
        <w:br/>
        <w:t xml:space="preserve">         Prevenir y Sancionar la Tortura y de la Convención  Interamericana</w:t>
        <w:br/>
        <w:t xml:space="preserve">         para Prevenir, Sancionar y Erradicar la Violencia contra la  Mujer</w:t>
        <w:br/>
        <w:t xml:space="preserve">         “Convención de Belém do Pará”, el 5 de diciembre de 1994 y  el  26</w:t>
        <w:br/>
        <w:t xml:space="preserve">         de enero de 1996, respectivamente.</w:t>
        <w:br/>
        <w:br/>
        <w:t xml:space="preserve">     30. Si bien la declaración de  reconocimiento  de  competencia  de  la</w:t>
        <w:br/>
        <w:t xml:space="preserve">         Corte Interamericana incluye una limitación  temporal[18],  en  el</w:t>
        <w:br/>
        <w:t xml:space="preserve">         presente  caso  el  Estado  de  El  Salvador,  en  atención  a  la</w:t>
        <w:br/>
        <w:t xml:space="preserve">         aceptación de los hechos efectuada en su escrito  de  contestación</w:t>
        <w:br/>
        <w:t xml:space="preserve">         al sometimiento del caso y observaciones al escrito de solicitudes</w:t>
        <w:br/>
        <w:t xml:space="preserve">         y argumentos, y reiterada en sus  alegatos  finales  tanto  orales</w:t>
        <w:br/>
        <w:t xml:space="preserve">         como escritos,  declaró  unilateralmente  que  “la  limitación  de</w:t>
        <w:br/>
        <w:t xml:space="preserve">         competencia –erróneamente denominada ‘reserva’-  contenida  en  el</w:t>
        <w:br/>
        <w:t xml:space="preserve">         numeral II de la declaración escrita del 06 de junio de  1995,  no</w:t>
        <w:br/>
        <w:t xml:space="preserve">         es oponible ni operativa dentro del presente caso”.  Asimismo,  el</w:t>
        <w:br/>
        <w:t xml:space="preserve">         Estado expresó que “acepta la competencia de esta […]  Corte  para</w:t>
        <w:br/>
        <w:t xml:space="preserve">         pronunciarse sobre  los  hechos  que  han  sido  reconocidos”.  En</w:t>
        <w:br/>
        <w:t xml:space="preserve">         consecuencia, la Corte  entiende  que  El  Salvador  reconoció  su</w:t>
        <w:br/>
        <w:t xml:space="preserve">         competencia  contenciosa  para  que  examine  todos   los   hechos</w:t>
        <w:br/>
        <w:t xml:space="preserve">         ocurridos con posterioridad a la  ratificación  de  la  Convención</w:t>
        <w:br/>
        <w:t xml:space="preserve">         Americana pero con anterioridad a su aceptación de la  competencia</w:t>
        <w:br/>
        <w:t xml:space="preserve">         contenciosa, aún cuando aquellos hechos no constituyan violaciones</w:t>
        <w:br/>
        <w:t xml:space="preserve">         de carácter continuo  o  permanente,  y  se  pronuncie  sobre  las</w:t>
        <w:br/>
        <w:t xml:space="preserve">         violaciones que se configuren en este caso y sus consecuencias, de</w:t>
        <w:br/>
        <w:t xml:space="preserve">         modo tal que ha desistido  expresamente  de  cualquier  limitación</w:t>
        <w:br/>
        <w:t xml:space="preserve">         temporal al ejercicio de la competencia de la Corte. Es decir,  en</w:t>
        <w:br/>
        <w:t xml:space="preserve">         todas las etapas procesales ante  el  Tribunal  existe  una  clara</w:t>
        <w:br/>
        <w:t xml:space="preserve">         manifestación de voluntad del Estado de reconocer todos los hechos</w:t>
        <w:br/>
        <w:t xml:space="preserve">         ocurridos, y de otorgar expresamente competencia para que la Corte</w:t>
        <w:br/>
        <w:t xml:space="preserve">         juzgue en su entera dimensión el presente caso.  La  Corte  valora</w:t>
        <w:br/>
        <w:t xml:space="preserve">         positivamente la declaración hecha por el Estado  para  este  caso</w:t>
        <w:br/>
        <w:t xml:space="preserve">         específico. Por lo tanto, el Tribunal tiene plenamente competencia</w:t>
        <w:br/>
        <w:t xml:space="preserve">         para conocer de todos los hechos contenidos en el informe de fondo</w:t>
        <w:br/>
        <w:t xml:space="preserve">         177/10, por  lo  que  pasará  a  decidir  sobre  el  fondo  y  las</w:t>
        <w:br/>
        <w:t xml:space="preserve">         eventuales reparaciones en el presente caso.</w:t>
        <w:br/>
        <w:br/>
        <w:t xml:space="preserve">                                      V</w:t>
        <w:br/>
        <w:t xml:space="preserve">                                   PRUEBA</w:t>
        <w:br/>
        <w:br/>
        <w:t xml:space="preserve">     31. Con base en lo establecido en los artículos 46, 49, 50 y 57. 1 del</w:t>
        <w:br/>
        <w:t xml:space="preserve">         Reglamento, así como en su jurisprudencia relativa a la  prueba  y</w:t>
        <w:br/>
        <w:t xml:space="preserve">         su apreciación[19], la Corte examinará los  elementos  probatorios</w:t>
        <w:br/>
        <w:t xml:space="preserve">         documentales remitidos por las partes  en  diversas  oportunidades</w:t>
        <w:br/>
        <w:t xml:space="preserve">         procesales, las declaraciones rendidas mediante  affidávit  y  las</w:t>
        <w:br/>
        <w:t xml:space="preserve">         recibidas en audiencia pública ante la Corte, así como las pruebas</w:t>
        <w:br/>
        <w:t xml:space="preserve">         para mejor resolver solicitadas por el  Tribunal.  Para  ello,  el</w:t>
        <w:br/>
        <w:t xml:space="preserve">         Tribunal se atendrá a los principios de la  sana  crítica,  dentro</w:t>
        <w:br/>
        <w:t xml:space="preserve">         del marco normativo correspondiente[20].</w:t>
        <w:br/>
        <w:br/>
        <w:br/>
        <w:t xml:space="preserve">      A.    Prueba documental, testimonial y pericial</w:t>
        <w:br/>
        <w:br/>
        <w:br/>
        <w:t xml:space="preserve">     32. El Tribunal recibió diversos documentos  presentados  como  prueba</w:t>
        <w:br/>
        <w:t xml:space="preserve">         por la Comisión Interamericana, los representantes  y  el  Estado,</w:t>
        <w:br/>
        <w:t xml:space="preserve">         adjuntos a sus escritos principales  (supra  párrs.  1,  7  y  9).</w:t>
        <w:br/>
        <w:t xml:space="preserve">         Asimismo,  la  Corte  recibió  las  declaraciones  rendidas   ante</w:t>
        <w:br/>
        <w:t xml:space="preserve">         fedatario público (affidávit) por Juan Bautista  Márquez  Argueta,</w:t>
        <w:br/>
        <w:t xml:space="preserve">         Sofía Romero Pereira, Sonia Tobar de Díaz, Antonia  Guevara  Díaz,</w:t>
        <w:br/>
        <w:t xml:space="preserve">         Juan Antonio Pereira Vigil, Eduardo  Concepción  Argueta  Márquez,</w:t>
        <w:br/>
        <w:t xml:space="preserve">         Saturnino Argueta Claros y José Pablo Díaz Portillo[21]. De  igual</w:t>
        <w:br/>
        <w:t xml:space="preserve">         forma, recibió los dictámenes  de  los  peritos  Tal  Linda  Ileen</w:t>
        <w:br/>
        <w:t xml:space="preserve">         Simmons y Padre  David  Scott  Blanchard,  así  como  el  peritaje</w:t>
        <w:br/>
        <w:t xml:space="preserve">         conjunto de Luis Bernardo Fondebrider, Silvana Turner  y  Mercedes</w:t>
        <w:br/>
        <w:t xml:space="preserve">         C. Doretti. En cuanto a la prueba rendida en audiencia pública, la</w:t>
        <w:br/>
        <w:t xml:space="preserve">         Corte  recibió  las  declaraciones  de  María  Dorila  Márquez  de</w:t>
        <w:br/>
        <w:t xml:space="preserve">         Márquez, María del Rosario López Sánchez y María  Margarita  Chica</w:t>
        <w:br/>
        <w:t xml:space="preserve">         Márquez[22], así como  los  dictámenes  de  los  peritos  Salvador</w:t>
        <w:br/>
        <w:t xml:space="preserve">         Eduardo Menéndez Leal y María Sol Yáñez De La Cruz.</w:t>
        <w:br/>
        <w:br/>
        <w:t xml:space="preserve">      B.    Admisión de la prueba</w:t>
        <w:br/>
        <w:br/>
        <w:t xml:space="preserve">           B.1)  Admisión de la prueba documental</w:t>
        <w:br/>
        <w:br/>
        <w:t xml:space="preserve">     33. En el presente caso, como en otros, el Tribunal  admite  el  valor</w:t>
        <w:br/>
        <w:t xml:space="preserve">         probatorio de aquellos documentos  presentados  oportunamente  por</w:t>
        <w:br/>
        <w:t xml:space="preserve">         las  partes  y  la  Comisión  que  no  fueron  controvertidos   ni</w:t>
        <w:br/>
        <w:t xml:space="preserve">         objetados, y cuya autenticidad no fue puesta en duda[23].</w:t>
        <w:br/>
        <w:br/>
        <w:t xml:space="preserve">     34.  Mediante  su   escrito   de   solicitudes   y   argumentos,   los</w:t>
        <w:br/>
        <w:t xml:space="preserve">         representantes remitieron prueba documental en idioma inglés,  sin</w:t>
        <w:br/>
        <w:t xml:space="preserve">         que se adjuntara traducción al español.  Al  respecto,  el  27  de</w:t>
        <w:br/>
        <w:t xml:space="preserve">         septiembre de 2011 informaron que “los mismos  fueron  presentados</w:t>
        <w:br/>
        <w:t xml:space="preserve">         en idioma inglés, debido a que son las  únicas  versiones  que  se</w:t>
        <w:br/>
        <w:t xml:space="preserve">         encuentran disponibles y no t[ienen] conocimiento de  que  existan</w:t>
        <w:br/>
        <w:t xml:space="preserve">         versiones en español de estos documentos”, por tanto,  solicitaron</w:t>
        <w:br/>
        <w:t xml:space="preserve">         su admisión. En razón de lo anterior, el Tribunal  resolvió  tener</w:t>
        <w:br/>
        <w:t xml:space="preserve">         por presentada dicha prueba a  los  fines  de  su  transmisión  al</w:t>
        <w:br/>
        <w:t xml:space="preserve">         Estado y a la Comisión.  Dado  que  dichos  documentos  no  fueron</w:t>
        <w:br/>
        <w:t xml:space="preserve">         controvertidos ni objetados, la Corte los admite  y  los  valorará</w:t>
        <w:br/>
        <w:t xml:space="preserve">         tomando  en  cuenta  el  conjunto  del  acervo   probatorio,   las</w:t>
        <w:br/>
        <w:t xml:space="preserve">         observaciones del Estado y las reglas de la  sana  crítica  (supra</w:t>
        <w:br/>
        <w:t xml:space="preserve">         párr. 25 e infra párr. 191).</w:t>
        <w:br/>
        <w:br/>
        <w:t xml:space="preserve">     35. En cuanto a las notas de  prensa,  la  Corte  ha  considerado  que</w:t>
        <w:br/>
        <w:t xml:space="preserve">         podrán ser apreciadas cuando recojan hechos públicos y notorios  o</w:t>
        <w:br/>
        <w:t xml:space="preserve">         declaraciones de funcionarios  del  Estado,  o  cuando  corroboren</w:t>
        <w:br/>
        <w:t xml:space="preserve">         aspectos relacionados con el caso[24]. La Corte  constató  que  en</w:t>
        <w:br/>
        <w:t xml:space="preserve">         algunos  de  esos  documentos  no  puede  leerse   la   fecha   de</w:t>
        <w:br/>
        <w:t xml:space="preserve">         publicación. En  consecuencia,  el  Tribunal  decide  admitir  los</w:t>
        <w:br/>
        <w:t xml:space="preserve">         documentos que se encuentren completos o que por lo menos permitan</w:t>
        <w:br/>
        <w:t xml:space="preserve">         constatar su fuente y fecha de publicación, y los valorará tomando</w:t>
        <w:br/>
        <w:t xml:space="preserve">         en cuenta el conjunto del acervo probatorio, las observaciones  de</w:t>
        <w:br/>
        <w:t xml:space="preserve">         las partes y las reglas de la sana crítica[25].</w:t>
        <w:br/>
        <w:br/>
        <w:t xml:space="preserve">     36. Respecto a algunos  documentos  señalados  por  medio  de  enlaces</w:t>
        <w:br/>
        <w:t xml:space="preserve">         electrónicos,  la  Corte  ha  establecido  que,   si   una   parte</w:t>
        <w:br/>
        <w:t xml:space="preserve">         proporciona al menos el enlace electrónico directo  del  documento</w:t>
        <w:br/>
        <w:t xml:space="preserve">         que cita como prueba y  es  posible  acceder  a  éste,  no  se  ve</w:t>
        <w:br/>
        <w:t xml:space="preserve">         afectada la seguridad jurídica ni el equilibrio procesal porque es</w:t>
        <w:br/>
        <w:t xml:space="preserve">         inmediatamente  localizable  por  la  Corte  y   por   las   otras</w:t>
        <w:br/>
        <w:t xml:space="preserve">         partes[26]. En este caso, no hubo oposición u observaciones de las</w:t>
        <w:br/>
        <w:t xml:space="preserve">         partes ni de la Comisión sobre  el  contenido  y  autenticidad  de</w:t>
        <w:br/>
        <w:t xml:space="preserve">         tales documentos.</w:t>
        <w:br/>
        <w:br/>
        <w:t xml:space="preserve">     37. En relación con artículos o textos en los cuales se señale  hechos</w:t>
        <w:br/>
        <w:t xml:space="preserve">         relativos a este caso, la Corte considera que se  trata  de  obras</w:t>
        <w:br/>
        <w:t xml:space="preserve">         escritas que contienen declaraciones o afirmaciones de sus autores</w:t>
        <w:br/>
        <w:t xml:space="preserve">         para su difusión pública. En tal sentido,  la  valoración  de  sus</w:t>
        <w:br/>
        <w:t xml:space="preserve">         contenidos no se encuentra sujeta a  las  formalidades  requeridas</w:t>
        <w:br/>
        <w:t xml:space="preserve">         para las pruebas testimoniales. No obstante, su  valor  probatorio</w:t>
        <w:br/>
        <w:t xml:space="preserve">         dependerá de que corroboren o se refieran a aspectos  relacionados</w:t>
        <w:br/>
        <w:t xml:space="preserve">         con el caso concreto[27].</w:t>
        <w:br/>
        <w:br/>
        <w:t xml:space="preserve">     38. En el transcurso de la audiencia  pública  (supra  párr.  13),  el</w:t>
        <w:br/>
        <w:t xml:space="preserve">         Estado presentó copia de diversos documentos,  de  los  cuales  se</w:t>
        <w:br/>
        <w:t xml:space="preserve">         entregó copia a los representantes y a la Comisión.  Asimismo,  en</w:t>
        <w:br/>
        <w:t xml:space="preserve">         sus alegatos finales escritos el Estado presentó un video así como</w:t>
        <w:br/>
        <w:t xml:space="preserve">         copia de un cuadro y  de  fotografías.  Los  representantes  y  la</w:t>
        <w:br/>
        <w:t xml:space="preserve">         Comisión  contaron   con   la   posibilidad   de   presentar   sus</w:t>
        <w:br/>
        <w:t xml:space="preserve">         observaciones  al  respecto.  Por  considerarlos  útiles  para  la</w:t>
        <w:br/>
        <w:t xml:space="preserve">         resolución del presente caso y en los términos del  artículo  57.2</w:t>
        <w:br/>
        <w:t xml:space="preserve">         del  Reglamento,  el  Tribunal  admite  los  elementos  de  prueba</w:t>
        <w:br/>
        <w:t xml:space="preserve">         aportados por el Estado en tanto se refieran a hechos  acontecidos</w:t>
        <w:br/>
        <w:t xml:space="preserve">         con posterioridad a la presentación del escrito de contestación  a</w:t>
        <w:br/>
        <w:t xml:space="preserve">         la presentación del caso y de observaciones a  las  solicitudes  y</w:t>
        <w:br/>
        <w:t xml:space="preserve">         argumentos de los representantes, y considerará, en lo pertinente,</w:t>
        <w:br/>
        <w:t xml:space="preserve">         la información allí indicada teniendo en cuenta  el  conjunto  del</w:t>
        <w:br/>
        <w:t xml:space="preserve">         acervo probatorio, las observaciones de las partes y las reglas de</w:t>
        <w:br/>
        <w:t xml:space="preserve">         la sana crítica.</w:t>
        <w:br/>
        <w:br/>
        <w:t xml:space="preserve">     39.  En  lo  que  se  refiere  a  los  documentos  remitidos  por  los</w:t>
        <w:br/>
        <w:t xml:space="preserve">         representantes sobre costas y gastos aportados  con  los  alegatos</w:t>
        <w:br/>
        <w:t xml:space="preserve">         finales escritos, el Tribunal sólo  considerará  aquellos  que  se</w:t>
        <w:br/>
        <w:t xml:space="preserve">         refieran a las nuevas costas y gastos en que hayan  incurrido  con</w:t>
        <w:br/>
        <w:t xml:space="preserve">         ocasión del procedimiento ante  esta  Corte,  es  decir,  aquellos</w:t>
        <w:br/>
        <w:t xml:space="preserve">         realizados con posterioridad a  la  presentación  del  escrito  de</w:t>
        <w:br/>
        <w:t xml:space="preserve">         solicitudes y argumentos.</w:t>
        <w:br/>
        <w:br/>
        <w:t xml:space="preserve">           B.2)   Admisión  de  las  declaraciones  y  de  los   dictámenes</w:t>
        <w:br/>
        <w:t xml:space="preserve">      periciales</w:t>
        <w:br/>
        <w:br/>
        <w:t xml:space="preserve">     40. La Corte estima pertinente admitir las declaraciones y  dictámenes</w:t>
        <w:br/>
        <w:t xml:space="preserve">         rendidos  en  audiencia  pública  y  mediante  declaraciones  ante</w:t>
        <w:br/>
        <w:t xml:space="preserve">         fedatario público, en cuanto se ajusten al objeto definido por  el</w:t>
        <w:br/>
        <w:t xml:space="preserve">         Presidente en la Resolución que ordenó recibirlos[28] y al  objeto</w:t>
        <w:br/>
        <w:t xml:space="preserve">         del presente caso, los cuales serán valorados en el  capítulo  que</w:t>
        <w:br/>
        <w:t xml:space="preserve">         corresponda, en  conjunto  con  los  demás  elementos  del  acervo</w:t>
        <w:br/>
        <w:t xml:space="preserve">         probatorio. Conforme a la jurisprudencia  de  este  Tribunal,  las</w:t>
        <w:br/>
        <w:t xml:space="preserve">         declaraciones rendidas por las presuntas víctimas  no  pueden  ser</w:t>
        <w:br/>
        <w:t xml:space="preserve">         valoradas aisladamente sino dentro del conjunto de las pruebas del</w:t>
        <w:br/>
        <w:t xml:space="preserve">         proceso, ya que son útiles en la medida en que pueden proporcionar</w:t>
        <w:br/>
        <w:t xml:space="preserve">         mayor  información  sobre  las   presuntas   violaciones   y   sus</w:t>
        <w:br/>
        <w:t xml:space="preserve">         consecuencias[29].</w:t>
        <w:br/>
        <w:br/>
        <w:t xml:space="preserve">     41. Junto  con  sus  alegatos  finales  escritos,  los  representantes</w:t>
        <w:br/>
        <w:t xml:space="preserve">         remitieron por escrito una ampliación del peritaje  de  María  Sol</w:t>
        <w:br/>
        <w:t xml:space="preserve">         Yáñez De La Cruz, la cual fue solicitada por la Corte  durante  la</w:t>
        <w:br/>
        <w:t xml:space="preserve">         audiencia pública (supra párr. 13). Al respecto, el  Estado  y  la</w:t>
        <w:br/>
        <w:t xml:space="preserve">         Comisión tuvieron la posibilidad de  presentar  sus  observaciones</w:t>
        <w:br/>
        <w:t xml:space="preserve">         sobre dicho documento sin que se  hiciera  observación  alguna  al</w:t>
        <w:br/>
        <w:t xml:space="preserve">         respecto. Por considerarlo útil para la  resolución  del  presente</w:t>
        <w:br/>
        <w:t xml:space="preserve">         caso, el Tribunal también lo  incorpora,  de  conformidad  con  el</w:t>
        <w:br/>
        <w:t xml:space="preserve">         artículo 58 del  Reglamento  y  será  valorado  en  lo  pertinente</w:t>
        <w:br/>
        <w:t xml:space="preserve">         teniendo en cuenta el conjunto del acervo probatorio y las  reglas</w:t>
        <w:br/>
        <w:t xml:space="preserve">         de la sana crítica.</w:t>
        <w:br/>
        <w:br/>
        <w:t xml:space="preserve">                                     VI</w:t>
        <w:br/>
        <w:t xml:space="preserve">                           CONSIDERACIONES PREVIAS</w:t>
        <w:br/>
        <w:br/>
        <w:t xml:space="preserve">      A.    Determinación de las presuntas víctimas</w:t>
        <w:br/>
        <w:br/>
        <w:t xml:space="preserve">     42. En su escrito de sometimiento del  caso  la  Comisión  señaló  que</w:t>
        <w:br/>
        <w:t xml:space="preserve">         adjuntaba, de conformidad con el artículo 35 del Reglamento de  la</w:t>
        <w:br/>
        <w:t xml:space="preserve">         Corte,  el  informe  de  fondo  177/10  que  incluía  tres  anexos</w:t>
        <w:br/>
        <w:t xml:space="preserve">         relativos a la identificación de las presuntas víctimas  que  pudo</w:t>
        <w:br/>
        <w:t xml:space="preserve">         realizar hasta el momento de la aprobación del mencionado informe,</w:t>
        <w:br/>
        <w:t xml:space="preserve">         a saber: i) las víctimas ejecutadas  extrajudicialmente;  ii)  los</w:t>
        <w:br/>
        <w:t xml:space="preserve">         sobrevivientes y familiares de las víctimas ejecutadas, y iii) las</w:t>
        <w:br/>
        <w:t xml:space="preserve">         víctimas  desplazadas  forzosamente.  Según  la  Comisión,  en  el</w:t>
        <w:br/>
        <w:t xml:space="preserve">         informe  de  fondo  177/10  explicó  las  dificultades  que  había</w:t>
        <w:br/>
        <w:t xml:space="preserve">         enfrentado para identificar a las presuntas víctimas del  presente</w:t>
        <w:br/>
        <w:t xml:space="preserve">         caso  y  precisó  los  criterios  tomados  en   cuenta   para   su</w:t>
        <w:br/>
        <w:t xml:space="preserve">         identificación, con la finalidad de no excluir  a  priori  de  tal</w:t>
        <w:br/>
        <w:t xml:space="preserve">         carácter a ninguna persona nombrada como fallecida en las masacres</w:t>
        <w:br/>
        <w:t xml:space="preserve">         o  como  familiar   sobreviviente,   “teniendo   en   cuenta   las</w:t>
        <w:br/>
        <w:t xml:space="preserve">         características excepcionales del  presente  caso”.  Sin  embargo,</w:t>
        <w:br/>
        <w:t xml:space="preserve">         aclaró “que muchos de los datos sobre nombre, edad, sexo o vínculo</w:t>
        <w:br/>
        <w:t xml:space="preserve">         familiar son aproximados e imprecisos”, y que en este caso  adoptó</w:t>
        <w:br/>
        <w:t xml:space="preserve">         “criterios flexibles para la identificación de las víctimas”, bajo</w:t>
        <w:br/>
        <w:t xml:space="preserve">         el entendido de que, como se indicó en una de las  recomendaciones</w:t>
        <w:br/>
        <w:t xml:space="preserve">         del informe de  fondo,  “corresponde  al  Estado  de  El  Salvador</w:t>
        <w:br/>
        <w:t xml:space="preserve">         realizar la identificación completa  de  las  víctimas  ejecutadas</w:t>
        <w:br/>
        <w:t xml:space="preserve">         […], así como de los familiares de las víctimas ejecutadas, en  el</w:t>
        <w:br/>
        <w:t xml:space="preserve">         marco de la debida investigación que está obligado a realizar”.</w:t>
        <w:br/>
        <w:br/>
        <w:t xml:space="preserve">     43. Específicamente, en el informe de fondo, la Comisión  observó  que</w:t>
        <w:br/>
        <w:t xml:space="preserve">         en el presente caso concurrían varias circunstancias complejas que</w:t>
        <w:br/>
        <w:t xml:space="preserve">         implicarían  serias  dificultades  en  la  identificación  de  las</w:t>
        <w:br/>
        <w:t xml:space="preserve">         presuntas víctimas, tanto de las personas fallecidas como  de  sus</w:t>
        <w:br/>
        <w:t xml:space="preserve">         familiares sobrevivientes. La Comisión explicó  que,  respecto  de</w:t>
        <w:br/>
        <w:t xml:space="preserve">         las víctimas que habrían perdido la vida en las masacres, se había</w:t>
        <w:br/>
        <w:t xml:space="preserve">         basado en el listado del Informe de la Oficina de Tutela Legal del</w:t>
        <w:br/>
        <w:t xml:space="preserve">         Arzobispado publicado en 1992 y en el  listado  aportado  por  los</w:t>
        <w:br/>
        <w:t xml:space="preserve">         peticionarios el 24 de septiembre de 2010.  Sobre  los  familiares</w:t>
        <w:br/>
        <w:t xml:space="preserve">         sobrevivientes, indicó que contaba con  los  nombres  de:  i)  las</w:t>
        <w:br/>
        <w:t xml:space="preserve">         personas que habrían rendido declaración ante el  Juzgado  Segundo</w:t>
        <w:br/>
        <w:t xml:space="preserve">         de Primera Instancia de San Francisco Gotera en  el  contexto  del</w:t>
        <w:br/>
        <w:t xml:space="preserve">         proceso judicial; ii) algunas  personas  que  habrían  testificado</w:t>
        <w:br/>
        <w:t xml:space="preserve">         ante el Equipo Argentino de Antropología Forense  (EAAF)  y  otras</w:t>
        <w:br/>
        <w:t xml:space="preserve">         autoridades en el contexto de las investigaciones  previas  a  las</w:t>
        <w:br/>
        <w:t xml:space="preserve">         exhumaciones de 1992, 2000, 2001 y 2003, y iii) el listado parcial</w:t>
        <w:br/>
        <w:t xml:space="preserve">         de  154  personas  aportado   por   los   peticionarios   mediante</w:t>
        <w:br/>
        <w:t xml:space="preserve">         comunicación de 24 de septiembre de 2010. No obstante, la Comisión</w:t>
        <w:br/>
        <w:t xml:space="preserve">         observó que la cantidad de personas que habrían fallecido  en  las</w:t>
        <w:br/>
        <w:t xml:space="preserve">         masacres y de los  familiares  sobrevivientes  “puede  superar  el</w:t>
        <w:br/>
        <w:t xml:space="preserve">         número de personas identificadas hasta el momento”. Consideró que,</w:t>
        <w:br/>
        <w:t xml:space="preserve">         por la dimensión y naturaleza de las violaciones ocurridas  en  el</w:t>
        <w:br/>
        <w:t xml:space="preserve">         presente caso,  las  personas  agregadas  por  los  representantes</w:t>
        <w:br/>
        <w:t xml:space="preserve">         también debían ser consideradas como víctimas. Según la  Comisión,</w:t>
        <w:br/>
        <w:t xml:space="preserve">         lo mismo habría ocurrido con las víctimas de  algunas  violaciones</w:t>
        <w:br/>
        <w:t xml:space="preserve">         que se tendría certeza que ocurrieron, pero por su naturaleza y la</w:t>
        <w:br/>
        <w:t xml:space="preserve">         falta absoluta de actividad estatal durante más de una década para</w:t>
        <w:br/>
        <w:t xml:space="preserve">         investigar lo sucedido, no se contaría con un listado de  personas</w:t>
        <w:br/>
        <w:t xml:space="preserve">         individualizadas. Asimismo, durante la audiencia pública y en  sus</w:t>
        <w:br/>
        <w:t xml:space="preserve">         observaciones  finales   escritas,   la   Comisión   reiteró   las</w:t>
        <w:br/>
        <w:t xml:space="preserve">         circunstancias particulares que dificultaron una identificación de</w:t>
        <w:br/>
        <w:t xml:space="preserve">         las víctimas, y refirió que el artículo 35.2  del  Reglamento  del</w:t>
        <w:br/>
        <w:t xml:space="preserve">         Tribunal contempla la posibilidad de que la  Comisión  aporte  una</w:t>
        <w:br/>
        <w:t xml:space="preserve">         explicación ante la imposibilidad de identificar a la totalidad de</w:t>
        <w:br/>
        <w:t xml:space="preserve">         las víctimas en un caso, por ejemplo, por tratarse de  violaciones</w:t>
        <w:br/>
        <w:t xml:space="preserve">         de carácter masivo. Resaltó, además,  la  importancia  de  que  el</w:t>
        <w:br/>
        <w:t xml:space="preserve">         Estado  disponga  un  mecanismo  de  identificación  de   víctimas</w:t>
        <w:br/>
        <w:t xml:space="preserve">         ejecutadas,  familiares  y  sobrevivientes,  en   coordinación   y</w:t>
        <w:br/>
        <w:t xml:space="preserve">         complemento de las gestiones ya avanzadas por los  representantes,</w:t>
        <w:br/>
        <w:t xml:space="preserve">         “[d]ebido a  que  las  reparaciones  se  encuentran  estrechamente</w:t>
        <w:br/>
        <w:t xml:space="preserve">         vinculadas con la identificación de víctimas”.</w:t>
        <w:br/>
        <w:br/>
        <w:t xml:space="preserve">     44. Por su parte,  mediante  escrito  de  23  de  mayo  de  2011,  los</w:t>
        <w:br/>
        <w:t xml:space="preserve">         representantes remitieron  poderes  de  representación,  así  como</w:t>
        <w:br/>
        <w:t xml:space="preserve">         “listados actualizados de las víctimas del caso”  (supra  nota  al</w:t>
        <w:br/>
        <w:t xml:space="preserve">         pie 3). Posteriormente,  mediante  su  escrito  de  solicitudes  y</w:t>
        <w:br/>
        <w:t xml:space="preserve">         argumentos de 12 de  agosto  de  2011,  presentaron  “listados  de</w:t>
        <w:br/>
        <w:t xml:space="preserve">         víctimas” actualizados y se  refirieron  a  la  aplicación  en  el</w:t>
        <w:br/>
        <w:t xml:space="preserve">         presente caso del  artículo  35.2  del  Reglamento  de  la  Corte.</w:t>
        <w:br/>
        <w:t xml:space="preserve">         Asimismo, en su escrito de alegatos finales de 23 de mayo de  2012</w:t>
        <w:br/>
        <w:t xml:space="preserve">         remitieron  nuevamente  “Listados  actualizados  de  víctimas”   y</w:t>
        <w:br/>
        <w:t xml:space="preserve">         solicitaron a la Corte que tenga un abordaje flexible en lo que se</w:t>
        <w:br/>
        <w:t xml:space="preserve">         refiere a la identificación de las mismas. Al respecto,  indicaron</w:t>
        <w:br/>
        <w:t xml:space="preserve">         que las acciones y omisiones  del  Estado  en  este  caso  habrían</w:t>
        <w:br/>
        <w:t xml:space="preserve">         generado una serie de obstáculos  que  había  hecho  imposible  la</w:t>
        <w:br/>
        <w:t xml:space="preserve">         identificación de todas las víctimas.  Según  los  representantes,</w:t>
        <w:br/>
        <w:t xml:space="preserve">         los únicos listados de víctimas que existen hasta la fecha habrían</w:t>
        <w:br/>
        <w:t xml:space="preserve">         sido elaborados por la Oficina de Tutela Legal del Arzobispado  de</w:t>
        <w:br/>
        <w:t xml:space="preserve">         San Salvador, sin embargo, “se trata[ba]  de  una  sistematización</w:t>
        <w:br/>
        <w:t xml:space="preserve">         que por su  naturaleza  esta[ba]  abierta  a  nuevos  agregados  o</w:t>
        <w:br/>
        <w:t xml:space="preserve">         depuraciones”, lo cual explicaría por qué los listados que  habían</w:t>
        <w:br/>
        <w:t xml:space="preserve">         presentado ante la Corte diferían parcialmente de los  presentados</w:t>
        <w:br/>
        <w:t xml:space="preserve">         por la Comisión como anexos a  su  informe  de  fondo  177/10.  Al</w:t>
        <w:br/>
        <w:t xml:space="preserve">         respecto,  solicitaron  que  la  Corte   ordene   al   Estado   la</w:t>
        <w:br/>
        <w:t xml:space="preserve">         identificación de todas las víctimas asesinadas  y  sobrevivientes</w:t>
        <w:br/>
        <w:t xml:space="preserve">         de las masacres y a los  familiares  de  éstas.  En  razón  de  lo</w:t>
        <w:br/>
        <w:t xml:space="preserve">         anterior y sin perjuicio de que la Corte considere  como  víctimas</w:t>
        <w:br/>
        <w:t xml:space="preserve">         de los hechos a las personas identificadas  en  los  listados  que</w:t>
        <w:br/>
        <w:t xml:space="preserve">         remitieron, los representantes solicitaron a  la  Corte  que  deje</w:t>
        <w:br/>
        <w:t xml:space="preserve">         abierta  la  posibilidad  para  que  aquellas  personas  que  sean</w:t>
        <w:br/>
        <w:t xml:space="preserve">         identificadas por el Estado sean incluidas  como  víctimas  y,  en</w:t>
        <w:br/>
        <w:t xml:space="preserve">         consecuencia, como beneficiarias de las reparaciones.</w:t>
        <w:br/>
        <w:br/>
        <w:t xml:space="preserve">     45. Durante la audiencia pública, la Corte solicitó a la Comisión,  en</w:t>
        <w:br/>
        <w:t xml:space="preserve">         primer lugar, que aclarara si todas las mujeres que aparecen  como</w:t>
        <w:br/>
        <w:t xml:space="preserve">         víctimas de ejecución se debe entender que han  sido  víctimas  de</w:t>
        <w:br/>
        <w:t xml:space="preserve">         violación sexual, y en segundo lugar, cómo se compatibilizaría  el</w:t>
        <w:br/>
        <w:t xml:space="preserve">         caso de la  desaparición  forzada  de  las  niñas  Ramírez  Mejía,</w:t>
        <w:br/>
        <w:t xml:space="preserve">         quienes son las víctimas de un  caso  anteriormente  resuelto  por</w:t>
        <w:br/>
        <w:t xml:space="preserve">         este Tribunal, con la información que presentó la Comisión  en  el</w:t>
        <w:br/>
        <w:t xml:space="preserve">         presente caso en la  cual  aparecen  como  víctimas  de  ejecución</w:t>
        <w:br/>
        <w:t xml:space="preserve">         extrajudicial. Asimismo, la Corte solicitó a la Comisión y  a  los</w:t>
        <w:br/>
        <w:t xml:space="preserve">         representantes, como primer punto, que precisaran de su  lista  de</w:t>
        <w:br/>
        <w:t xml:space="preserve">         familiares y sobrevivientes si los sitios señalados en las  mismas</w:t>
        <w:br/>
        <w:t xml:space="preserve">         se refieren a que esos sobrevivientes estaban  en  alguno  de  los</w:t>
        <w:br/>
        <w:t xml:space="preserve">         lugares de los hechos de las masacres, de  acuerdo  a  lo  que  se</w:t>
        <w:br/>
        <w:t xml:space="preserve">         establece en el informe de fondo de la Comisión y en el escrito de</w:t>
        <w:br/>
        <w:t xml:space="preserve">         solicitudes y argumentos de los  representantes,  y  como  segundo</w:t>
        <w:br/>
        <w:t xml:space="preserve">         punto, si había algunos  elementos  de  información  que  pudieran</w:t>
        <w:br/>
        <w:t xml:space="preserve">         precisar la identidad de las personas que fueron  víctimas  de  la</w:t>
        <w:br/>
        <w:t xml:space="preserve">         alegada violación del artículo 21 de la  Convención  Americana,  o</w:t>
        <w:br/>
        <w:t xml:space="preserve">         bien, si éste se  refiere  a  un  tema  que  tendría  que  dejarse</w:t>
        <w:br/>
        <w:t xml:space="preserve">         pendiente para completar en el registro de  víctimas.  Finalmente,</w:t>
        <w:br/>
        <w:t xml:space="preserve">         el Tribunal  solicitó  a  los  representantes  que  explicaran  el</w:t>
        <w:br/>
        <w:t xml:space="preserve">         significado del  término  “ubicación”  que  se  encontraba  en  su</w:t>
        <w:br/>
        <w:t xml:space="preserve">         listados de víctimas, esto es, si  dicho  término  se  refiere  al</w:t>
        <w:br/>
        <w:t xml:space="preserve">         origen  de  las  víctimas,  o  bien,  al  lugar  en  donde  fueron</w:t>
        <w:br/>
        <w:t xml:space="preserve">         presuntamente ejecutadas.</w:t>
        <w:br/>
        <w:br/>
        <w:t xml:space="preserve">     46. En respuesta, la Comisión aclaró  que,  en  cuanto  a  la  alegada</w:t>
        <w:br/>
        <w:t xml:space="preserve">         violación sexual, “no se trata de que todas las mujeres que fueron</w:t>
        <w:br/>
        <w:t xml:space="preserve">         identificadas en el  informe  de  fondo  sean  víctimas  de  estas</w:t>
        <w:br/>
        <w:t xml:space="preserve">         violaciones”. Al respecto, explicó que el análisis de la  Comisión</w:t>
        <w:br/>
        <w:t xml:space="preserve">         se basó en declaraciones testimoniales, lo cual estaría confirmado</w:t>
        <w:br/>
        <w:t xml:space="preserve">         en el Informe de Tutela Legal del Arzobispado y en el  Informe  de</w:t>
        <w:br/>
        <w:t xml:space="preserve">         la Comisión  de  la  Verdad,  “siendo  la  mayor  delimitación  de</w:t>
        <w:br/>
        <w:t xml:space="preserve">         víctimas posible el hecho de que fueron por lo  menos  seguro  […]</w:t>
        <w:br/>
        <w:t xml:space="preserve">         las mujeres más jóvenes en el marco de la  primera  masacre”.  Sin</w:t>
        <w:br/>
        <w:t xml:space="preserve">         embargo, para el  momento  de  pronunciarse  sobre  el  fondo  “no</w:t>
        <w:br/>
        <w:t xml:space="preserve">         contaba con ningún nombre de una víctima en esta  situación”,  por</w:t>
        <w:br/>
        <w:t xml:space="preserve">         lo que, “bajo el entendimiento  […]  que  correspondía  al  Estado</w:t>
        <w:br/>
        <w:t xml:space="preserve">         identificar a las  víctimas  de  todas  las  violaciones  […],  la</w:t>
        <w:br/>
        <w:t xml:space="preserve">         Comisión consideró necesario declarar la violación como  algo  que</w:t>
        <w:br/>
        <w:t xml:space="preserve">         estaba probado en el expediente y dejar al Estado como una de  sus</w:t>
        <w:br/>
        <w:t xml:space="preserve">         recomendaciones específicas que identificara a [las] víctimas”. En</w:t>
        <w:br/>
        <w:t xml:space="preserve">         cuanto al caso de las  hermanas  Carmelina  y  Ana  Julia  Ramírez</w:t>
        <w:br/>
        <w:t xml:space="preserve">         Mejía, la  Comisión  señaló  que  bajo  el  entendido  de  que  se</w:t>
        <w:br/>
        <w:t xml:space="preserve">         encontraban desaparecidas  forzadamente  fueron  excluidas  de  la</w:t>
        <w:br/>
        <w:t xml:space="preserve">         lista final de víctimas del informe de fondo. En lo que se refiere</w:t>
        <w:br/>
        <w:t xml:space="preserve">         a los sobrevivientes y los  familiares,  la  Comisión  indicó  que</w:t>
        <w:br/>
        <w:t xml:space="preserve">         algunas personas  de  su  listado  de  víctimas  tienen  la  doble</w:t>
        <w:br/>
        <w:t xml:space="preserve">         condición de familiar y sobreviviente, hay  algunas  personas  que</w:t>
        <w:br/>
        <w:t xml:space="preserve">         tiene únicamente la condición  de  familiar  “porque  por  ejemplo</w:t>
        <w:br/>
        <w:t xml:space="preserve">         estaban lejos del lugar y  días  después  volvieron  y  se  dieron</w:t>
        <w:br/>
        <w:t xml:space="preserve">         cuenta que sus familiares habían fallecido”, y otras personas  que</w:t>
        <w:br/>
        <w:t xml:space="preserve">         no tenían ningún familiar en la  zona  pero  que  estaban  allí  y</w:t>
        <w:br/>
        <w:t xml:space="preserve">         sobrevivieron a las masacres. Sin embargo, para  la  Comisión  fue</w:t>
        <w:br/>
        <w:t xml:space="preserve">         imposible determinar de todo este grupo de personas quiénes  están</w:t>
        <w:br/>
        <w:t xml:space="preserve">         en cada situación específica, bajo el entendido de que corresponde</w:t>
        <w:br/>
        <w:t xml:space="preserve">         al Estado identificar  a  las  personas  de  dichos  listados  que</w:t>
        <w:br/>
        <w:t xml:space="preserve">         estaban en cada una de las referidas categorías.  Dicha  situación</w:t>
        <w:br/>
        <w:t xml:space="preserve">         también estaría presente en el tema de la  alegada  violación  del</w:t>
        <w:br/>
        <w:t xml:space="preserve">         derecho a la propiedad privada, en tanto se menciona en todos  los</w:t>
        <w:br/>
        <w:t xml:space="preserve">         testimonios, pero por las circunstancias particulares del caso  no</w:t>
        <w:br/>
        <w:t xml:space="preserve">         se pudo hacer una determinación  fáctica  de  qué  bienes  se  les</w:t>
        <w:br/>
        <w:t xml:space="preserve">         sustrajeron o se les destruyeron a cada persona.</w:t>
        <w:br/>
        <w:br/>
        <w:t xml:space="preserve">     47. Por su parte, los representantes mencionaron  que  hay  diferentes</w:t>
        <w:br/>
        <w:t xml:space="preserve">         listados que se basan en el trabajo que ha hecho Tutela Legal  del</w:t>
        <w:br/>
        <w:t xml:space="preserve">         Arzobispado en  los  últimos  20  años,  los  cuales  “son  listas</w:t>
        <w:br/>
        <w:t xml:space="preserve">         absolutamente imperfectas”, las que cada día cambian, por lo  cual</w:t>
        <w:br/>
        <w:t xml:space="preserve">         consideraron fundamental que como medida de reparación  se  ordene</w:t>
        <w:br/>
        <w:t xml:space="preserve">         al Estado  que  establezca  listas  oficiales  de  víctimas,  pues</w:t>
        <w:br/>
        <w:t xml:space="preserve">         disponía de más recursos. Por la misma razón,  los  representantes</w:t>
        <w:br/>
        <w:t xml:space="preserve">         manifestaron que no estaban en  la  capacidad  de  establecer  una</w:t>
        <w:br/>
        <w:t xml:space="preserve">         lista específica de personas que  hayan  visto  su  derecho  a  la</w:t>
        <w:br/>
        <w:t xml:space="preserve">         propiedad privada vulnerado,  sin  embargo,  sostuvieron  que  los</w:t>
        <w:br/>
        <w:t xml:space="preserve">         hechos por sí mismos determinan que por lo menos la mayoría de las</w:t>
        <w:br/>
        <w:t xml:space="preserve">         víctimas sobrevivientes de las masacres también fueron víctimas de</w:t>
        <w:br/>
        <w:t xml:space="preserve">         la violación de su derecho a la propiedad, ya que  la  mayoría  de</w:t>
        <w:br/>
        <w:t xml:space="preserve">         los testimonios señalarían que se  quemaron  sus  viviendas  y  se</w:t>
        <w:br/>
        <w:t xml:space="preserve">         destruyeron sus bienes. En relación con la  columna  de  ubicación</w:t>
        <w:br/>
        <w:t xml:space="preserve">         que aparece  en  las  listas  aportadas  por  los  representantes,</w:t>
        <w:br/>
        <w:t xml:space="preserve">         aclararon que se referían “a la ubicación en la que  las  víctimas</w:t>
        <w:br/>
        <w:t xml:space="preserve">         fueron ejecutadas específicamente”.</w:t>
        <w:br/>
        <w:br/>
        <w:t xml:space="preserve">     48. A su vez, el Estado expresó  que  promueve,  en  acuerdo  con  las</w:t>
        <w:br/>
        <w:t xml:space="preserve">         víctimas, que efectivamente el listado  de  víctimas  sea  lo  más</w:t>
        <w:br/>
        <w:t xml:space="preserve">         completo posible y que adquiera la forma específica de un registro</w:t>
        <w:br/>
        <w:t xml:space="preserve">         formal, el cual tenga una permanencia en el tiempo y que no sea un</w:t>
        <w:br/>
        <w:t xml:space="preserve">         registro cerrado, es decir, que permanezca abierto  a  inclusiones</w:t>
        <w:br/>
        <w:t xml:space="preserve">         futuras una vez se pueda ir determinado la  existencia  de  nuevas</w:t>
        <w:br/>
        <w:t xml:space="preserve">         víctimas. En relación con  las  niñas  Mejía  Ramírez,  el  Estado</w:t>
        <w:br/>
        <w:t xml:space="preserve">         advirtió que su desaparición forzada no tenía contradicción con el</w:t>
        <w:br/>
        <w:t xml:space="preserve">         reconocimiento de los hechos  de  las  masacres  de  El  Mozote  y</w:t>
        <w:br/>
        <w:t xml:space="preserve">         lugares aledaños, por lo tanto, en que fueran localizadas y,  “aún</w:t>
        <w:br/>
        <w:t xml:space="preserve">         en caso que se encuentren con vida, son también  consideradas  por</w:t>
        <w:br/>
        <w:t xml:space="preserve">         el Estado víctimas […] en  el  presente  caso  en  la  medida  que</w:t>
        <w:br/>
        <w:t xml:space="preserve">         familiares directos de ambas niñas fueron exterminados”.</w:t>
        <w:br/>
        <w:br/>
        <w:t xml:space="preserve">     49. En primer lugar, este Tribunal ha verificado  que,  junto  con  su</w:t>
        <w:br/>
        <w:t xml:space="preserve">         escrito de sometimiento del caso, la Comisión  presentó  el  anexo</w:t>
        <w:br/>
        <w:t xml:space="preserve">         identificado como “Víctimas fallecidas en las masacres”,  mediante</w:t>
        <w:br/>
        <w:t xml:space="preserve">         el cual indicó que “[l]os peticionarios incluyeron a Ana  Julia  y</w:t>
        <w:br/>
        <w:t xml:space="preserve">         Carmelina Ramírez Mejía como víctimas de la masacre. Sin  embargo,</w:t>
        <w:br/>
        <w:t xml:space="preserve">         la Comisión  tom[ó]  nota  de  que  las  niñas  Ramírez  Mejía  se</w:t>
        <w:br/>
        <w:t xml:space="preserve">         encuentran desaparecidas y que figuran como víctimas  en  el  caso</w:t>
        <w:br/>
        <w:t xml:space="preserve">         12.517 Gregoria Herminia Contreras y otros vs. El Salvador, que se</w:t>
        <w:br/>
        <w:t xml:space="preserve">         encuentra bajo la jurisdicción de la Corte Interamericana”. Por su</w:t>
        <w:br/>
        <w:t xml:space="preserve">         parte, en los anexos denominados “Listado de Víctimas  Asesinadas”</w:t>
        <w:br/>
        <w:t xml:space="preserve">         adjuntados por los representantes tanto al escrito de  solicitudes</w:t>
        <w:br/>
        <w:t xml:space="preserve">         y argumentos como a sus alegatos finales  escritos,  aparecen  los</w:t>
        <w:br/>
        <w:t xml:space="preserve">         nombres de Ana Julia  y  Carmelina  Ramírez  Mejía  (sic)  con  la</w:t>
        <w:br/>
        <w:t xml:space="preserve">         aclaración de que ambas se encuentran desaparecidas. Al  respecto,</w:t>
        <w:br/>
        <w:t xml:space="preserve">         el 31 de agosto de 2011  la  Corte  dictó  Sentencia  en  el  Caso</w:t>
        <w:br/>
        <w:t xml:space="preserve">         Contreras y otros Vs. El Salvador, mediante la cual  resolvió  que</w:t>
        <w:br/>
        <w:t xml:space="preserve">         el Estado es responsable de la violación de determinados  derechos</w:t>
        <w:br/>
        <w:t xml:space="preserve">         reconocidos en  la  Convención  Americana,  en  perjuicio  de  las</w:t>
        <w:br/>
        <w:t xml:space="preserve">         hermanas Ana Julia y Carmelina, cuyo apellido  correcto  es  Mejía</w:t>
        <w:br/>
        <w:t xml:space="preserve">         Ramírez, así como de sus familiares, en razón de  su  desaparición</w:t>
        <w:br/>
        <w:t xml:space="preserve">         forzada, y  ordenó  determinadas  medidas  de  reparación[30].  En</w:t>
        <w:br/>
        <w:t xml:space="preserve">         definitiva, dado que la desaparición forzada de dichas hermanas ya</w:t>
        <w:br/>
        <w:t xml:space="preserve">         fue objeto  de  un  anterior  pronunciamiento  por  la  Corte,  no</w:t>
        <w:br/>
        <w:t xml:space="preserve">         corresponde hacer determinación alguna al respecto en el  presente</w:t>
        <w:br/>
        <w:t xml:space="preserve">         caso. En consecuencia, el Tribunal excluirá  los  nombres  de  Ana</w:t>
        <w:br/>
        <w:t xml:space="preserve">         Julia y Carmelina  Mejía  Ramírez  de  los  listados  de  víctimas</w:t>
        <w:br/>
        <w:t xml:space="preserve">         “fallecidas” o “asesinadas”.</w:t>
        <w:br/>
        <w:br/>
        <w:t xml:space="preserve">     50. Por otro lado, el Tribunal recuerda que,  de  conformidad  con  el</w:t>
        <w:br/>
        <w:t xml:space="preserve">         artículo 35.2 del Reglamento, “[c]uando se justificare que no  fue</w:t>
        <w:br/>
        <w:t xml:space="preserve">         posible identificar [en el  sometimiento  del  caso]  a  alguna  o</w:t>
        <w:br/>
        <w:t xml:space="preserve">         algunas presuntas víctimas de los hechos del caso por tratarse  de</w:t>
        <w:br/>
        <w:t xml:space="preserve">         casos de violaciones masivas o colectivas, el Tribunal decidirá en</w:t>
        <w:br/>
        <w:t xml:space="preserve">         su oportunidad si las considera víctimas”. Al respecto,  desde  el</w:t>
        <w:br/>
        <w:t xml:space="preserve">         sometimiento del caso y durante el procedimiento ante el Tribunal,</w:t>
        <w:br/>
        <w:t xml:space="preserve">         la Comisión  se  refirió  reiteradamente  a  la  imposibilidad  de</w:t>
        <w:br/>
        <w:t xml:space="preserve">         identificar a todas las víctimas del presente caso,  ya  que  éste</w:t>
        <w:br/>
        <w:t xml:space="preserve">         tiene una naturaleza  excepcional  debido  a  su  gravedad  y  sus</w:t>
        <w:br/>
        <w:t xml:space="preserve">         dimensiones masivas, así como a  las  circunstancias  propias  del</w:t>
        <w:br/>
        <w:t xml:space="preserve">         caso, criterio que fue compartido  por  los  representantes  y  no</w:t>
        <w:br/>
        <w:t xml:space="preserve">         controvertido por el Estado. Las razones presentadas tanto por  la</w:t>
        <w:br/>
        <w:t xml:space="preserve">         Comisión como por los representantes para justificar la aplicación</w:t>
        <w:br/>
        <w:t xml:space="preserve">         de esta norma son: el carácter masivo de los  hechos,  que  abarcó</w:t>
        <w:br/>
        <w:t xml:space="preserve">         siete poblados; varias de las masacres estuvieron  acompañadas  de</w:t>
        <w:br/>
        <w:t xml:space="preserve">         la quema de los lugares donde quedaron los cuerpos de las personas</w:t>
        <w:br/>
        <w:t xml:space="preserve">         asesinadas; la cantidad de niños y niñas que perdieron la vida  en</w:t>
        <w:br/>
        <w:t xml:space="preserve">         las masacres, ya que por su edad se dio un deterioro mayor  de  lo</w:t>
        <w:br/>
        <w:t xml:space="preserve">         usual de los restos;  no  existen  registros  o  certificados  que</w:t>
        <w:br/>
        <w:t xml:space="preserve">         pudieran ofrecer un listado de las  personas  que  vivían  en  los</w:t>
        <w:br/>
        <w:t xml:space="preserve">         cantones y  caseríos  afectados;  la  mayoría  de  los  familiares</w:t>
        <w:br/>
        <w:t xml:space="preserve">         sobrevivientes tuvieron que refugiarse en otros lugares e  incluso</w:t>
        <w:br/>
        <w:t xml:space="preserve">         fuera de El Salvador; y las primeras diligencias realizadas por el</w:t>
        <w:br/>
        <w:t xml:space="preserve">         Estado, la toma de testimonios y exhumaciones, ocurrieron  pasados</w:t>
        <w:br/>
        <w:t xml:space="preserve">         más de 10 años de las masacres y  no  fueron  completadas  en  esa</w:t>
        <w:br/>
        <w:t xml:space="preserve">         oportunidad.</w:t>
        <w:br/>
        <w:br/>
        <w:t xml:space="preserve">     51. El Tribunal constata que es complejo identificar e  individualizar</w:t>
        <w:br/>
        <w:t xml:space="preserve">         a cada una de las presuntas víctimas, en razón de la magnitud  del</w:t>
        <w:br/>
        <w:t xml:space="preserve">         presente caso, que  trata  sobre  masacres  perpetradas  en  siete</w:t>
        <w:br/>
        <w:t xml:space="preserve">         lugares  diferentes,  de  la  naturaleza  de  los  hechos  y   las</w:t>
        <w:br/>
        <w:t xml:space="preserve">         circunstancias que rodearon las mismas, y del tiempo transcurrido.</w:t>
        <w:br/>
        <w:t xml:space="preserve">         Por  ello,  considera  razonable  aplicar  el  artículo  35.2  del</w:t>
        <w:br/>
        <w:t xml:space="preserve">         Reglamento del Tribunal al presente caso.</w:t>
        <w:br/>
        <w:br/>
        <w:t xml:space="preserve">     52. Al respecto, la Corte constató que los listados presentados por la</w:t>
        <w:br/>
        <w:t xml:space="preserve">         Comisión en su escrito de sometimiento del  caso  y  los  listados</w:t>
        <w:br/>
        <w:t xml:space="preserve">         presentados por los representantes mediante sus escritos de 23  de</w:t>
        <w:br/>
        <w:t xml:space="preserve">         mayo de 2011, 12 de agosto de 2011 y 23 de mayo de 2012,  difieren</w:t>
        <w:br/>
        <w:t xml:space="preserve">         en cuanto a que los listados de los representantes incluyen a  más</w:t>
        <w:br/>
        <w:t xml:space="preserve">         personas que los de la Comisión. Al comparar los últimos  listados</w:t>
        <w:br/>
        <w:t xml:space="preserve">         presentados por los representantes con  los  listados  presentados</w:t>
        <w:br/>
        <w:t xml:space="preserve">         por la Comisión, el Tribunal constató también que en estos últimos</w:t>
        <w:br/>
        <w:t xml:space="preserve">         se encuentran nombres que no figuran en  los  primeros.  Asimismo,</w:t>
        <w:br/>
        <w:t xml:space="preserve">         dichos listados presentan algunas inconsistencias que se  refieren</w:t>
        <w:br/>
        <w:t xml:space="preserve">         a  los  nombres,  edades  y  relación  de  parentesco,  así   como</w:t>
        <w:br/>
        <w:t xml:space="preserve">         direcciones de las personas que se mencionan como sobrevivientes y</w:t>
        <w:br/>
        <w:t xml:space="preserve">         desplazadas. Por otra parte, la Corte constató que algunas mujeres</w:t>
        <w:br/>
        <w:t xml:space="preserve">         se habrían encontrado embarazadas al momento de su ejecución.</w:t>
        <w:br/>
        <w:br/>
        <w:t xml:space="preserve">     53. Por otra parte, la Corte toma  nota  de  las  certificaciones  que</w:t>
        <w:br/>
        <w:t xml:space="preserve">         fueron allegadas por los representantes que indican que los libros</w:t>
        <w:br/>
        <w:t xml:space="preserve">         de  partidas  de  nacimiento  y  defunciones  anteriores  a   1983</w:t>
        <w:br/>
        <w:t xml:space="preserve">         correspondientes al caserío El Mozote no existen, dado que “fueron</w:t>
        <w:br/>
        <w:t xml:space="preserve">         destruidos durante el conflicto  armado”  y  que  el  archivo  del</w:t>
        <w:br/>
        <w:t xml:space="preserve">         Registro del Estado Familiar de la Alcaldía Municipal de  Arambala</w:t>
        <w:br/>
        <w:t xml:space="preserve">         “fue destruido parcialmente por el conflicto armado”, por  lo  que</w:t>
        <w:br/>
        <w:t xml:space="preserve">         sólo algunos libros de partidas  existen[31].  De  este  modo,  el</w:t>
        <w:br/>
        <w:t xml:space="preserve">         Registro  del  Estado  Familiar  respondió  respecto  de   algunas</w:t>
        <w:br/>
        <w:t xml:space="preserve">         personas sobre quienes se solicitó la certificación de partida  de</w:t>
        <w:br/>
        <w:t xml:space="preserve">         nacimiento, que no fue posible encontrar la partida de  nacimiento</w:t>
        <w:br/>
        <w:t xml:space="preserve">         “porque fueron destruidos los libros durante el conflicto armado”,</w:t>
        <w:br/>
        <w:t xml:space="preserve">         o bien que “no se  puede  extender  dicha  certificación,  por  no</w:t>
        <w:br/>
        <w:t xml:space="preserve">         encontrarse el libro de nacimientos del referido año”[32].</w:t>
        <w:br/>
        <w:br/>
        <w:t xml:space="preserve">     54. Tal como lo ha hecho anteriormente[33], la Corte considera que, en</w:t>
        <w:br/>
        <w:t xml:space="preserve">         aplicación del artículo 35.2 del Reglamento, para que una  persona</w:t>
        <w:br/>
        <w:t xml:space="preserve">         pueda ser considerada víctima y se acoja a una  reparación,  tiene</w:t>
        <w:br/>
        <w:t xml:space="preserve">         que estar razonablemente identificada. El Tribunal recuerda que no</w:t>
        <w:br/>
        <w:t xml:space="preserve">         es su propósito “trabar con formalismos el desarrollo del  proceso</w:t>
        <w:br/>
        <w:t xml:space="preserve">         sino, por el contrario, acercar la definición  que  se  dé  en  la</w:t>
        <w:br/>
        <w:t xml:space="preserve">         Sentencia a la exigencia de  justicia”[34].  En  consecuencia,  en</w:t>
        <w:br/>
        <w:t xml:space="preserve">         aras de poder resolver el presente caso, es necesario que la Corte</w:t>
        <w:br/>
        <w:t xml:space="preserve">         cuente con un mínimo de  certeza  sobre  la  existencia  de  tales</w:t>
        <w:br/>
        <w:t xml:space="preserve">         personas.</w:t>
        <w:br/>
        <w:br/>
        <w:t xml:space="preserve">     55. En el expediente ante la Corte consta prueba sobre la identidad de</w:t>
        <w:br/>
        <w:t xml:space="preserve">         algunas de las personas señaladas  como  víctimas  en  este  caso,</w:t>
        <w:br/>
        <w:t xml:space="preserve">         particularmente, certificados de nacimiento, partidas de bautismo,</w:t>
        <w:br/>
        <w:t xml:space="preserve">         constancias del Registro del Estado Familiar, documentos únicos de</w:t>
        <w:br/>
        <w:t xml:space="preserve">         identidad, partidas de defunciones y poderes de representación que</w:t>
        <w:br/>
        <w:t xml:space="preserve">         fueron  remitidos  por  los  representantes.   Asimismo,   constan</w:t>
        <w:br/>
        <w:t xml:space="preserve">         declaraciones rendidas  ante  fedatario  público  y  en  audiencia</w:t>
        <w:br/>
        <w:t xml:space="preserve">         pública ante  la  Corte  Interamericana,  así  como  declaraciones</w:t>
        <w:br/>
        <w:t xml:space="preserve">         rendidas  ante  la  autoridad  judicial  en   el   marco   de   la</w:t>
        <w:br/>
        <w:t xml:space="preserve">         investigación penal interna y declaraciones juradas rendidas  ante</w:t>
        <w:br/>
        <w:t xml:space="preserve">         la Oficina de Tutela Legal del Arzobispado, en las cuales  también</w:t>
        <w:br/>
        <w:t xml:space="preserve">         se  mencionan  los  nombres  de   personas   indicadas   por   los</w:t>
        <w:br/>
        <w:t xml:space="preserve">         representantes como víctimas. Dado que dichas  pruebas  no  fueron</w:t>
        <w:br/>
        <w:t xml:space="preserve">         objetadas por el  Estado,  para  la  Corte  son  suficientes  para</w:t>
        <w:br/>
        <w:t xml:space="preserve">         acreditar la  existencia  e  identidad  de  las  personas  que  se</w:t>
        <w:br/>
        <w:t xml:space="preserve">         mencionan en los listados de la Comisión, así como en los  últimos</w:t>
        <w:br/>
        <w:t xml:space="preserve">         listados actualizados presentados por los representantes.</w:t>
        <w:br/>
        <w:br/>
        <w:t xml:space="preserve">     56. Por otra parte,  el  Tribunal  observa  que,  en  términos  de  lo</w:t>
        <w:br/>
        <w:t xml:space="preserve">         manifestado  por  los  representantes   sobre   que   la   columna</w:t>
        <w:br/>
        <w:t xml:space="preserve">         “ubicación”  utilizada  en  sus  listados  correspondería  a   “la</w:t>
        <w:br/>
        <w:t xml:space="preserve">         ubicación   en   la   que   las   víctimas    fueron    ejecutadas</w:t>
        <w:br/>
        <w:t xml:space="preserve">         específicamente” (supra párr. 47), algunas personas  incluidas  en</w:t>
        <w:br/>
        <w:t xml:space="preserve">         los listados habrían sido víctimas de  ejecución  en  la  cabecera</w:t>
        <w:br/>
        <w:t xml:space="preserve">         departamental de  Arambala,  el  cantón  de  Tierra  Colorada,  el</w:t>
        <w:br/>
        <w:t xml:space="preserve">         caserío El Pinalito y el caserío La  Guacamaya.  Sin  embargo,  el</w:t>
        <w:br/>
        <w:t xml:space="preserve">         marco fáctico del presente caso  no  incluye  hechos  que  habrían</w:t>
        <w:br/>
        <w:t xml:space="preserve">         ocurrido en estos lugares. Por  ende,  las  personas  que  habrían</w:t>
        <w:br/>
        <w:t xml:space="preserve">         sufrido una posible violación de sus derechos en dichos lugares no</w:t>
        <w:br/>
        <w:t xml:space="preserve">         serán consideradas por la Corte como víctimas en el presente caso,</w:t>
        <w:br/>
        <w:t xml:space="preserve">         salvo que de la prueba surja que estas personas se encontraban  en</w:t>
        <w:br/>
        <w:t xml:space="preserve">         alguno de los lugares objeto del presente caso al momento  de  los</w:t>
        <w:br/>
        <w:t xml:space="preserve">         hechos.</w:t>
        <w:br/>
        <w:br/>
        <w:t xml:space="preserve">     57. Considerando que no existe oposición del  Estado  para  que  otras</w:t>
        <w:br/>
        <w:t xml:space="preserve">         personas más allá de las indicadas por la Comisión sean  incluidas</w:t>
        <w:br/>
        <w:t xml:space="preserve">         como presuntas víctimas, en atención a  las  particularidades  del</w:t>
        <w:br/>
        <w:t xml:space="preserve">         presente  caso,  el  Tribunal  tendrá  como  víctimas  a  aquellas</w:t>
        <w:br/>
        <w:t xml:space="preserve">         personas identificadas e individualizadas por la Comisión  en  sus</w:t>
        <w:br/>
        <w:t xml:space="preserve">         listados anexos al informe de fondo y/o por los representantes  en</w:t>
        <w:br/>
        <w:t xml:space="preserve">         sus listados anexos a su escrito de alegatos  finales,  que  hayan</w:t>
        <w:br/>
        <w:t xml:space="preserve">         sufrido alguna violación de derechos humanos en el  marco  de  las</w:t>
        <w:br/>
        <w:t xml:space="preserve">         masacres en el caserío El Mozote, el cantón La Joya, los  caseríos</w:t>
        <w:br/>
        <w:t xml:space="preserve">         Ranchería, Los Toriles y Jocote Amarillo, el cantón Cerro Pando  y</w:t>
        <w:br/>
        <w:t xml:space="preserve">         una cueva del Cerro Ortiz, siempre que el Tribunal cuente  con  la</w:t>
        <w:br/>
        <w:t xml:space="preserve">         prueba necesaria para verificar la identidad de cada una  de  esas</w:t>
        <w:br/>
        <w:t xml:space="preserve">         personas. En base a estos criterios y a  la  prueba  que  ha  sido</w:t>
        <w:br/>
        <w:t xml:space="preserve">         allegada, esta Corte ha podido determinar un  número  de  víctimas</w:t>
        <w:br/>
        <w:t xml:space="preserve">         que es singularmente menor  al  de  los  listados  aportados.  Sin</w:t>
        <w:br/>
        <w:t xml:space="preserve">         perjuicio de lo anterior y habida cuenta de que el  propio  Estado</w:t>
        <w:br/>
        <w:t xml:space="preserve">         aportó un listado  de  936  víctimas  individualizadas,  la  Corte</w:t>
        <w:br/>
        <w:t xml:space="preserve">         considera imprescindible que, en el marco del  Registro  Único  de</w:t>
        <w:br/>
        <w:t xml:space="preserve">         Víctimas que se encuentra desarrollando (infra  párr.  309),  éste</w:t>
        <w:br/>
        <w:t xml:space="preserve">         proceda a la determinación cierta de otras  personas  que  también</w:t>
        <w:br/>
        <w:t xml:space="preserve">         deban ser consideradas víctimas y, en su  caso,  beneficiarias  de</w:t>
        <w:br/>
        <w:t xml:space="preserve">         las reparaciones que el Tribunal ordene. Por  último,  esta  Corte</w:t>
        <w:br/>
        <w:t xml:space="preserve">         incluirá como Anexo “E” a la  presente  Sentencia  un  listado  de</w:t>
        <w:br/>
        <w:t xml:space="preserve">         personas, respecto de quienes existen indicios  sobre  su  posible</w:t>
        <w:br/>
        <w:t xml:space="preserve">         carácter de presuntas víctimas en el presente caso, aún cuando  no</w:t>
        <w:br/>
        <w:t xml:space="preserve">         se encuentran en los  listados  aportados  por  las  partes  y  la</w:t>
        <w:br/>
        <w:t xml:space="preserve">         Comisión Interamericana. Al respecto, se solicita al  Estado  que,</w:t>
        <w:br/>
        <w:t xml:space="preserve">         en el marco del Registro mencionado,  determine  respecto  de  las</w:t>
        <w:br/>
        <w:t xml:space="preserve">         mismas si procede  su  carácter  de  víctima  y  beneficiaria  del</w:t>
        <w:br/>
        <w:t xml:space="preserve">         presente caso.</w:t>
        <w:br/>
        <w:br/>
        <w:t xml:space="preserve">      B.    Violaciones de derechos humanos alegadas por los representantes</w:t>
        <w:br/>
        <w:br/>
        <w:t xml:space="preserve">     58. Este  Tribunal  ha  constatado  que,  en  un  primer  momento  que</w:t>
        <w:br/>
        <w:t xml:space="preserve">         corresponde  a  la  presentación  del  escrito  de  solicitudes  y</w:t>
        <w:br/>
        <w:t xml:space="preserve">         argumentos, y sobre la base de la  aceptación  de  la  competencia</w:t>
        <w:br/>
        <w:t xml:space="preserve">         contenciosa de la Corte por el Estado  y  la  limitación  temporal</w:t>
        <w:br/>
        <w:t xml:space="preserve">         contenida  en  la  declaración  de  6  de  junio  de   1995,   los</w:t>
        <w:br/>
        <w:t xml:space="preserve">         representantes alegaron que  el  Estado  era  responsable  por  la</w:t>
        <w:br/>
        <w:t xml:space="preserve">         violación de determinados derechos reconocidos  en  la  Convención</w:t>
        <w:br/>
        <w:t xml:space="preserve">         Americana sobre Derechos  Humanos,  la  Convención  Interamericana</w:t>
        <w:br/>
        <w:t xml:space="preserve">         para Prevenir y Sancionar la Tortura y la Convención de  Belém  do</w:t>
        <w:br/>
        <w:t xml:space="preserve">         Pará. En términos generales,  sometieron  a  consideración  de  la</w:t>
        <w:br/>
        <w:t xml:space="preserve">         Corte la falta de investigación de los  hechos  y  de  las  graves</w:t>
        <w:br/>
        <w:t xml:space="preserve">         violaciones  a  derechos  humanos  cometidas  en  este  caso,   la</w:t>
        <w:br/>
        <w:t xml:space="preserve">         aplicación de la Ley de Amnistía General para la Consolidación  de</w:t>
        <w:br/>
        <w:t xml:space="preserve">         la Paz y la  situación  de  impunidad  en  que  permanecerían  las</w:t>
        <w:br/>
        <w:t xml:space="preserve">         masacres después del 6 de  junio  de  1995.  Además,  alegaron  la</w:t>
        <w:br/>
        <w:t xml:space="preserve">         violación por el sufrimiento causado a  raíz  de  las  violaciones</w:t>
        <w:br/>
        <w:t xml:space="preserve">         cometidas en este  caso  a  las  víctimas  sobrevivientes  de  las</w:t>
        <w:br/>
        <w:t xml:space="preserve">         masacres y a los familiares de las víctimas asesinadas,  así  como</w:t>
        <w:br/>
        <w:t xml:space="preserve">         la violación continuada del derecho  a  la  propiedad  privada  en</w:t>
        <w:br/>
        <w:t xml:space="preserve">         perjuicio de todas las víctimas sobrevivientes de las  masacres  y</w:t>
        <w:br/>
        <w:t xml:space="preserve">         la violación por desplazamiento  de  las  presuntas  víctimas  que</w:t>
        <w:br/>
        <w:t xml:space="preserve">         permanecieron cometiéndose a través del tiempo y  continuaron  con</w:t>
        <w:br/>
        <w:t xml:space="preserve">         posterioridad al 6 de junio de 1995 (supra párr. 7).</w:t>
        <w:br/>
        <w:br/>
        <w:t xml:space="preserve">     59. En un segundo momento, que corresponde a los alegatos finales, los</w:t>
        <w:br/>
        <w:t xml:space="preserve">         representantes introdujeron “consideraciones adicionales de fondo,</w:t>
        <w:br/>
        <w:t xml:space="preserve">         en particular, en relación  con  aquellos  hechos  que  no  fueron</w:t>
        <w:br/>
        <w:t xml:space="preserve">         incluidos en [su] escrito de solicitudes,  argumentos  y  pruebas,</w:t>
        <w:br/>
        <w:t xml:space="preserve">         dadas las limitaciones que en ese momento existían para  que  [la]</w:t>
        <w:br/>
        <w:t xml:space="preserve">         Corte conociera algunos de  los  hechos  que  conforman  el  marco</w:t>
        <w:br/>
        <w:t xml:space="preserve">         fáctico del caso, pero que ya han sido  superadas”.  Lo  anterior,</w:t>
        <w:br/>
        <w:t xml:space="preserve">         tomando en cuenta que el Estado realizó un reconocimiento  de  los</w:t>
        <w:br/>
        <w:t xml:space="preserve">         hechos considerados como probados en el informe  de  fondo  de  la</w:t>
        <w:br/>
        <w:t xml:space="preserve">         Comisión, que aceptó los hechos  relacionados  en  el  escrito  de</w:t>
        <w:br/>
        <w:t xml:space="preserve">         solicitudes y argumentos de los representantes, y  que  aceptó  la</w:t>
        <w:br/>
        <w:t xml:space="preserve">         competencia de la Corte para pronunciarse  al  respecto.  En  este</w:t>
        <w:br/>
        <w:t xml:space="preserve">         sentido, incorporaron a sus alegatos violaciones de los  artículos</w:t>
        <w:br/>
        <w:t xml:space="preserve">         4, 5 y 19 de las Convención, respecto al derecho a la vida y a  la</w:t>
        <w:br/>
        <w:t xml:space="preserve">         integridad personal de las víctimas de la masacres de El Mozote  y</w:t>
        <w:br/>
        <w:t xml:space="preserve">         lugares aledaños, incluyendo a los niños y niñas. Asimismo, en sus</w:t>
        <w:br/>
        <w:t xml:space="preserve">         argumentos  sobre  la   violación   de   derechos   a   raíz   del</w:t>
        <w:br/>
        <w:t xml:space="preserve">         desplazamiento de las víctimas y la destrucción de  los  bienes  y</w:t>
        <w:br/>
        <w:t xml:space="preserve">         viviendas, incorporaron alegatos acerca de los hechos que  habrían</w:t>
        <w:br/>
        <w:t xml:space="preserve">         generado dichas situaciones y sobre el momento en  que  ocurrieron</w:t>
        <w:br/>
        <w:t xml:space="preserve">         las masacres, sin referirse a la  alegada  continuidad  de  dichas</w:t>
        <w:br/>
        <w:t xml:space="preserve">         violaciones planteada en su escrito de solicitudes  y  argumentos.</w:t>
        <w:br/>
        <w:t xml:space="preserve">         Además, argumentaron que la quema de viviendas generó la violación</w:t>
        <w:br/>
        <w:t xml:space="preserve">         adicional  del  artículo  11  de  la   Convención.   Por   último,</w:t>
        <w:br/>
        <w:t xml:space="preserve">         solicitaron a la Corte que, al emitir su sentencia en  este  caso,</w:t>
        <w:br/>
        <w:t xml:space="preserve">         “se refiera a la responsabilidad agravada que recae en  el  Estado</w:t>
        <w:br/>
        <w:t xml:space="preserve">         debido a que todas las violaciones cometidas se [habrían dado]  en</w:t>
        <w:br/>
        <w:t xml:space="preserve">         el contexto de una estrategia militar creada y  ejecutada  por  el</w:t>
        <w:br/>
        <w:t xml:space="preserve">         Estado en amplia contradicción con los postulados de la Convención</w:t>
        <w:br/>
        <w:t xml:space="preserve">         Americana y los principios que la inspiran”.</w:t>
        <w:br/>
        <w:br/>
        <w:t xml:space="preserve">     60. En definitiva, la Corte observa que, en virtud de la aceptación de</w:t>
        <w:br/>
        <w:t xml:space="preserve">         los hechos y el reconocimiento de la competencia del Tribunal  por</w:t>
        <w:br/>
        <w:t xml:space="preserve">         parte del Estado en el presente caso para pronunciarse  sobre  los</w:t>
        <w:br/>
        <w:t xml:space="preserve">         hechos ocurridos con anterioridad al 6 de junio de 1995 -fecha  de</w:t>
        <w:br/>
        <w:t xml:space="preserve">         aceptación de la  competencia  contenciosa  del  Tribunal-  (supra</w:t>
        <w:br/>
        <w:t xml:space="preserve">         párrs. 29 y 30), los representantes sostuvieron  en  sus  alegatos</w:t>
        <w:br/>
        <w:t xml:space="preserve">         finales  una  postura   argumentativa   sustancialmente   distinta</w:t>
        <w:br/>
        <w:t xml:space="preserve">         respecto a  los  razonamientos  de  derecho  que  sustentaron  sus</w:t>
        <w:br/>
        <w:t xml:space="preserve">         alegatos  en  el  escrito  de  solicitudes  y   argumentos   sobre</w:t>
        <w:br/>
        <w:t xml:space="preserve">         violaciones  a  los  derechos   humanos   y   la   responsabilidad</w:t>
        <w:br/>
        <w:t xml:space="preserve">         internacional  del  Estado   en   el   presente   caso.   En   las</w:t>
        <w:br/>
        <w:t xml:space="preserve">         circunstancias del presente caso, la  Corte  considera  pertinente</w:t>
        <w:br/>
        <w:t xml:space="preserve">         admitir dichos alegatos de los representantes en razón de que  fue</w:t>
        <w:br/>
        <w:t xml:space="preserve">         recién a partir de la contestación del Estado, momento en el  cual</w:t>
        <w:br/>
        <w:t xml:space="preserve">         El Salvador  otorgó  expresamente  competencia  a  la  Corte  para</w:t>
        <w:br/>
        <w:t xml:space="preserve">         pronunciarse sobre los hechos ocurridos con anterioridad al  6  de</w:t>
        <w:br/>
        <w:t xml:space="preserve">         junio de 1995, que éstos pudieron presentar argumentos de  derecho</w:t>
        <w:br/>
        <w:t xml:space="preserve">         relacionados con los mismos.</w:t>
        <w:br/>
        <w:br/>
        <w:t xml:space="preserve">                                     VII</w:t>
        <w:br/>
        <w:t xml:space="preserve">    DERECHOS A LA VIDA, A LA INTEGRIDAD PERSONAL, A LA LIBERTAD PERSONAL,</w:t>
        <w:br/>
        <w:t xml:space="preserve">          A LA VIDA PRIVADA, A LAS MEDIDAS DE PROTECCIÓN DEL NIÑO,</w:t>
        <w:br/>
        <w:t xml:space="preserve">          A LA PROPIEDAD PRIVADA, Y DE CIRCULACIÓN Y DE RESIDENCIA</w:t>
        <w:br/>
        <w:t xml:space="preserve">                EN RELACIÓN CON LAS OBLIGACIONES DE RESPETAR</w:t>
        <w:br/>
        <w:t xml:space="preserve">                          Y GARANTIZAR LOS DERECHOS</w:t>
        <w:br/>
        <w:br/>
        <w:t xml:space="preserve">     61.  Dada  la  importancia  que  reviste  para  el  presente  caso  el</w:t>
        <w:br/>
        <w:t xml:space="preserve">         establecimiento de los hechos, así como del contexto en el cual se</w:t>
        <w:br/>
        <w:t xml:space="preserve">         enmarcaron los mismos, a fin de preservar la memoria  histórica  y</w:t>
        <w:br/>
        <w:t xml:space="preserve">         evitar que se repitan hechos similares[35] y  como  una  forma  de</w:t>
        <w:br/>
        <w:t xml:space="preserve">         reparación a las víctimas[36], la Corte dará por establecidos  los</w:t>
        <w:br/>
        <w:t xml:space="preserve">         hechos  del  presente  caso  y  la  responsabilidad  internacional</w:t>
        <w:br/>
        <w:t xml:space="preserve">         derivada de los mismos, con base en el marco fáctico del  presente</w:t>
        <w:br/>
        <w:t xml:space="preserve">         caso y la aceptación de los hechos  efectuada  por  el  Estado,  y</w:t>
        <w:br/>
        <w:t xml:space="preserve">         tomando en consideración el escrito de solicitudes y argumentos de</w:t>
        <w:br/>
        <w:t xml:space="preserve">         los representantes y el acervo probatorio. Para ello, procederá  a</w:t>
        <w:br/>
        <w:t xml:space="preserve">         establecer los hechos probados constitutivos de las masacres y  de</w:t>
        <w:br/>
        <w:t xml:space="preserve">         los desplazamientos para posteriormente analizar las consecuencias</w:t>
        <w:br/>
        <w:t xml:space="preserve">         jurídicas que se derivan de los mismos. En el  Capítulo  VIII,  la</w:t>
        <w:br/>
        <w:t xml:space="preserve">         Corte establecerá los hechos relativos a la investigación iniciada</w:t>
        <w:br/>
        <w:t xml:space="preserve">         a raíz de las masacres y las  exhumaciones  realizadas,  así  como</w:t>
        <w:br/>
        <w:t xml:space="preserve">         abordará los alegatos de derecho al respecto.</w:t>
        <w:br/>
        <w:br/>
        <w:br/>
        <w:t>A.    Los hechos del presente caso</w:t>
        <w:br/>
        <w:br/>
        <w:br/>
        <w:t xml:space="preserve">           1)    El conflicto armado en El Salvador</w:t>
        <w:br/>
        <w:br/>
        <w:t xml:space="preserve">     62. Aproximadamente desde 1980 hasta 1991 El Salvador se vio sumido en</w:t>
        <w:br/>
        <w:t xml:space="preserve">         un conflicto armado interno[37], durante el cual se estima que más</w:t>
        <w:br/>
        <w:t xml:space="preserve">         de  75.000  personas  resultaron  víctimas  entre   la   población</w:t>
        <w:br/>
        <w:t xml:space="preserve">         salvadoreña[38].</w:t>
        <w:br/>
        <w:br/>
        <w:t xml:space="preserve">     63.  El  año  1980  marcó  el  comienzo   de   “varios   ataques   sin</w:t>
        <w:br/>
        <w:t xml:space="preserve">         discriminación  contra  la  población  civil  no   combatiente   y</w:t>
        <w:br/>
        <w:t xml:space="preserve">         ejecuciones sumarias colectivas que afecta[ba]n particularmente  a</w:t>
        <w:br/>
        <w:t xml:space="preserve">         la población rural” por parte de las fuerzas de seguridad[39].  La</w:t>
        <w:br/>
        <w:t xml:space="preserve">         violencia en las zonas rurales, en los primeros años de la  década</w:t>
        <w:br/>
        <w:t xml:space="preserve">         de 1980, “alcanzó una indiscriminación extrema”[40].</w:t>
        <w:br/>
        <w:br/>
        <w:t xml:space="preserve">     64. Entre octubre y noviembre de 1980 se conformó el Frente  Farabundo</w:t>
        <w:br/>
        <w:t xml:space="preserve">         Martí para la Liberación Nacional (en adelante también “FMLN”), el</w:t>
        <w:br/>
        <w:t xml:space="preserve">         cual conglomeraba a los  cinco  grupos  de  oposición  política  y</w:t>
        <w:br/>
        <w:t xml:space="preserve">         armada: Fuerzas Populares de Liberación,  Ejército  Revolucionario</w:t>
        <w:br/>
        <w:t xml:space="preserve">         del Pueblo, Fuerzas Armadas  de  Liberación,  Fuerzas  Armadas  de</w:t>
        <w:br/>
        <w:t xml:space="preserve">         Resistencia  Nacional  y  el   Partido   Revolucionario   de   los</w:t>
        <w:br/>
        <w:t xml:space="preserve">         Trabajadores de Centroamérica. En 1981 las organizaciones del FMLN</w:t>
        <w:br/>
        <w:t xml:space="preserve">         decidieron conducir una ofensiva para  promover  un  levantamiento</w:t>
        <w:br/>
        <w:t xml:space="preserve">         popular y derrocar la Junta de Gobierno[41]. A  pesar  de  que  no</w:t>
        <w:br/>
        <w:t xml:space="preserve">         logró el objetivo  esperado,  el  FMLN  acabó  controlando  varios</w:t>
        <w:br/>
        <w:t xml:space="preserve">         poblados, aseguró sus áreas de  influencia  política  y  logró  el</w:t>
        <w:br/>
        <w:t xml:space="preserve">         reconocimiento internacional como fuerza beligerante[42].</w:t>
        <w:br/>
        <w:br/>
        <w:t xml:space="preserve">     65. El proceso de negociaciones hacia la  paz  se  inició  cuando  los</w:t>
        <w:br/>
        <w:t xml:space="preserve">         cinco Presidentes centroamericanos solicitaron la intervención del</w:t>
        <w:br/>
        <w:t xml:space="preserve">         Secretario General de las Naciones Unidas  para  que  interpusiera</w:t>
        <w:br/>
        <w:t xml:space="preserve">         sus buenos oficios con el fin de  lograr  la  pacificación  en  la</w:t>
        <w:br/>
        <w:t xml:space="preserve">         región de América Central. Entre 1989 y 1992 se firmaron  diversos</w:t>
        <w:br/>
        <w:t xml:space="preserve">         acuerdos entre el Gobierno de El Salvador y el FMLN y, finalmente,</w:t>
        <w:br/>
        <w:t xml:space="preserve">         tras doce años de conflicto armado, el 16  de  enero  de  1992  se</w:t>
        <w:br/>
        <w:t xml:space="preserve">         firmó el Acuerdo de  Paz  que  puso  fin  a  las  hostilidades  en</w:t>
        <w:br/>
        <w:t xml:space="preserve">         Chapultepec,  México,  bajo  los  buenos  oficios  del  Secretario</w:t>
        <w:br/>
        <w:t xml:space="preserve">         General de las Naciones Unidas[43] (infra párrs. 266 a 272).</w:t>
        <w:br/>
        <w:br/>
        <w:t xml:space="preserve">     66. La Comisión de la Verdad, creada por los Acuerdos de México de  27</w:t>
        <w:br/>
        <w:t xml:space="preserve">         de abril de 1991 y que inició sus actividades el 13  de  julio  de</w:t>
        <w:br/>
        <w:t xml:space="preserve">         1992, describió en su informe hecho público el 15 de marzo de 1993</w:t>
        <w:br/>
        <w:t xml:space="preserve">         los patrones de violencia durante el conflicto  armado,  tanto  de</w:t>
        <w:br/>
        <w:t xml:space="preserve">         agentes del Estado como de integrantes del FMLN[44].  Por  razones</w:t>
        <w:br/>
        <w:t xml:space="preserve">         de  método  dividió  la  etapa  examinada  (1980-1991)  en  cuatro</w:t>
        <w:br/>
        <w:t xml:space="preserve">         períodos: desde 1980 a 1983; 1983 a 1987; 1987 a  1989  y  1989  a</w:t>
        <w:br/>
        <w:t xml:space="preserve">         1991. El primer período desde 1980 a  1983,  dentro  del  cual  se</w:t>
        <w:br/>
        <w:t xml:space="preserve">         enmarcan  los  hechos  de  este  caso,  se   denominó   como   “la</w:t>
        <w:br/>
        <w:t xml:space="preserve">         institucionalización de la violencia”, siendo  “[l]a  instauración</w:t>
        <w:br/>
        <w:t xml:space="preserve">         de la violencia de manera sistemática, el terror y la desconfianza</w:t>
        <w:br/>
        <w:t xml:space="preserve">         en la población civil […] los rasgos esenciales de  este  período.</w:t>
        <w:br/>
        <w:t xml:space="preserve">         La desarticulación de cualquier movimiento  opositor  o  disidente</w:t>
        <w:br/>
        <w:t xml:space="preserve">         por medio de  detenciones  arbitrarias,  asesinatos,  desaparición</w:t>
        <w:br/>
        <w:t xml:space="preserve">         selectiva e indiscriminada de dirigentes  devinieron  en  práctica</w:t>
        <w:br/>
        <w:t xml:space="preserve">         común”[45]. Según la Comisión de la Verdad, durante  este  período</w:t>
        <w:br/>
        <w:t xml:space="preserve">         se “registra[ron] el mayor número de muertes y violaciones de  los</w:t>
        <w:br/>
        <w:t xml:space="preserve">         derechos humanos”[46].</w:t>
        <w:br/>
        <w:br/>
        <w:t xml:space="preserve">           2)    Los operativos de tierra arrasada y  la  creación  de  los</w:t>
        <w:br/>
        <w:t xml:space="preserve">           Batallones de Infantería de Reacción Inmediata</w:t>
        <w:br/>
        <w:br/>
        <w:t xml:space="preserve">     67. A  partir  de  enero  de  1981,  los  Estados  Unidos  de  América</w:t>
        <w:br/>
        <w:t xml:space="preserve">         incrementó significativamente la asistencia militar y económica en</w:t>
        <w:br/>
        <w:t xml:space="preserve">         El Salvador, destinándose tales recursos a “entrenar, modernizar y</w:t>
        <w:br/>
        <w:t xml:space="preserve">         expandir la estructura en el número  de  efectivos  de  la  Fuerza</w:t>
        <w:br/>
        <w:t xml:space="preserve">         Armada”[47]. Es en este contexto que se crearon los Batallones  de</w:t>
        <w:br/>
        <w:t xml:space="preserve">         Infantería de Reacción Inmediata en la Fuerza Armada  salvadoreña,</w:t>
        <w:br/>
        <w:t xml:space="preserve">         que eran unidades de elite entrenadas especialmente para la  lucha</w:t>
        <w:br/>
        <w:t xml:space="preserve">         contrainsurgente, las cuales habían  concluido  su  entrenamiento,</w:t>
        <w:br/>
        <w:t xml:space="preserve">         bajo la asesoría y supervisión de  militares  estadounidenses[48].</w:t>
        <w:br/>
        <w:t xml:space="preserve">         La primera unidad se creó en  marzo  de  1981  con  el  nombre  de</w:t>
        <w:br/>
        <w:t xml:space="preserve">         “Atlacatl”,  bajo  el  comando  del   Teniente   Coronel   Domingo</w:t>
        <w:br/>
        <w:t xml:space="preserve">         Monterrosa Barrios[49].</w:t>
        <w:br/>
        <w:br/>
        <w:t xml:space="preserve">     68.  La  contrainsurgencia,  en  su  forma  más  extrema,   encontraba</w:t>
        <w:br/>
        <w:t xml:space="preserve">         expresión en  un  extendido  concepto  de  “quitarle  el  agua  al</w:t>
        <w:br/>
        <w:t xml:space="preserve">         pez”[50], es decir, destruir la base de apoyo de la insurgencia. A</w:t>
        <w:br/>
        <w:t xml:space="preserve">         los habitantes de zonas donde existía una alta presencia del  FMLN</w:t>
        <w:br/>
        <w:t xml:space="preserve">         “se les asimilaba por sospecha [a] la guerrilla,  pertenecerían  o</w:t>
        <w:br/>
        <w:t xml:space="preserve">         eran colaboradores de ésta y por tanto  corrían  riesg[o]  de  ser</w:t>
        <w:br/>
        <w:t xml:space="preserve">         eliminados”[51].</w:t>
        <w:br/>
        <w:br/>
        <w:t xml:space="preserve">     69. La Comisión de la Verdad recibió testimonios directos de numerosas</w:t>
        <w:br/>
        <w:t xml:space="preserve">         ejecuciones masivas ocurridas en el transcurso de los  años  1980,</w:t>
        <w:br/>
        <w:t xml:space="preserve">         1981 y 1982, en las cuales miembros de la  Fuerza  Armada,  en  el</w:t>
        <w:br/>
        <w:t xml:space="preserve">         curso de operaciones contrainsurgentes, “ejecutaron a  campesinos,</w:t>
        <w:br/>
        <w:t xml:space="preserve">         hombres,  mujeres  y  niños,  que  no   habían   opuesto   ninguna</w:t>
        <w:br/>
        <w:t xml:space="preserve">         resistencia, simplemente por considerarlos  colaboradores  de  los</w:t>
        <w:br/>
        <w:t xml:space="preserve">         guerrilleros”[52].  La  Comisión  de  la  Verdad  descartó   “toda</w:t>
        <w:br/>
        <w:t xml:space="preserve">         posibilidad de que se haya tratado de  incidentes  aislados  o  de</w:t>
        <w:br/>
        <w:t xml:space="preserve">         exceso de los soldados o sus jefes inmediatos. Todo comprueba  que</w:t>
        <w:br/>
        <w:t xml:space="preserve">         estas muertes se inscriben dentro de un patrón de conducta, de una</w:t>
        <w:br/>
        <w:t xml:space="preserve">         estrategia deliberada de eliminar o  aterrorizar  a  la  población</w:t>
        <w:br/>
        <w:t xml:space="preserve">         campesina de las zonas de actividad de los guerrilleros, a fin  de</w:t>
        <w:br/>
        <w:t xml:space="preserve">         privar a éstos de esta fuente de abastecimientos y de información,</w:t>
        <w:br/>
        <w:t xml:space="preserve">         así como de  la  posibilidad  de  ocultarse  o  disimularse  entre</w:t>
        <w:br/>
        <w:t xml:space="preserve">         ella”[53]. Según la Comisión de la Verdad, es  imposible  sostener</w:t>
        <w:br/>
        <w:t xml:space="preserve">         que este patrón de conducta  sea  atribuible  sólo  a  los  mandos</w:t>
        <w:br/>
        <w:t xml:space="preserve">         locales, y que haya sido desconocido por  los  mandos  superiores,</w:t>
        <w:br/>
        <w:t xml:space="preserve">         pues  las  masacres  de  población  campesina  fueron  denunciadas</w:t>
        <w:br/>
        <w:t xml:space="preserve">         reiteradamente, sin que existan evidencias de que  se  haya  hecho</w:t>
        <w:br/>
        <w:t xml:space="preserve">         ningún esfuerzo por investigarlas[54].</w:t>
        <w:br/>
        <w:br/>
        <w:t xml:space="preserve">     70. En forma concordante, la  Procuraduría  para  la  Defensa  de  los</w:t>
        <w:br/>
        <w:t xml:space="preserve">         Derechos Humanos de El Salvador  estableció  que  “[las]  masacres</w:t>
        <w:br/>
        <w:t xml:space="preserve">         ocurrían en el marco de operativos militares que tuvieron como uno</w:t>
        <w:br/>
        <w:t xml:space="preserve">         de  sus  objetivos  el  exterminio  masivo  de  personas  civiles,</w:t>
        <w:br/>
        <w:t xml:space="preserve">         incluyendo mujeres, niños y adultos mayores,  como  parte  de  una</w:t>
        <w:br/>
        <w:t xml:space="preserve">         aberrante estrategia  militar  conocida  como  ‘tierra  arrasada’,</w:t>
        <w:br/>
        <w:t xml:space="preserve">         ejecutada por el Estado de El Salvador” principalmente durante  el</w:t>
        <w:br/>
        <w:t xml:space="preserve">         período entre 1980 y 1982[55]. La estrategia  de  tierra  arrasada</w:t>
        <w:br/>
        <w:t xml:space="preserve">         consistió en “el aniquilamiento indiscriminado  de  uno  o  varios</w:t>
        <w:br/>
        <w:t xml:space="preserve">         poblados en el contexto de un  mismo  operativo”,  seguido  de  la</w:t>
        <w:br/>
        <w:t xml:space="preserve">         destrucción o  quema  de  siembras,  viviendas  y  bienes  de  las</w:t>
        <w:br/>
        <w:t xml:space="preserve">         víctimas que habían sido previamente ejecutadas o de aquellos  que</w:t>
        <w:br/>
        <w:t xml:space="preserve">         habían huido del lugar[56], y  “tenía  como  objetivos  claros  la</w:t>
        <w:br/>
        <w:t xml:space="preserve">         masacre de civiles, la  provocación  de  desplazamientos  forzados</w:t>
        <w:br/>
        <w:t xml:space="preserve">         masivos y la destrucción de  los  bienes  de  subsistencia  de  la</w:t>
        <w:br/>
        <w:t xml:space="preserve">         población, pues se buscaba la ‘desarticulación’ de las  relaciones</w:t>
        <w:br/>
        <w:t xml:space="preserve">         sociales esenciales en aquellas comunidades  que  pudiesen  servir</w:t>
        <w:br/>
        <w:t xml:space="preserve">         para apoyo logístico  de  la  guerrilla”[57],  es  decir,  buscaba</w:t>
        <w:br/>
        <w:t xml:space="preserve">         “quitarle el agua al pez”. Es así  que  puede  afirmarse  que  “el</w:t>
        <w:br/>
        <w:t xml:space="preserve">         fenómeno de las masacres ocurrió en forma deliberada como parte de</w:t>
        <w:br/>
        <w:t xml:space="preserve">         una estrategia planificada sistemáticamente por la  Fuerza  Armada</w:t>
        <w:br/>
        <w:t xml:space="preserve">         de El Salvador [por lo  que]  resulta  imposible  aducir  que  las</w:t>
        <w:br/>
        <w:t xml:space="preserve">         innumerables ejecuciones masivas de población civil  fueron  actos</w:t>
        <w:br/>
        <w:t xml:space="preserve">         de violencia aislados y desconocidos por las altas autoridades  de</w:t>
        <w:br/>
        <w:t xml:space="preserve">         la Fuerza Armada y el gobierno en  turno;  por  el  contrario,  se</w:t>
        <w:br/>
        <w:t xml:space="preserve">         insertaron en y fueron parte  central  de  una  concreta  política</w:t>
        <w:br/>
        <w:t xml:space="preserve">         contrainsurgente del Estado”[58]. Por consiguiente, “las  masacres</w:t>
        <w:br/>
        <w:t xml:space="preserve">         […] no  fueron  el  resultado  de  abusos  eventuales  de  ciertas</w:t>
        <w:br/>
        <w:t xml:space="preserve">         unidades del ejército salvadoreño o de oficiales  de  rango  medio</w:t>
        <w:br/>
        <w:t xml:space="preserve">         que cometieron excesos”[59].</w:t>
        <w:br/>
        <w:br/>
        <w:t xml:space="preserve">     71.  Las  operaciones  militares  contrainsurgentes  afectaron  a   la</w:t>
        <w:br/>
        <w:t xml:space="preserve">         población civil con un elevado  costo  en  vidas  y  generaron  la</w:t>
        <w:br/>
        <w:t xml:space="preserve">         figura  del  “desplazado”[60].  A  agosto  de  1982,  la  Comisión</w:t>
        <w:br/>
        <w:t xml:space="preserve">         Nacional de Asistencia a  la  Población  Desplazada  (CONADES)[61]</w:t>
        <w:br/>
        <w:t xml:space="preserve">         reportaba un número de 226.744 desplazados internos. Por su parte,</w:t>
        <w:br/>
        <w:t xml:space="preserve">         según el Alto  Comisionado  de  Naciones  Unidas  para  Refugiados</w:t>
        <w:br/>
        <w:t xml:space="preserve">         (ACNUR),  el  número  de   refugiados   salvadoreños   en   países</w:t>
        <w:br/>
        <w:t xml:space="preserve">         latinoamericanos para junio de ese año fluctuaba entre  175.000  y</w:t>
        <w:br/>
        <w:t xml:space="preserve">         295.000[62].</w:t>
        <w:br/>
        <w:br/>
        <w:t xml:space="preserve">     72. En suma, durante  el  conflicto  armado  interno  en  El  Salvador</w:t>
        <w:br/>
        <w:t xml:space="preserve">         existió una política estatal ejecutada a través de los  operativos</w:t>
        <w:br/>
        <w:t xml:space="preserve">         de “tierra arrasada”, que  buscaba  despoblar  las  zonas  rurales</w:t>
        <w:br/>
        <w:t xml:space="preserve">         consideradas de apoyo o bajo presencia de la guerrilla,  a  través</w:t>
        <w:br/>
        <w:t xml:space="preserve">         de la perpetración sistemática  de  masacres  de  miembros  de  la</w:t>
        <w:br/>
        <w:t xml:space="preserve">         población civil por parte de la Fuerza  Armada  salvadoreña  y  la</w:t>
        <w:br/>
        <w:t xml:space="preserve">         quema y destrucción de viviendas, cultivos  y  otros  bienes,  así</w:t>
        <w:br/>
        <w:t xml:space="preserve">         como la matanza de animales.</w:t>
        <w:br/>
        <w:br/>
        <w:t xml:space="preserve">           3)    Las masacres de El Mozote y lugares aledaños</w:t>
        <w:br/>
        <w:br/>
        <w:t xml:space="preserve">     73. El caso de las Masacres de El Mozote fue uno  de  los  hechos  que</w:t>
        <w:br/>
        <w:t xml:space="preserve">         abordó la Comisión de la Verdad en su informe  de  1993,  como  un</w:t>
        <w:br/>
        <w:t xml:space="preserve">         caso ilustrativo de las masacres de campesinos  cometidas  por  la</w:t>
        <w:br/>
        <w:t xml:space="preserve">         Fuerza Armada  salvadoreña  en  el  marco  de  los  operativos  de</w:t>
        <w:br/>
        <w:t xml:space="preserve">         contrainsurgencia. Sin embargo, hasta esa fecha y  durante  varios</w:t>
        <w:br/>
        <w:t xml:space="preserve">         años, la ocurrencia  de  las  masacres  de  El  Mozote  y  lugares</w:t>
        <w:br/>
        <w:t xml:space="preserve">         aledaños fue sistemáticamente denegada y encubierta por el Estado.</w:t>
        <w:br/>
        <w:t xml:space="preserve">         Según la Comisión de la Verdad, “a pesar de las denuncias públicas</w:t>
        <w:br/>
        <w:t xml:space="preserve">         del hecho y de lo fácil que hubiera sido su comprobación  [por  la</w:t>
        <w:br/>
        <w:t xml:space="preserve">         cantidad de cadáveres insepultos], las autoridades salvadoreñas no</w:t>
        <w:br/>
        <w:t xml:space="preserve">         ordenaron  ninguna  averiguación  y  negaron  permanentemente   la</w:t>
        <w:br/>
        <w:t xml:space="preserve">         existencia de la masacre”[63].</w:t>
        <w:br/>
        <w:br/>
        <w:t xml:space="preserve">     74. En efecto, las notas periodísticas  de  la  época  de  los  hechos</w:t>
        <w:br/>
        <w:t xml:space="preserve">         correspondientes a la prensa escrita  salvadoreña  dan  cuenta,  a</w:t>
        <w:br/>
        <w:t xml:space="preserve">         partir de fuentes militares, únicamente de la  realización  de  un</w:t>
        <w:br/>
        <w:t xml:space="preserve">         operativo de contrainsurgencia en distintas áreas del Departamento</w:t>
        <w:br/>
        <w:t xml:space="preserve">         de Morazán, con resultados que se  calificaban  como  exitosos  en</w:t>
        <w:br/>
        <w:t xml:space="preserve">         cuanto al desmantelamiento de campos de la guerrilla y la supuesta</w:t>
        <w:br/>
        <w:t xml:space="preserve">         protección de los campesinos y pobladores de esas  áreas[64].  Sin</w:t>
        <w:br/>
        <w:t xml:space="preserve">         embargo, fue a partir de dos reportajes internacionales publicados</w:t>
        <w:br/>
        <w:t xml:space="preserve">         el 27 de enero de 1982 en los periódicos The New York Times y  The</w:t>
        <w:br/>
        <w:t xml:space="preserve">         Washington Post, los cuales recogieron en el  terreno  testimonios</w:t>
        <w:br/>
        <w:t xml:space="preserve">         de sobrevivientes[65], que la verdad  de  lo  sucedido  comenzó  a</w:t>
        <w:br/>
        <w:t xml:space="preserve">         develarse, a pesar  de  que,  tanto  en  el  plano  nacional  como</w:t>
        <w:br/>
        <w:t xml:space="preserve">         internacional,  se  intentó   desacreditar   y   descalificar   la</w:t>
        <w:br/>
        <w:t xml:space="preserve">         información proporcionada por los  periodistas  Raymond  Bonner  y</w:t>
        <w:br/>
        <w:t xml:space="preserve">         Alma Guillermoprieto como “propaganda del FMLN”[66].</w:t>
        <w:br/>
        <w:br/>
        <w:t xml:space="preserve">     75. Tal como ha sido reconocido  por  el  Estado,  por  el  contrario,</w:t>
        <w:br/>
        <w:t xml:space="preserve">         dichos periodistas proporcionaron la primera evidencia de  que  el</w:t>
        <w:br/>
        <w:t xml:space="preserve">         ejército salvadoreño “había incurrido en un  brutal  asesinato  de</w:t>
        <w:br/>
        <w:t xml:space="preserve">         civiles”,  señalando  que  más  de  700  campesinos  habrían  sido</w:t>
        <w:br/>
        <w:t xml:space="preserve">         asesinados, principalmente niños, mujeres y adultos  mayores.  Por</w:t>
        <w:br/>
        <w:t xml:space="preserve">         su parte, el gobierno de los Estados Unidos de América indicó  que</w:t>
        <w:br/>
        <w:t xml:space="preserve">         “no había pruebas para confirmar que las  fuerzas  gubernamentales</w:t>
        <w:br/>
        <w:t xml:space="preserve">         habían masacrado civiles en las zonas de operación” agregando  que</w:t>
        <w:br/>
        <w:t xml:space="preserve">         “no había probablemente más que 300  personas  que  vivían  en  El</w:t>
        <w:br/>
        <w:t xml:space="preserve">         Mozote al momento de la masacre”. La información disponible indica</w:t>
        <w:br/>
        <w:t xml:space="preserve">         que estas versiones se basaron en  un  informe  preparado  por  la</w:t>
        <w:br/>
        <w:t xml:space="preserve">         Embajada estadounidense en San Salvador,  sin  haber  visitado  el</w:t>
        <w:br/>
        <w:t xml:space="preserve">         lugar de los hechos[67]. En el  plano  nacional,  “un  vocero  del</w:t>
        <w:br/>
        <w:t xml:space="preserve">         ejército […] aseguró que las versiones sobre una masacre  cometida</w:t>
        <w:br/>
        <w:t xml:space="preserve">         por efectivos militares eran ‘totalmente falsas’ y que habían sido</w:t>
        <w:br/>
        <w:t xml:space="preserve">         inventadas por los subversivos”[68].</w:t>
        <w:br/>
        <w:br/>
        <w:t xml:space="preserve">     76. En esta misma línea, cabe destacar que antes de 1990 el Estado  no</w:t>
        <w:br/>
        <w:t xml:space="preserve">         llevó a cabo investigaciones de ninguna naturaleza con  ocasión  a</w:t>
        <w:br/>
        <w:t xml:space="preserve">         las masacres[69] (infra párrs. 251  y  252).  Las  excavaciones  y</w:t>
        <w:br/>
        <w:t xml:space="preserve">         exhumaciones de los restos realizadas a partir del año  1992  –una</w:t>
        <w:br/>
        <w:t xml:space="preserve">         vez que ya se encontraba  en  funcionamiento  la  Comisión  de  la</w:t>
        <w:br/>
        <w:t xml:space="preserve">         Verdad- por el Equipo Argentino de  Antropología  Forense  (EAAF),</w:t>
        <w:br/>
        <w:t xml:space="preserve">         cuyos inicios fueron gravemente  dilatados  y  obstaculizados[70],</w:t>
        <w:br/>
        <w:t xml:space="preserve">         borraron cualquier  resquicio  de  duda  sobre  la  verdad  de  lo</w:t>
        <w:br/>
        <w:t xml:space="preserve">         ocurrido y mostraron evidencias  contundentes  sobre  una  de  las</w:t>
        <w:br/>
        <w:t xml:space="preserve">         mayores  masacres  de   civiles   ocurridas   en   el   continente</w:t>
        <w:br/>
        <w:t xml:space="preserve">         americano[71] (infra párrs. 231 y 232).</w:t>
        <w:br/>
        <w:br/>
        <w:t xml:space="preserve">     77. En este sentido, es pertinente  resaltar  lo  manifestado  por  el</w:t>
        <w:br/>
        <w:t xml:space="preserve">         Estado en la audiencia pública, invocando el mensaje de desagravio</w:t>
        <w:br/>
        <w:t xml:space="preserve">         expresado por el Presidente de la República el 16 de enero de 2012</w:t>
        <w:br/>
        <w:t xml:space="preserve">         en el caserío El Mozote en el marco de la  conmemoración  del  20°</w:t>
        <w:br/>
        <w:t xml:space="preserve">         Aniversario de los Acuerdos de  Paz,  al  reconocer  que:  “en  el</w:t>
        <w:br/>
        <w:t xml:space="preserve">         Mozote y comunidades vecinas hace poco  más  de  treinta  años  se</w:t>
        <w:br/>
        <w:t xml:space="preserve">         consumó una desmesura criminal que se pretendió  negar  y  ocultar</w:t>
        <w:br/>
        <w:t xml:space="preserve">         sistemáticamente […] en tres días y en tres noches se perpetró  la</w:t>
        <w:br/>
        <w:t xml:space="preserve">         más grande masacre contra civiles  de  la  historia  contemporánea</w:t>
        <w:br/>
        <w:t xml:space="preserve">         latinoamericana,  a[ll]í  se  exterminó  a  casi  un   millar   de</w:t>
        <w:br/>
        <w:t xml:space="preserve">         salvadoreñas y salvadoreños, la mitad de ellos  niños  menores  de</w:t>
        <w:br/>
        <w:t xml:space="preserve">         dieciocho años, […] a[ll]í se cometieron un sin número de actos de</w:t>
        <w:br/>
        <w:t xml:space="preserve">         barbarie y violaciones de  los  derechos  humanos,  se  torturó  y</w:t>
        <w:br/>
        <w:t xml:space="preserve">         ejecutó a inocentes, mujeres y niñas  sufrieron  abusos  sexuales,</w:t>
        <w:br/>
        <w:t xml:space="preserve">         cientos de salvadoreños y salvadoreñas hoy  forman  parte  de  una</w:t>
        <w:br/>
        <w:t xml:space="preserve">         larga lista de desaparecidos,  mientras  otros  y  otras  debieron</w:t>
        <w:br/>
        <w:t xml:space="preserve">         emigrar y perderlo todo para salvar sus vidas”.</w:t>
        <w:br/>
        <w:br/>
        <w:t xml:space="preserve">     78. El Estado señaló que: “estima[ba] oportuno  declarar  expresamente</w:t>
        <w:br/>
        <w:t xml:space="preserve">         su reconocimiento a las víctimas sobrevivientes de la masacre que,</w:t>
        <w:br/>
        <w:t xml:space="preserve">         de  forma   valiente   y   ejemplar,   rindieron   su   testimonio</w:t>
        <w:br/>
        <w:t xml:space="preserve">         permanentemente   en   sus   propias   comunidades,    ante    las</w:t>
        <w:br/>
        <w:t xml:space="preserve">         organizaciones de derechos humanos, en la sede judicial y ante  la</w:t>
        <w:br/>
        <w:t xml:space="preserve">         prensa nacional e internacional, haciendo prevalecer finalmente la</w:t>
        <w:br/>
        <w:t xml:space="preserve">         verdad de tan trágicos sucesos que fueron penosamente negados  por</w:t>
        <w:br/>
        <w:t xml:space="preserve">         el Estado salvadoreño  en  el  pasado.  Particular  reconocimiento</w:t>
        <w:br/>
        <w:t xml:space="preserve">         expresa el Estado a la  señora  Rufina  Amaya,  sobreviviente  del</w:t>
        <w:br/>
        <w:t xml:space="preserve">         caserío El Mozote (de grata recordación), quien con  su  lucha  se</w:t>
        <w:br/>
        <w:t xml:space="preserve">         erigió en símbolo de la verdad en el presente caso.  Igualmente  a</w:t>
        <w:br/>
        <w:t xml:space="preserve">         los señores Pedro Chicas Romero, Juan  Bautista  Márquez,  Antonio</w:t>
        <w:br/>
        <w:t xml:space="preserve">         Pereira, Teófila Pereira, Dorila Márquez y muchas  otras  personas</w:t>
        <w:br/>
        <w:t xml:space="preserve">         que ha rendido su testimonio durante tantos años.  El  Estado,  en</w:t>
        <w:br/>
        <w:t xml:space="preserve">         similar sentido, reconoce la admirable labor en la defensa de  los</w:t>
        <w:br/>
        <w:t xml:space="preserve">         derechos humanos de las víctimas en el presente caso, que  ejerció</w:t>
        <w:br/>
        <w:t xml:space="preserve">         la Doctora María Julia Hernández Chavarría,  Directora  de  Tutela</w:t>
        <w:br/>
        <w:t xml:space="preserve">         Legal del Arzobispado, con el respaldo del señor Arzobispo de  San</w:t>
        <w:br/>
        <w:t xml:space="preserve">         Salvador,  Monseñor  Arturo   Rivera   Damas   (ambos   de   grata</w:t>
        <w:br/>
        <w:t xml:space="preserve">         recordación), quienes acompañaron la lucha  por  la  verdad  y  la</w:t>
        <w:br/>
        <w:t xml:space="preserve">         justicia en este  caso  y  en  muchos  otros  similares  ocurridos</w:t>
        <w:br/>
        <w:t xml:space="preserve">         durante el conflicto armado interno salvadoreño, hasta el final de</w:t>
        <w:br/>
        <w:t xml:space="preserve">         sus vidas, siendo  ambos  voz  y  acción  de  esperanza  para  las</w:t>
        <w:br/>
        <w:t xml:space="preserve">         víctimas  y  cuyo  legado  humanista  trasciende  en  la  sociedad</w:t>
        <w:br/>
        <w:t xml:space="preserve">         salvadoreña hasta el día de hoy. Asimismo, el Estado expres[ó que]</w:t>
        <w:br/>
        <w:t xml:space="preserve">         reconoce la invaluable  labor  que  brindaron  en  este  caso  los</w:t>
        <w:br/>
        <w:t xml:space="preserve">         expertos  del  Equipo  Argentino  de  Antropología  Forense,  cuya</w:t>
        <w:br/>
        <w:t xml:space="preserve">         contribución como peritos judiciales otorgó certidumbre científica</w:t>
        <w:br/>
        <w:t xml:space="preserve">         al establecimiento de la verdad sobre esta grave violación de  los</w:t>
        <w:br/>
        <w:t xml:space="preserve">         derechos humanos”.</w:t>
        <w:br/>
        <w:br/>
        <w:t xml:space="preserve">     79. Tomando en cuenta el reconocimiento del Estado, y a partir de  los</w:t>
        <w:br/>
        <w:t xml:space="preserve">         testimonios  de  los  sobrevivientes  y  de  los  familiares   que</w:t>
        <w:br/>
        <w:t xml:space="preserve">         acudieron a los lugares afectados con posterioridad a los hechos a</w:t>
        <w:br/>
        <w:t xml:space="preserve">         fin de indagar la suerte de sus familiares, de las conclusiones de</w:t>
        <w:br/>
        <w:t xml:space="preserve">         los informes de antropología forense respecto a  las  exhumaciones</w:t>
        <w:br/>
        <w:t xml:space="preserve">         realizadas, de lo establecido por la Comisión de la  Verdad  y  de</w:t>
        <w:br/>
        <w:t xml:space="preserve">         los informes de Tutela Legal  del  Arzobispado  de  San  Salvador,</w:t>
        <w:br/>
        <w:t xml:space="preserve">         organización  que  se  ha  dedicado  a  investigar,  documentar  y</w:t>
        <w:br/>
        <w:t xml:space="preserve">         realizar diversas publicaciones respecto al presente caso, es  que</w:t>
        <w:br/>
        <w:t xml:space="preserve">         la Corte procederá a establecer los hechos sucedidos entre el 8  y</w:t>
        <w:br/>
        <w:t xml:space="preserve">         16 de diciembre de 1981.</w:t>
        <w:br/>
        <w:br/>
        <w:br/>
        <w:t xml:space="preserve">                   Antecedentes</w:t>
        <w:br/>
        <w:br/>
        <w:br/>
        <w:t xml:space="preserve">     80. En el año 1981 eran comunes las operaciones  de  contrainsurgencia</w:t>
        <w:br/>
        <w:t xml:space="preserve">         (supra párrs. 67 a 72), por lo que algunos de los pobladores de la</w:t>
        <w:br/>
        <w:t xml:space="preserve">         zona norte del Departamento de Morazán,  en  la  República  de  El</w:t>
        <w:br/>
        <w:t xml:space="preserve">         Salvador,  no  habitaban   permanentemente   en   sus   viviendas,</w:t>
        <w:br/>
        <w:t xml:space="preserve">         ocultándose en los montes y las cuevas  durante  los  períodos  de</w:t>
        <w:br/>
        <w:t xml:space="preserve">         mayor peligro[72].</w:t>
        <w:br/>
        <w:br/>
        <w:t xml:space="preserve">     81. Los pobladores del norte del Departamento de Morazán se  dedicaban</w:t>
        <w:br/>
        <w:t xml:space="preserve">         principalmente a oficios domésticos y actividades  rurales,  tales</w:t>
        <w:br/>
        <w:t xml:space="preserve">         como el cultivo del maíz en  la  milpa,  la  siembra  de  caña  de</w:t>
        <w:br/>
        <w:t xml:space="preserve">         azúcar,  hilar  el  henequén  y  aserrar  la  madera[73].  Algunas</w:t>
        <w:br/>
        <w:t xml:space="preserve">         personas se encontraban asociadas en  cooperativas  agrícolas[74].</w:t>
        <w:br/>
        <w:t xml:space="preserve">         Las familias también  tenían  animales  de  granja,  caballos  y/o</w:t>
        <w:br/>
        <w:t xml:space="preserve">         ganado[75].</w:t>
        <w:br/>
        <w:br/>
        <w:t xml:space="preserve">     82. Durante ese año, pudo escucharse por  radio  que  el  Batallón  de</w:t>
        <w:br/>
        <w:t xml:space="preserve">         Infantería  de  Reacción  Inmediata  Atlacatl  iba  a  lanzar   un</w:t>
        <w:br/>
        <w:t xml:space="preserve">         operativo[76]. Entre el 9 y 10 de diciembre de 1981, habitantes de</w:t>
        <w:br/>
        <w:t xml:space="preserve">         la región oyeron por la radio que un fuerte operativo de la Fuerza</w:t>
        <w:br/>
        <w:t xml:space="preserve">         Armada se dirigía al norte de Morazán[77].</w:t>
        <w:br/>
        <w:br/>
        <w:br/>
        <w:t xml:space="preserve">                   La “Operación Rescate” o “Yunque y Martillo”  llevada  a</w:t>
        <w:br/>
        <w:t xml:space="preserve">                   cabo por el Batallón de Infantería de Reacción Inmediata</w:t>
        <w:br/>
        <w:t xml:space="preserve">                   “Atlacatl”</w:t>
        <w:br/>
        <w:br/>
        <w:br/>
        <w:t xml:space="preserve">     83. Entre el 8 y el 16 de diciembre de 1981 el Batallón de  Infantería</w:t>
        <w:br/>
        <w:t xml:space="preserve">         de Reacción  Inmediata  Atlacatl  (en  adelante  “BIRI  Atlacatl”)</w:t>
        <w:br/>
        <w:t xml:space="preserve">         realizó, junto con unidades de la Tercera Brigada de Infantería de</w:t>
        <w:br/>
        <w:t xml:space="preserve">         San Miguel  y  del  Centro  de  Instrucción  de  Comandos  de  San</w:t>
        <w:br/>
        <w:t xml:space="preserve">         Francisco Gotera, un operativo militar de grandes  dimensiones  en</w:t>
        <w:br/>
        <w:t xml:space="preserve">         la  zona  norte  del  Departamento  de  Morazán,   conocido   como</w:t>
        <w:br/>
        <w:t xml:space="preserve">         “Operación Rescate” o “Yunque y Martillo”, cuya finalidad aparente</w:t>
        <w:br/>
        <w:t xml:space="preserve">         era eliminar la presencia guerrillera –un campamento y  un  centro</w:t>
        <w:br/>
        <w:t xml:space="preserve">         de entrenamiento- en el sitio denominado La Guacamaya, del  cantón</w:t>
        <w:br/>
        <w:t xml:space="preserve">         del mismo nombre[78]. Dicho operativo  tenía  como  precedente  el</w:t>
        <w:br/>
        <w:t xml:space="preserve">         hecho de que en meses previos el BIRI Atlacatl  había  participado</w:t>
        <w:br/>
        <w:t xml:space="preserve">         en un frustrado operativo contrainsurgente en esa misma zona[79].</w:t>
        <w:br/>
        <w:br/>
        <w:t xml:space="preserve">     84. Se ha podido determinar que el comandante  del  BIRI  Atlacatl  se</w:t>
        <w:br/>
        <w:t xml:space="preserve">         encontraba al mando de las unidades participantes mientras que  el</w:t>
        <w:br/>
        <w:t xml:space="preserve">         comandante de la Tercera Brigada estaba a cargo de  supervisar  la</w:t>
        <w:br/>
        <w:t xml:space="preserve">         operación[80]. Además, tanto la Comisión de  la  Verdad  como  las</w:t>
        <w:br/>
        <w:t xml:space="preserve">         investigaciones  de  Tutela  Legal  del  Arzobispado  indican   la</w:t>
        <w:br/>
        <w:t xml:space="preserve">         participación de entre 1000 a  2000  efectivos  en  el  operativo,</w:t>
        <w:br/>
        <w:t xml:space="preserve">         habiendo también identificado los nombres de los responsables  del</w:t>
        <w:br/>
        <w:t xml:space="preserve">         mismo[81].</w:t>
        <w:br/>
        <w:br/>
        <w:t xml:space="preserve">     85.  El  operativo  inició  con  bombardeos  aéreos  y  de  artillería</w:t>
        <w:br/>
        <w:t xml:space="preserve">         dirigidos hacia el caserío El Mozote y el cantón  La  Joya  (infra</w:t>
        <w:br/>
        <w:t xml:space="preserve">         párrs. 89 y 99). Asimismo, según fue  reconocido  por  el  Estado,</w:t>
        <w:br/>
        <w:t xml:space="preserve">         helicópteros  de  la  Fuerza  Aérea  salvadoreña  transportaron  a</w:t>
        <w:br/>
        <w:t xml:space="preserve">         miembros del BIRI Atlacatl hasta la población  de  Perquín,  desde</w:t>
        <w:br/>
        <w:t xml:space="preserve">         donde  iniciaron  el  desplazamiento  terrestre.  Otras  compañías</w:t>
        <w:br/>
        <w:t xml:space="preserve">         ingresaron  a  la  zona  por  vía  terrestre  procedentes  de  San</w:t>
        <w:br/>
        <w:t xml:space="preserve">         Francisco  Gotera[82].  El  operativo  abarcó,  entre  otros,  los</w:t>
        <w:br/>
        <w:t xml:space="preserve">         caseríos de El Mozote, Ranchería, Los Toriles y  Jocote  Amarillo;</w:t>
        <w:br/>
        <w:t xml:space="preserve">         los cantones de La Joya y Cerro Pando, y el  sitio  conocido  como</w:t>
        <w:br/>
        <w:t xml:space="preserve">         Cerro Ortiz.</w:t>
        <w:br/>
        <w:br/>
        <w:t xml:space="preserve">     86. Según fue reconocido por el Estado y establecido en su informe por</w:t>
        <w:br/>
        <w:t xml:space="preserve">         Tutela Legal del Arzobispado[83], una vez terminado el  operativo,</w:t>
        <w:br/>
        <w:t xml:space="preserve">         las tropas de cada compañía del BIRI Atlacatl se reconcentraron en</w:t>
        <w:br/>
        <w:t xml:space="preserve">         el cantón Guacamaya,  donde  la  dirección  del  operativo  habría</w:t>
        <w:br/>
        <w:t xml:space="preserve">         expresado su satisfacción por los resultados obtenidos.</w:t>
        <w:br/>
        <w:br/>
        <w:br/>
        <w:t xml:space="preserve">                   La masacre en el caserío El Mozote</w:t>
        <w:br/>
        <w:br/>
        <w:br/>
        <w:t xml:space="preserve">     87. El caserío El Mozote se encuentra ubicado en el cantón  Guacamaya,</w:t>
        <w:br/>
        <w:t xml:space="preserve">         de la jurisdicción  de  Meanguera,  Departamento  de  Morazán.  Al</w:t>
        <w:br/>
        <w:t xml:space="preserve">         momento de los hechos estaba formado por aproximadamente 20  casas</w:t>
        <w:br/>
        <w:t xml:space="preserve">         situadas en una extensión abierta conocida como  “El  Llano”,  una</w:t>
        <w:br/>
        <w:t xml:space="preserve">         especie de plaza central[84]. Frente a la plaza se encontraba  “La</w:t>
        <w:br/>
        <w:t xml:space="preserve">         Ermita” o iglesia del caserío y una pequeña construcción adyacente</w:t>
        <w:br/>
        <w:t xml:space="preserve">         conocida  como  “El  Convento”[85].  Cerca  de  allí   estaba   la</w:t>
        <w:br/>
        <w:t xml:space="preserve">         escuela[86]. El área se encuentra cercada,  al  poniente,  por  el</w:t>
        <w:br/>
        <w:t xml:space="preserve">         cerro “El Chingo” y, al oriente, por el cerro “La Cruz”[87].</w:t>
        <w:br/>
        <w:br/>
        <w:t xml:space="preserve">     88. Entre fines de  noviembre  y  principios  de  diciembre  de  1981,</w:t>
        <w:br/>
        <w:t xml:space="preserve">         soldados indicaron a un comerciante  del  caserío  El  Mozote,  de</w:t>
        <w:br/>
        <w:t xml:space="preserve">         nombre Marcos Díaz,  que  acumulara  víveres  y  aconsejara  a  la</w:t>
        <w:br/>
        <w:t xml:space="preserve">         población que se concentrase en el caserío pues para aquellos  que</w:t>
        <w:br/>
        <w:t xml:space="preserve">         estuvieran reunidos allí no  correría  peligro  su  vida,  pero  a</w:t>
        <w:br/>
        <w:t xml:space="preserve">         quienes estuvieran dispersos los matarían[88]. Aproximadamente  en</w:t>
        <w:br/>
        <w:t xml:space="preserve">         la primera semana del mes de diciembre de 1981, dicha persona hizo</w:t>
        <w:br/>
        <w:t xml:space="preserve">         pública la advertencia efectuada por oficiales de la Fuerza Armada</w:t>
        <w:br/>
        <w:t xml:space="preserve">         en el sentido de que  muy  pronto  se  iba  a  iniciar  un  fuerte</w:t>
        <w:br/>
        <w:t xml:space="preserve">         operativo en el área, razón por la cual muchos pobladores  de  las</w:t>
        <w:br/>
        <w:t xml:space="preserve">         zonas adyacentes al caserío El Mozote abandonaron sus viviendas  y</w:t>
        <w:br/>
        <w:t xml:space="preserve">         se concentraron en el “Llano” o centro del caserío,  especialmente</w:t>
        <w:br/>
        <w:t xml:space="preserve">         en la casa y tienda del señor Marcos Díaz[89].</w:t>
        <w:br/>
        <w:br/>
        <w:t xml:space="preserve">     89. El 10 de diciembre de 1981 tropas de las diferentes compañías  del</w:t>
        <w:br/>
        <w:t xml:space="preserve">         BIRI  Atlacatl  convergieron  en  el  caserío  El   Mozote,   tras</w:t>
        <w:br/>
        <w:t xml:space="preserve">         bombardeos  perpetrados  por  la  Fuerza  Aérea   salvadoreña[90],</w:t>
        <w:br/>
        <w:t xml:space="preserve">         alcanzando el control total de la población de la zona. Al  llegar</w:t>
        <w:br/>
        <w:t xml:space="preserve">         los  soldados  al  caserío  llevaban  consigo  capturadas   varias</w:t>
        <w:br/>
        <w:t xml:space="preserve">         personas que encontraron en los  alrededores,  quienes  no  habían</w:t>
        <w:br/>
        <w:t xml:space="preserve">         querido salir de sus casas[91]. Los soldados sacaron a la gente de</w:t>
        <w:br/>
        <w:t xml:space="preserve">         las casas, incluyendo a las personas concentradas en la vivienda y</w:t>
        <w:br/>
        <w:t xml:space="preserve">         tienda de Marcos Díaz, obligándolos a tenderse en  el  suelo  boca</w:t>
        <w:br/>
        <w:t xml:space="preserve">         abajo para interrogarlos sobre la presencia de guerrilleros en  la</w:t>
        <w:br/>
        <w:t xml:space="preserve">         zona[92]. Las personas fueron despojadas de sus pertenencias y les</w:t>
        <w:br/>
        <w:t xml:space="preserve">         ordenaron regresar a sus viviendas bajo la amenaza de  que  debían</w:t>
        <w:br/>
        <w:t xml:space="preserve">         encerrarse en las mismas “sin sacar siquiera la nariz”, pues de lo</w:t>
        <w:br/>
        <w:t xml:space="preserve">         contrario les dispararían[93].</w:t>
        <w:br/>
        <w:br/>
        <w:t xml:space="preserve">     90. Aproximadamente a las 5:00 horas de la mañana del 11 de  diciembre</w:t>
        <w:br/>
        <w:t xml:space="preserve">         de 1981, los soldados sacaron a todas las personas de  sus  casas,</w:t>
        <w:br/>
        <w:t xml:space="preserve">         agrupándolas en la plaza del caserío frente a la ermita[94]. En la</w:t>
        <w:br/>
        <w:t xml:space="preserve">         plaza los soldados les ordenaron formarse en  dos  filas,  una  de</w:t>
        <w:br/>
        <w:t xml:space="preserve">         hombres y otra, de mujeres, niñas  y  niños,  manifestándoles  que</w:t>
        <w:br/>
        <w:t xml:space="preserve">         allí permanecerían mientras tomaban la decisión de qué  hacer  con</w:t>
        <w:br/>
        <w:t xml:space="preserve">         ellos[95]. Dos horas más tarde, dividieron a las personas  en  dos</w:t>
        <w:br/>
        <w:t xml:space="preserve">         grupos: uno de hombres y niños mayores que enviaron a la ermita, y</w:t>
        <w:br/>
        <w:t xml:space="preserve">         otro de mujeres y niños  y  niñas  pequeños  que  ubicaron  en  la</w:t>
        <w:br/>
        <w:t xml:space="preserve">         vivienda del señor Alfredo Márquez[96].</w:t>
        <w:br/>
        <w:br/>
        <w:t xml:space="preserve">     91. Según fue reconocido por el Estado y establecido en su informe por</w:t>
        <w:br/>
        <w:t xml:space="preserve">         Tutela  Legal  del  Arzobispado[97],  los  comandantes  del   BIRI</w:t>
        <w:br/>
        <w:t xml:space="preserve">         Atlacatl, de la Tercera Brigada de Infantería de San Miguel y  del</w:t>
        <w:br/>
        <w:t xml:space="preserve">         Centro de Instrucción de Comandos de San Francisco Gotera y  otros</w:t>
        <w:br/>
        <w:t xml:space="preserve">         oficiales de alto rango dentro del operativo habrían sostenido una</w:t>
        <w:br/>
        <w:t xml:space="preserve">         reunión, luego de la cual se  dio  la  orden  de  ejecutar  a  las</w:t>
        <w:br/>
        <w:t xml:space="preserve">         personas.</w:t>
        <w:br/>
        <w:br/>
        <w:t xml:space="preserve">     92. Aproximadamente a las 8:00 horas de la mañana del 11 de  diciembre</w:t>
        <w:br/>
        <w:t xml:space="preserve">         de 1981 se dio inicio  a  la  ejecución  masiva  de  las  personas</w:t>
        <w:br/>
        <w:t xml:space="preserve">         concentradas  en  El  Mozote.  Al  medio  día,  tras  concluir  el</w:t>
        <w:br/>
        <w:t xml:space="preserve">         asesinato de los hombres agrupados en la ermita,  varios  soldados</w:t>
        <w:br/>
        <w:t xml:space="preserve">         ingresaron  a  la  casa  del  señor  Alfredo  Márquez  –donde   se</w:t>
        <w:br/>
        <w:t xml:space="preserve">         encontraban las mujeres y los niños  más  pequeños–  expresándoles</w:t>
        <w:br/>
        <w:t xml:space="preserve">         “hoy sí mujeres, a  los  hombres  ya  los  liberamos  sólo  quedan</w:t>
        <w:br/>
        <w:t xml:space="preserve">         ustedes. Vamos a sacarlas por grupos, porque por grupos las  vamos</w:t>
        <w:br/>
        <w:t xml:space="preserve">         a  mandar  a  sus  casas,  para   Gotera,   para   donde   ustedes</w:t>
        <w:br/>
        <w:t xml:space="preserve">         quieran”[98]. A partir de ese momento, las mujeres fueron  sacadas</w:t>
        <w:br/>
        <w:t xml:space="preserve">         en grupos  de  aproximadamente  veinte  personas,  desde  las  más</w:t>
        <w:br/>
        <w:t xml:space="preserve">         jóvenes hasta las de mayor edad, siendo obligadas  a  abandonar  a</w:t>
        <w:br/>
        <w:t xml:space="preserve">         sus hijos en dicho  lugar,  algunos  de  los  cuales  eran  recién</w:t>
        <w:br/>
        <w:t xml:space="preserve">         nacidos[99].  Llevaron  los  grupos  de   mujeres   a   diferentes</w:t>
        <w:br/>
        <w:t xml:space="preserve">         viviendas, entre ellas la del señor Israel Márquez,  donde  fueron</w:t>
        <w:br/>
        <w:t xml:space="preserve">         ametralladas[100].  En  la  casa  del  señor  Israel  Márquez,  se</w:t>
        <w:br/>
        <w:t xml:space="preserve">         recuperó 31 concentraciones de fragmentos  óseos  (12  adultos,  4</w:t>
        <w:br/>
        <w:t xml:space="preserve">         subadultos menores de 3 años y el resto imposible de  identificar)</w:t>
        <w:br/>
        <w:t xml:space="preserve">         y cenizas debido a la acción de fuego[101]. En cuanto al sexo,  en</w:t>
        <w:br/>
        <w:t xml:space="preserve">         su gran mayoría se  trata  de  individuos  de  sexo  femenino;  no</w:t>
        <w:br/>
        <w:t xml:space="preserve">         obstante, la identificación es indeterminada así como la causa  de</w:t>
        <w:br/>
        <w:t xml:space="preserve">         muerte,  aunque  se  puede  inferir  que,  dado   las   evidencias</w:t>
        <w:br/>
        <w:t xml:space="preserve">         balísticas encontradas,  los  individuos  antes  de  ser  quemados</w:t>
        <w:br/>
        <w:t xml:space="preserve">         fueron asesinados con armas de fuego de alta velocidad[102].</w:t>
        <w:br/>
        <w:br/>
        <w:t xml:space="preserve">     93. Según fue reconocido por el Estado y establecido por Tutela  Legal</w:t>
        <w:br/>
        <w:t xml:space="preserve">         del Arzobispado en sus informes, a las  mujeres  más  jóvenes  las</w:t>
        <w:br/>
        <w:t xml:space="preserve">         llevaron a los alrededores del caserío, especialmente a los cerros</w:t>
        <w:br/>
        <w:t xml:space="preserve">         “El Chingo” y “La Cruz”, donde miembros del ejército las  violaron</w:t>
        <w:br/>
        <w:t xml:space="preserve">         sexualmente previo a asesinarlas[103].</w:t>
        <w:br/>
        <w:br/>
        <w:t xml:space="preserve">     94. Luego, los niños y niñas más pequeños, que aún permanecían  en  la</w:t>
        <w:br/>
        <w:t xml:space="preserve">         casa de Alfredo Márquez, fueron ejecutados, algunos en esta  misma</w:t>
        <w:br/>
        <w:t xml:space="preserve">         casa y otros en el interior y exterior del convento[104].  En  ese</w:t>
        <w:br/>
        <w:t xml:space="preserve">         momento, según relató la señora Rufina Amaya,  “se  escuchaba  los</w:t>
        <w:br/>
        <w:t xml:space="preserve">         gritos de un niño que lloraba y pedía a su madre” por lo  que  “un</w:t>
        <w:br/>
        <w:t xml:space="preserve">         militar ordenó: ‘[a]ndá matá ese  cabrón  que  no  lo  han  matado</w:t>
        <w:br/>
        <w:t xml:space="preserve">         bien’, y al ratito que se escuchó que le dispararon ya no  se  oyó</w:t>
        <w:br/>
        <w:t xml:space="preserve">         más”[105]. La  mayoría  de  los  niños  fueron  asesinados  en  el</w:t>
        <w:br/>
        <w:t xml:space="preserve">         interior del convento, cabaña ubicada junto a la ermita,  el  cual</w:t>
        <w:br/>
        <w:t xml:space="preserve">         fue  luego  quemado[106].  Más  del  95%  de  los  143  individuos</w:t>
        <w:br/>
        <w:t xml:space="preserve">         identificados corresponden a niños, siendo el promedio de edad  de</w:t>
        <w:br/>
        <w:t xml:space="preserve">         6 años[107]. Las personas encontradas en el convento murieron allí</w:t>
        <w:br/>
        <w:t xml:space="preserve">         o sus cuerpos fueron depositados en  dicho  lugar  cuando  todavía</w:t>
        <w:br/>
        <w:t xml:space="preserve">         conservaban sus partes blandas[108]. Por ende, se concluye que por</w:t>
        <w:br/>
        <w:t xml:space="preserve">         lo menos una cierta cantidad de personas fueron asesinadas  en  el</w:t>
        <w:br/>
        <w:t xml:space="preserve">         convento, y quemadas en  el  mismo  lugar,  dado  “los  abundantes</w:t>
        <w:br/>
        <w:t xml:space="preserve">         signos de fuego en todos los niveles de la vivienda”[109].</w:t>
        <w:br/>
        <w:br/>
        <w:t xml:space="preserve">     95. Tal como fue reconocido por el Estado  y  establecido  por  Tutela</w:t>
        <w:br/>
        <w:t xml:space="preserve">         Legal del Arzobispado en su informe[110], los cuerpos de todas las</w:t>
        <w:br/>
        <w:t xml:space="preserve">         personas asesinadas fueron apilados en varias viviendas, que luego</w:t>
        <w:br/>
        <w:t xml:space="preserve">         fueron quemadas por los soldados. Del mismo modo, prendieron fuego</w:t>
        <w:br/>
        <w:t xml:space="preserve">         a la ermita, en donde había personas lesionadas aún con vida, pues</w:t>
        <w:br/>
        <w:t xml:space="preserve">         se pudieron escuchar los gritos y lamentos.</w:t>
        <w:br/>
        <w:br/>
        <w:t xml:space="preserve">     96. Sobrevivientes de las masacres que se habían escondido en el monte</w:t>
        <w:br/>
        <w:t xml:space="preserve">         y otras personas o familiares indicaron haber acudido a El  Mozote</w:t>
        <w:br/>
        <w:t xml:space="preserve">         después de la masacre en busca  de  familiares  que  vivían  allí,</w:t>
        <w:br/>
        <w:t xml:space="preserve">         encontrándose con cadáveres de niños, mujeres y  ancianos,  muchos</w:t>
        <w:br/>
        <w:t xml:space="preserve">         de ellos carbonizados, degollados o desmembrados por los animales,</w:t>
        <w:br/>
        <w:t xml:space="preserve">         y casas quemadas[111].</w:t>
        <w:br/>
        <w:br/>
        <w:t xml:space="preserve">     97. De acuerdo a lo establecido en el informe de fondo de la  Comisión</w:t>
        <w:br/>
        <w:t xml:space="preserve">         y  reconocido  por  el  Estado,  hasta  ese   momento   se   había</w:t>
        <w:br/>
        <w:t xml:space="preserve">         identificado que aproximadamente 498 personas fueron ejecutadas en</w:t>
        <w:br/>
        <w:t xml:space="preserve">         el caserío El Mozote. Ello, sin perjuicio de lo que  oportunamente</w:t>
        <w:br/>
        <w:t xml:space="preserve">         esta  Corte  establezca  en  esta  Sentencia,  de  acuerdo  a  los</w:t>
        <w:br/>
        <w:t xml:space="preserve">         criterios  expuestos  anteriormente  para  la   determinación   de</w:t>
        <w:br/>
        <w:t xml:space="preserve">         víctimas (supra párr. 57).</w:t>
        <w:br/>
        <w:br/>
        <w:br/>
        <w:t xml:space="preserve">                   La masacre en el cantón La Joya</w:t>
        <w:br/>
        <w:br/>
        <w:br/>
        <w:t xml:space="preserve">     98. El cantón La Joya, de la jurisdicción de Meanguera,  es  un  valle</w:t>
        <w:br/>
        <w:t xml:space="preserve">         con un río llamado “Las Marías”, que se encuentra  aproximadamente</w:t>
        <w:br/>
        <w:t xml:space="preserve">         a tres kilómetros  al  suroeste  del  caserío  El  Mozote,  en  el</w:t>
        <w:br/>
        <w:t xml:space="preserve">         Departamento de Morazán[112]. Hacia el oeste se ubica una planicie</w:t>
        <w:br/>
        <w:t xml:space="preserve">         en altura conocida como “Arada Vieja”, situada en el  caserío  Los</w:t>
        <w:br/>
        <w:t xml:space="preserve">         Quebrachos.</w:t>
        <w:br/>
        <w:br/>
        <w:t xml:space="preserve">     99. El 10 diciembre de 1981 gran cantidad de helicópteros de la Fuerza</w:t>
        <w:br/>
        <w:t xml:space="preserve">         Aérea salvadoreña sobrevolaron  el  cantón  y  aterrizaron  en  la</w:t>
        <w:br/>
        <w:t xml:space="preserve">         “Arada Vieja” transportando tropas[113]. En  horas  de  la  tarde,</w:t>
        <w:br/>
        <w:t xml:space="preserve">         efectivos militares abrieron fuego con morteros y fusilería contra</w:t>
        <w:br/>
        <w:t xml:space="preserve">         el  cantón[114].  Por  tal  razón,  algunos   moradores   buscaron</w:t>
        <w:br/>
        <w:t xml:space="preserve">         esconderse inmediatamente[115], otros esperaron la  madrugada  del</w:t>
        <w:br/>
        <w:t xml:space="preserve">         día 11 de diciembre para salir a esconderse en el monte o  el  río</w:t>
        <w:br/>
        <w:t xml:space="preserve">         Las Marías[116], y un gran número de personas decidió no abandonar</w:t>
        <w:br/>
        <w:t xml:space="preserve">         el lugar. Los hombres que se fueron a esconder al monte o  al  río</w:t>
        <w:br/>
        <w:t xml:space="preserve">         creyeron que a sus mujeres e hijos pequeños, a quienes dejaron  en</w:t>
        <w:br/>
        <w:t xml:space="preserve">         sus viviendas, no les harían daño[117].</w:t>
        <w:br/>
        <w:br/>
        <w:t xml:space="preserve">    100. Aproximadamente a las 8:00 horas de la mañana del 11 de  diciembre</w:t>
        <w:br/>
        <w:t xml:space="preserve">         de  1981  soldados  uniformados  ingresaron  al  cantón  La   Joya</w:t>
        <w:br/>
        <w:t xml:space="preserve">         procediendo a sacar a las personas de sus viviendas y asesinarlas,</w:t>
        <w:br/>
        <w:t xml:space="preserve">         para  luego  quemar  las  viviendas,  bienes  y  animales  de   la</w:t>
        <w:br/>
        <w:t xml:space="preserve">         población[118].  Algunos  sobrevivientes  pudieron  escuchar   los</w:t>
        <w:br/>
        <w:t xml:space="preserve">         gritos  y  lamentos   de   las   personas   que   estaban   siendo</w:t>
        <w:br/>
        <w:t xml:space="preserve">         asesinadas[119].</w:t>
        <w:br/>
        <w:br/>
        <w:t xml:space="preserve">    101. Sobrevivientes de La Joya se vieron forzados a huir  y  evadir  el</w:t>
        <w:br/>
        <w:t xml:space="preserve">         operativo militar, arrastrándose en los montes  y  ocultándose  en</w:t>
        <w:br/>
        <w:t xml:space="preserve">         las cuevas más cercanas por muchos días[120].</w:t>
        <w:br/>
        <w:br/>
        <w:t xml:space="preserve">    102. Asimismo, un grupo de aproximadamente 50 personas buscaron refugio</w:t>
        <w:br/>
        <w:t xml:space="preserve">         en el cerro conocido como “El Perico”, situado a unos  500  metros</w:t>
        <w:br/>
        <w:t xml:space="preserve">         de  las  viviendas  del  cantón[121].  Desde  ese  lugar  pudieron</w:t>
        <w:br/>
        <w:t xml:space="preserve">         observar las columnas de humo  y  escuchar  los  disparos  de  los</w:t>
        <w:br/>
        <w:t xml:space="preserve">         soldados[122].</w:t>
        <w:br/>
        <w:br/>
        <w:t xml:space="preserve">    103. Después de varios días, las personas que se ocultaron en el monte,</w:t>
        <w:br/>
        <w:t xml:space="preserve">         en el río, en las cuevas y en el  cerro  “El  Perico”  bajaron  al</w:t>
        <w:br/>
        <w:t xml:space="preserve">         caserío  y  enterraron  a  las  personas  muertas[123].  Asimismo,</w:t>
        <w:br/>
        <w:t xml:space="preserve">         encontraron todas sus viviendas quemadas y destruidas, por lo  que</w:t>
        <w:br/>
        <w:t xml:space="preserve">         la mayoría decidió ir a buscar refugio en Honduras[124].</w:t>
        <w:br/>
        <w:br/>
        <w:t xml:space="preserve">    104. Finalizada la masacre pudo leerse en una  pared  la  frase:  “Aquí</w:t>
        <w:br/>
        <w:t xml:space="preserve">         pasó el Batallón  Atlacatl”[125].  Según  fue  reconocido  por  el</w:t>
        <w:br/>
        <w:t xml:space="preserve">         Estado y establecido  por  Tutela  Legal  del  Arzobispado  en  su</w:t>
        <w:br/>
        <w:t xml:space="preserve">         informe[126], a finales de diciembre de 1981 un avión sobrevoló la</w:t>
        <w:br/>
        <w:t xml:space="preserve">         población de San Fernando, al norte del Departamento  de  Morazán,</w:t>
        <w:br/>
        <w:t xml:space="preserve">         lanzando papeles de aviso que informaban a la población  sobre  la</w:t>
        <w:br/>
        <w:t xml:space="preserve">         muerte de toda la gente de los cantones La Joya y Cerro Pando y el</w:t>
        <w:br/>
        <w:t xml:space="preserve">         caserío El Mozote.</w:t>
        <w:br/>
        <w:br/>
        <w:t xml:space="preserve">    105. De acuerdo a lo establecido en el informe de fondo de la  Comisión</w:t>
        <w:br/>
        <w:t xml:space="preserve">         y  reconocido  por  el  Estado,  hasta  ese   momento   se   había</w:t>
        <w:br/>
        <w:t xml:space="preserve">         identificado que aproximadamente 152 personas fueron ejecutadas en</w:t>
        <w:br/>
        <w:t xml:space="preserve">         el cantón La Joya. Ello, sin perjuicio  de  lo  que  oportunamente</w:t>
        <w:br/>
        <w:t xml:space="preserve">         esta  Corte  establezca  en  esta  Sentencia,  de  acuerdo  a  los</w:t>
        <w:br/>
        <w:t xml:space="preserve">         criterios  expuestos  anteriormente  para  la   determinación   de</w:t>
        <w:br/>
        <w:t xml:space="preserve">         víctimas (supra párr. 57).</w:t>
        <w:br/>
        <w:br/>
        <w:br/>
        <w:t xml:space="preserve">                   La masacre en el caserío Ranchería</w:t>
        <w:br/>
        <w:br/>
        <w:br/>
        <w:t xml:space="preserve">    106. El caserío Ranchería, del cantón Guacamaya, de la jurisdicción  de</w:t>
        <w:br/>
        <w:t xml:space="preserve">         Meanguera, Departamento de Morazán,  estaba  ubicado  a  unos  mil</w:t>
        <w:br/>
        <w:t xml:space="preserve">         metros hacia el noreste del caserío El Mozote y  estaba  compuesto</w:t>
        <w:br/>
        <w:t xml:space="preserve">         por aproximadamente unas 17 viviendas de familias campesinas[127].</w:t>
        <w:br/>
        <w:br/>
        <w:t xml:space="preserve">    107. Según fue reconocido por el Estado y establecido por Tutela  Legal</w:t>
        <w:br/>
        <w:t xml:space="preserve">         del Arzobispado en su informe, en las primeras horas de la  mañana</w:t>
        <w:br/>
        <w:t xml:space="preserve">         del 12 de diciembre de 1981, la Tercera Compañía del BIRI Atlacatl</w:t>
        <w:br/>
        <w:t xml:space="preserve">         se desplazó en esta dirección, rumbo a Ranchería  y  Los  Toriles,</w:t>
        <w:br/>
        <w:t xml:space="preserve">         donde continuaron los asesinatos masivos  de  los  pobladores.  En</w:t>
        <w:br/>
        <w:t xml:space="preserve">         este caserío los asesinatos se  perpetraron  al  interior  de  las</w:t>
        <w:br/>
        <w:t xml:space="preserve">         viviendas, contra grupos familiares. Iniciaron  con  la  casa  del</w:t>
        <w:br/>
        <w:t xml:space="preserve">         señor Vicente Márquez,  continuaron  con  la  vivienda  del  señor</w:t>
        <w:br/>
        <w:t xml:space="preserve">         Catarino Rodríguez[128],  en  la  cual  vivían  tres  familias,  y</w:t>
        <w:br/>
        <w:t xml:space="preserve">         siguieron familia por familia durante varias horas. Muchas de  las</w:t>
        <w:br/>
        <w:t xml:space="preserve">         viviendas fueron quemadas después de los asesinatos[129].</w:t>
        <w:br/>
        <w:br/>
        <w:t xml:space="preserve">    108. Según fue reconocido por el Estado y establecido por Tutela  Legal</w:t>
        <w:br/>
        <w:t xml:space="preserve">         del Arzobispado en su  informe[130],  las  personas  que  lograron</w:t>
        <w:br/>
        <w:t xml:space="preserve">         escapar y que estaban escondidas en el momento, pudieron  escuchar</w:t>
        <w:br/>
        <w:t xml:space="preserve">         los disparos, los gritos de las personas  suplicando  que  no  las</w:t>
        <w:br/>
        <w:t xml:space="preserve">         mataran y el llanto de los niños. Muchos de  estos  sobrevivientes</w:t>
        <w:br/>
        <w:t xml:space="preserve">         volvieron al lugar en búsqueda de sus familiares y encontraron los</w:t>
        <w:br/>
        <w:t xml:space="preserve">         cadáveres, algunos de ellos degollados y mutilados.</w:t>
        <w:br/>
        <w:br/>
        <w:t xml:space="preserve">    109. De acuerdo a lo establecido en el informe de fondo de la  Comisión</w:t>
        <w:br/>
        <w:t xml:space="preserve">         y  reconocido  por  el  Estado,  hasta  ese   momento   se   había</w:t>
        <w:br/>
        <w:t xml:space="preserve">         identificado que aproximadamente 56 personas fueron ejecutadas  en</w:t>
        <w:br/>
        <w:t xml:space="preserve">         el caserío Ranchería. Ello, sin perjuicio de lo que  oportunamente</w:t>
        <w:br/>
        <w:t xml:space="preserve">         esta  Corte  establezca  en  esta  Sentencia,  de  acuerdo  a  los</w:t>
        <w:br/>
        <w:t xml:space="preserve">         criterios  expuestos  anteriormente  para  la   determinación   de</w:t>
        <w:br/>
        <w:t xml:space="preserve">         víctimas (supra párr. 57).</w:t>
        <w:br/>
        <w:br/>
        <w:br/>
        <w:t xml:space="preserve">                   La masacre en el caserío Los Toriles</w:t>
        <w:br/>
        <w:br/>
        <w:br/>
        <w:t xml:space="preserve">    110. El caserío Los Toriles, del cantón Guacamaya, de  la  jurisdicción</w:t>
        <w:br/>
        <w:t xml:space="preserve">         de   Meanguera,   Departamento   de   Morazán,   estaba    ubicado</w:t>
        <w:br/>
        <w:t xml:space="preserve">         inmediatamente al lado del caserío Ranchería.</w:t>
        <w:br/>
        <w:br/>
        <w:t xml:space="preserve">    111. Aproximadamente a las 7:00 horas de la mañana del 12 de  diciembre</w:t>
        <w:br/>
        <w:t xml:space="preserve">         de 1981, comenzaron los  asesinatos  por  grupos  familiares[131].</w:t>
        <w:br/>
        <w:t xml:space="preserve">         Posteriormente, los soldados procedieron a quemar y  destruir  las</w:t>
        <w:br/>
        <w:t xml:space="preserve">         viviendas, los cultivos, los animales y los bienes[132]. En  forma</w:t>
        <w:br/>
        <w:t xml:space="preserve">         concordante, según surge de las  exhumaciones  realizadas  por  el</w:t>
        <w:br/>
        <w:t xml:space="preserve">         Equipo Argentino de Antropología Forense  en  cuatro  sitios,  las</w:t>
        <w:br/>
        <w:t xml:space="preserve">         familias fueron concentradas antes de  ser  ametralladas  por  los</w:t>
        <w:br/>
        <w:t xml:space="preserve">         militares, y los esqueletos se encontraban en  buenas  condiciones</w:t>
        <w:br/>
        <w:t xml:space="preserve">         dado que las víctimas no  fueron  quemadas  ni  apiladas,  lo  que</w:t>
        <w:br/>
        <w:t xml:space="preserve">         facilitó la identificación[133].</w:t>
        <w:br/>
        <w:br/>
        <w:t xml:space="preserve">    112. De acuerdo a lo establecido en el informe de fondo de la  Comisión</w:t>
        <w:br/>
        <w:t xml:space="preserve">         y  reconocido  por  el  Estado,  hasta  ese   momento   se   había</w:t>
        <w:br/>
        <w:t xml:space="preserve">         identificado que aproximadamente 82 personas fueron ejecutadas  en</w:t>
        <w:br/>
        <w:t xml:space="preserve">         el  caserío  Los  Toriles.  Ello,  sin   perjuicio   de   lo   que</w:t>
        <w:br/>
        <w:t xml:space="preserve">         oportunamente esta Corte establezca en esta Sentencia, de  acuerdo</w:t>
        <w:br/>
        <w:t xml:space="preserve">         a los criterios expuestos anteriormente para la  determinación  de</w:t>
        <w:br/>
        <w:t xml:space="preserve">         víctimas (supra párr. 57).</w:t>
        <w:br/>
        <w:br/>
        <w:br/>
        <w:t xml:space="preserve">                   La masacre en el caserío Jocote Amarillo</w:t>
        <w:br/>
        <w:br/>
        <w:br/>
        <w:t xml:space="preserve">    113.  El  caserío  Jocote  Amarillo,  del  cantón  Guacamaya,   de   la</w:t>
        <w:br/>
        <w:t xml:space="preserve">         jurisdicción de Meanguera, Departamento de Morazán, se  encontraba</w:t>
        <w:br/>
        <w:t xml:space="preserve">         situado aproximadamente a dos kilómetros al  sur  del  caserío  El</w:t>
        <w:br/>
        <w:t xml:space="preserve">         Mozote.</w:t>
        <w:br/>
        <w:br/>
        <w:t xml:space="preserve">    114. El operativo militar y  los  asesinatos  ocurridos  en  los  otros</w:t>
        <w:br/>
        <w:t xml:space="preserve">         lugares ya era información conocida por los habitantes  de  Jocote</w:t>
        <w:br/>
        <w:t xml:space="preserve">         Amarillo[134],  razón  por  la  cual  muchas   personas   lograron</w:t>
        <w:br/>
        <w:t xml:space="preserve">         esconderse en el monte antes de la llegada de los  militares.  Sin</w:t>
        <w:br/>
        <w:t xml:space="preserve">         embargo, otras personas se refugiaron en este lugar[135], debido a</w:t>
        <w:br/>
        <w:t xml:space="preserve">         que, como fue establecido en el informe de fondo y reconocido  por</w:t>
        <w:br/>
        <w:t xml:space="preserve">         el Estado, estaba más lejos y se creía que allí no  llegarían  los</w:t>
        <w:br/>
        <w:t xml:space="preserve">         soldados.</w:t>
        <w:br/>
        <w:br/>
        <w:t xml:space="preserve">    115. Según las narraciones de sobrevivientes,  quienes  escucharon  los</w:t>
        <w:br/>
        <w:t xml:space="preserve">         disparos y observaron columnas de humo,  los  efectivos  militares</w:t>
        <w:br/>
        <w:t xml:space="preserve">         comenzaron los asesinatos en Jocote Amarillo entre las 7:00 y 9:00</w:t>
        <w:br/>
        <w:t xml:space="preserve">         horas de la mañana del 13 de diciembre  de  1981[136].  Según  fue</w:t>
        <w:br/>
        <w:t xml:space="preserve">         establecido en el informe de fondo y reconocido por el Estado, fue</w:t>
        <w:br/>
        <w:t xml:space="preserve">         constante el tiroteo, los  gritos  de  angustia  y  dolor  y  “los</w:t>
        <w:br/>
        <w:t xml:space="preserve">         clamores de la gente que  estaba  siendo  asesinada”.  Al  volver,</w:t>
        <w:br/>
        <w:t xml:space="preserve">         aquellos que  lograron  huir  encontraron  los  cadáveres  de  sus</w:t>
        <w:br/>
        <w:t xml:space="preserve">         familiares,    algunos    carbonizados,    y     procedieron     a</w:t>
        <w:br/>
        <w:t xml:space="preserve">         enterrarlos[137]. Todas las casas habían sido quemadas[138].</w:t>
        <w:br/>
        <w:br/>
        <w:t xml:space="preserve">    116. De acuerdo a lo establecido en el informe de fondo de la  Comisión</w:t>
        <w:br/>
        <w:t xml:space="preserve">         y  reconocido  por  el  Estado,  hasta  ese   momento   se   había</w:t>
        <w:br/>
        <w:t xml:space="preserve">         identificado que aproximadamente 23 personas fueron ejecutadas  en</w:t>
        <w:br/>
        <w:t xml:space="preserve">         el  caserío  Jocote  Amarillo.  Ello,  sin  perjuicio  de  lo  que</w:t>
        <w:br/>
        <w:t xml:space="preserve">         oportunamente esta Corte establezca en esta Sentencia, de  acuerdo</w:t>
        <w:br/>
        <w:t xml:space="preserve">         a los criterios expuestos anteriormente para la  determinación  de</w:t>
        <w:br/>
        <w:t xml:space="preserve">         víctimas (supra párr. 57).</w:t>
        <w:br/>
        <w:br/>
        <w:br/>
        <w:t xml:space="preserve">                   La masacre en el cantón Cerro Pando y en una  cueva  del</w:t>
        <w:br/>
        <w:t xml:space="preserve">                   Cerro Ortiz</w:t>
        <w:br/>
        <w:br/>
        <w:br/>
        <w:t xml:space="preserve">    117. El cantón Cerro Pando, del Municipio de Meanguera,  se  encontraba</w:t>
        <w:br/>
        <w:t xml:space="preserve">         ubicado a unos 4 kilómetros al sur del caserío El  Mozote,  en  el</w:t>
        <w:br/>
        <w:t xml:space="preserve">         Departamento de Morazán.</w:t>
        <w:br/>
        <w:br/>
        <w:t xml:space="preserve">    118. A la llegada de los soldados el 13 de diciembre  de  1981,  muchas</w:t>
        <w:br/>
        <w:t xml:space="preserve">         personas ya estaban ocultas en los montes[139]. No obstante, a las</w:t>
        <w:br/>
        <w:t xml:space="preserve">         8:00 horas de la mañana se empezó a escuchar el clamor de la gente</w:t>
        <w:br/>
        <w:t xml:space="preserve">         y los gritos de los niños que permanecían en  sus  casas,  quienes</w:t>
        <w:br/>
        <w:t xml:space="preserve">         fueron asesinados[140]. Luego las casas fueron quemadas[141],  por</w:t>
        <w:br/>
        <w:t xml:space="preserve">         lo que muchas de estas personas  fueron  encontradas  carbonizadas</w:t>
        <w:br/>
        <w:t xml:space="preserve">         por sus familiares o devoradas por aves de rapiña[142].</w:t>
        <w:br/>
        <w:br/>
        <w:t xml:space="preserve">    119. De acuerdo a lo establecido en el informe de fondo de la  Comisión</w:t>
        <w:br/>
        <w:t xml:space="preserve">         y  reconocido  por  el  Estado,  hasta  ese   momento   se   había</w:t>
        <w:br/>
        <w:t xml:space="preserve">         identificado que aproximadamente 141 personas fueron ejecutadas en</w:t>
        <w:br/>
        <w:t xml:space="preserve">         el cantón Cerro Pando. Ello, sin perjuicio de lo que oportunamente</w:t>
        <w:br/>
        <w:t xml:space="preserve">         esta  Corte  establezca  en  esta  Sentencia,  de  acuerdo  a  los</w:t>
        <w:br/>
        <w:t xml:space="preserve">         criterios  expuestos  anteriormente  para  la   determinación   de</w:t>
        <w:br/>
        <w:t xml:space="preserve">         víctimas (supra párr. 57).</w:t>
        <w:br/>
        <w:br/>
        <w:t xml:space="preserve">    120. Según fue establecido por  Tutela  Legal  del  Arzobispado  en  su</w:t>
        <w:br/>
        <w:t xml:space="preserve">         informe[143] y reconocido por el Estado, en el  contexto  de  esta</w:t>
        <w:br/>
        <w:t xml:space="preserve">         masacre, unas 20 personas se refugiaron del operativo en una cueva</w:t>
        <w:br/>
        <w:t xml:space="preserve">         del Cerro Ortiz, municipio de El Zapotal, pero fueron descubiertas</w:t>
        <w:br/>
        <w:t xml:space="preserve">         por los soldados a raíz del llanto de un niño, quienes, sin previo</w:t>
        <w:br/>
        <w:t xml:space="preserve">         aviso, lanzaron una granada dentro de la cueva.  Los  heridos  que</w:t>
        <w:br/>
        <w:t xml:space="preserve">         podían caminar abandonaron la cueva[144].</w:t>
        <w:br/>
        <w:br/>
        <w:t xml:space="preserve">    121. De acuerdo a lo establecido en el informe de fondo de la  Comisión</w:t>
        <w:br/>
        <w:t xml:space="preserve">         y  reconocido  por  el  Estado,  hasta  ese   momento   se   había</w:t>
        <w:br/>
        <w:t xml:space="preserve">         identificado que aproximadamente 15 personas fueron ejecutadas  en</w:t>
        <w:br/>
        <w:t xml:space="preserve">         una  cueva  del  Cerro  Ortiz.  Ello,  sin  perjuicio  de  lo  que</w:t>
        <w:br/>
        <w:t xml:space="preserve">         oportunamente esta Corte establezca en esta Sentencia, de  acuerdo</w:t>
        <w:br/>
        <w:t xml:space="preserve">         a los criterios expuestos anteriormente para la  determinación  de</w:t>
        <w:br/>
        <w:t xml:space="preserve">         víctimas (supra párr. 57).</w:t>
        <w:br/>
        <w:br/>
        <w:t xml:space="preserve">           4)    Los desplazamientos internos e internacionales</w:t>
        <w:br/>
        <w:br/>
        <w:t xml:space="preserve">    122. De las declaraciones obrantes en el expediente  se  desprende  que</w:t>
        <w:br/>
        <w:t xml:space="preserve">         existieron desplazamientos internos[145] y hacia la  República  de</w:t>
        <w:br/>
        <w:t xml:space="preserve">         Honduras[146] previos a las  masacres,  como  consecuencia  de  la</w:t>
        <w:br/>
        <w:t xml:space="preserve">         situación imperante en la zona norte del Departamento de Morazán.</w:t>
        <w:br/>
        <w:br/>
        <w:t xml:space="preserve">    123. Asimismo, debido al temor causado en la población sobreviviente, a</w:t>
        <w:br/>
        <w:t xml:space="preserve">         la destrucción y quema de viviendas y  a  la  eliminación  de  sus</w:t>
        <w:br/>
        <w:t xml:space="preserve">         medios de subsistencia, ocurrieron movimientos masivos de personas</w:t>
        <w:br/>
        <w:t xml:space="preserve">         a raíz de  las  masacres  del  presente  caso.  Las  declaraciones</w:t>
        <w:br/>
        <w:t xml:space="preserve">         recabadas indican que las personas sobrevivientes  se  desplazaron</w:t>
        <w:br/>
        <w:t xml:space="preserve">         internamente[147] y/o partieron a la República  de  Honduras  para</w:t>
        <w:br/>
        <w:t xml:space="preserve">         refugiarse a los campamentos de Colomoncagua[148]. La perito Yáñez</w:t>
        <w:br/>
        <w:t xml:space="preserve">         De La  Cruz  contabilizó  361  lugares  distintos  a  los  que  se</w:t>
        <w:br/>
        <w:t xml:space="preserve">         desplazaron los sobrevivientes, siendo que “el promedio de lugares</w:t>
        <w:br/>
        <w:t xml:space="preserve">         en los que se desplazaron  en  la  huida,  fue  de  tres  lugares,</w:t>
        <w:br/>
        <w:t xml:space="preserve">         existiendo personas que se desplazaron hasta en cuatro”[149].</w:t>
        <w:br/>
        <w:br/>
        <w:t xml:space="preserve">    124. Los testimonios también son coincidentes  en  manifestar  que  las</w:t>
        <w:br/>
        <w:t xml:space="preserve">         personas  desplazadas  internas   y   los   refugiados   sufrieron</w:t>
        <w:br/>
        <w:t xml:space="preserve">         diferentes formas de discriminación por el hecho  de  provenir  de</w:t>
        <w:br/>
        <w:t xml:space="preserve">         una zona asociada con la guerrilla[150].</w:t>
        <w:br/>
        <w:br/>
        <w:t xml:space="preserve">    125. Algunas personas desplazadas internas han vuelto a sus lugares  de</w:t>
        <w:br/>
        <w:t xml:space="preserve">         origen por cuenta propia y otras se han establecido en  la  ciudad</w:t>
        <w:br/>
        <w:t xml:space="preserve">         Segundo Montes, en general al concluir el conflicto armado[151].</w:t>
        <w:br/>
        <w:br/>
        <w:t xml:space="preserve">    126. Los  sobrevivientes  que  salieron  a  la  República  de  Honduras</w:t>
        <w:br/>
        <w:t xml:space="preserve">         permanecieron en los campamentos de refugio entre 7 y 9  años.  Es</w:t>
        <w:br/>
        <w:t xml:space="preserve">         así que debido a gestiones de  organismos  humanitarios,  ACNUR  y</w:t>
        <w:br/>
        <w:t xml:space="preserve">         otras instituciones, entre fines de 1989 y febrero  de  1990,  las</w:t>
        <w:br/>
        <w:t xml:space="preserve">         personas que se encontraban en  Colomancagua  fueron  repatriadas,</w:t>
        <w:br/>
        <w:t xml:space="preserve">         asentándose en lo que hoy se conoce como la ciudad Segundo Montes,</w:t>
        <w:br/>
        <w:t xml:space="preserve">         en el Departamento de Morazán[152].</w:t>
        <w:br/>
        <w:br/>
        <w:t xml:space="preserve">    127. Según la perito Yáñez De La Cruz, los retornos se produjeron de la</w:t>
        <w:br/>
        <w:t xml:space="preserve">         siguiente forma: “[e]l 45% regres[ó] entre los a[ñ]os 1991 y 2009,</w:t>
        <w:br/>
        <w:t xml:space="preserve">         el 4% lo hizo en el 1991, el 27% lo hizo en el  1992,  el  23%  en</w:t>
        <w:br/>
        <w:t xml:space="preserve">         1995, y entre el 4 y 5% lo hizo a partir del 1996 hasta el  2009”.</w:t>
        <w:br/>
        <w:t xml:space="preserve">         Las personas que aún no han regresado representan el 55%,  de  las</w:t>
        <w:br/>
        <w:t xml:space="preserve">         cuales se aducen como causas para no retornar las siguientes:  “el</w:t>
        <w:br/>
        <w:t xml:space="preserve">         78% no tuvo posibilidad, por la pobreza en que vivían y porque  no</w:t>
        <w:br/>
        <w:t xml:space="preserve">         tenían nada allá [y] el 22% no regresó por miedo”[153].</w:t>
        <w:br/>
        <w:br/>
        <w:br/>
        <w:t>B.    Argumentos de la Comisión y alegatos de las partes</w:t>
        <w:br/>
        <w:br/>
        <w:br/>
        <w:t xml:space="preserve">            1)   Argumentos de la Comisión Interamericana</w:t>
        <w:br/>
        <w:br/>
        <w:t xml:space="preserve">    128. La Comisión dio por establecido  que  entre  el  11  y  el  13  de</w:t>
        <w:br/>
        <w:t xml:space="preserve">         diciembre  de  1981,  se  habría  llevado  a  cabo  un   operativo</w:t>
        <w:br/>
        <w:t xml:space="preserve">         principalmente por parte del BIRI Atlacatl,  con  apoyo  de  otras</w:t>
        <w:br/>
        <w:t xml:space="preserve">         dependencias militares, incluida la Fuerza Aérea  Salvadoreña,  en</w:t>
        <w:br/>
        <w:t xml:space="preserve">         el  cual  se  habrían  perpetrado  masacres  sucesivas  en   siete</w:t>
        <w:br/>
        <w:t xml:space="preserve">         localidades del norte del  Departamento  de  Morazán  con  extrema</w:t>
        <w:br/>
        <w:t xml:space="preserve">         crueldad, principalmente mediante el uso de armas de  fuego,  pero</w:t>
        <w:br/>
        <w:t xml:space="preserve">         también a través de golpes con  palos,  degollamientos  e  incluso</w:t>
        <w:br/>
        <w:t xml:space="preserve">         incendios en lugares en los cuales aún se encontraban personas con</w:t>
        <w:br/>
        <w:t xml:space="preserve">         vida.  Según  la  Comisión,  en  estos   hechos   habrían   muerto</w:t>
        <w:br/>
        <w:t xml:space="preserve">         aproximadamente un millar de  personas,  sin  que  exista  indicio</w:t>
        <w:br/>
        <w:t xml:space="preserve">         alguno que indique la  posibilidad  de  que  los  alegados  hechos</w:t>
        <w:br/>
        <w:t xml:space="preserve">         ocurrieron en  el  contexto  de  un  enfrentamiento.  Las  pruebas</w:t>
        <w:br/>
        <w:t xml:space="preserve">         disponibles  serían  consistentes   con   un   ataque   masivo   e</w:t>
        <w:br/>
        <w:t xml:space="preserve">         indiscriminado  contra  la  población  civil.   Asimismo,   muchas</w:t>
        <w:br/>
        <w:t xml:space="preserve">         personas habrían sido golpeadas y maltratadas físicamente previo a</w:t>
        <w:br/>
        <w:t xml:space="preserve">         su asesinato. Por la naturaleza de los hechos,  no  sería  posible</w:t>
        <w:br/>
        <w:t xml:space="preserve">         contar con  información  precisa  sobre  los  distintos  actos  de</w:t>
        <w:br/>
        <w:t xml:space="preserve">         tortura a los cuales habrían  sido  sometidas  las  víctimas.  Sin</w:t>
        <w:br/>
        <w:t xml:space="preserve">         embargo,  la  Comisión  consideró  que  los  relatos  que  indican</w:t>
        <w:br/>
        <w:t xml:space="preserve">         interrogatorios con violencia  sobre  supuestos  vínculos  con  la</w:t>
        <w:br/>
        <w:t xml:space="preserve">         guerrilla y el hecho de haber  presenciado  el  asesinato  de  sus</w:t>
        <w:br/>
        <w:t xml:space="preserve">         seres  queridos,  de  sus  vecinos  y  conocidos,  por  sí   solos</w:t>
        <w:br/>
        <w:t xml:space="preserve">         permitirían concluir que  las  personas  asesinadas  habrían  sido</w:t>
        <w:br/>
        <w:t xml:space="preserve">         víctimas de  actos  de  tortura  y  tratos  crueles,  inhumanos  y</w:t>
        <w:br/>
        <w:t xml:space="preserve">         degradantes en los momentos previos a su muerte. Por  otra  parte,</w:t>
        <w:br/>
        <w:t xml:space="preserve">         la Comisión consideró que, por las circunstancias que rodearon  la</w:t>
        <w:br/>
        <w:t xml:space="preserve">         masacre en el caserío El Mozote, todas las personas asesinadas  en</w:t>
        <w:br/>
        <w:t xml:space="preserve">         dicho lugar habrían sido detenidas ilegal y arbitrariamente  antes</w:t>
        <w:br/>
        <w:t xml:space="preserve">         de su muerte. En tal virtud, la Comisión concluyó que el Estado de</w:t>
        <w:br/>
        <w:t xml:space="preserve">         El Salvador es responsable por la violación de los derechos  a  la</w:t>
        <w:br/>
        <w:t xml:space="preserve">         vida  e   integridad   personal   de   las   personas   ejecutadas</w:t>
        <w:br/>
        <w:t xml:space="preserve">         extrajudicialmente en el caserío El Mozote, el cantón La Joya, los</w:t>
        <w:br/>
        <w:t xml:space="preserve">         caseríos Ranchería, Los Toriles, Jocote Amarillo, el cantón  Cerro</w:t>
        <w:br/>
        <w:t xml:space="preserve">         Pando y una cueva del Cerro  Ortiz.  Adicionalmente,  la  Comisión</w:t>
        <w:br/>
        <w:t xml:space="preserve">         argumentó que el Estado de  El  Salvador  es  responsable  por  la</w:t>
        <w:br/>
        <w:t xml:space="preserve">         violación del derecho a  la  libertad  personal  de  las  víctimas</w:t>
        <w:br/>
        <w:t xml:space="preserve">         ejecutadas extrajudicialmente en el caserío El Mozote.</w:t>
        <w:br/>
        <w:br/>
        <w:t xml:space="preserve">    129. Alegó  la  Comisión  también  que  habría  quedado  acreditado  el</w:t>
        <w:br/>
        <w:t xml:space="preserve">         alarmante número de niños  que  habrían  sido  asesinados  en  las</w:t>
        <w:br/>
        <w:t xml:space="preserve">         masacres de El Mozote y lugares aledaños. Específicamente,  en  el</w:t>
        <w:br/>
        <w:t xml:space="preserve">         caserío El Mozote, un primer grupo de niños  habría  sido  llevado</w:t>
        <w:br/>
        <w:t xml:space="preserve">         con los hombres a un lugar en donde habrían permanecido  detenidos</w:t>
        <w:br/>
        <w:t xml:space="preserve">         siendo sometidos a distintos actos de tortura. En este sentido, la</w:t>
        <w:br/>
        <w:t xml:space="preserve">         Comisión argumentó que los altos mandos militares salvadoreños  no</w:t>
        <w:br/>
        <w:t xml:space="preserve">         sólo habrían omitido  adoptar  las  precauciones  necesarias  para</w:t>
        <w:br/>
        <w:t xml:space="preserve">         evitar le pérdida de vidas de niños  y  niñas,  sino  que  habrían</w:t>
        <w:br/>
        <w:t xml:space="preserve">         ordenado, desde sus más altas esferas, su asesinato para lograr la</w:t>
        <w:br/>
        <w:t xml:space="preserve">         finalidad de arrasar  con  toda  la  población  civil  de  lugares</w:t>
        <w:br/>
        <w:t xml:space="preserve">         percibidos como de presencia guerrillera. Por  ello,  la  Comisión</w:t>
        <w:br/>
        <w:t xml:space="preserve">         concluyó que, además de las violaciones a los derechos a la  vida,</w:t>
        <w:br/>
        <w:t xml:space="preserve">         integridad  y  libertad  personal,  el  Estado  de   El   Salvador</w:t>
        <w:br/>
        <w:t xml:space="preserve">         desconoció deliberadamente su obligación de protección especial de</w:t>
        <w:br/>
        <w:t xml:space="preserve">         los niños consagrada en  el  artículo  19  de  la  Convención,  en</w:t>
        <w:br/>
        <w:t xml:space="preserve">         relación con el artículo 1.1 del mismo instrumento,  en  perjuicio</w:t>
        <w:br/>
        <w:t xml:space="preserve">         de  todos  los  niños  y  niñas  que   habrían   sido   ejecutados</w:t>
        <w:br/>
        <w:t xml:space="preserve">         extrajudicialmente en las masacres perpetradas en  el  caserío  El</w:t>
        <w:br/>
        <w:t xml:space="preserve">         Mozote y lugares aledaños.</w:t>
        <w:br/>
        <w:br/>
        <w:t xml:space="preserve">    130. A su vez, la Comisión alegó que, dado que en el caserío El  Mozote</w:t>
        <w:br/>
        <w:t xml:space="preserve">         muchas  de  las  mujeres  jóvenes  habrían  sido  llevadas  a  los</w:t>
        <w:br/>
        <w:t xml:space="preserve">         alrededores del caserío, específicamente a los cerros “El  Chingo”</w:t>
        <w:br/>
        <w:t xml:space="preserve">         y “La Cruz”, para ser sometidas  a  violación  sexual,  de  manera</w:t>
        <w:br/>
        <w:t xml:space="preserve">         previa a su ejecución extrajudicial, el Estado de El  Salvador  es</w:t>
        <w:br/>
        <w:t xml:space="preserve">         responsable por la violación de los derechos  consagrados  en  los</w:t>
        <w:br/>
        <w:t xml:space="preserve">         artículos 5.1, 5.2 y 11.2 de la Convención, en  relación  con  las</w:t>
        <w:br/>
        <w:t xml:space="preserve">         obligaciones  establecidas  en   el   artículo   1.1   del   mismo</w:t>
        <w:br/>
        <w:t xml:space="preserve">         instrumento, en perjuicio de un grupo indeterminado de mujeres que</w:t>
        <w:br/>
        <w:t xml:space="preserve">         se encontraba en el caserío El Mozote al  momento  de  la  alegada</w:t>
        <w:br/>
        <w:t xml:space="preserve">         masacre. La Comisión también recalcó que los  actos  de  violencia</w:t>
        <w:br/>
        <w:t xml:space="preserve">         sexual a  los  que  son  sometidas  mujeres  detenidas  constituye</w:t>
        <w:br/>
        <w:t xml:space="preserve">         tortura.   Al   respecto,   la   Comisión   se   refirió   a    la</w:t>
        <w:br/>
        <w:t xml:space="preserve">         complementariedad de  los  artículos  5  y  11  de  la  Convención</w:t>
        <w:br/>
        <w:t xml:space="preserve">         Americana en casos de violación sexual, ya que además  de  afectar</w:t>
        <w:br/>
        <w:t xml:space="preserve">         la integridad física, psicológica y moral de la víctima, quebranta</w:t>
        <w:br/>
        <w:t xml:space="preserve">         su dignidad, invade una de las esferas más íntimas de su vida  -la</w:t>
        <w:br/>
        <w:t xml:space="preserve">         de su espacio físico y sexual- y la despoja de su  capacidad  para</w:t>
        <w:br/>
        <w:t xml:space="preserve">         tomar decisiones respecto de su cuerpo conforme a su autonomía.</w:t>
        <w:br/>
        <w:br/>
        <w:t xml:space="preserve">    131. La Comisión indicó que varias personas habrían sobrevivido  a  las</w:t>
        <w:br/>
        <w:t xml:space="preserve">         masacres de El Mozote  y  lugares  aledaños  quienes,  a  su  vez,</w:t>
        <w:br/>
        <w:t xml:space="preserve">         habrían sido familiares de las víctimas ejecutadas y que  la  sola</w:t>
        <w:br/>
        <w:t xml:space="preserve">         pérdida de sus seres queridos en circunstancias como las descritas</w:t>
        <w:br/>
        <w:t xml:space="preserve">         en  el  presente   caso,   permitiría   inferir   un   sufrimiento</w:t>
        <w:br/>
        <w:t xml:space="preserve">         incompatible con el artículo 5.1 de la Convención. Adicionalmente,</w:t>
        <w:br/>
        <w:t xml:space="preserve">         la Comisión se refirió a circunstancias particulares que,  por  la</w:t>
        <w:br/>
        <w:t xml:space="preserve">         naturaleza  de  los  hechos,  habrían  tenido  que   padecer   los</w:t>
        <w:br/>
        <w:t xml:space="preserve">         familiares  sobrevivientes  durante  y  con  posterioridad  a  las</w:t>
        <w:br/>
        <w:t xml:space="preserve">         masacres causando graves afectaciones a la integridad  psíquica  y</w:t>
        <w:br/>
        <w:t xml:space="preserve">         moral de los familiares  sobrevivientes.  Por  ende,  la  Comisión</w:t>
        <w:br/>
        <w:t xml:space="preserve">         concluyó que el Estado es responsable por la violación del derecho</w:t>
        <w:br/>
        <w:t xml:space="preserve">         a la integridad psíquica y moral consagrado en el artículo 5.1  de</w:t>
        <w:br/>
        <w:t xml:space="preserve">         la Convención, en relación con las obligaciones establecidas en el</w:t>
        <w:br/>
        <w:t xml:space="preserve">         artículo 1.1 del mismo instrumento, en perjuicio de los familiares</w:t>
        <w:br/>
        <w:t xml:space="preserve">         sobrevivientes.</w:t>
        <w:br/>
        <w:br/>
        <w:t xml:space="preserve">    132. La Comisión sostuvo que varias de las viviendas en El  Mozote,  La</w:t>
        <w:br/>
        <w:t xml:space="preserve">         Joya, Ranchería,  Los  Toriles,  Jocote  Amarillo  y  Carro  Pando</w:t>
        <w:br/>
        <w:t xml:space="preserve">         habrían sido quemadas por  los  mismos  militares  al  momento  de</w:t>
        <w:br/>
        <w:t xml:space="preserve">         perpetrar las masacres. Asimismo, en algunos de los  lugares,  los</w:t>
        <w:br/>
        <w:t xml:space="preserve">         miembros de las compañías militares a cargo del operativo  habrían</w:t>
        <w:br/>
        <w:t xml:space="preserve">         despojado a las víctimas de los bienes que llevaban consigo  o  de</w:t>
        <w:br/>
        <w:t xml:space="preserve">         las pertenencias que se encontraban en  sus  viviendas.  De  igual</w:t>
        <w:br/>
        <w:t xml:space="preserve">         modo, varios sobrevivientes habrían declarado que al volver de  su</w:t>
        <w:br/>
        <w:t xml:space="preserve">         escondite en busca de sus familiares, habrían  encontrado  también</w:t>
        <w:br/>
        <w:t xml:space="preserve">         los cadáveres de los animales que  les  servían  de  sustento.  En</w:t>
        <w:br/>
        <w:t xml:space="preserve">         consecuencia, la  Comisión  consideró  que  los  hechos  descritos</w:t>
        <w:br/>
        <w:t xml:space="preserve">         constituirían una violación del derecho a  la  propiedad  privada,</w:t>
        <w:br/>
        <w:t xml:space="preserve">         consagrado en el  artículo  21.1  y  21.2,  en  relación  con  las</w:t>
        <w:br/>
        <w:t xml:space="preserve">         obligaciones  establecidas  en   el   artículo   1.1   del   mismo</w:t>
        <w:br/>
        <w:t xml:space="preserve">         instrumento, en perjuicio de las víctimas ejecutadas  que  habrían</w:t>
        <w:br/>
        <w:t xml:space="preserve">         sido despojadas de sus bienes, así como de los sobrevivientes  que</w:t>
        <w:br/>
        <w:t xml:space="preserve">         habitaban en los caseríos y cantones donde se habrían cometido las</w:t>
        <w:br/>
        <w:t xml:space="preserve">         masacres y cuyas viviendas  fueron  destruidas  o  sus  medios  de</w:t>
        <w:br/>
        <w:t xml:space="preserve">         subsistencia arrebatados o eliminados.</w:t>
        <w:br/>
        <w:br/>
        <w:t xml:space="preserve">    133. La Comisión argumentó que, como consecuencia del terror causado en</w:t>
        <w:br/>
        <w:t xml:space="preserve">         la población, así como de la  destrucción  total  de  los  lugares</w:t>
        <w:br/>
        <w:t xml:space="preserve">         donde ocurrieron las masacres y la  consecuente  imposibilidad  de</w:t>
        <w:br/>
        <w:t xml:space="preserve">         continuar viviendo allí, muchas  personas  habrían  partido  a  la</w:t>
        <w:br/>
        <w:t xml:space="preserve">         República de Honduras para refugiarse, retornando  a  El  Salvador</w:t>
        <w:br/>
        <w:t xml:space="preserve">         aproximadamente a inicios de los años 90. Al  respecto,  consideró</w:t>
        <w:br/>
        <w:t xml:space="preserve">         que dicha situación debía ser enmarcada dentro de la definición de</w:t>
        <w:br/>
        <w:t xml:space="preserve">         desplazamiento forzado y que, al ocurrir como consecuencia directa</w:t>
        <w:br/>
        <w:t xml:space="preserve">         de las masacres, el Estado era responsable por  la  violación  del</w:t>
        <w:br/>
        <w:t xml:space="preserve">         derecho consagrado en  el  artículo  22.1  de  la  Convención,  en</w:t>
        <w:br/>
        <w:t xml:space="preserve">         relación con el artículo 1.1 del mismo instrumento,  en  perjuicio</w:t>
        <w:br/>
        <w:t xml:space="preserve">         de las personas identificadas  que  se  habrían  refugiado  en  la</w:t>
        <w:br/>
        <w:t xml:space="preserve">         República de Honduras.</w:t>
        <w:br/>
        <w:br/>
        <w:t xml:space="preserve">            2)   Alegatos de los representantes</w:t>
        <w:br/>
        <w:br/>
        <w:t xml:space="preserve">    134. Los representantes argumentaron que la obligación estatal procesal</w:t>
        <w:br/>
        <w:t xml:space="preserve">         de investigar las violaciones a los derechos a  la  vida  y  a  la</w:t>
        <w:br/>
        <w:t xml:space="preserve">         integridad personal  de  las  presuntas  víctimas  de  la  alegada</w:t>
        <w:br/>
        <w:t xml:space="preserve">         masacre es independiente de la obligación  sustantiva  emanada  de</w:t>
        <w:br/>
        <w:t xml:space="preserve">         estas disposiciones. Al respecto, indicaron que pese a la gravedad</w:t>
        <w:br/>
        <w:t xml:space="preserve">         de los hechos, el Estado, desde la fecha en  que  la  Corte  tiene</w:t>
        <w:br/>
        <w:t xml:space="preserve">         competencia para pronunciarse sobre los alegados hechos, no habría</w:t>
        <w:br/>
        <w:t xml:space="preserve">         realizado una sola diligencia por su  propia  iniciativa  para  el</w:t>
        <w:br/>
        <w:t xml:space="preserve">         establecimiento de la  verdad  de  lo  ocurrido.  En  esta  línea,</w:t>
        <w:br/>
        <w:t xml:space="preserve">         solicitaron al Tribunal que declare que el Estado  es  responsable</w:t>
        <w:br/>
        <w:t xml:space="preserve">         por la violación de los derechos contenidos en los artículos 4 y 5</w:t>
        <w:br/>
        <w:t xml:space="preserve">         de la Convención, en concordancia con el artículo  1.1  del  mismo</w:t>
        <w:br/>
        <w:t xml:space="preserve">         instrumento.  En  sus   alegatos   finales,   los   representantes</w:t>
        <w:br/>
        <w:t xml:space="preserve">         solicitaron que la Corte declare la responsabilidad  agravada  del</w:t>
        <w:br/>
        <w:t xml:space="preserve">         Estado por la creación y aplicación de la estrategia de  “quitarle</w:t>
        <w:br/>
        <w:t xml:space="preserve">         el agua al  pez”  o  “tierra  arrasada”;  que  declare  al  Estado</w:t>
        <w:br/>
        <w:t xml:space="preserve">         responsable por la violación del derecho a la vida de las víctimas</w:t>
        <w:br/>
        <w:t xml:space="preserve">         de las masacres, contenido en el artículo 4 de  la  Convención  en</w:t>
        <w:br/>
        <w:t xml:space="preserve">         concordancia con los artículos 1.1 y 19 de la misma, tanto por  la</w:t>
        <w:br/>
        <w:t xml:space="preserve">         falta del deber de garantía como de respeto por las ejecuciones; y</w:t>
        <w:br/>
        <w:t xml:space="preserve">         que declare al Estado responsable por la  ejecución  de  actos  de</w:t>
        <w:br/>
        <w:t xml:space="preserve">         tortura y tratos, crueles, inhumanos o degradantes de las víctimas</w:t>
        <w:br/>
        <w:t xml:space="preserve">         de las masacres. Por último, los representantes solicitaron  a  la</w:t>
        <w:br/>
        <w:t xml:space="preserve">         Corte que, al emitir su sentencia en este caso, “se refiera  a  la</w:t>
        <w:br/>
        <w:t xml:space="preserve">         responsabilidad agravada que recae en el Estado debido a que todas</w:t>
        <w:br/>
        <w:t xml:space="preserve">         las  violaciones  cometidas  se  dieron  en  el  contexto  de  una</w:t>
        <w:br/>
        <w:t xml:space="preserve">         estrategia militar creada y ejecutada  por  el  Estado  en  amplia</w:t>
        <w:br/>
        <w:t xml:space="preserve">         contradicción con los postulados de la Convención Americana y  los</w:t>
        <w:br/>
        <w:t xml:space="preserve">         principios que la inspiran”.</w:t>
        <w:br/>
        <w:br/>
        <w:t xml:space="preserve">    135. En sus alegatos  finales,  los  representantes  alegaron  que  las</w:t>
        <w:br/>
        <w:t xml:space="preserve">         violaciones sexuales relatadas constituyeron actos de tortura  por</w:t>
        <w:br/>
        <w:t xml:space="preserve">         parte del Estado, y por lo tanto, una violación al  derecho  a  la</w:t>
        <w:br/>
        <w:t xml:space="preserve">         integridad personal.</w:t>
        <w:br/>
        <w:br/>
        <w:t xml:space="preserve">    136. Los representantes agregaron  que  tanto  las  presuntas  víctimas</w:t>
        <w:br/>
        <w:t xml:space="preserve">         sobrevivientes,  como  los  familiares  de  las  víctimas  que  no</w:t>
        <w:br/>
        <w:t xml:space="preserve">         estuvieron presentes en el lugar de las masacres  el  día  de  los</w:t>
        <w:br/>
        <w:t xml:space="preserve">         hechos, se habrían enfrentado a la absoluta inactividad por  parte</w:t>
        <w:br/>
        <w:t xml:space="preserve">         de las autoridades que no habrían  adoptado  ninguna  medida  para</w:t>
        <w:br/>
        <w:t xml:space="preserve">         esclarecer los hechos,  sumado  que  por  años  se  habrían  visto</w:t>
        <w:br/>
        <w:t xml:space="preserve">         obligados a observar cómo los perpetradores de la alegada  masacre</w:t>
        <w:br/>
        <w:t xml:space="preserve">         habrían sido homenajeados de manera reiterada por  el  Estado.  En</w:t>
        <w:br/>
        <w:t xml:space="preserve">         esta línea, los representantes se refirieron a  “los  sentimientos</w:t>
        <w:br/>
        <w:t xml:space="preserve">         de angustia e impotencia que  todos  estos  hechos  les  ha[brían]</w:t>
        <w:br/>
        <w:t xml:space="preserve">         generado a través de los años” a  las  víctimas  del  caso,  cuyas</w:t>
        <w:br/>
        <w:t xml:space="preserve">         vidas habrían estado marcadas “por el abandono y el desprecio  del</w:t>
        <w:br/>
        <w:t xml:space="preserve">         Estado, que durante  los  primeros  años  después  de  los  hechos</w:t>
        <w:br/>
        <w:t xml:space="preserve">         inclusive negó que esta hubiera ocurrido  y  que  hoy,  sigue  sin</w:t>
        <w:br/>
        <w:t xml:space="preserve">         investigarlos y sancionar a sus  responsables”.  En  sus  alegatos</w:t>
        <w:br/>
        <w:t xml:space="preserve">         finales, los representantes alegaron que se produjo una afectación</w:t>
        <w:br/>
        <w:t xml:space="preserve">         a la integridad personal de los sobrevivientes en  virtud  de  que</w:t>
        <w:br/>
        <w:t xml:space="preserve">         algunos de ellos no pudieron enterrar a sus familiares por temor a</w:t>
        <w:br/>
        <w:t xml:space="preserve">         represalias por parte de los militares o por el estado en  que  se</w:t>
        <w:br/>
        <w:t xml:space="preserve">         encontraban los cuerpos  y  otros  nunca  pudieron  recuperar  los</w:t>
        <w:br/>
        <w:t xml:space="preserve">         restos, lo cual provocó un duelo inconcluso. Además,  argumentaron</w:t>
        <w:br/>
        <w:t xml:space="preserve">         que  el  despojo  de  las  tierras  y  cultivos,   quemándolos   y</w:t>
        <w:br/>
        <w:t xml:space="preserve">         destruyéndolos, fue una forma de arrasar con la identidad  de  las</w:t>
        <w:br/>
        <w:t xml:space="preserve">         víctimas. Por lo tanto, solicitaron a la Corte que declare que  el</w:t>
        <w:br/>
        <w:t xml:space="preserve">         Estado es responsable por la violación del derecho a la integridad</w:t>
        <w:br/>
        <w:t xml:space="preserve">         de las víctimas sobrevivientes de las masacres y de los familiares</w:t>
        <w:br/>
        <w:t xml:space="preserve">         de las víctimas asesinadas, en la  medida  en  que  éstas  habrían</w:t>
        <w:br/>
        <w:t xml:space="preserve">         estado sometidas a un profundo sufrimiento por años, a raíz de las</w:t>
        <w:br/>
        <w:t xml:space="preserve">         distintas  violaciones  cometidas  en  su  contra  y  la  de   sus</w:t>
        <w:br/>
        <w:t xml:space="preserve">         familiares.</w:t>
        <w:br/>
        <w:br/>
        <w:t xml:space="preserve">    137. Los representantes coincidieron con la Comisión y agregaron que la</w:t>
        <w:br/>
        <w:t xml:space="preserve">         privación  de  la  propiedad   de   las   víctimas   habría   sido</w:t>
        <w:br/>
        <w:t xml:space="preserve">         responsabilidad directa del propio Estado, constituyendo un  hecho</w:t>
        <w:br/>
        <w:t xml:space="preserve">         continuado que persiste hasta la actualidad ya que éste no  habría</w:t>
        <w:br/>
        <w:t xml:space="preserve">         adoptado una sola medida para procurar que las  víctimas  de  este</w:t>
        <w:br/>
        <w:t xml:space="preserve">         caso recuperaran sus bienes. En  consecuencia,  solicitaron  a  la</w:t>
        <w:br/>
        <w:t xml:space="preserve">         Corte que declare que el Estado es responsable  por  la  violación</w:t>
        <w:br/>
        <w:t xml:space="preserve">         del derecho a la propiedad de todas las víctimas sobrevivientes de</w:t>
        <w:br/>
        <w:t xml:space="preserve">         las masacres. En  su  sus  alegatos  finales,  los  representantes</w:t>
        <w:br/>
        <w:t xml:space="preserve">         alegaron que, dadas  las  dimensiones  de  las  masacres,  no  era</w:t>
        <w:br/>
        <w:t xml:space="preserve">         posible establecer qué bienes perdió cada una de las víctimas, sin</w:t>
        <w:br/>
        <w:t xml:space="preserve">         embargo, dado que la destrucción de bienes y viviendas  era  parte</w:t>
        <w:br/>
        <w:t xml:space="preserve">         del modus operandi del operativo,  consideraban  que  “es  posible</w:t>
        <w:br/>
        <w:t xml:space="preserve">         establecer que todas las víctimas, tanto las asesinadas  como  las</w:t>
        <w:br/>
        <w:t xml:space="preserve">         sobrevivientes,  sufrieron  una  violación  de  su  derecho  a  la</w:t>
        <w:br/>
        <w:t xml:space="preserve">         propiedad”. En sus alegatos finales, argumentaron que la quema  de</w:t>
        <w:br/>
        <w:t xml:space="preserve">         las viviendas de las víctimas habría generado  adicionalmente  una</w:t>
        <w:br/>
        <w:t xml:space="preserve">         violación del artículo 11 de la Convención,  y  solicitaron  a  la</w:t>
        <w:br/>
        <w:t xml:space="preserve">         Corte que declare que el Estado es responsable  por  la  violación</w:t>
        <w:br/>
        <w:t xml:space="preserve">         del derecho a la vida privada y familiar de las  víctimas  de  las</w:t>
        <w:br/>
        <w:t xml:space="preserve">         masacres.</w:t>
        <w:br/>
        <w:br/>
        <w:t xml:space="preserve">    138. Los representantes solicitaron a  la  Corte  que  declare  que  el</w:t>
        <w:br/>
        <w:t xml:space="preserve">         Estado es responsable por la violación de los derechos  contenidos</w:t>
        <w:br/>
        <w:t xml:space="preserve">         en  los  artículos  11  y  22  de  la  Convención  Americana,   en</w:t>
        <w:br/>
        <w:t xml:space="preserve">         concordancia con el incumplimiento de las obligaciones  contenidas</w:t>
        <w:br/>
        <w:t xml:space="preserve">         en  el  artículo  1.1  del   mismo   instrumento.   Al   respecto,</w:t>
        <w:br/>
        <w:t xml:space="preserve">         argumentaron que en  este  caso  correspondería  a  una  violación</w:t>
        <w:br/>
        <w:t xml:space="preserve">         continuada, la cual subsistiría hasta tanto las presuntas víctimas</w:t>
        <w:br/>
        <w:t xml:space="preserve">         hubieran tenido la posibilidad de volver a su lugar  de  origen  o</w:t>
        <w:br/>
        <w:t xml:space="preserve">         residencia,  lo  cual  en  muchos  casos   habría   ocurrido   con</w:t>
        <w:br/>
        <w:t xml:space="preserve">         posterioridad al 6 de junio de 1995 y en algunos todavía no habría</w:t>
        <w:br/>
        <w:t xml:space="preserve">         ocurrido debido a que además de ser directamente  responsable  del</w:t>
        <w:br/>
        <w:t xml:space="preserve">         desplazamiento de las presuntas  víctimas,  el  Estado  no  habría</w:t>
        <w:br/>
        <w:t xml:space="preserve">         adoptado medidas para garantizar  el  respeto  a  la  libertad  de</w:t>
        <w:br/>
        <w:t xml:space="preserve">         residencia  y  circulación  ni  para  procurar  que  las  víctimas</w:t>
        <w:br/>
        <w:t xml:space="preserve">         retornen a su lugar de origen. En este sentido, los representantes</w:t>
        <w:br/>
        <w:t xml:space="preserve">         consideraron que, si bien  el  Estado  no  habría  restringido  de</w:t>
        <w:br/>
        <w:t xml:space="preserve">         manera directa la libertad de  circulación  y  residencia  de  las</w:t>
        <w:br/>
        <w:t xml:space="preserve">         presuntas víctimas de este caso, la imposibilidad para su regreso,</w:t>
        <w:br/>
        <w:t xml:space="preserve">         habría radicado en la existencia de circunstancias, generadas  por</w:t>
        <w:br/>
        <w:t xml:space="preserve">         el propio Estado, como la impunidad  en  que  se  mantendrían  los</w:t>
        <w:br/>
        <w:t xml:space="preserve">         hechos.  Asimismo,  indicaron  que  si  bien  existirían   algunos</w:t>
        <w:br/>
        <w:t xml:space="preserve">         programas  destinados  supuestamente  a  la  protección   de   los</w:t>
        <w:br/>
        <w:t xml:space="preserve">         desplazados,  estos  eran  controlados  por  las  mismas   fuerzas</w:t>
        <w:br/>
        <w:t xml:space="preserve">         responsables del desplazamiento y requerirían la realización de un</w:t>
        <w:br/>
        <w:t xml:space="preserve">         registro. De igual manera, si bien  existirían  algunos  programas</w:t>
        <w:br/>
        <w:t xml:space="preserve">         que tendrían el fin de procurar el  regreso  de  los  desplazados,</w:t>
        <w:br/>
        <w:t xml:space="preserve">         estos  no  habrían   resultado   efectivos.   Los   representantes</w:t>
        <w:br/>
        <w:t xml:space="preserve">         consideraron  que  la  información  contenida  en  su  escrito  de</w:t>
        <w:br/>
        <w:t xml:space="preserve">         solicitudes, argumentos y prueba, aún si es de  carácter  general,</w:t>
        <w:br/>
        <w:t xml:space="preserve">         debe ser tomada en cuenta  por  la  Corte  para  valorar  como  el</w:t>
        <w:br/>
        <w:t xml:space="preserve">         desplazamiento afectó a las víctimas de las masacres,  ya  que  en</w:t>
        <w:br/>
        <w:t xml:space="preserve">         contextos  extremos  de   violencia   resulta   muy   difícil   la</w:t>
        <w:br/>
        <w:t xml:space="preserve">         documentación de las circunstancias del desplazamiento de cada una</w:t>
        <w:br/>
        <w:t xml:space="preserve">         de las personas afectadas.</w:t>
        <w:br/>
        <w:br/>
        <w:t xml:space="preserve">    139. Los  representantes  sostuvieron  también  que  el  desplazamiento</w:t>
        <w:br/>
        <w:t xml:space="preserve">         forzado generaría múltiples violaciones de derechos humanos, entre</w:t>
        <w:br/>
        <w:t xml:space="preserve">         las que se encontrarían la violación al derecho a la vida  privada</w:t>
        <w:br/>
        <w:t xml:space="preserve">         y familiar,  la  violación  del  derecho  a  la  integridad  y  la</w:t>
        <w:br/>
        <w:t xml:space="preserve">         violación del derecho a la libre circulación. En cuanto al derecho</w:t>
        <w:br/>
        <w:t xml:space="preserve">         a la vida privada, argumentaron que estaría intrínsecamente ligado</w:t>
        <w:br/>
        <w:t xml:space="preserve">         al proyecto de vida de las víctimas, razón por  la  cual  alegaron</w:t>
        <w:br/>
        <w:t xml:space="preserve">         que el desplazamiento forzado habría afectado de  manera  evidente</w:t>
        <w:br/>
        <w:t xml:space="preserve">         la posibilidad de las  víctimas  de  dirigir  su  vida  de  manera</w:t>
        <w:br/>
        <w:t xml:space="preserve">         autónoma y habría implicado una grave violación a su derecho a  la</w:t>
        <w:br/>
        <w:t xml:space="preserve">         vida privada y familiar.</w:t>
        <w:br/>
        <w:br/>
        <w:t xml:space="preserve">            3)   Alegatos del Estado</w:t>
        <w:br/>
        <w:br/>
        <w:t xml:space="preserve">    140. El Estado no presentó argumentos específicos de derecho en  cuanto</w:t>
        <w:br/>
        <w:t xml:space="preserve">         a  las  violaciones  alegadas  sino  que  únicamente  refirió,  en</w:t>
        <w:br/>
        <w:t xml:space="preserve">         relación con la alegada violación de la pérdida de  propiedades  y</w:t>
        <w:br/>
        <w:t xml:space="preserve">         destrucción de bienes ocasionados a consecuencia de los hechos que</w:t>
        <w:br/>
        <w:t xml:space="preserve">         se denuncian  en  el  presente  caso,  el  desplazamiento  de  las</w:t>
        <w:br/>
        <w:t xml:space="preserve">         víctimas sobrevivientes y los  hechos  relativos  al  contexto  de</w:t>
        <w:br/>
        <w:t xml:space="preserve">         violencia en que los mismos se produjeron, que reconocía “aquellos</w:t>
        <w:br/>
        <w:t xml:space="preserve">         que proceden de testimonios fidedignos de víctimas sobrevivientes,</w:t>
        <w:br/>
        <w:t xml:space="preserve">         así como los descritos en  informes  oficiales  [de  la]  Comisión</w:t>
        <w:br/>
        <w:t xml:space="preserve">         Interamericana de Derechos Humanos, de Órganos Internacionales  de</w:t>
        <w:br/>
        <w:t xml:space="preserve">         Protección que hayan integrado o integren aún  el  sistema  de  la</w:t>
        <w:br/>
        <w:t xml:space="preserve">         Organización de las Naciones Unidas, así como los contenidos en el</w:t>
        <w:br/>
        <w:t xml:space="preserve">         Informe de la Comisión de la Verdad de la  misma  Organización  de</w:t>
        <w:br/>
        <w:t xml:space="preserve">         las Naciones Unidas, creada en virtud de los Acuerdos de Paz de El</w:t>
        <w:br/>
        <w:t xml:space="preserve">         Salvador”.  Además,  el  Estado  notó   que   los   representantes</w:t>
        <w:br/>
        <w:t xml:space="preserve">         describieron más bien el fenómeno general de  los  desplazamientos</w:t>
        <w:br/>
        <w:t xml:space="preserve">         forzados de población civil durante el  conflicto  armado  interno</w:t>
        <w:br/>
        <w:t xml:space="preserve">         salvadoreño,  siendo  poco   específicos   en   relación   a   los</w:t>
        <w:br/>
        <w:t xml:space="preserve">         desplazamientos que tuvieron lugar como  producto  de  los  hechos</w:t>
        <w:br/>
        <w:t xml:space="preserve">         denunciados en el caso concreto.</w:t>
        <w:br/>
        <w:br/>
        <w:br/>
        <w:t>C.    Consideraciones de la Corte</w:t>
        <w:br/>
        <w:br/>
        <w:br/>
        <w:t xml:space="preserve">    141. A la luz del reconocimiento realizado por el Estado, y tomando  en</w:t>
        <w:br/>
        <w:t xml:space="preserve">         cuenta la gravedad de los hechos materia  del  presente  caso,  el</w:t>
        <w:br/>
        <w:t xml:space="preserve">         Tribunal  examinará  a  continuación  la  alegada  responsabilidad</w:t>
        <w:br/>
        <w:t xml:space="preserve">         internacional de El Salvador por la violación de los derechos a la</w:t>
        <w:br/>
        <w:t xml:space="preserve">         vida[154],  a  la  integridad   personal[155],   a   la   libertad</w:t>
        <w:br/>
        <w:t xml:space="preserve">         personal[156],  a  la  vida  privada[157],  del  niño[158],  a  la</w:t>
        <w:br/>
        <w:t xml:space="preserve">         propiedad privada[159], y de  circulación  y  residencia[160],  en</w:t>
        <w:br/>
        <w:t xml:space="preserve">         relación con las obligaciones de respeto y  de  garantía[161].  La</w:t>
        <w:br/>
        <w:t xml:space="preserve">         Corte estima pertinente realizar un  análisis  conjunto  de  estas</w:t>
        <w:br/>
        <w:t xml:space="preserve">         alegadas  violaciones  en  razón  del  carácter  complejo  de  las</w:t>
        <w:br/>
        <w:t xml:space="preserve">         circunstancias propias de las masacres perpetradas  en  este  caso</w:t>
        <w:br/>
        <w:t xml:space="preserve">         que evidencian afectaciones interrelacionadas a diversos  derechos</w:t>
        <w:br/>
        <w:t xml:space="preserve">         a consecuencia de las mismas, impidiendo un análisis  fragmentado.</w:t>
        <w:br/>
        <w:t xml:space="preserve">         Del mismo modo, el Tribunal considera útil y apropiado,  tal  como</w:t>
        <w:br/>
        <w:t xml:space="preserve">         lo ha hecho en otras oportunidades[162], al analizar e interpretar</w:t>
        <w:br/>
        <w:t xml:space="preserve">         el alcance de las normas de la Convención Americana en el presente</w:t>
        <w:br/>
        <w:t xml:space="preserve">         caso en que los hechos ocurrieron en el contexto de  un  conflicto</w:t>
        <w:br/>
        <w:t xml:space="preserve">         armado no internacional y de conformidad con el artículo 29 de  la</w:t>
        <w:br/>
        <w:t xml:space="preserve">         Convención Americana, recurrir a otros  tratados  internacionales,</w:t>
        <w:br/>
        <w:t xml:space="preserve">         tales como los Convenios de Ginebra de 12 de agosto de 1949[163] y</w:t>
        <w:br/>
        <w:t xml:space="preserve">         en particular el artículo 3 común a los cuatro convenios[164],  el</w:t>
        <w:br/>
        <w:t xml:space="preserve">         Protocolo II adicional a los Convenios de Ginebra de 1949 relativo</w:t>
        <w:br/>
        <w:t xml:space="preserve">         a la protección de las víctimas  de  los  conflictos  armados  sin</w:t>
        <w:br/>
        <w:t xml:space="preserve">         carácter  internacional  de  8  de  junio  de  1977  (en  adelante</w:t>
        <w:br/>
        <w:t xml:space="preserve">         “Protocolo II adicional”) del cual el Estado es parte[165],  y  el</w:t>
        <w:br/>
        <w:t xml:space="preserve">         derecho  internacional  humanitario   consuetudinario[166],   como</w:t>
        <w:br/>
        <w:t xml:space="preserve">         instrumentos  complementarios  y  habida   consideración   de   su</w:t>
        <w:br/>
        <w:t xml:space="preserve">         especificidad en la materia.</w:t>
        <w:br/>
        <w:br/>
        <w:br/>
        <w:t xml:space="preserve">           1)    Las violaciones de derechos humanos alegadas en  perjuicio</w:t>
        <w:br/>
        <w:t xml:space="preserve">           de las personas ejecutadas</w:t>
        <w:br/>
        <w:br/>
        <w:br/>
        <w:t xml:space="preserve">    142. El Tribunal ha establecido que, de acuerdo con el artículo 1.1  de</w:t>
        <w:br/>
        <w:t xml:space="preserve">         la Convención, los Estados están obligados a respetar y garantizar</w:t>
        <w:br/>
        <w:t xml:space="preserve">         los derechos  humanos  reconocidos  en  ella.  La  responsabilidad</w:t>
        <w:br/>
        <w:t xml:space="preserve">         internacional  del  Estado  se  funda  en  actos  u  omisiones  de</w:t>
        <w:br/>
        <w:t xml:space="preserve">         cualquier  poder  u  órgano  de  éste,  independientemente  de  su</w:t>
        <w:br/>
        <w:t xml:space="preserve">         jerarquía, que violen la Convención Americana[167].</w:t>
        <w:br/>
        <w:br/>
        <w:t xml:space="preserve">    143. En cuanto al deber de  respeto,  la  Corte  ha  sostenido  que  la</w:t>
        <w:br/>
        <w:t xml:space="preserve">         primera obligación asumida por los Estados Partes, en los términos</w:t>
        <w:br/>
        <w:t xml:space="preserve">         del citado artículo, es la de “respetar los derechos y libertades”</w:t>
        <w:br/>
        <w:t xml:space="preserve">         reconocidos en  la  Convención.  Así,  en  la  protección  de  los</w:t>
        <w:br/>
        <w:t xml:space="preserve">         derechos humanos, está necesariamente comprendida la noción de  la</w:t>
        <w:br/>
        <w:t xml:space="preserve">         restricción al ejercicio del poder estatal[168].</w:t>
        <w:br/>
        <w:br/>
        <w:t xml:space="preserve">    144. Sobre la obligación de garantía, la Corte ha establecido que puede</w:t>
        <w:br/>
        <w:t xml:space="preserve">         ser  cumplida  de  diferentes  maneras,  en  función  del  derecho</w:t>
        <w:br/>
        <w:t xml:space="preserve">         específico que el Estado deba garantizar  y  de  las  particulares</w:t>
        <w:br/>
        <w:t xml:space="preserve">         necesidades de protección[169]. Esta obligación implica  el  deber</w:t>
        <w:br/>
        <w:t xml:space="preserve">         de los Estados de organizar todo el aparato  gubernamental  y,  en</w:t>
        <w:br/>
        <w:t xml:space="preserve">         general,  todas  las  estructuras  a  través  de  las  cuales   se</w:t>
        <w:br/>
        <w:t xml:space="preserve">         manifiesta el ejercicio del poder público, de manera tal que  sean</w:t>
        <w:br/>
        <w:t xml:space="preserve">         capaces de asegurar jurídicamente el libre y  pleno  ejercicio  de</w:t>
        <w:br/>
        <w:t xml:space="preserve">         los derechos humanos[170]. Como  parte  de  dicha  obligación,  el</w:t>
        <w:br/>
        <w:t xml:space="preserve">         Estado está en el deber jurídico de “prevenir, razonablemente, las</w:t>
        <w:br/>
        <w:t xml:space="preserve">         violaciones de los derechos humanos, de investigar seriamente  con</w:t>
        <w:br/>
        <w:t xml:space="preserve">         los medios a su alcance las  violaciones  que  se  hayan  cometido</w:t>
        <w:br/>
        <w:t xml:space="preserve">         dentro del ámbito de su jurisdicción a fin de  identificar  a  los</w:t>
        <w:br/>
        <w:t xml:space="preserve">         responsables,  de  imponerles  las  sanciones  pertinentes  y   de</w:t>
        <w:br/>
        <w:t xml:space="preserve">         asegurar a la víctima una adecuada reparación”[171].  Lo  decisivo</w:t>
        <w:br/>
        <w:t xml:space="preserve">         es dilucidar “si una determinada violación […] ha tenido lugar con</w:t>
        <w:br/>
        <w:t xml:space="preserve">         el apoyo o la tolerancia del poder público o si éste ha actuado de</w:t>
        <w:br/>
        <w:t xml:space="preserve">         manera que la trasgresión se haya  cumplido  en  defecto  de  toda</w:t>
        <w:br/>
        <w:t xml:space="preserve">         prevención o impunemente”[172].</w:t>
        <w:br/>
        <w:br/>
        <w:t xml:space="preserve">    145. Asimismo, el Tribunal ha establecido que  el  derecho  a  la  vida</w:t>
        <w:br/>
        <w:t xml:space="preserve">         juega un papel fundamental en la Convención Americana, por ser  el</w:t>
        <w:br/>
        <w:t xml:space="preserve">         presupuesto esencial para el ejercicio de los demás derechos.  Los</w:t>
        <w:br/>
        <w:t xml:space="preserve">         Estados tienen la obligación de  garantizar  la  creación  de  las</w:t>
        <w:br/>
        <w:t xml:space="preserve">         condiciones que se requieran para que no se produzcan  violaciones</w:t>
        <w:br/>
        <w:t xml:space="preserve">         de ese derecho inalienable y, en particular, el deber  de  impedir</w:t>
        <w:br/>
        <w:t xml:space="preserve">         que sus agentes atenten contra él. La observancia del artículo  4,</w:t>
        <w:br/>
        <w:t xml:space="preserve">         relacionado con el artículo 1.1 de  la  Convención  Americana,  no</w:t>
        <w:br/>
        <w:t xml:space="preserve">         sólo  presupone  que  ninguna  persona  sea  privada  de  su  vida</w:t>
        <w:br/>
        <w:t xml:space="preserve">         arbitrariamente (obligación negativa), sino  que  además  requiere</w:t>
        <w:br/>
        <w:t xml:space="preserve">         que los Estados adopten todas las medidas apropiadas para proteger</w:t>
        <w:br/>
        <w:t xml:space="preserve">         y preservar el  derecho  a  la  vida  (obligación  positiva)[173],</w:t>
        <w:br/>
        <w:t xml:space="preserve">         conforme al deber de garantizar el pleno y libre ejercicio de  los</w:t>
        <w:br/>
        <w:t xml:space="preserve">         derechos de todas las personas bajo su jurisdicción[174].</w:t>
        <w:br/>
        <w:br/>
        <w:t xml:space="preserve">    146. Esta protección activa del derecho a la vida por parte del  Estado</w:t>
        <w:br/>
        <w:t xml:space="preserve">         no sólo involucra a sus  legisladores,  sino  a  toda  institución</w:t>
        <w:br/>
        <w:t xml:space="preserve">         estatal y a quienes deben resguardar la seguridad, sean éstas  sus</w:t>
        <w:br/>
        <w:t xml:space="preserve">         fuerzas de policía o sus fuerzas armadas. En razón de lo anterior,</w:t>
        <w:br/>
        <w:t xml:space="preserve">         los Estados deben adoptar las medidas necesarias, no sólo a  nivel</w:t>
        <w:br/>
        <w:t xml:space="preserve">         legislativo, administrativo y judicial,  mediante  la  emisión  de</w:t>
        <w:br/>
        <w:t xml:space="preserve">         normas penales y el establecimiento de un sistema de justicia para</w:t>
        <w:br/>
        <w:t xml:space="preserve">         prevenir, suprimir  y  castigar  la  privación  de  la  vida  como</w:t>
        <w:br/>
        <w:t xml:space="preserve">         consecuencia de actos criminales, sino  también  para  prevenir  y</w:t>
        <w:br/>
        <w:t xml:space="preserve">         proteger a los individuos de actos criminales de otros  individuos</w:t>
        <w:br/>
        <w:t xml:space="preserve">         e investigar efectivamente estas situaciones[175].</w:t>
        <w:br/>
        <w:br/>
        <w:t xml:space="preserve">    147. Por otra parte, la Convención Americana reconoce  expresamente  el</w:t>
        <w:br/>
        <w:t xml:space="preserve">         derecho a la integridad personal, bien  jurídico  cuya  protección</w:t>
        <w:br/>
        <w:t xml:space="preserve">         encierra la finalidad principal de la prohibición imperativa de la</w:t>
        <w:br/>
        <w:t xml:space="preserve">         tortura y penas o tratos crueles,  inhumanos  o  degradantes[176].</w:t>
        <w:br/>
        <w:t xml:space="preserve">         Este  Tribunal  ha  considerado   de   forma   constante   en   su</w:t>
        <w:br/>
        <w:t xml:space="preserve">         jurisprudencia que dicha prohibición ha alcanzado el  dominio  del</w:t>
        <w:br/>
        <w:t xml:space="preserve">         ius cogens[177]. De  esta  forma,  se  ha  conformado  un  régimen</w:t>
        <w:br/>
        <w:t xml:space="preserve">         jurídico internacional de prohibición absoluta de todas las formas</w:t>
        <w:br/>
        <w:t xml:space="preserve">         de tortura, tanto física  como  psicológica,  y  respecto  a  esta</w:t>
        <w:br/>
        <w:t xml:space="preserve">         última, se ha reconocido que las amenazas y  el  peligro  real  de</w:t>
        <w:br/>
        <w:t xml:space="preserve">         someter a una  persona  a  graves  lesiones  físicas  produce,  en</w:t>
        <w:br/>
        <w:t xml:space="preserve">         determinadas circunstancias, una angustia moral de tal  grado  que</w:t>
        <w:br/>
        <w:t xml:space="preserve">         puede ser considerada “tortura psicológica”[178]. Aunado  a  ello,</w:t>
        <w:br/>
        <w:t xml:space="preserve">         la Corte ya ha establecido que “[l]a infracción del derecho  a  la</w:t>
        <w:br/>
        <w:t xml:space="preserve">         integridad física y psíquica de  las  personas  es  una  clase  de</w:t>
        <w:br/>
        <w:t xml:space="preserve">         violación que tiene diversas connotaciones de grado y  que  abarca</w:t>
        <w:br/>
        <w:t xml:space="preserve">         desde la tortura hasta otro tipo de vejámenes  o  tratos  crueles,</w:t>
        <w:br/>
        <w:t xml:space="preserve">         inhumanos o degradantes, cuyas secuelas físicas y psíquicas varían</w:t>
        <w:br/>
        <w:t xml:space="preserve">         de intensidad según los factores endógenos y exógenos que  deberán</w:t>
        <w:br/>
        <w:t xml:space="preserve">         ser demostrados en cada situación concreta”[179].</w:t>
        <w:br/>
        <w:br/>
        <w:t xml:space="preserve">    148. Los derechos a la vida y a  la  integridad  personal  revisten  un</w:t>
        <w:br/>
        <w:t xml:space="preserve">         carácter esencial en la Convención. De conformidad con el artículo</w:t>
        <w:br/>
        <w:t xml:space="preserve">         27.2 del referido tratado, esos derechos forman parte  del  núcleo</w:t>
        <w:br/>
        <w:t xml:space="preserve">         inderogable, pues no pueden ser suspendidos en  casos  de  guerra,</w:t>
        <w:br/>
        <w:t xml:space="preserve">         peligro público u otras amenazas a la independencia o seguridad de</w:t>
        <w:br/>
        <w:t xml:space="preserve">         los Estados Partes[180]. Por su parte, el Protocolo II adicional a</w:t>
        <w:br/>
        <w:t xml:space="preserve">         los Convenios de Ginebra señala en su  artículo  4  que  “están  y</w:t>
        <w:br/>
        <w:t xml:space="preserve">         quedarán prohibidos en todo  tiempo  y  lugar  […]  los  atentados</w:t>
        <w:br/>
        <w:t xml:space="preserve">         contra la vida, la salud y la integridad física o  mental  de  las</w:t>
        <w:br/>
        <w:t xml:space="preserve">         personas [que no participen directamente en  las  hostilidades,  o</w:t>
        <w:br/>
        <w:t xml:space="preserve">         que hayan  dejado  de  participar  en  ellas],  en  particular  el</w:t>
        <w:br/>
        <w:t xml:space="preserve">         homicidio y los  tratos  crueles  tales  como  la  tortura  y  las</w:t>
        <w:br/>
        <w:t xml:space="preserve">         mutilaciones o toda forma de pena corporal”. Resalta  también  que</w:t>
        <w:br/>
        <w:t xml:space="preserve">         “[q]ueda prohibido ordenar que no  haya  supervivientes”.  Además,</w:t>
        <w:br/>
        <w:t xml:space="preserve">         especifica en su artículo 13 las obligaciones de protección de  la</w:t>
        <w:br/>
        <w:t xml:space="preserve">         población civil  y  las  personas  civiles,  salvo  si  participan</w:t>
        <w:br/>
        <w:t xml:space="preserve">         directamente   en   las   hostilidades   y   mientras   dure   tal</w:t>
        <w:br/>
        <w:t xml:space="preserve">         participación, al disponer  que  “gozarán  de  protección  general</w:t>
        <w:br/>
        <w:t xml:space="preserve">         contra los peligros procedentes de operaciones  militares”  y  que</w:t>
        <w:br/>
        <w:t xml:space="preserve">         “no serán objeto de ataque”.</w:t>
        <w:br/>
        <w:br/>
        <w:t xml:space="preserve">    149. En lo que se refiere al artículo 7 de la Convención, esta Corte ha</w:t>
        <w:br/>
        <w:t xml:space="preserve">         sostenido  que  consagra  garantías  que  representan  límites  al</w:t>
        <w:br/>
        <w:t xml:space="preserve">         ejercicio de la autoridad por parte de agentes  del  Estado.  Esos</w:t>
        <w:br/>
        <w:t xml:space="preserve">         límites se aplican a los instrumentos de control estatales, uno de</w:t>
        <w:br/>
        <w:t xml:space="preserve">         los  cuales  es  la  detención.  Dicha  medida   debe   estar   en</w:t>
        <w:br/>
        <w:t xml:space="preserve">         concordancia con  las  garantías  reconocidas  en  la  Convención,</w:t>
        <w:br/>
        <w:t xml:space="preserve">         siempre y cuando su aplicación tenga  un  carácter  excepcional  y</w:t>
        <w:br/>
        <w:t xml:space="preserve">         respete el principio a la presunción de inocencia y los principios</w:t>
        <w:br/>
        <w:t xml:space="preserve">         de legalidad, necesidad y proporcionalidad, indispensables en  una</w:t>
        <w:br/>
        <w:t xml:space="preserve">         sociedad democrática[181]. La  jurisprudencia  constante  de  esta</w:t>
        <w:br/>
        <w:t xml:space="preserve">         Corte reconoce que las personas sometidas a privación de  libertad</w:t>
        <w:br/>
        <w:t xml:space="preserve">         que  se  encuentren  bajo  la  custodia  de   cuerpos   represivos</w:t>
        <w:br/>
        <w:t xml:space="preserve">         oficiales, agentes estatales o  particulares  que  actúen  con  su</w:t>
        <w:br/>
        <w:t xml:space="preserve">         aquiescencia o tolerancia, que impunemente practiquen la tortura y</w:t>
        <w:br/>
        <w:t xml:space="preserve">         el asesinato representa, por sí mismo, una infracción al deber  de</w:t>
        <w:br/>
        <w:t xml:space="preserve">         prevención   de   violaciones   al   derecho   a   la   integridad</w:t>
        <w:br/>
        <w:t xml:space="preserve">         personal[182].</w:t>
        <w:br/>
        <w:br/>
        <w:t xml:space="preserve">    150. El Tribunal reitera que revisten especial gravedad  los  casos  en</w:t>
        <w:br/>
        <w:t xml:space="preserve">         los cuales las víctimas de violaciones a los derechos humanos  son</w:t>
        <w:br/>
        <w:t xml:space="preserve">         niños  y  niñas[183],  quienes  son  titulares  de  los   derechos</w:t>
        <w:br/>
        <w:t xml:space="preserve">         establecidos en la Convención Americana, además de contar con  las</w:t>
        <w:br/>
        <w:t xml:space="preserve">         medidas especiales de protección contempladas en su  artículo  19,</w:t>
        <w:br/>
        <w:t xml:space="preserve">         las  cuales  deben  ser   definidas   según   las   circunstancias</w:t>
        <w:br/>
        <w:t xml:space="preserve">         particulares de cada caso concreto[184]. La  adopción  de  medidas</w:t>
        <w:br/>
        <w:t xml:space="preserve">         especiales para la protección de los  niños  y  niñas  corresponde</w:t>
        <w:br/>
        <w:t xml:space="preserve">         tanto al Estado como a la familia, a la comunidad y a la  sociedad</w:t>
        <w:br/>
        <w:t xml:space="preserve">         a la que pertenecen[185], y éstas incluyen las referentes a la  no</w:t>
        <w:br/>
        <w:t xml:space="preserve">         discriminación, a la prohibición de la tortura y a las condiciones</w:t>
        <w:br/>
        <w:t xml:space="preserve">         que deben observarse en casos  de  privación  de  la  libertad  de</w:t>
        <w:br/>
        <w:t xml:space="preserve">         niños[186].</w:t>
        <w:br/>
        <w:br/>
        <w:t xml:space="preserve">    151. En  el  presente  caso  ha  sido  establecido  y  El  Salvador  ha</w:t>
        <w:br/>
        <w:t xml:space="preserve">         reconocido (supra párrs. 17 y 19) que, entre el  11  y  el  13  de</w:t>
        <w:br/>
        <w:t xml:space="preserve">         diciembre de 1981, la Fuerza Armada de El Salvador -el Batallón de</w:t>
        <w:br/>
        <w:t xml:space="preserve">         Infantería de Reacción Inmediata Atlacatl junto con unidades de la</w:t>
        <w:br/>
        <w:t xml:space="preserve">         Tercera Brigada de Infantería  de  San  Miguel  y  del  Centro  de</w:t>
        <w:br/>
        <w:t xml:space="preserve">         Instrucción de Comandos de San Francisco Gotera-, con el apoyo  de</w:t>
        <w:br/>
        <w:t xml:space="preserve">         la Fuerza Aérea salvadoreña,  realizó  una  serie  consecutiva  de</w:t>
        <w:br/>
        <w:t xml:space="preserve">         ejecuciones masivas,  colectivas  e  indiscriminadas  de  personas</w:t>
        <w:br/>
        <w:t xml:space="preserve">         indefensas en el  caserío  El  Mozote,  el  cantón  La  Joya,  los</w:t>
        <w:br/>
        <w:t xml:space="preserve">         caseríos Ranchería, Los Toriles y Jocote Amarillo, así como en  el</w:t>
        <w:br/>
        <w:t xml:space="preserve">         cantón Cerro Pando y en una cueva del Cerro Ortiz, en el marco  de</w:t>
        <w:br/>
        <w:t xml:space="preserve">         una supuesta operación de contrainsurgencia que formaba  parte  de</w:t>
        <w:br/>
        <w:t xml:space="preserve">         una política de “tierra arrasada” planificada y ejecutada  por  el</w:t>
        <w:br/>
        <w:t xml:space="preserve">         Estado. En efecto, los hechos  demuestran  que  la  Fuerza  Armada</w:t>
        <w:br/>
        <w:t xml:space="preserve">         ejecutó a todas las personas que encontraba  a  su  paso:  adultos</w:t>
        <w:br/>
        <w:t xml:space="preserve">         mayores, hombres, mujeres, niñas y niños,  mató  a  los  animales,</w:t>
        <w:br/>
        <w:t xml:space="preserve">         destruyó y quemó cultivos, viviendas, y  devastó  “de  una  manera</w:t>
        <w:br/>
        <w:t xml:space="preserve">         especial […] lo comunitario”[187].</w:t>
        <w:br/>
        <w:br/>
        <w:t xml:space="preserve">    152. En forma similar, la Comisión de la Verdad  afirmó  que  daba  por</w:t>
        <w:br/>
        <w:t xml:space="preserve">         “plenamente probado que el día 11 de diciembre de  1981,  unidades</w:t>
        <w:br/>
        <w:t xml:space="preserve">         del BIRI Atlacatl dieron muerte en el caserío El Mozote, de manera</w:t>
        <w:br/>
        <w:t xml:space="preserve">         deliberada y sistemática, a un grupo de más de doscientos hombres,</w:t>
        <w:br/>
        <w:t xml:space="preserve">         mujeres y niños, que constituía la totalidad de la población civil</w:t>
        <w:br/>
        <w:t xml:space="preserve">         que el día anterior habían encontrado en  el  lugar  y  que  desde</w:t>
        <w:br/>
        <w:t xml:space="preserve">         entonces tenían en su poder”[188]. Asimismo, concluyó que  “[e]stá</w:t>
        <w:br/>
        <w:t xml:space="preserve">         suficientemente comprobado que  en  los  días  que  precedieron  y</w:t>
        <w:br/>
        <w:t xml:space="preserve">         siguieron a  la  masacre  de  El  Mozote,  fuerzas  militares  que</w:t>
        <w:br/>
        <w:t xml:space="preserve">         participaban en la ‘Operación Rescate’ masacraron a  la  población</w:t>
        <w:br/>
        <w:t xml:space="preserve">         civil no combatiente en el cantón La  Joya,  en  los  caseríos  La</w:t>
        <w:br/>
        <w:t xml:space="preserve">         Ranchería, Jocote Amarillo y Los Toriles, y  en  el  cantón  Cerro</w:t>
        <w:br/>
        <w:t xml:space="preserve">         Pando”[189]. En todos los casos, sostuvo la Comisión de la Verdad,</w:t>
        <w:br/>
        <w:t xml:space="preserve">         “las  tropas  actuaron  de  igual  manera:  mataron  a   los   que</w:t>
        <w:br/>
        <w:t xml:space="preserve">         encontraron, hombres, mujeres y niños,  y  luego  incendiaron  las</w:t>
        <w:br/>
        <w:t xml:space="preserve">         casas del poblado. Así sucedió en el cantón La Joya el día  11  de</w:t>
        <w:br/>
        <w:t xml:space="preserve">         diciembre; en el caserío Ranchería el día  12,  y  en  el  caserío</w:t>
        <w:br/>
        <w:t xml:space="preserve">         Jocote Amarillo y el cantón Cerro Pando el día 13”[190].</w:t>
        <w:br/>
        <w:br/>
        <w:t xml:space="preserve">    153. Más allá de la pretendida finalidad  del  operativo  (supra  párr.</w:t>
        <w:br/>
        <w:t xml:space="preserve">         83), lo cierto  es  que  estuvo  dirigido  deliberadamente  contra</w:t>
        <w:br/>
        <w:t xml:space="preserve">         población civil o  no  combatiente  dado  que,  si  bien  la  zona</w:t>
        <w:br/>
        <w:t xml:space="preserve">         afectada por el operativo  constituía  una  zona  conflictiva  con</w:t>
        <w:br/>
        <w:t xml:space="preserve">         presencia tanto del Ejército como del FMLN, la prueba es clara  en</w:t>
        <w:br/>
        <w:t xml:space="preserve">         cuanto a que al momento  de  los  hechos  no  había  presencia  de</w:t>
        <w:br/>
        <w:t xml:space="preserve">         miembros de la guerrilla ni de personas armadas en  los  referidos</w:t>
        <w:br/>
        <w:t xml:space="preserve">         lugares[191], más aún, teniendo en cuenta que la gran  mayoría  de</w:t>
        <w:br/>
        <w:t xml:space="preserve">         las víctimas ejecutadas eran niños y niñas,  mujeres  –algunas  de</w:t>
        <w:br/>
        <w:t xml:space="preserve">         ellas embarazadas- y adultos  mayores.  Los  últimos  listados  de</w:t>
        <w:br/>
        <w:t xml:space="preserve">         víctimas confeccionados por Tutela Legal del Arzobispado, en  base</w:t>
        <w:br/>
        <w:t xml:space="preserve">         a testimonios de sobrevivientes y familiares, indican 1061 nombres</w:t>
        <w:br/>
        <w:t xml:space="preserve">         de presuntas víctimas ejecutadas, de  las  cuales  aproximadamente</w:t>
        <w:br/>
        <w:t xml:space="preserve">         54% eran niños y niñas, aproximadamente 18% eran mujeres adultas y</w:t>
        <w:br/>
        <w:t xml:space="preserve">         aproximadamente 10% eran hombres y mujeres adultos mayores  de  60</w:t>
        <w:br/>
        <w:t xml:space="preserve">         años. Por su parte, en las exhumaciones realizadas en  28  sitios,</w:t>
        <w:br/>
        <w:t xml:space="preserve">         indicados en su gran mayoría por sobrevivientes y otros  testigos,</w:t>
        <w:br/>
        <w:t xml:space="preserve">         se recuperaron restos correspondientes a un número mínimo  de  281</w:t>
        <w:br/>
        <w:t xml:space="preserve">         individuos, de los cuales un  aproximado  de  74%  corresponden  a</w:t>
        <w:br/>
        <w:t xml:space="preserve">         niños y niñas menores de 12 años[192]. En particular, en el  Sitio</w:t>
        <w:br/>
        <w:t xml:space="preserve">         1, conocido como “El Convento”  del  caserío  El  Mozote,  de  143</w:t>
        <w:br/>
        <w:t xml:space="preserve">         individuos  identificados,  136  corresponden  a  niños,  niñas  y</w:t>
        <w:br/>
        <w:t xml:space="preserve">         adolescentes, siendo el promedio de edad de 6 años[193].</w:t>
        <w:br/>
        <w:br/>
        <w:t xml:space="preserve">    154. Esta  afirmación  se  ve  corroborada  también  por  los  informes</w:t>
        <w:br/>
        <w:t xml:space="preserve">         forenses que concluyeron que  no  se  encontraron  evidencias  que</w:t>
        <w:br/>
        <w:t xml:space="preserve">         pudieran sustentar la posibilidad de que las muertes se produjeran</w:t>
        <w:br/>
        <w:t xml:space="preserve">         en el contexto de un  combate,  enfrentamiento  o  intercambio  de</w:t>
        <w:br/>
        <w:t xml:space="preserve">         disparos  entre  dos  bandos[194].  Asimismo,   la   cantidad   de</w:t>
        <w:br/>
        <w:t xml:space="preserve">         evidencias  balísticas  encontradas  en   los   lugares   de   las</w:t>
        <w:br/>
        <w:t xml:space="preserve">         ejecuciones demuestra la forma indiscriminada y masiva en  que  se</w:t>
        <w:br/>
        <w:t xml:space="preserve">         llevaron a cabo las ejecuciones  de  personas[195].  Los  testigos</w:t>
        <w:br/>
        <w:t xml:space="preserve">         sobrevivientes  mencionan  reiteradamente  “las  balaceras”,  “las</w:t>
        <w:br/>
        <w:t xml:space="preserve">         ametralladoras”, “los disparos  constantes”[196].  Además,  muchas</w:t>
        <w:br/>
        <w:t xml:space="preserve">         víctimas fueron degolladas o quemadas aún con vida  (supra  párrs.</w:t>
        <w:br/>
        <w:t xml:space="preserve">         95, 96 y 108). Las evidencias físicas de las  exhumaciones  en  el</w:t>
        <w:br/>
        <w:t xml:space="preserve">         caserío El Mozote confirman las aserciones de un asesinato masivo,</w:t>
        <w:br/>
        <w:t xml:space="preserve">         esto es, de la ocurrencia de una masacre[197].</w:t>
        <w:br/>
        <w:br/>
        <w:t xml:space="preserve">    155. En suma, correspondía al Estado  la  protección  de  la  población</w:t>
        <w:br/>
        <w:t xml:space="preserve">         civil en el conflicto armado[198] y especialmente de los  niños  y</w:t>
        <w:br/>
        <w:t xml:space="preserve">         niñas[199], quienes  se  encuentran  en  una  situación  de  mayor</w:t>
        <w:br/>
        <w:t xml:space="preserve">         vulnerabilidad y riesgo de ver  afectados  sus  derechos.  Por  el</w:t>
        <w:br/>
        <w:t xml:space="preserve">         contrario, en el presente caso los agentes estatales  actuaron  de</w:t>
        <w:br/>
        <w:t xml:space="preserve">         forma  deliberada,  al  planear  y  ejecutar  a  través   de   las</w:t>
        <w:br/>
        <w:t xml:space="preserve">         estructuras e instalaciones del Estado, la perpetración  de  siete</w:t>
        <w:br/>
        <w:t xml:space="preserve">         masacres sucesivas de adultos mayores, hombres, mujeres,  niños  y</w:t>
        <w:br/>
        <w:t xml:space="preserve">         niñas indefensos, en el marco de un plan sistemático de  represión</w:t>
        <w:br/>
        <w:t xml:space="preserve">         a que fueron  sometidos  determinados  sectores  de  la  población</w:t>
        <w:br/>
        <w:t xml:space="preserve">         considerados  como  apoyo,  colaboración  o   pertenencia   a   la</w:t>
        <w:br/>
        <w:t xml:space="preserve">         guerrilla, o de alguna manera contrarios u opositores al gobierno.</w:t>
        <w:br/>
        <w:br/>
        <w:t xml:space="preserve">    156. Por ende,  el  Estado  de  El  Salvador  es  responsable  por  las</w:t>
        <w:br/>
        <w:t xml:space="preserve">         ejecuciones perpetradas por la Fuerza Armada  salvadoreña  en  las</w:t>
        <w:br/>
        <w:t xml:space="preserve">         masacres cometidas del 11 al 13 de diciembre de 1981 en el caserío</w:t>
        <w:br/>
        <w:t xml:space="preserve">         el Mozote, el cantón la Joya, los caseríos Ranchería, Los  Toriles</w:t>
        <w:br/>
        <w:t xml:space="preserve">         y Jocote Amarillo, así como en el cantón  Cerro  Pando  y  en  una</w:t>
        <w:br/>
        <w:t xml:space="preserve">         cueva  del  Cerro  Ortiz,  en  violación  del  artículo  4  de  la</w:t>
        <w:br/>
        <w:t xml:space="preserve">         Convención Americana, en relación con el  artículo  1.1  de  dicho</w:t>
        <w:br/>
        <w:t xml:space="preserve">         instrumento. Además, se ha comprobado que dentro de  las  víctimas</w:t>
        <w:br/>
        <w:t xml:space="preserve">         ejecutadas se encontraba un gran número de niños y niñas,  por  lo</w:t>
        <w:br/>
        <w:t xml:space="preserve">         que respecto a ellos las violaciones al derecho a la vida  ocurren</w:t>
        <w:br/>
        <w:t xml:space="preserve">         también en relación con el artículo  19  de  la  Convención.  Esta</w:t>
        <w:br/>
        <w:t xml:space="preserve">         violación se vio agravada respecto de los niños y niñas, así  como</w:t>
        <w:br/>
        <w:t xml:space="preserve">         de las mujeres que se encontraban embarazadas.</w:t>
        <w:br/>
        <w:br/>
        <w:t xml:space="preserve">    157. Los listados que acompañan el informe  de  fondo  de  la  Comisión</w:t>
        <w:br/>
        <w:t xml:space="preserve">         Interamericana  arrojan  un  total  de  967   presuntas   víctimas</w:t>
        <w:br/>
        <w:t xml:space="preserve">         ejecutadas. A su  vez,  el  Estado  presentó  un  listado  de  936</w:t>
        <w:br/>
        <w:t xml:space="preserve">         víctimas de la masacre de El  Mozote  y  lugares  aledaños  (supra</w:t>
        <w:br/>
        <w:t xml:space="preserve">         párrs.  20  y  38).  Por  su  parte,  los  listados   actualizados</w:t>
        <w:br/>
        <w:t xml:space="preserve">         presentados por los representantes junto con sus alegatos  finales</w:t>
        <w:br/>
        <w:t xml:space="preserve">         indican un total de 1061 presuntas víctimas ejecutadas.  La  Corte</w:t>
        <w:br/>
        <w:t xml:space="preserve">         ha logrado constatar, en aplicación  de  los  criterios  señalados</w:t>
        <w:br/>
        <w:t xml:space="preserve">         (supra párr. 57), que 440 personas fueron ejecutadas por la Fuerza</w:t>
        <w:br/>
        <w:t xml:space="preserve">         Armada salvadoreña, cifra que  por  las  circunstancias  del  caso</w:t>
        <w:br/>
        <w:t xml:space="preserve">         podría modificarse  con  el  desarrollo  del  “Registro  Único  de</w:t>
        <w:br/>
        <w:t xml:space="preserve">         Víctimas y Familiares de Víctimas  de  Graves  Violaciones  a  los</w:t>
        <w:br/>
        <w:t xml:space="preserve">         Derechos Humanos durante la Masacre de El  Mozote”  (infra  párrs.</w:t>
        <w:br/>
        <w:t xml:space="preserve">         309 y 310). No  obstante,  la  Corte  deja  constancia  que  tiene</w:t>
        <w:br/>
        <w:t xml:space="preserve">         elementos para concluir que el número de víctimas es mucho  mayor,</w:t>
        <w:br/>
        <w:t xml:space="preserve">         aún  cuando  no  consta   prueba   suficiente   para   su   debida</w:t>
        <w:br/>
        <w:t xml:space="preserve">         identificación en el proceso seguido ante ella.</w:t>
        <w:br/>
        <w:br/>
        <w:t xml:space="preserve">    158. En el caso de la masacre en el  caserío  El  Mozote  se  evidencia</w:t>
        <w:br/>
        <w:t xml:space="preserve">         afectaciones adicionales, en tanto de los hechos se deriva que las</w:t>
        <w:br/>
        <w:t xml:space="preserve">         personas estuvieron detenidas ilegal  y  arbitrariamente  bajo  el</w:t>
        <w:br/>
        <w:t xml:space="preserve">         control de miembros de la Fuerza  Armada,  impidiéndose  cualquier</w:t>
        <w:br/>
        <w:t xml:space="preserve">         posibilidad de que operaran a su  favor  las  salvaguardas  de  la</w:t>
        <w:br/>
        <w:t xml:space="preserve">         libertad personal establecidas en el artículo 7 de  la  Convención</w:t>
        <w:br/>
        <w:t xml:space="preserve">         Americana. La Corte resalta que las ejecuciones colectivas  no  se</w:t>
        <w:br/>
        <w:t xml:space="preserve">         produjeron  inmediatamente  después  de  la   detención   de   los</w:t>
        <w:br/>
        <w:t xml:space="preserve">         pobladores y  otras  personas  que  se  habían  congregado  en  el</w:t>
        <w:br/>
        <w:t xml:space="preserve">         caserío, sino que transcurrieron aproximadamente  entre  12  y  24</w:t>
        <w:br/>
        <w:t xml:space="preserve">         horas durante las cuales dichas personas  fueron  intencionalmente</w:t>
        <w:br/>
        <w:t xml:space="preserve">         sometidas a sufrimientos intensos al ser amenazadas e intimidadas;</w:t>
        <w:br/>
        <w:t xml:space="preserve">         mantenidas encerradas y custodiadas durante  horas  y,  en  dichas</w:t>
        <w:br/>
        <w:t xml:space="preserve">         circunstancias, interrogadas sobre la presencia de guerrilleros en</w:t>
        <w:br/>
        <w:t xml:space="preserve">         la zona, sin saber cuál sería su suerte final (supra párrs.  89  a</w:t>
        <w:br/>
        <w:t xml:space="preserve">         94). La Corte advierte que, de los hechos del  presente  caso,  se</w:t>
        <w:br/>
        <w:t xml:space="preserve">         desprende que ese conjunto de actos causó  sufrimientos  de  grave</w:t>
        <w:br/>
        <w:t xml:space="preserve">         intensidad, dentro de la incertidumbre de lo que les podía suceder</w:t>
        <w:br/>
        <w:t xml:space="preserve">         y el profundo temor de que podrían ser  privados  de  su  vida  de</w:t>
        <w:br/>
        <w:t xml:space="preserve">         manera arbitraria y violenta, como en efecto ocurrió, tal como  se</w:t>
        <w:br/>
        <w:t xml:space="preserve">         desprende de la declaración de la señora Rufina Amaya, quien logró</w:t>
        <w:br/>
        <w:t xml:space="preserve">         esconderse y evitar que la ejecutaran.</w:t>
        <w:br/>
        <w:br/>
        <w:t xml:space="preserve">    159. Además, el  testimonio  de  la  señora  Rufina  Amaya  refiere  la</w:t>
        <w:br/>
        <w:t xml:space="preserve">         crueldad con la que actuaron las fuerzas de seguridad  al  relatar</w:t>
        <w:br/>
        <w:t xml:space="preserve">         que: “vio que los soldados tenían vendados y amarrados de los pies</w:t>
        <w:br/>
        <w:t xml:space="preserve">         y con las manos amarradas hacia atrás a todos los hombres,  dentro</w:t>
        <w:br/>
        <w:t xml:space="preserve">         de la ermita que tenía sus puertas  abiertas,  todos  los  hombres</w:t>
        <w:br/>
        <w:t xml:space="preserve">         estaban boca abajo en el suelo, y también vio que los soldados  se</w:t>
        <w:br/>
        <w:t xml:space="preserve">         paraban encima de ellos, y les levantaban la cabeza  hacia  atrás,</w:t>
        <w:br/>
        <w:t xml:space="preserve">         entonces los hombres  gritaban  da  dolor;  después  vio  que  los</w:t>
        <w:br/>
        <w:t xml:space="preserve">         levantaban del suelo y con corvo a uno por uno les  iban  cortando</w:t>
        <w:br/>
        <w:t xml:space="preserve">         la cabeza, después arrastraban sus  cuerpos  y  cabezas  hacia  el</w:t>
        <w:br/>
        <w:t xml:space="preserve">         convento y allí iban dejando  el  montón  de  muertos,  pero  como</w:t>
        <w:br/>
        <w:t xml:space="preserve">         algunos hombres trataban de escaparse los ametrallaban”[200].</w:t>
        <w:br/>
        <w:br/>
        <w:t xml:space="preserve">    160. El testimonio de Rufina Amaya también da cuenta que primero fueron</w:t>
        <w:br/>
        <w:t xml:space="preserve">         ejecutados los hombres y adolescentes, posteriormente las  mujeres</w:t>
        <w:br/>
        <w:t xml:space="preserve">         y, finalmente, los niños y niñas más pequeños (supra párrs.  92  y</w:t>
        <w:br/>
        <w:t xml:space="preserve">         94). El hecho de que las mujeres fueran  sacadas  de  los  lugares</w:t>
        <w:br/>
        <w:t xml:space="preserve">         donde permanecían privadas de libertad dejando a sus niños y niñas</w:t>
        <w:br/>
        <w:t xml:space="preserve">         solos, pudo generar en  estos  últimos  sentimientos  de  pérdida,</w:t>
        <w:br/>
        <w:t xml:space="preserve">         abandono, intenso temor,  incertidumbre,  angustia  y  dolor,  los</w:t>
        <w:br/>
        <w:t xml:space="preserve">         cuales pudieron variar e intensificarse dependiendo de la  edad  y</w:t>
        <w:br/>
        <w:t xml:space="preserve">         las circunstancias particulares[201].</w:t>
        <w:br/>
        <w:br/>
        <w:t xml:space="preserve">    161. En lo que respecta a las demás masacres, en razón de que  ha  sido</w:t>
        <w:br/>
        <w:t xml:space="preserve">         probado que los habitantes de estas zonas tenían conocimiento  del</w:t>
        <w:br/>
        <w:t xml:space="preserve">         operativo y algunos recibieron noticias  de  personas  que  venían</w:t>
        <w:br/>
        <w:t xml:space="preserve">         escapando sobre el accionar violento de las fuerzas militares,  la</w:t>
        <w:br/>
        <w:t xml:space="preserve">         Corte considera razonable que hayan padecido angustia y  temor  en</w:t>
        <w:br/>
        <w:t xml:space="preserve">         los momentos previos al arribo de los soldados,  ya  que  pudieron</w:t>
        <w:br/>
        <w:t xml:space="preserve">         prever que serían privados de  su  vida  de  manera  arbitraria  y</w:t>
        <w:br/>
        <w:t xml:space="preserve">         violenta, lo cual constituyó un trato cruel e inhumano.</w:t>
        <w:br/>
        <w:br/>
        <w:t xml:space="preserve">    162. De acuerdo con  el  reconocimiento  de  hechos  efectuado  por  el</w:t>
        <w:br/>
        <w:t xml:space="preserve">         Estado, el reconocimiento de responsabilidad a nivel interno y las</w:t>
        <w:br/>
        <w:t xml:space="preserve">         determinaciones realizadas  por  este  Tribunal,  los  hechos  que</w:t>
        <w:br/>
        <w:t xml:space="preserve">         precedieron a la ejecución de las personas que se  encontraban  en</w:t>
        <w:br/>
        <w:t xml:space="preserve">         el caserío El Mozote, los cantones La  Joya  y  Cerro  Pando,  los</w:t>
        <w:br/>
        <w:t xml:space="preserve">         caseríos Ranchería, Los Toriles y Jocote Amarillo y una cueva  del</w:t>
        <w:br/>
        <w:t xml:space="preserve">         Cerro  Ortiz,  implicaron  para  ellos  un   sufrimiento   físico,</w:t>
        <w:br/>
        <w:t xml:space="preserve">         psicológico y moral violatorio  de  su  derecho  a  la  integridad</w:t>
        <w:br/>
        <w:t xml:space="preserve">         personal reconocido en el artículo 5.1 de la Convención Americana,</w:t>
        <w:br/>
        <w:t xml:space="preserve">         los cuales a su vez  constituyeron  tratos  crueles,  inhumanos  y</w:t>
        <w:br/>
        <w:t xml:space="preserve">         degradantes,  contrarios  al  artículo  5.2   de   la   Convención</w:t>
        <w:br/>
        <w:t xml:space="preserve">         Americana, en relación con el artículo 1.1 del mismo  instrumento,</w:t>
        <w:br/>
        <w:t xml:space="preserve">         en perjuicio de las víctimas ejecutadas. Además, dado  que  dentro</w:t>
        <w:br/>
        <w:t xml:space="preserve">         de las víctimas ejecutadas se ha  comprobado  que  se  encontraban</w:t>
        <w:br/>
        <w:t xml:space="preserve">         niños y niñas, la Corte concluye que las violaciones al derecho  a</w:t>
        <w:br/>
        <w:t xml:space="preserve">         la integridad a su respecto ocurren también  en  relación  con  el</w:t>
        <w:br/>
        <w:t xml:space="preserve">         artículo 19 de la Convención.</w:t>
        <w:br/>
        <w:br/>
        <w:t xml:space="preserve">    163. Por otra parte, en base a la aceptación de hechos realizada por el</w:t>
        <w:br/>
        <w:t xml:space="preserve">         Estado, el  Tribunal  considera  razonable  otorgar  valor  en  el</w:t>
        <w:br/>
        <w:t xml:space="preserve">         presente caso a la serie de indicios que  surgen  del  expediente,</w:t>
        <w:br/>
        <w:t xml:space="preserve">         los cuales permiten inferir la veracidad  de  la  perpetración  de</w:t>
        <w:br/>
        <w:t xml:space="preserve">         violaciones sexuales por parte de militares en contra  de  mujeres</w:t>
        <w:br/>
        <w:t xml:space="preserve">         en  el  caserío  El  Mozote.   Primeramente,   a   raíz   de   sus</w:t>
        <w:br/>
        <w:t xml:space="preserve">         investigaciones, los informes  de  Tutela  Legal  del  Arzobispado</w:t>
        <w:br/>
        <w:t xml:space="preserve">         indican que, durante la conducción del  operativo  en  El  Mozote,</w:t>
        <w:br/>
        <w:t xml:space="preserve">         habrían violado  a  muchas  mujeres  jóvenes  antes  de  matarlas,</w:t>
        <w:br/>
        <w:t xml:space="preserve">         principalmente en los cerros “La Cruz”  y  “El  Chingo”[202].  Por</w:t>
        <w:br/>
        <w:t xml:space="preserve">         otra parte, la declaración de Rufina Amaya refiere  que  previo  a</w:t>
        <w:br/>
        <w:t xml:space="preserve">         las masacres los efectivos militares se  habían  asentado  en  los</w:t>
        <w:br/>
        <w:t xml:space="preserve">         cerros “La Cruz” y “El Chingo”[203], lo cual se ve corroborado por</w:t>
        <w:br/>
        <w:t xml:space="preserve">         los resultados de las inspecciones judiciales  en  dichos  lugares</w:t>
        <w:br/>
        <w:t xml:space="preserve">         que demostraron la existencia de trincheras  en  los  mismos[204].</w:t>
        <w:br/>
        <w:t xml:space="preserve">         Además, la señora Rufina Amaya declaró que el 12 de  diciembre  de</w:t>
        <w:br/>
        <w:t xml:space="preserve">         1981 escuchó gritos de algunas mujeres desde el cerro “El  Chingo”</w:t>
        <w:br/>
        <w:t xml:space="preserve">         que decían “Hay, hay, no nos  maten”[205].  Asimismo,  durante  su</w:t>
        <w:br/>
        <w:t xml:space="preserve">         participación en la inspección  judicial  que  se  realizó  en  El</w:t>
        <w:br/>
        <w:t xml:space="preserve">         Mozote indicó que,  una  vez  que  se  logró  esconder  tras  unos</w:t>
        <w:br/>
        <w:t xml:space="preserve">         matorrales, logró ver que en la casa del señor Israel Márquez “los</w:t>
        <w:br/>
        <w:t xml:space="preserve">         soldados  estaban  violando  y  dando  muertes  a  un   grupo   de</w:t>
        <w:br/>
        <w:t xml:space="preserve">         mujeres”[206]. Las exhumaciones en dicho sitio indicaron  que  los</w:t>
        <w:br/>
        <w:t xml:space="preserve">         restos en  su  gran  mayoría  pertenecían  a  individuos  de  sexo</w:t>
        <w:br/>
        <w:t xml:space="preserve">         femenino[207]. Adicionalmente, al denunciar los  hechos  el  señor</w:t>
        <w:br/>
        <w:t xml:space="preserve">         Pedro Chicas señaló que “los mismos soldados, se  llevaron  a  las</w:t>
        <w:br/>
        <w:t xml:space="preserve">         jóvenes [a los cerros] El Chingo y La Cruz, del mismo  Caserío  El</w:t>
        <w:br/>
        <w:t xml:space="preserve">         Mozote, en donde las violaron, asesinándolas posteriormente”[208].</w:t>
        <w:br/>
        <w:t xml:space="preserve">         Por otra parte, aún cuando no fue incluido en los hechos  probados</w:t>
        <w:br/>
        <w:t xml:space="preserve">         del informe de fondo, según fue establecido por Tutela  Legal  del</w:t>
        <w:br/>
        <w:t xml:space="preserve">         Arzobispado en su informe[209],  también  habrían  sido  cometidas</w:t>
        <w:br/>
        <w:t xml:space="preserve">         violaciones sexuales en el cantón La Joya, lo cual corresponde  al</w:t>
        <w:br/>
        <w:t xml:space="preserve">         Estado investigar.</w:t>
        <w:br/>
        <w:br/>
        <w:t xml:space="preserve">    164. Al  respecto,  la  Corte  reitera  que  resulta  evidente  que  la</w:t>
        <w:br/>
        <w:t xml:space="preserve">         violación sexual  es  un  tipo  particular  de  agresión  que,  en</w:t>
        <w:br/>
        <w:t xml:space="preserve">         general, se  caracteriza  por  producirse  en  ausencia  de  otras</w:t>
        <w:br/>
        <w:t xml:space="preserve">         personas más allá de la víctima y el agresor o los agresores[210].</w:t>
        <w:br/>
        <w:t xml:space="preserve">         En esta línea, el Tribunal hace notar el contexto en el que fueron</w:t>
        <w:br/>
        <w:t xml:space="preserve">         perpetradas las violaciones sexuales reconocidas  por  el  Estado,</w:t>
        <w:br/>
        <w:t xml:space="preserve">         esto es, en el transcurso de un operativo militar en el  cual  las</w:t>
        <w:br/>
        <w:t xml:space="preserve">         mujeres se hallaban sujetas  al  completo  control  del  poder  de</w:t>
        <w:br/>
        <w:t xml:space="preserve">         agentes del Estado y en una  situación  de  absoluta  indefensión.</w:t>
        <w:br/>
        <w:t xml:space="preserve">         Además, llegar a una  conclusión  distinta  permitiría  al  Estado</w:t>
        <w:br/>
        <w:t xml:space="preserve">         ampararse en la impunidad en que  se  encuentra  la  investigación</w:t>
        <w:br/>
        <w:t xml:space="preserve">         penal de los hechos  del  presente  caso  para  sustraerse  de  su</w:t>
        <w:br/>
        <w:t xml:space="preserve">         responsabilidad  por  la  violación   del   artículo   5   de   la</w:t>
        <w:br/>
        <w:t xml:space="preserve">         Convención[211].</w:t>
        <w:br/>
        <w:br/>
        <w:t xml:space="preserve">    165. La Corte considera que es  inherente  a  la  violación  sexual  el</w:t>
        <w:br/>
        <w:t xml:space="preserve">         sufrimiento severo de la víctima,  y  en  términos  generales,  la</w:t>
        <w:br/>
        <w:t xml:space="preserve">         violación sexual, al igual que la tortura, persigue, entre  otros,</w:t>
        <w:br/>
        <w:t xml:space="preserve">         los fines de intimidar, degradar, humillar, castigar o controlar a</w:t>
        <w:br/>
        <w:t xml:space="preserve">         la persona que la sufre[212]. Para calificar una violación  sexual</w:t>
        <w:br/>
        <w:t xml:space="preserve">         como tortura deberá atenerse a la intencionalidad, a la  severidad</w:t>
        <w:br/>
        <w:t xml:space="preserve">         del  sufrimiento  y  a  la  finalidad   del   acto,   tomando   en</w:t>
        <w:br/>
        <w:t xml:space="preserve">         consideración las circunstancias específicas de cada caso[213]. En</w:t>
        <w:br/>
        <w:t xml:space="preserve">         este  sentido,   ha   sido   reconocido   por   diversos   órganos</w:t>
        <w:br/>
        <w:t xml:space="preserve">         internacionales que durante los conflictos armados las  mujeres  y</w:t>
        <w:br/>
        <w:t xml:space="preserve">         niñas  enfrentan  situaciones  específicas  de  afectación  a  sus</w:t>
        <w:br/>
        <w:t xml:space="preserve">         derechos humanos, como lo son los actos de  violencia  sexual,  la</w:t>
        <w:br/>
        <w:t xml:space="preserve">         cual en muchas ocasiones es utilizada como un medio simbólico para</w:t>
        <w:br/>
        <w:t xml:space="preserve">         humillar a la parte  contraria  o  como  un  medio  de  castigo  y</w:t>
        <w:br/>
        <w:t xml:space="preserve">         represión[214]. La utilización del poder estatal para  violar  los</w:t>
        <w:br/>
        <w:t xml:space="preserve">         derechos de  las  mujeres  en  un  conflicto  interno,  además  de</w:t>
        <w:br/>
        <w:t xml:space="preserve">         afectarles a ellas de forma directa, puede tener  el  objetivo  de</w:t>
        <w:br/>
        <w:t xml:space="preserve">         causar un efecto en la sociedad a través de esas violaciones y dar</w:t>
        <w:br/>
        <w:t xml:space="preserve">         un mensaje o lección[215].  En  particular,  la  violación  sexual</w:t>
        <w:br/>
        <w:t xml:space="preserve">         constituye una forma paradigmática de violencia contra las mujeres</w:t>
        <w:br/>
        <w:t xml:space="preserve">         cuyas consecuencias, incluso,  trascienden  a  la  persona  de  la</w:t>
        <w:br/>
        <w:t xml:space="preserve">         víctima[216].</w:t>
        <w:br/>
        <w:br/>
        <w:t xml:space="preserve">    166. En cuanto a la alegada violación del artículo 11 de la  Convención</w:t>
        <w:br/>
        <w:t xml:space="preserve">         Americana, en  base  a  los  mismos  hechos,  el  Tribunal  ya  ha</w:t>
        <w:br/>
        <w:t xml:space="preserve">         precisado que el contenido de dicha norma incluye, entre otros, la</w:t>
        <w:br/>
        <w:t xml:space="preserve">         protección de la vida privada[217]. Por su parte, el  concepto  de</w:t>
        <w:br/>
        <w:t xml:space="preserve">         vida privada es un término amplio no susceptible  de  definiciones</w:t>
        <w:br/>
        <w:t xml:space="preserve">         exhaustivas[218],  pero  que  comprende,   entre   otros   ámbitos</w:t>
        <w:br/>
        <w:t xml:space="preserve">         protegidos, la vida  sexual[219]  y  el  derecho  a  establecer  y</w:t>
        <w:br/>
        <w:t xml:space="preserve">         desarrollar relaciones con  otros  seres  humanos[220].  La  Corte</w:t>
        <w:br/>
        <w:t xml:space="preserve">         estima que las violaciones sexuales perpetradas contra las mujeres</w:t>
        <w:br/>
        <w:t xml:space="preserve">         jóvenes en el caserío El  Mozote  vulneraron  valores  y  aspectos</w:t>
        <w:br/>
        <w:t xml:space="preserve">         esenciales de la  vida  privada  de  las  mismas,  supusieron  una</w:t>
        <w:br/>
        <w:t xml:space="preserve">         intromisión en su vida  sexual  y  anularon  su  derecho  a  tomar</w:t>
        <w:br/>
        <w:t xml:space="preserve">         libremente las decisiones  respecto  con  quien  tener  relaciones</w:t>
        <w:br/>
        <w:t xml:space="preserve">         sexuales,  perdiendo  de  forma  completa  el  control  sobre  sus</w:t>
        <w:br/>
        <w:t xml:space="preserve">         decisiones  más  personales  e  íntimas,  y  sobre  las  funciones</w:t>
        <w:br/>
        <w:t xml:space="preserve">         corporales básicas[221].</w:t>
        <w:br/>
        <w:br/>
        <w:t xml:space="preserve">    167. En razón de lo expuesto, el Tribunal considera que las violaciones</w:t>
        <w:br/>
        <w:t xml:space="preserve">         sexuales a las cuales fueron sometidas las mujeres en  el  caserío</w:t>
        <w:br/>
        <w:t xml:space="preserve">         El  Mozote  estando  bajo  el  control  de  efectivos   militares,</w:t>
        <w:br/>
        <w:t xml:space="preserve">         constituyeron una violación del  artículo  5.2  de  la  Convención</w:t>
        <w:br/>
        <w:t xml:space="preserve">         Americana, así como del artículo 11.2 de la misma, en relación con</w:t>
        <w:br/>
        <w:t xml:space="preserve">         el artículo 1.1 del mismo instrumento, aunque no cuenta con prueba</w:t>
        <w:br/>
        <w:t xml:space="preserve">         suficiente que permita  establecer  la  individualización  de  las</w:t>
        <w:br/>
        <w:t xml:space="preserve">         personas  en  perjuicio  de  quienes  se  habría  concretado  esta</w:t>
        <w:br/>
        <w:t xml:space="preserve">         vulneración, todo lo cual corresponde a  los  tribunales  internos</w:t>
        <w:br/>
        <w:t xml:space="preserve">         investigar.</w:t>
        <w:br/>
        <w:br/>
        <w:t xml:space="preserve">    168. Finalmente, tal como ha quedado demostrado (supra párrs.  89,  94,</w:t>
        <w:br/>
        <w:t xml:space="preserve">         95, 100, 107, 111, 115 y 118) efectivos  militares  procedieron  a</w:t>
        <w:br/>
        <w:t xml:space="preserve">         despojar a las víctimas de sus pertenencias, quemar las viviendas,</w:t>
        <w:br/>
        <w:t xml:space="preserve">         destruir y quemar los cultivos, y matar a los  animales,  de  modo</w:t>
        <w:br/>
        <w:t xml:space="preserve">         tal que el operativo de la Fuerza Armada consistió en una sucesión</w:t>
        <w:br/>
        <w:t xml:space="preserve">         de hechos  que  simultáneamente  afectó  una  serie  de  derechos,</w:t>
        <w:br/>
        <w:t xml:space="preserve">         incluyendo el derecho a la propiedad privada, razón por la cual la</w:t>
        <w:br/>
        <w:t xml:space="preserve">         Corte concluye que el Estado violó el artículo 21.1 y 21.2  de  la</w:t>
        <w:br/>
        <w:t xml:space="preserve">         Convención Americana, en relación con el artículo  1.1  del  mismo</w:t>
        <w:br/>
        <w:t xml:space="preserve">         instrumento, en  perjuicio  de  las  víctimas  ejecutadas  de  las</w:t>
        <w:br/>
        <w:t xml:space="preserve">         masacres o de sus familiares.</w:t>
        <w:br/>
        <w:br/>
        <w:br/>
        <w:t xml:space="preserve">           2)    Las violaciones de derechos humanos alegadas en  perjuicio</w:t>
        <w:br/>
        <w:t xml:space="preserve">           de las personas sobrevivientes</w:t>
        <w:br/>
        <w:br/>
        <w:br/>
        <w:t xml:space="preserve">    169.  En  el  presente  acápite  la  Corte   analizará   las   diversas</w:t>
        <w:br/>
        <w:t xml:space="preserve">         afectaciones que sufrieron  los  sobrevivientes  de  las  masacres</w:t>
        <w:br/>
        <w:t xml:space="preserve">         atendiendo a las circunstancias particulares  de  las  situaciones</w:t>
        <w:br/>
        <w:t xml:space="preserve">         que atravesaron.</w:t>
        <w:br/>
        <w:br/>
        <w:t xml:space="preserve">    170.  De  manera  consistente  las  declaraciones  recibidas  ante   la</w:t>
        <w:br/>
        <w:t xml:space="preserve">         Corte[222] permiten constatar que las víctimas sobrevivientes  del</w:t>
        <w:br/>
        <w:t xml:space="preserve">         caserío El Mozote,  del  cantón  La  Joya,  de  los  caseríos  Los</w:t>
        <w:br/>
        <w:t xml:space="preserve">         Toriles, Ranchería y Jocote Amarillo, así como  del  cantón  Cerro</w:t>
        <w:br/>
        <w:t xml:space="preserve">         Pando, vieron en una medida u otra su integridad personal afectada</w:t>
        <w:br/>
        <w:t xml:space="preserve">         por una o varias de las situaciones siguientes: a) por miedo a que</w:t>
        <w:br/>
        <w:t xml:space="preserve">         los mataran se vieron obligados  a  huir  de  sus  hogares  a  los</w:t>
        <w:br/>
        <w:t xml:space="preserve">         cerros,  montes,  ríos  y  zonas  boscosas  de  la  montaña   para</w:t>
        <w:br/>
        <w:t xml:space="preserve">         refugiarse solos o con sus familias en las cuevas,  las  casas  de</w:t>
        <w:br/>
        <w:t xml:space="preserve">         personas conocidas y otros lugares de resguardo en la zona,  donde</w:t>
        <w:br/>
        <w:t xml:space="preserve">         permanecieron por días sin alimento ni agua suficiente;  b)  desde</w:t>
        <w:br/>
        <w:t xml:space="preserve">         los lugares en los cuales se habían resguardado escucharon  y,  en</w:t>
        <w:br/>
        <w:t xml:space="preserve">         algunos  casos,  presenciaron   como   los   efectivos   militares</w:t>
        <w:br/>
        <w:t xml:space="preserve">         ingresaron a las viviendas de sus familiares, vecinos y conocidos,</w:t>
        <w:br/>
        <w:t xml:space="preserve">         los sacaron de ellas,  los  mataron  y  quemaron,  escuchando  los</w:t>
        <w:br/>
        <w:t xml:space="preserve">         gritos de auxilio mientras eran brutalmente masacrados.  Asimismo,</w:t>
        <w:br/>
        <w:t xml:space="preserve">         escucharon los disparos de armas de fuego, balaceras, bombardeos y</w:t>
        <w:br/>
        <w:t xml:space="preserve">         el estallido de granadas; c)  una  vez  que  percibieron  que  los</w:t>
        <w:br/>
        <w:t xml:space="preserve">         efectivos militares se habían retirado volvieron  a  los  lugares,</w:t>
        <w:br/>
        <w:t xml:space="preserve">         encontrando los cadáveres de las víctimas ejecutadas, incluyendo a</w:t>
        <w:br/>
        <w:t xml:space="preserve">         sus familiares y seres queridos, quemados y/o en  avanzado  estado</w:t>
        <w:br/>
        <w:t xml:space="preserve">         de descomposición y, en algunos  casos,  incompletos  pues  habían</w:t>
        <w:br/>
        <w:t xml:space="preserve">         sido devorados por los animales; d) en algunos casos  no  les  fue</w:t>
        <w:br/>
        <w:t xml:space="preserve">         posible en el momento inhumar los cadáveres que encontraron porque</w:t>
        <w:br/>
        <w:t xml:space="preserve">         los efectivos militares aún andaban por la zona; e)  días  después</w:t>
        <w:br/>
        <w:t xml:space="preserve">         procedieron a enterrar los restos  sin  vida  de  sus  familiares,</w:t>
        <w:br/>
        <w:t xml:space="preserve">         entre ellos, esposa, hijas e hijos, madre, hermanos y  hermanas  y</w:t>
        <w:br/>
        <w:t xml:space="preserve">         sobrinos, así como de sus  conocidos  y  vecinos,  aunque  también</w:t>
        <w:br/>
        <w:t xml:space="preserve">         encontraron cadáveres que no lograron identificar,  y  f)  algunos</w:t>
        <w:br/>
        <w:t xml:space="preserve">         sobrevivientes buscaron por días los restos de  sus  familiares  y</w:t>
        <w:br/>
        <w:t xml:space="preserve">         seres queridos sin lograr encontrarlos.</w:t>
        <w:br/>
        <w:br/>
        <w:t xml:space="preserve">    171. De igual modo, de la prueba presentada se  desprenden  situaciones</w:t>
        <w:br/>
        <w:t xml:space="preserve">         específicas que ilustran de manera especial la  forma  en  que  se</w:t>
        <w:br/>
        <w:t xml:space="preserve">         vieron afectadas algunas de las víctimas sobrevivientes. La señora</w:t>
        <w:br/>
        <w:t xml:space="preserve">         Rufina Amaya declaró que desde el lugar en el que logró esconderse</w:t>
        <w:br/>
        <w:t xml:space="preserve">         alcanzó a escuchar “los  gritos  de  los  niños  que  los  estaban</w:t>
        <w:br/>
        <w:t xml:space="preserve">         matando”, y entre ellos “distinguió los gritos de  sus  hijos  que</w:t>
        <w:br/>
        <w:t xml:space="preserve">         decían: ‘Mamá Rufina, nos están matando,  nos  están  [a]horcando,</w:t>
        <w:br/>
        <w:t xml:space="preserve">         nos están metiendo el cuchillo’ […] después se dio cuenta que  los</w:t>
        <w:br/>
        <w:t xml:space="preserve">         habían  matado”[223].  El  señor  Juan  Bautista  Márquez  Argueta</w:t>
        <w:br/>
        <w:t xml:space="preserve">         explicó que en el lugar en el que estaba escondido con su  familia</w:t>
        <w:br/>
        <w:t xml:space="preserve">         cayeron “varias bombas, las que afectaron a su menor hijo  de  dos</w:t>
        <w:br/>
        <w:t xml:space="preserve">         meses de nombre Jesús Salvador, pues debido a los  estallidos,  es</w:t>
        <w:br/>
        <w:t xml:space="preserve">         decir el ruido de las  bombas  se  puso  mal  y  falleció  al  día</w:t>
        <w:br/>
        <w:t xml:space="preserve">         siguiente, [y] cuyo cadáver tuvieron que andar por dos días,  pues</w:t>
        <w:br/>
        <w:t xml:space="preserve">         no podían enterrarlo”[224]. El señor Juan  Antonio  Pereira  Vigil</w:t>
        <w:br/>
        <w:t xml:space="preserve">         señaló que optó por “salir de la casa y se  ocultó  como  a  media</w:t>
        <w:br/>
        <w:t xml:space="preserve">         cuadra  entre  un  cultivo  de  henequén,  siendo  visto  por  los</w:t>
        <w:br/>
        <w:t xml:space="preserve">         efectivos del batallón Atlacatl, por lo que […] rod[ó]  entre  los</w:t>
        <w:br/>
        <w:t xml:space="preserve">         cultivos, y desde ahí pudo observar como los soldados ingresaron a</w:t>
        <w:br/>
        <w:t xml:space="preserve">         su vivienda y sacaron a sus familiares[,] los formaron en grupos y</w:t>
        <w:br/>
        <w:t xml:space="preserve">         luego escuchó la balacera y el estallido de granadas […,más tarde]</w:t>
        <w:br/>
        <w:t xml:space="preserve">         procedieron a enterrar los restos  de  sus  familiares”[225].  Los</w:t>
        <w:br/>
        <w:t xml:space="preserve">         señores Rosendo Hernández Amaya[226] y  Domingo  Vigil  Amaya[227]</w:t>
        <w:br/>
        <w:t xml:space="preserve">         manifestaron, respectivamente, que el  13  de  diciembre  de  1981</w:t>
        <w:br/>
        <w:t xml:space="preserve">         salieron de sus casas a  las  siete  y  ocho  de  la  mañana  para</w:t>
        <w:br/>
        <w:t xml:space="preserve">         trabajar en sus cultivos dejando en casa a sus  esposas  e  hijos,</w:t>
        <w:br/>
        <w:t xml:space="preserve">         pasadas las ocho de la mañana escucharon  disparos  y  vieron  una</w:t>
        <w:br/>
        <w:t xml:space="preserve">         gran humazón en dirección de sus respectivas casas,  escondiéndose</w:t>
        <w:br/>
        <w:t xml:space="preserve">         por miedo. Posteriormente, regresaron a sus  casas  encontrando  a</w:t>
        <w:br/>
        <w:t xml:space="preserve">         sus esposas e hijos muertos a los que sepultaron. Por su parte, el</w:t>
        <w:br/>
        <w:t xml:space="preserve">         señor Rosendo Hernández Amaya no logró  encontrar  a  uno  de  sus</w:t>
        <w:br/>
        <w:t xml:space="preserve">         hijos. El señor Alejandro Hernández Argueta relató que  a  los  11</w:t>
        <w:br/>
        <w:t xml:space="preserve">         años de edad vivía en el caserío Jocote Amarillo cuando sucedió la</w:t>
        <w:br/>
        <w:t xml:space="preserve">         masacre, y que logró sobrevivir pues  al  percibir  que  la  tropa</w:t>
        <w:br/>
        <w:t xml:space="preserve">         llegó su mamá le dijo que saliera junto con su  hermano,  a  quien</w:t>
        <w:br/>
        <w:t xml:space="preserve">         perdió al intentar regresar a la casa. Después que  pasó  todo  el</w:t>
        <w:br/>
        <w:t xml:space="preserve">         movimiento de la tropa buscó a su mamá y al no encontrarla se  fue</w:t>
        <w:br/>
        <w:t xml:space="preserve">         para la casa, la cual ya “estaba prendida en llamas [pues] a todas</w:t>
        <w:br/>
        <w:t xml:space="preserve">         las  casas  le  habían  puesto  fuego”.  Finalmente,  “halló  tres</w:t>
        <w:br/>
        <w:t xml:space="preserve">         hermanos suyos muertos, cuando los halló, le habló  a  su  hermano</w:t>
        <w:br/>
        <w:t xml:space="preserve">         mayor, Santos, pero no  le  respondió,  y  a  un  lado  estaba  su</w:t>
        <w:br/>
        <w:t xml:space="preserve">         hermanito menor que tenía como cuatro meses, y él, lo que hizo fue</w:t>
        <w:br/>
        <w:t xml:space="preserve">         levantarlo pero él ya estaba tieso […]. Salió corriendo y  se  fue</w:t>
        <w:br/>
        <w:t xml:space="preserve">         llorando”. Después se quedó esperando quien llegaba a  la  casa  y</w:t>
        <w:br/>
        <w:t xml:space="preserve">         como a eso de las siete de la noche llegó su papá; “él  se  alegró</w:t>
        <w:br/>
        <w:t xml:space="preserve">         porque no hallaba con quien andar porque no es igual andar con  la</w:t>
        <w:br/>
        <w:t xml:space="preserve">         familia que andar con otra gente”. A la mañana siguiente  su  papá</w:t>
        <w:br/>
        <w:t xml:space="preserve">         se fue a enterrar a sus familiares y  “él  halló  a  su  mamá  más</w:t>
        <w:br/>
        <w:t xml:space="preserve">         debajo de la casa, abajito de donde estaban sus hermanos”[228].</w:t>
        <w:br/>
        <w:br/>
        <w:t xml:space="preserve">    172. En definitiva, los sobrevivientes de  las  masacres  sufrieron  un</w:t>
        <w:br/>
        <w:t xml:space="preserve">         fuerte impacto psicológico y han  padecido  un  profundo  dolor  y</w:t>
        <w:br/>
        <w:t xml:space="preserve">         angustia como consecuencia directa de las  circunstancias  propias</w:t>
        <w:br/>
        <w:t xml:space="preserve">         de las  masacres,  presentado  también  afectaciones  psíquicas  y</w:t>
        <w:br/>
        <w:t xml:space="preserve">         físicas[229]. Dentro de  dichas  circunstancias  se  encuentra  el</w:t>
        <w:br/>
        <w:t xml:space="preserve">         haber escuchado los gritos de auxilio,  y  en  algunos  casos,  el</w:t>
        <w:br/>
        <w:t xml:space="preserve">         haber presenciado los actos de crueldad con que  se  ejecutaron  a</w:t>
        <w:br/>
        <w:t xml:space="preserve">         sus familiares, así como el miedo causado por la violencia extrema</w:t>
        <w:br/>
        <w:t xml:space="preserve">         que caracterizó a  las  masacres.  Asimismo,  la  Corte  considera</w:t>
        <w:br/>
        <w:t xml:space="preserve">         especialmente grave que algunos de ellos tuvieron que recoger  los</w:t>
        <w:br/>
        <w:t xml:space="preserve">         cuerpos de sus seres queridos quemados y/o en avanzado  estado  de</w:t>
        <w:br/>
        <w:t xml:space="preserve">         descomposición y, en algunos casos, incompletos para  enterrarlos,</w:t>
        <w:br/>
        <w:t xml:space="preserve">         sin poder darles una sepultura acorde con sus tradiciones, valores</w:t>
        <w:br/>
        <w:t xml:space="preserve">         o creencias[230].</w:t>
        <w:br/>
        <w:br/>
        <w:t xml:space="preserve">    173.  Asimismo,  surge  del  expediente  que  en  algunos   casos   los</w:t>
        <w:br/>
        <w:t xml:space="preserve">         sobrevivientes se han involucrado en diversas acciones tales  como</w:t>
        <w:br/>
        <w:t xml:space="preserve">         la búsqueda de justicia participando en los procedimientos ante la</w:t>
        <w:br/>
        <w:t xml:space="preserve">         jurisdicción interna y/o internacional (supra  párr.  32  e  infra</w:t>
        <w:br/>
        <w:t xml:space="preserve">         párrs. 211, 212 y 227). De igual manera, consta que  la  falta  de</w:t>
        <w:br/>
        <w:t xml:space="preserve">         investigaciones efectivas para el esclarecimiento de los hechos  y</w:t>
        <w:br/>
        <w:t xml:space="preserve">         la impunidad en que se mantienen los hechos en el presente caso ha</w:t>
        <w:br/>
        <w:t xml:space="preserve">         generado que en las víctimas sobrevivientes persistan sentimientos</w:t>
        <w:br/>
        <w:t xml:space="preserve">         de temor, indefensión e  inseguridad[231].  Para  el  Tribunal  es</w:t>
        <w:br/>
        <w:t xml:space="preserve">         claro que las circunstancias descritas  dan  cuenta  del  profundo</w:t>
        <w:br/>
        <w:t xml:space="preserve">         sufrimiento que han padecido las víctimas sobrevivientes y que  se</w:t>
        <w:br/>
        <w:t xml:space="preserve">         ha prolongado en el tiempo durante más de 30 años  como  resultado</w:t>
        <w:br/>
        <w:t xml:space="preserve">         de la impunidad en que se encuentran los  hechos,  los  cuales  se</w:t>
        <w:br/>
        <w:t xml:space="preserve">         enmarcaron dentro de una política de estado de  “tierra  arrasada”</w:t>
        <w:br/>
        <w:t xml:space="preserve">         dirigida hacia la destrucción total de las comunidades.</w:t>
        <w:br/>
        <w:br/>
        <w:t xml:space="preserve">    174. Los hechos del presente caso permiten concluir que la violación de</w:t>
        <w:br/>
        <w:t xml:space="preserve">         la integridad personal de los sobrevivientes se ha configurado por</w:t>
        <w:br/>
        <w:t xml:space="preserve">         las situaciones y circunstancias vividas por ellos, antes, durante</w:t>
        <w:br/>
        <w:t xml:space="preserve">         y con posterioridad a las  masacres,  así  como  por  el  contexto</w:t>
        <w:br/>
        <w:t xml:space="preserve">         general en que ocurrieron los hechos, generando  afectaciones  que</w:t>
        <w:br/>
        <w:t xml:space="preserve">         se proyectan en el  tiempo  mientras  persistan  los  factores  de</w:t>
        <w:br/>
        <w:t xml:space="preserve">         impunidad  verificados.  Con  base   en   todas   las   anteriores</w:t>
        <w:br/>
        <w:t xml:space="preserve">         consideraciones, el Tribunal concluye que tales  actos  implicaron</w:t>
        <w:br/>
        <w:t xml:space="preserve">         tratos crueles, inhumanos y degradantes,  contrarios  al  artículo</w:t>
        <w:br/>
        <w:t xml:space="preserve">         5.1 y 5.2 de la Convención Americana en relación con  el  artículo</w:t>
        <w:br/>
        <w:t xml:space="preserve">         1.1  del  mismo  instrumento,  en  perjuicio   de   las   víctimas</w:t>
        <w:br/>
        <w:t xml:space="preserve">         sobrevivientes.</w:t>
        <w:br/>
        <w:br/>
        <w:t xml:space="preserve">    175. Tal como ha quedado demostrado, la Fuerza Armada procedió a quemar</w:t>
        <w:br/>
        <w:t xml:space="preserve">         las viviendas,  despojar  a  las  víctimas  de  sus  pertenencias,</w:t>
        <w:br/>
        <w:t xml:space="preserve">         destruir y quemar los cultivos de los pobladores, y a matar a  los</w:t>
        <w:br/>
        <w:t xml:space="preserve">         animales, lo que implicó la pérdida definitiva de las  propiedades</w:t>
        <w:br/>
        <w:t xml:space="preserve">         de las víctimas y la destrucción de sus  hogares.  Igualmente,  el</w:t>
        <w:br/>
        <w:t xml:space="preserve">         Informe de la Comisión de la Verdad para El Salvador determinó que</w:t>
        <w:br/>
        <w:t xml:space="preserve">         en el caserío El Mozote “[d]espués de haber exterminado a toda  la</w:t>
        <w:br/>
        <w:t xml:space="preserve">         población, los soldados prendieron fuego a las edificaciones”[232]</w:t>
        <w:br/>
        <w:t xml:space="preserve">         y que en todos los casos, “las tropas actuaron  de  igual  manera:</w:t>
        <w:br/>
        <w:t xml:space="preserve">         mataron a los que encontraron, hombres, mujeres y niños,  y  luego</w:t>
        <w:br/>
        <w:t xml:space="preserve">         incendiaron las casas del poblado”[233].</w:t>
        <w:br/>
        <w:br/>
        <w:t xml:space="preserve">    176. Las declaraciones recibidas por la Corte en el presente  caso  dan</w:t>
        <w:br/>
        <w:t xml:space="preserve">         cuenta de la afectación del derecho a la propiedad de las víctimas</w:t>
        <w:br/>
        <w:t xml:space="preserve">         sobrevivientes  de  las  masacres.  Al  respecto,  el  señor  Juan</w:t>
        <w:br/>
        <w:t xml:space="preserve">         Bautista Márquez Argueta declaró que en el caserío El  Mozote  “el</w:t>
        <w:br/>
        <w:t xml:space="preserve">         ejército anduvo por toda la zona [en la  cual]  quemó  cultivos  y</w:t>
        <w:br/>
        <w:t xml:space="preserve">         mató animales domésticos, todo ello para no dejar algo con lo  que</w:t>
        <w:br/>
        <w:t xml:space="preserve">         la población pudiera sobrevivir”[234]. La señora  Antonia  Guevara</w:t>
        <w:br/>
        <w:t xml:space="preserve">         Díaz manifestó que  “llegaron  a  su  vivienda  [en  Cerro  Pando]</w:t>
        <w:br/>
        <w:t xml:space="preserve">         alrededor de una decena de soldados del ejército, quienes  de  una</w:t>
        <w:br/>
        <w:t xml:space="preserve">         forma amenazante y violenta,  les  exigieron  que  salieran  y  se</w:t>
        <w:br/>
        <w:t xml:space="preserve">         largaran inmediatamente de dicha vivienda, advirtiéndoles  que  de</w:t>
        <w:br/>
        <w:t xml:space="preserve">         lo contrario los asesinarían  […].  Inmediatamente  salió  con  su</w:t>
        <w:br/>
        <w:t xml:space="preserve">         círculo familiar,  pudiendo  sacar  como  únicas  pertenencias  un</w:t>
        <w:br/>
        <w:t xml:space="preserve">         petate y una cobija, perdiendo todas las demás  pertenencias  como</w:t>
        <w:br/>
        <w:t xml:space="preserve">         granos básicos que habían cultivado durante todo el año,  animales</w:t>
        <w:br/>
        <w:t xml:space="preserve">         y  objetos  personales,  pues  los  soldados  […]  incendiaron  la</w:t>
        <w:br/>
        <w:t xml:space="preserve">         casa”[235]. El señor Juan Antonio Pereira Vigil expresó que en  el</w:t>
        <w:br/>
        <w:t xml:space="preserve">         caserío Los Toriles “perdió todo el  ganado,  caballos,  gallinas,</w:t>
        <w:br/>
        <w:t xml:space="preserve">         cerdos, granos básicos que tenía  en  los  graneros  sus  cultivos</w:t>
        <w:br/>
        <w:t xml:space="preserve">         fueron quemados, su casa fue saqueada, dejando solo los escombros,</w:t>
        <w:br/>
        <w:t xml:space="preserve">         así mismo muchos objetos de uso personal fueron sustraídos por los</w:t>
        <w:br/>
        <w:t xml:space="preserve">         soldados del batallón Atlacatl”[236]. La señora María del  Rosario</w:t>
        <w:br/>
        <w:t xml:space="preserve">         López Sánchez indicó que en La Joya  “[t]odas  las  casas  de  los</w:t>
        <w:br/>
        <w:t xml:space="preserve">         sobrevivientes [y  de  los]  que  murieron  allí  fueron  quemadas</w:t>
        <w:br/>
        <w:t xml:space="preserve">         incluso la [suya]”[237].</w:t>
        <w:br/>
        <w:br/>
        <w:t xml:space="preserve">    177. Asimismo, consta en el expediente diversas declaraciones  rendidas</w:t>
        <w:br/>
        <w:t xml:space="preserve">         ante el Juzgado Segundo de  Primera  Instancia  de  San  Francisco</w:t>
        <w:br/>
        <w:t xml:space="preserve">         Gotera, las cuales hacen también referencia a  la  afectación  del</w:t>
        <w:br/>
        <w:t xml:space="preserve">         derecho a la propiedad. El señor Pedro Chicas Romero señaló que el</w:t>
        <w:br/>
        <w:t xml:space="preserve">         10 de diciembre de 1981 “ingresaron los soldados  a  los  Caseríos</w:t>
        <w:br/>
        <w:t xml:space="preserve">         Mozote, La Joya, y que el día once masacraron [a] toda  la  gente,</w:t>
        <w:br/>
        <w:t xml:space="preserve">         quemaron  casas  y  mataron  los  animales,  ganado,  cer[d]os   y</w:t>
        <w:br/>
        <w:t xml:space="preserve">         gallinas”[238], dejando en una casa una leyenda  que  decía  “aquí</w:t>
        <w:br/>
        <w:t xml:space="preserve">         pasó el Batallón Altacatl”[239]. El señor Hilario  Sánchez  Gómez,</w:t>
        <w:br/>
        <w:t xml:space="preserve">         quien tenía su vivienda en el caserío El Potrero, cantón La  Joya,</w:t>
        <w:br/>
        <w:t xml:space="preserve">         sostuvo que tras esconderse por seis días en el cerro  llamado  El</w:t>
        <w:br/>
        <w:t xml:space="preserve">         Perico y una vez que “ya estaba todo en calma bajaron  unos  pocos</w:t>
        <w:br/>
        <w:t xml:space="preserve">         de los que estaban en el cerro al caserío, donde resid[í]an,  pero</w:t>
        <w:br/>
        <w:t xml:space="preserve">         encontraron todas sus casas destruidas o  sea  quemadas”[240],  al</w:t>
        <w:br/>
        <w:t xml:space="preserve">         igual que su casa la cual “encontr[ó] quemada, así como todos  sus</w:t>
        <w:br/>
        <w:t xml:space="preserve">         cultivos de milpas”[241]. La señora María Amanda Martínez  sostuvo</w:t>
        <w:br/>
        <w:t xml:space="preserve">         que en el caserío La Joya “[a] los vecinos  que  quedaron  en  las</w:t>
        <w:br/>
        <w:t xml:space="preserve">         casas los  asesinaron  […],  matando  a  la  vez  a  los  animales</w:t>
        <w:br/>
        <w:t xml:space="preserve">         domésticos,  (cerdos,  gatos,  gallinas,  etc.)”[242].  El   señor</w:t>
        <w:br/>
        <w:t xml:space="preserve">         Bernardino Guevara Chicas, quien tenía su casa en el cantón  Cerro</w:t>
        <w:br/>
        <w:t xml:space="preserve">         Pando, declaró que los soldados llegaron a su casa “y uno de ellos</w:t>
        <w:br/>
        <w:t xml:space="preserve">         le dijo  que  desocupara  la  casa  inmediatamente  y  que  si  no</w:t>
        <w:br/>
        <w:t xml:space="preserve">         o[b]edec[í]a le iban a tirar un bazucazo”, por tanto, “opt[ó]  por</w:t>
        <w:br/>
        <w:t xml:space="preserve">         salirse con su familia [y se fue] rumbo a la casa de un amigo  […]</w:t>
        <w:br/>
        <w:t xml:space="preserve">         y al haber caminado un poco volvi[ó] a ver hacia su casa la que ya</w:t>
        <w:br/>
        <w:t xml:space="preserve">         estaba ardiendo en llamas”[243]. La señora Rosa Ramirez  Hernández</w:t>
        <w:br/>
        <w:t xml:space="preserve">         indicó que en El Mozote “vio restos de niños [y] personas adultas,</w:t>
        <w:br/>
        <w:t xml:space="preserve">         quemadas, dentro de las casas y también éstas  estaban  quemadas”;</w:t>
        <w:br/>
        <w:t xml:space="preserve">         además, vio “que la tropa andaba dándole fuego a las casas  de  La</w:t>
        <w:br/>
        <w:t xml:space="preserve">         Joya, con botes de aceite”[244]. La  señora  Irma  Ramos  Márquez,</w:t>
        <w:br/>
        <w:t xml:space="preserve">         quien tenía su casa en el caserío Ranchería, refirió que  vio  que</w:t>
        <w:br/>
        <w:t xml:space="preserve">         “[la] casa de Vicente Márquez estaba prendida de fuego”  y  que  a</w:t>
        <w:br/>
        <w:t xml:space="preserve">         ella “le mataron […] seis vacas”[245].</w:t>
        <w:br/>
        <w:br/>
        <w:t xml:space="preserve">    178. De igual modo, diversas declaraciones  juradas  rendidas  ante  la</w:t>
        <w:br/>
        <w:t xml:space="preserve">         Oficina de Tutela Legal  del  Arzobispado  confirman  la  referida</w:t>
        <w:br/>
        <w:t xml:space="preserve">         afectación. La señora Rufina Amaya declaró que en  el  caserío  El</w:t>
        <w:br/>
        <w:t xml:space="preserve">         Mozote soldados pertenecientes al BIRI Atlacatl “sacaron a toda la</w:t>
        <w:br/>
        <w:t xml:space="preserve">         gente de sus casas y de la tienda del caserío […] y  a  todos  los</w:t>
        <w:br/>
        <w:t xml:space="preserve">         pusieron acostados, boca abajo  en  el  suelo  […],  y  luego  los</w:t>
        <w:br/>
        <w:t xml:space="preserve">         soldados les dijeron que los iban a  registrar,  quitándoles,  sus</w:t>
        <w:br/>
        <w:t xml:space="preserve">         anillos, cadenas, dinero y otras cosas que  la  gente  andaba.  Al</w:t>
        <w:br/>
        <w:t xml:space="preserve">         terminar los soldados de robarse  todo  lo  que  andaba  la  gente</w:t>
        <w:br/>
        <w:t xml:space="preserve">         consigo, los mandaron a todos a que se fueran  a  encerrar  a  las</w:t>
        <w:br/>
        <w:t xml:space="preserve">         casas y se quedaron custodiándolos”.  Al  día  siguiente,  “cuando</w:t>
        <w:br/>
        <w:t xml:space="preserve">         [los soldados] terminaron de matar a toda la gente adulta, […]  le</w:t>
        <w:br/>
        <w:t xml:space="preserve">         dieron fuego a la ermita, a la casa de Isidra Claros,  José  María</w:t>
        <w:br/>
        <w:t xml:space="preserve">         Márquez y la de Israel Márquez, [las  cuales]  estaban  llenas  de</w:t>
        <w:br/>
        <w:t xml:space="preserve">         muertos”. Posteriormente, durante el día del 12  de  diciembre  de</w:t>
        <w:br/>
        <w:t xml:space="preserve">         1981 “vio que estaban humeando las casas del cantón  La  Joya  [y]</w:t>
        <w:br/>
        <w:t xml:space="preserve">         Cerro Pando”. Ese mismo día “los soldados se  dirigían  al  cantón</w:t>
        <w:br/>
        <w:t xml:space="preserve">         Guacamaya, caserío Jocote Amarillo […], y después como a las  tres</w:t>
        <w:br/>
        <w:t xml:space="preserve">         de la tarde, regresaban los soldados con animales  como  gallinas,</w:t>
        <w:br/>
        <w:t xml:space="preserve">         vacas  y  cerdos  de  dicho  lugar,  a  lo  mejor  para  hacer  su</w:t>
        <w:br/>
        <w:t xml:space="preserve">         comida”[246]. El señor Alejandro Hernández Argueta  relató  que  a</w:t>
        <w:br/>
        <w:t xml:space="preserve">         los 11 años de edad vivía en el  caserío  Jocote  Amarillo  cuando</w:t>
        <w:br/>
        <w:t xml:space="preserve">         sucedió la masacre y que, al no encontrar a su madre, se fue  para</w:t>
        <w:br/>
        <w:t xml:space="preserve">         la casa la cual ya “estaba prendida en llamas [pues] a  todas  las</w:t>
        <w:br/>
        <w:t xml:space="preserve">         casas le habían puesto fuego”[247].</w:t>
        <w:br/>
        <w:br/>
        <w:t xml:space="preserve">    179. La jurisprudencia del Tribunal ha desarrollado un concepto  amplio</w:t>
        <w:br/>
        <w:t xml:space="preserve">         de propiedad que abarca, entre otros, el uso y goce de los bienes,</w:t>
        <w:br/>
        <w:t xml:space="preserve">         definidos como cosas materiales apropiables, así como todo derecho</w:t>
        <w:br/>
        <w:t xml:space="preserve">         que pueda formar parte del patrimonio de una  persona[248].  Dicho</w:t>
        <w:br/>
        <w:t xml:space="preserve">         concepto comprende todos los muebles e  inmuebles,  los  elementos</w:t>
        <w:br/>
        <w:t xml:space="preserve">         corporales e  incorporales  y  cualquier  otro  objeto  inmaterial</w:t>
        <w:br/>
        <w:t xml:space="preserve">         susceptible de valor[249]. Asimismo,  la  Corte  ha  protegido,  a</w:t>
        <w:br/>
        <w:t xml:space="preserve">         través del artículo 21 de la Convención  Americana,  los  derechos</w:t>
        <w:br/>
        <w:t xml:space="preserve">         adquiridos, entendidos como derechos que  se  han  incorporado  al</w:t>
        <w:br/>
        <w:t xml:space="preserve">         patrimonio  de  las  personas[250].  Además,  los   artículos   13</w:t>
        <w:br/>
        <w:t xml:space="preserve">         (Protección de la población civil) y 14 (Protección de los  bienes</w:t>
        <w:br/>
        <w:t xml:space="preserve">         indispensables para la supervivencia de la  población  civil)  del</w:t>
        <w:br/>
        <w:t xml:space="preserve">         Protocolo II adicional prohíben,  respectivamente,  “los  actos  o</w:t>
        <w:br/>
        <w:t xml:space="preserve">         amenazas de violencia cuya finalidad principal sea  aterrorizar  a</w:t>
        <w:br/>
        <w:t xml:space="preserve">         la población  civil”,  así  como  “atacar,  destruir,  sustraer  o</w:t>
        <w:br/>
        <w:t xml:space="preserve">         inutilizar  con  ese  fin  los  bienes  indispensables   para   la</w:t>
        <w:br/>
        <w:t xml:space="preserve">         supervivencia de la población civil”.</w:t>
        <w:br/>
        <w:br/>
        <w:t xml:space="preserve">    180. El derecho a la  propiedad  privada  es  un  derecho  humano  cuya</w:t>
        <w:br/>
        <w:t xml:space="preserve">         vulneración en el presente caso es de especial gravedad y magnitud</w:t>
        <w:br/>
        <w:t xml:space="preserve">         no sólo por la pérdida de bienes materiales, sino por  la  pérdida</w:t>
        <w:br/>
        <w:t xml:space="preserve">         de las más básicas condiciones de existencia y de  todo  referente</w:t>
        <w:br/>
        <w:t xml:space="preserve">         social de las personas que residían en dichos poblados. Tal y como</w:t>
        <w:br/>
        <w:t xml:space="preserve">         ha sido resaltado por la perito Yáñez De La Cruz, “[n]o s[ó]lo  se</w:t>
        <w:br/>
        <w:t xml:space="preserve">         acabó con la población civil, sino con todo el entramado social  y</w:t>
        <w:br/>
        <w:t xml:space="preserve">         simbólico. Destruyeron  casas,  y  objetos  significativos[.]  Les</w:t>
        <w:br/>
        <w:t xml:space="preserve">         despojaron de sus prendas de vestir, de los juguetes de los niños,</w:t>
        <w:br/>
        <w:t xml:space="preserve">         de  sus  fotos  familiares,  quitaron  y  arrasaron  con  todo  lo</w:t>
        <w:br/>
        <w:t xml:space="preserve">         significativo para ellos. Mataron y desaparecieron animales, todos</w:t>
        <w:br/>
        <w:t xml:space="preserve">         relatan [s]e llevaron las vacas, las  gallinas,  se  llevaron  mis</w:t>
        <w:br/>
        <w:t xml:space="preserve">         vacas, mataron a dos toros: una p[é]rdida de  significación  tanto</w:t>
        <w:br/>
        <w:t xml:space="preserve">         afectiva como material, en el universo campesino. Tierra  arrasada</w:t>
        <w:br/>
        <w:t xml:space="preserve">         constituye una marca  de  vulneración  y  estigmatización  de  los</w:t>
        <w:br/>
        <w:t xml:space="preserve">         militares que los victimarios crearon.  La  dimensión  del  horror</w:t>
        <w:br/>
        <w:t xml:space="preserve">         perpetrado allá quiso acabar con  la  zona,  con  toda  su  gente,</w:t>
        <w:br/>
        <w:t xml:space="preserve">         vaciar el territorio, expulsarles de allá”[251]. Asimismo,  “[f]ue</w:t>
        <w:br/>
        <w:t xml:space="preserve">         una lógica de exterminio, una destrucción total  de  los  espacios</w:t>
        <w:br/>
        <w:t xml:space="preserve">         sociales. […] La masacre disolvió la identidad colectiva, al dejar</w:t>
        <w:br/>
        <w:t xml:space="preserve">         un  vacío  social,  donde  la  comunidad  hacia  sus  ritos,   sus</w:t>
        <w:br/>
        <w:t xml:space="preserve">         intercambios afectivos, el contexto y el marco en el que se sabían</w:t>
        <w:br/>
        <w:t xml:space="preserve">         parte de la comunidad”[252].</w:t>
        <w:br/>
        <w:br/>
        <w:t xml:space="preserve">    181. Por todo lo anterior, la Corte concluye que  el  Estado  violó  el</w:t>
        <w:br/>
        <w:t xml:space="preserve">         derecho a la propiedad privada reconocido en el  artículo  21.1  y</w:t>
        <w:br/>
        <w:t xml:space="preserve">         21.2 de la Convención Americana, en relación con el  artículo  1.1</w:t>
        <w:br/>
        <w:t xml:space="preserve">         del   mismo   instrumento,   en   perjuicio   de   las    víctimas</w:t>
        <w:br/>
        <w:t xml:space="preserve">         sobrevivientes.</w:t>
        <w:br/>
        <w:br/>
        <w:t xml:space="preserve">    182. Dado que los representantes alegaron  la  violación  del  artículo</w:t>
        <w:br/>
        <w:t xml:space="preserve">         11.2 de la Convención con base en  los  mismos  hechos,  la  Corte</w:t>
        <w:br/>
        <w:t xml:space="preserve">         reitera  su  jurisprudencia  sobre  la  posibilidad  de  que   las</w:t>
        <w:br/>
        <w:t xml:space="preserve">         presuntas víctimas o sus representantes invoquen la  violación  de</w:t>
        <w:br/>
        <w:t xml:space="preserve">         otros derechos distintos a los comprendidos en el informe de fondo</w:t>
        <w:br/>
        <w:t xml:space="preserve">         de  la  Comisión,  siempre  y  cuando  se  atengan  a  los  hechos</w:t>
        <w:br/>
        <w:t xml:space="preserve">         contenidos en dicho documento[253]. A su vez, el Tribunal recuerda</w:t>
        <w:br/>
        <w:t xml:space="preserve">         que el artículo 11.2 de  la  Convención  reconoce  que  existe  un</w:t>
        <w:br/>
        <w:t xml:space="preserve">         ámbito de la privacidad que debe quedar  exento  e  inmune  a  las</w:t>
        <w:br/>
        <w:t xml:space="preserve">         invasiones o  agresiones  abusivas  o  arbitrarias  por  parte  de</w:t>
        <w:br/>
        <w:t xml:space="preserve">         terceros o de la autoridad pública. En este sentido, el  domicilio</w:t>
        <w:br/>
        <w:t xml:space="preserve">         y  la  vida  privada  y  familiar  se  encuentran  intrínsecamente</w:t>
        <w:br/>
        <w:t xml:space="preserve">         ligados, ya que el domicilio se convierte en un espacio en el cual</w:t>
        <w:br/>
        <w:t xml:space="preserve">         se puede desarrollar libremente la vida privada  y  familiar[254].</w:t>
        <w:br/>
        <w:t xml:space="preserve">         La Corte considera que la destrucción y  quema  por  parte  de  la</w:t>
        <w:br/>
        <w:t xml:space="preserve">         Fuerza Armada de las viviendas de los habitantes de el caserío  el</w:t>
        <w:br/>
        <w:t xml:space="preserve">         Mozote, el cantón La Joya, los caseríos Rancherías, Los Toriles  y</w:t>
        <w:br/>
        <w:t xml:space="preserve">         Jocote  Amarillo  y  el  cantón  Cerro  Pando,  así  como  de  las</w:t>
        <w:br/>
        <w:t xml:space="preserve">         posesiones que se encontraban en su interior, además  de  ser  una</w:t>
        <w:br/>
        <w:t xml:space="preserve">         violación del derecho al uso y disfrute de los bienes,  constituye</w:t>
        <w:br/>
        <w:t xml:space="preserve">         asimismo una injerencia abusiva y arbitraria en su vida privada  y</w:t>
        <w:br/>
        <w:t xml:space="preserve">         domicilio.  Las  víctimas  que  perdieron  sus  hogares  perdieron</w:t>
        <w:br/>
        <w:t xml:space="preserve">         también el lugar donde  desarrollaban  su  vida  privada.  Por  lo</w:t>
        <w:br/>
        <w:t xml:space="preserve">         anterior,  el  Tribunal  considera  que  el   Estado   salvadoreño</w:t>
        <w:br/>
        <w:t xml:space="preserve">         incumplió  con  la  prohibición  de  llevar  a  cabo   injerencias</w:t>
        <w:br/>
        <w:t xml:space="preserve">         arbitrarias o abusivas en la vida privada y el domicilio.</w:t>
        <w:br/>
        <w:br/>
        <w:t xml:space="preserve">    183. Los hechos del presente caso demuestran, además, que las  personas</w:t>
        <w:br/>
        <w:t xml:space="preserve">         sobrevivientes de las masacres fueron  forzadas  a  salir  de  sus</w:t>
        <w:br/>
        <w:t xml:space="preserve">         lugares de  residencia  habitual,  tanto  por  acciones  como  por</w:t>
        <w:br/>
        <w:t xml:space="preserve">         omisiones estatales. Esto es, por la propia acción de los  agentes</w:t>
        <w:br/>
        <w:t xml:space="preserve">         estatales al perpetrar las masacres  que  causaron  terror  en  la</w:t>
        <w:br/>
        <w:t xml:space="preserve">         población y dejaron a las personas, en  su  mayoría  campesinos  y</w:t>
        <w:br/>
        <w:t xml:space="preserve">         amas de casa (supra párr. 81), sin sus viviendas y sin los  medios</w:t>
        <w:br/>
        <w:t xml:space="preserve">         indispensables para la subsistencia, así  como  por  la  falta  de</w:t>
        <w:br/>
        <w:t xml:space="preserve">         protección estatal que padeció la población  civil  en  las  zonas</w:t>
        <w:br/>
        <w:t xml:space="preserve">         asociadas a la guerrilla que los colocaban  en  una  situación  de</w:t>
        <w:br/>
        <w:t xml:space="preserve">         vulnerabilidad frente a los operativos militares.  De  manera  tal</w:t>
        <w:br/>
        <w:t xml:space="preserve">         que “la exhibición de la violencia cruel y desmedida con una  ruta</w:t>
        <w:br/>
        <w:t xml:space="preserve">         diseñada de  terror”[255],  además  de  causar  el  desplazamiento</w:t>
        <w:br/>
        <w:t xml:space="preserve">         masivo de los pobladores, también eliminó los posibles  medios  de</w:t>
        <w:br/>
        <w:t xml:space="preserve">         subsistencia, sin que los pocos sobrevivientes contaran con  forma</w:t>
        <w:br/>
        <w:t xml:space="preserve">         alguna de continuar sus vidas en aquellos sitios, quedando  dichos</w:t>
        <w:br/>
        <w:t xml:space="preserve">         lugares abandonos y despoblados. Dicha  situación  permaneció  por</w:t>
        <w:br/>
        <w:t xml:space="preserve">         largo tiempo sin que las  autoridades  públicas  asistieran  a  la</w:t>
        <w:br/>
        <w:t xml:space="preserve">         población civil.</w:t>
        <w:br/>
        <w:br/>
        <w:t xml:space="preserve">    184. El señor Juan Bautista  Márquez  explicó  que  “debido  a  que  no</w:t>
        <w:br/>
        <w:t xml:space="preserve">         aguantaban el hambre, la sed, el desvelo y  la  incomodidad,  pues</w:t>
        <w:br/>
        <w:t xml:space="preserve">         andaban con las mismas ropas sin poderse asear,  como  pudieron  y</w:t>
        <w:br/>
        <w:t xml:space="preserve">         escondiéndose en los montes logr[ó]  esquivar  a  los  soldados  y</w:t>
        <w:br/>
        <w:t xml:space="preserve">         salió  del  lugar,  pasando  la  frontera  de  El  Salvador  hacia</w:t>
        <w:br/>
        <w:t xml:space="preserve">         Honduras”[256]. La señora María del Rosario López manifestó que el</w:t>
        <w:br/>
        <w:t xml:space="preserve">         cantón La Joya “se quedó desolado y los demás  de  su  familia  se</w:t>
        <w:br/>
        <w:t xml:space="preserve">         habían ido para  Colomoncagua,  República  de  Honduras”[257].  El</w:t>
        <w:br/>
        <w:t xml:space="preserve">         señor Hilario Sánchez Gómez narró que “bajó para su casa, pero  ya</w:t>
        <w:br/>
        <w:t xml:space="preserve">         la encontró quemada, así como todos sus cultivos de milpas,  y  al</w:t>
        <w:br/>
        <w:t xml:space="preserve">         encontrarse solo decidió irse a buscar refugio a la [R]epública de</w:t>
        <w:br/>
        <w:t xml:space="preserve">         Honduras”[258]. La señora Antonia Guevara Díaz declaró que “además</w:t>
        <w:br/>
        <w:t xml:space="preserve">         de [la] frustración de que no podía hacer absolutamente nada  para</w:t>
        <w:br/>
        <w:t xml:space="preserve">         que  hubiese  justicia,  [la]  muerte  de  sus  familiares  cambió</w:t>
        <w:br/>
        <w:t xml:space="preserve">         rotundamente [su] vida […] y [la] de su familia [porque] se vieron</w:t>
        <w:br/>
        <w:t xml:space="preserve">         obligados a abandonar sus viviendas con sus pertenencias y a vivir</w:t>
        <w:br/>
        <w:t xml:space="preserve">         hacinadamente con cientos de familias  de  diferentes  partes  del</w:t>
        <w:br/>
        <w:t xml:space="preserve">         país  en  el  refugio  de  Colomancagua[,  en  la   República   de</w:t>
        <w:br/>
        <w:t xml:space="preserve">         Honduras]”[259].</w:t>
        <w:br/>
        <w:br/>
        <w:t xml:space="preserve">    185.  Algunos  testimonios  revelan  que  en  las   circunstancias   de</w:t>
        <w:br/>
        <w:t xml:space="preserve">         desplazamiento interno  e  internacional  las  víctimas  sufrieron</w:t>
        <w:br/>
        <w:t xml:space="preserve">         situaciones de discriminación por su condición de desplazados y  a</w:t>
        <w:br/>
        <w:t xml:space="preserve">         causa  de  que  se  los  asimilaba  con  la  guerrilla,  así  como</w:t>
        <w:br/>
        <w:t xml:space="preserve">         condiciones de vida precarias[260]. Al respecto, según  señaló  la</w:t>
        <w:br/>
        <w:t xml:space="preserve">         perito Yáñez De La  Cruz,  “en  esa  huida  fueron  estigmatizados</w:t>
        <w:br/>
        <w:t xml:space="preserve">         porque creían que les había pasado algo por ser  guerrilleros,  la</w:t>
        <w:br/>
        <w:t xml:space="preserve">         gente decía eso entonces nadie  los  quería.  En  los  lugares  de</w:t>
        <w:br/>
        <w:t xml:space="preserve">         refugio de Honduras cuentan que ellos  eran  re-victimizados  […],</w:t>
        <w:br/>
        <w:t xml:space="preserve">         pero además [para] la gente que estaba en el campo y se desplaza a</w:t>
        <w:br/>
        <w:t xml:space="preserve">         ciudad hay otro duelo porque las claves que te sirven  para  vivir</w:t>
        <w:br/>
        <w:t xml:space="preserve">         en el campo no te sirven para la ciudad”[261].</w:t>
        <w:br/>
        <w:br/>
        <w:t xml:space="preserve">    186.  El  artículo  22.1  de  la  Convención  reconoce  el  derecho  de</w:t>
        <w:br/>
        <w:t xml:space="preserve">         circulación y de residencia. En esta línea, la Corte considera que</w:t>
        <w:br/>
        <w:t xml:space="preserve">         esta norma protege el derecho a  no  ser  desplazado  forzadamente</w:t>
        <w:br/>
        <w:t xml:space="preserve">         dentro de un Estado Parte[262] o a no tener que salir forzadamente</w:t>
        <w:br/>
        <w:t xml:space="preserve">         fuera del territorio del Estado en el cual  se  halle  legalmente.</w:t>
        <w:br/>
        <w:t xml:space="preserve">         Asimismo, este Tribunal ha señalado  en  forma  reiterada  que  la</w:t>
        <w:br/>
        <w:t xml:space="preserve">         libertad de circulación es una  condición  indispensable  para  el</w:t>
        <w:br/>
        <w:t xml:space="preserve">         libre desarrollo de la persona[263]. De igual forma, el Comité  de</w:t>
        <w:br/>
        <w:t xml:space="preserve">         Derechos Humanos de las Naciones Unidas en su  Comentario  General</w:t>
        <w:br/>
        <w:t xml:space="preserve">         No. 27 en cuanto al contenido de este derecho, el  cual  consiste,</w:t>
        <w:br/>
        <w:t xml:space="preserve">         inter alia, en: a) el derecho de quienes se encuentren  legalmente</w:t>
        <w:br/>
        <w:t xml:space="preserve">         dentro de un Estado a circular libremente en ese Estado y  escoger</w:t>
        <w:br/>
        <w:t xml:space="preserve">         su lugar de residencia, lo cual incluye la protección contra  toda</w:t>
        <w:br/>
        <w:t xml:space="preserve">         forma de desplazamiento interno forzado; y b) el  derecho  de  una</w:t>
        <w:br/>
        <w:t xml:space="preserve">         persona a ingresar a su país y permanecer en él.  El  disfrute  de</w:t>
        <w:br/>
        <w:t xml:space="preserve">         este derecho no depende de ningún objetivo o motivo en  particular</w:t>
        <w:br/>
        <w:t xml:space="preserve">         de la persona que desea circular o permanecer en un lugar[264].</w:t>
        <w:br/>
        <w:br/>
        <w:t xml:space="preserve">    187. En  suma,  para  la  Corte  las  declaraciones  recibidas  denotan</w:t>
        <w:br/>
        <w:t xml:space="preserve">         situaciones que se caracterizan como de desplazamiento forzado que</w:t>
        <w:br/>
        <w:t xml:space="preserve">         corresponden en primer lugar a desplazamientos internos[265], esto</w:t>
        <w:br/>
        <w:t xml:space="preserve">         es dentro del territorio del mismo Estado, desplazamientos que  en</w:t>
        <w:br/>
        <w:t xml:space="preserve">         algunos casos llevaron luego a las víctimas  a  otros  países.  La</w:t>
        <w:br/>
        <w:t xml:space="preserve">         prueba indica que la mayoría  de  las  personas  que  cruzaron  la</w:t>
        <w:br/>
        <w:t xml:space="preserve">         frontera en búsqueda de protección internacional o refugio[266] lo</w:t>
        <w:br/>
        <w:t xml:space="preserve">         hicieron a la República de Honduras, permaneciendo  principalmente</w:t>
        <w:br/>
        <w:t xml:space="preserve">         en los campamentos de refugio de Colomancagua.</w:t>
        <w:br/>
        <w:br/>
        <w:t xml:space="preserve">    188. Por otra parte, en coincidencia con  la  comunidad  internacional,</w:t>
        <w:br/>
        <w:t xml:space="preserve">         este Tribunal reafirma que la  obligación  de  garantía  para  los</w:t>
        <w:br/>
        <w:t xml:space="preserve">         Estados de proteger  los  derechos  de  las  personas  desplazadas</w:t>
        <w:br/>
        <w:t xml:space="preserve">         conlleva no sólo el deber de adoptar medidas  de  prevención  sino</w:t>
        <w:br/>
        <w:t xml:space="preserve">         también proveer las condiciones necesarias para un retorno digno y</w:t>
        <w:br/>
        <w:t xml:space="preserve">         seguro[267] a su lugar de residencia habitual o su  reasentamiento</w:t>
        <w:br/>
        <w:t xml:space="preserve">         voluntario en otra parte del país. Para ello, se  debe  garantizar</w:t>
        <w:br/>
        <w:t xml:space="preserve">         su participación plena en la planificación y gestión de su regreso</w:t>
        <w:br/>
        <w:t xml:space="preserve">         o reintegración[268].</w:t>
        <w:br/>
        <w:br/>
        <w:t xml:space="preserve">    189. Las declaraciones  señalan  que  los  refugiados  en  Colomancagua</w:t>
        <w:br/>
        <w:t xml:space="preserve">         retornaron a El Salvador a partir de inicios del año 1989 producto</w:t>
        <w:br/>
        <w:t xml:space="preserve">         de la acción de organismos internacionales y que muchos  de  ellos</w:t>
        <w:br/>
        <w:t xml:space="preserve">         se reasentaron en  la  comunidad  de  Segundo  Montes.  La  señora</w:t>
        <w:br/>
        <w:t xml:space="preserve">         Antonia Guevara Díaz contó que permanecieron en Colomancagua hasta</w:t>
        <w:br/>
        <w:t xml:space="preserve">         el mes de febrero de 1989, regresando al caserío San Luis  con  la</w:t>
        <w:br/>
        <w:t xml:space="preserve">         ayuda de la Cruz Roja, para luego trasladarse a  Cerro  Pando  “no</w:t>
        <w:br/>
        <w:t xml:space="preserve">         habiendo  regresado  en  años  anteriores  por  la  situación  del</w:t>
        <w:br/>
        <w:t xml:space="preserve">         conflicto armado interno, la  inseguridad  que  representaba  para</w:t>
        <w:br/>
        <w:t xml:space="preserve">         ella y su familia pues  se  les  acusaba  que  eran  parte  de  la</w:t>
        <w:br/>
        <w:t xml:space="preserve">         guerrilla de ese entonces, asegura que volvieron al lugar del  que</w:t>
        <w:br/>
        <w:t xml:space="preserve">         habían sido desplazados obligatoriamente por las garantías que les</w:t>
        <w:br/>
        <w:t xml:space="preserve">         proporcionó Cruz Roja Internacional y porque la vida en el refugio</w:t>
        <w:br/>
        <w:t xml:space="preserve">         era difícil, pues sobrevivían de  lo  que  esta  organización  les</w:t>
        <w:br/>
        <w:t xml:space="preserve">         daba,  no  teniendo   la   facilidad   de   cultivar   su   propia</w:t>
        <w:br/>
        <w:t xml:space="preserve">         alimentación”[269]. El señor Juan Bautista Márquez Argueta  relató</w:t>
        <w:br/>
        <w:t xml:space="preserve">         que por  gestiones  de  organismos  humanitarios,  ACNUR  y  otras</w:t>
        <w:br/>
        <w:t xml:space="preserve">         instituciones, en el mes de febrero  de  1990  todos  los  que  se</w:t>
        <w:br/>
        <w:t xml:space="preserve">         encontraban  refugiados  en  Colomoncagua,   fueron   repatriados,</w:t>
        <w:br/>
        <w:t xml:space="preserve">         llevándolos siempre al Departamento de Morazán, en lo que  hoy  se</w:t>
        <w:br/>
        <w:t xml:space="preserve">         conoce como la Ciudad Segundo Montes. Sobre su situación  personal</w:t>
        <w:br/>
        <w:t xml:space="preserve">         señaló que “trató de ir a ver los terrenos que tenía  y  que  dejó</w:t>
        <w:br/>
        <w:t xml:space="preserve">         abandonados cuando la masacre, lográndolos identificar  y  poco  a</w:t>
        <w:br/>
        <w:t xml:space="preserve">         poco fue arreglándolos para cultivar en ellos y dejando  el  lugar</w:t>
        <w:br/>
        <w:t xml:space="preserve">         donde había sido llevado, esto fue como al año de  haber  llegado,</w:t>
        <w:br/>
        <w:t xml:space="preserve">         pudiendo construir  ya  una  casita  con  mejores  materiales,  no</w:t>
        <w:br/>
        <w:t xml:space="preserve">         obstante hoy tiene problemas pues no tiene documentos que  amparen</w:t>
        <w:br/>
        <w:t xml:space="preserve">         su propiedad,  pues  las  escrituras  eran  privadas  y  estas  se</w:t>
        <w:br/>
        <w:t xml:space="preserve">         perdieron durante la masacre, pues  de  lo  que  era  su  casa  no</w:t>
        <w:br/>
        <w:t xml:space="preserve">         encontró ni  los  restos”[270].  La  señora  María  Erlinda  Amaya</w:t>
        <w:br/>
        <w:t xml:space="preserve">         Márquez rememoró que, “[e]n el año  de  la  masacre[,]  todos  los</w:t>
        <w:br/>
        <w:t xml:space="preserve">         cultivos se perdieron debido a que tuvieron que huir  y  dejarlos.</w:t>
        <w:br/>
        <w:t xml:space="preserve">         Después de  la  masacre  todo  ha  cambiado  en  su  vida,  en  la</w:t>
        <w:br/>
        <w:t xml:space="preserve">         actualidad no posee ni una colmena,  tuvo  que  iniciar  desde  el</w:t>
        <w:br/>
        <w:t xml:space="preserve">         principio la producción de su huerto para subsistir. […]  Ella  se</w:t>
        <w:br/>
        <w:t xml:space="preserve">         dirigió a Colomancagua […,] lugar  en  el  cual  permaneció  hasta</w:t>
        <w:br/>
        <w:t xml:space="preserve">         después de la guerra cuando les  llegó  el  tiempo  de  [regresar.</w:t>
        <w:br/>
        <w:t xml:space="preserve">         E]lla no quería regresar al lugar,  ella  hacía  la  gracia  venir</w:t>
        <w:br/>
        <w:t xml:space="preserve">         porque pensaba que podría encontrar a sus hijos, pero  era  inútil</w:t>
        <w:br/>
        <w:t xml:space="preserve">         porque ya habían muerto”[271].</w:t>
        <w:br/>
        <w:br/>
        <w:t xml:space="preserve">    190. Por otra parte, algunas personas desplazadas internas han vuelto a</w:t>
        <w:br/>
        <w:t xml:space="preserve">         sus lugares de origen por cuenta propia y otras se han establecido</w:t>
        <w:br/>
        <w:t xml:space="preserve">         en  la  comunidad  Segundo  Montes,  en  general  al  concluir  el</w:t>
        <w:br/>
        <w:t xml:space="preserve">         conflicto armado. Sobre el particular, la perito Yáñez De La  Cruz</w:t>
        <w:br/>
        <w:t xml:space="preserve">         explicó que las víctimas que han retornado lo hicieron  “a  partir</w:t>
        <w:br/>
        <w:t xml:space="preserve">         de 1991 [a] 1992, cuando la guerra acaba, y regresan  a  un  lugar</w:t>
        <w:br/>
        <w:t xml:space="preserve">         que ya no es el lugar, ellos aunque vayan al  lugar  que  estaban,</w:t>
        <w:br/>
        <w:t xml:space="preserve">         [ahora] está quemado, todos dicen ya no era, y tienen que  irse  a</w:t>
        <w:br/>
        <w:t xml:space="preserve">         otros lugares”[272]. La señora María  del  Rosario  López  Sánchez</w:t>
        <w:br/>
        <w:t xml:space="preserve">         expresó que “en La Joya iniciaron a repoblarla hasta en 1995,  una</w:t>
        <w:br/>
        <w:t xml:space="preserve">         parte regresó y la  otra  parte  vive  en  San  Luís,  en  Segundo</w:t>
        <w:br/>
        <w:t xml:space="preserve">         Montes”[273]. El señor Juan Antonio Pereira Vigil  relató  que  en</w:t>
        <w:br/>
        <w:t xml:space="preserve">         1992 regresó con sus propios  esfuerzos  a  El  Mozote,  en  donde</w:t>
        <w:br/>
        <w:t xml:space="preserve">         alquiló, mientras reconstruía su casa y trabajaba en  sus  propios</w:t>
        <w:br/>
        <w:t xml:space="preserve">         terrenos en el caserío Los Toriles, “pero  estando  cerca  de  sus</w:t>
        <w:br/>
        <w:t xml:space="preserve">         terrenos se sentía mejor porque estaban en lo propio  […]  expresa</w:t>
        <w:br/>
        <w:t xml:space="preserve">         que ansiaba volver a sus tierras, pero como era zona de guerra, no</w:t>
        <w:br/>
        <w:t xml:space="preserve">         se podía vivir ahí, pero no obstante él desde el  caserío  Mázala,</w:t>
        <w:br/>
        <w:t xml:space="preserve">         jurisdicción de Joateca,  visitaba  sus  terrenos  para  ver  cómo</w:t>
        <w:br/>
        <w:t xml:space="preserve">         estaba”[274].</w:t>
        <w:br/>
        <w:br/>
        <w:t xml:space="preserve">    191. En cuanto a este elemento, el Estado  no  proporcionó  información</w:t>
        <w:br/>
        <w:t xml:space="preserve">         alguna  sobre  las  medidas  que  habría  adoptado  para  asegurar</w:t>
        <w:br/>
        <w:t xml:space="preserve">         condiciones para el retorno  tanto  de  los  desplazados  forzados</w:t>
        <w:br/>
        <w:t xml:space="preserve">         internos como de aquellos que fueron obligados a salir a  Honduras</w:t>
        <w:br/>
        <w:t xml:space="preserve">         en búsqueda de refugio. Por  otra  parte,  los  diversos  informes</w:t>
        <w:br/>
        <w:t xml:space="preserve">         acompañados por los  representantes,  aún  cuando  el  Estado  les</w:t>
        <w:br/>
        <w:t xml:space="preserve">         habría restado credibilidad (supra párr.  17),  son  contestes  en</w:t>
        <w:br/>
        <w:t xml:space="preserve">         cuanto a que en 1985 se encontraban en funcionamiento la  Comisión</w:t>
        <w:br/>
        <w:t xml:space="preserve">         Nacional para la Asistencia de Personas Desplazadas en El Salvador</w:t>
        <w:br/>
        <w:t xml:space="preserve">         (CONADES) y la Comisión Nacional para  la  Restauración  de  Áreas</w:t>
        <w:br/>
        <w:t xml:space="preserve">         (CONARA), así como otras iniciativas  del  propio  Estado,  de  la</w:t>
        <w:br/>
        <w:t xml:space="preserve">         Iglesia u organismos internacionales  y  no  gubernamentales  para</w:t>
        <w:br/>
        <w:t xml:space="preserve">         brindar posibilidades de repatriación, reasentamiento y asistencia</w:t>
        <w:br/>
        <w:t xml:space="preserve">         a los desplazados. Al mismo tiempo, en dichos informes se  refiere</w:t>
        <w:br/>
        <w:t xml:space="preserve">         dos cuestiones que habrían incidido  en  que  muchas  personas  no</w:t>
        <w:br/>
        <w:t xml:space="preserve">         acudieran o tuvieran miedo de solicitar asistencia a los programas</w:t>
        <w:br/>
        <w:t xml:space="preserve">         estatales: por un lado, que CONADES y CONARA  eran  controlados  o</w:t>
        <w:br/>
        <w:t xml:space="preserve">         tenían nexos con los militares[275] y, por el  otro,  que  CONADES</w:t>
        <w:br/>
        <w:t xml:space="preserve">         operaba bajo un sistema de registro[276], mediante el cual  exigió</w:t>
        <w:br/>
        <w:t xml:space="preserve">         el acceso a determinada información que “era  altamente  sensible”</w:t>
        <w:br/>
        <w:t xml:space="preserve">         en el contexto del conflicto armado interno salvadoreño[277].</w:t>
        <w:br/>
        <w:br/>
        <w:t xml:space="preserve">    192. La falta de  prueba  que  controvierta  la  inefectividad  de  los</w:t>
        <w:br/>
        <w:t xml:space="preserve">         programas estatales, aunado a las declaraciones  testimoniales  de</w:t>
        <w:br/>
        <w:t xml:space="preserve">         las personas desplazadas a raíz de las  masacres,  permiten  a  la</w:t>
        <w:br/>
        <w:t xml:space="preserve">         Corte concluir que el  Estado  no  adoptó  medidas  suficientes  y</w:t>
        <w:br/>
        <w:t xml:space="preserve">         efectivas para garantizar a las personas desplazadas  forzadamente</w:t>
        <w:br/>
        <w:t xml:space="preserve">         a raíz de las masacres de El Mozote y lugares aledaños un  retorno</w:t>
        <w:br/>
        <w:t xml:space="preserve">         digno  y  seguro  a  sus  lugares  de  residencia  habitual  o  un</w:t>
        <w:br/>
        <w:t xml:space="preserve">         reasentamiento voluntario en otra parte del país.</w:t>
        <w:br/>
        <w:br/>
        <w:t xml:space="preserve">    193. En el presente caso, y  según  se  desprende  de  los  testimonios</w:t>
        <w:br/>
        <w:t xml:space="preserve">         recibidos, han  sido  comprobadas  situaciones  de  desplazamiento</w:t>
        <w:br/>
        <w:t xml:space="preserve">         masivas provocadas justamente a raíz del  conflicto  armado  y  la</w:t>
        <w:br/>
        <w:t xml:space="preserve">         desprotección  sufrida  por  la  población  civil  debido   a   su</w:t>
        <w:br/>
        <w:t xml:space="preserve">         asimilación a la guerrilla, así como en lo que atañe  al  presente</w:t>
        <w:br/>
        <w:t xml:space="preserve">         caso, a consecuencia directa de las masacres ocurridas entre el 11</w:t>
        <w:br/>
        <w:t xml:space="preserve">         y el 13 de diciembre de 1981 y de las  circunstancias  verificadas</w:t>
        <w:br/>
        <w:t xml:space="preserve">         en forma concomitante como parte de la política estatal de  tierra</w:t>
        <w:br/>
        <w:t xml:space="preserve">         arrasada, todo lo cual provocó que los  sobrevivientes  se  vieran</w:t>
        <w:br/>
        <w:t xml:space="preserve">         obligados a huir de su país al ver su vida, seguridad  o  libertad</w:t>
        <w:br/>
        <w:t xml:space="preserve">         amenazadas por la  violencia  generalizada  e  indiscriminada.  El</w:t>
        <w:br/>
        <w:t xml:space="preserve">         Tribunal concluye que el Estado es responsable por la conducta  de</w:t>
        <w:br/>
        <w:t xml:space="preserve">         sus agentes que causó  los  desplazamientos  forzados  internos  y</w:t>
        <w:br/>
        <w:t xml:space="preserve">         hacia la República de Honduras. Además, el Estado  no  brindó  las</w:t>
        <w:br/>
        <w:t xml:space="preserve">         condiciones o medios que permitieran a los sobrevivientes regresar</w:t>
        <w:br/>
        <w:t xml:space="preserve">         de forma digna y  segura.  Como  ha  establecido  esta  Corte  con</w:t>
        <w:br/>
        <w:t xml:space="preserve">         anterioridad, la falta de una  investigación  efectiva  de  hechos</w:t>
        <w:br/>
        <w:t xml:space="preserve">         violentos  puede   propiciar   o   perpetuar   el   desplazamiento</w:t>
        <w:br/>
        <w:t xml:space="preserve">         forzado[278]. Por tanto, el Tribunal estima que en  este  caso  la</w:t>
        <w:br/>
        <w:t xml:space="preserve">         libertad de circulación y de residencia de los  sobrevivientes  de</w:t>
        <w:br/>
        <w:t xml:space="preserve">         las masacres se encontró  limitada  por  graves  restricciones  de</w:t>
        <w:br/>
        <w:t xml:space="preserve">         facto, que se originaron en acciones y omisiones  del  Estado,  lo</w:t>
        <w:br/>
        <w:t xml:space="preserve">         cual constituyó una violación del artículo 22.1 de la Convención.</w:t>
        <w:br/>
        <w:br/>
        <w:t xml:space="preserve">    194. Las víctimas sobrevivientes que fueron desplazadas de su lugar  de</w:t>
        <w:br/>
        <w:t xml:space="preserve">         origen “perdieron los vínculos comunitarios  y  afectivos  de  sus</w:t>
        <w:br/>
        <w:t xml:space="preserve">         raíces identitarias, además de  los  bienes  materiales”,  lo  que</w:t>
        <w:br/>
        <w:t xml:space="preserve">         derivó en “cambios forzados  en  la  estructura  social,  lo  cual</w:t>
        <w:br/>
        <w:t xml:space="preserve">         implic[ó] rupturas, p[é]rdidas, dolor, y mucho  sufrimiento”[279].</w:t>
        <w:br/>
        <w:t xml:space="preserve">         Para la Corte además tiene especial  significado  en  el  presente</w:t>
        <w:br/>
        <w:t xml:space="preserve">         caso el desplazamiento de los niños y niñas  que  sobrevivieron  a</w:t>
        <w:br/>
        <w:t xml:space="preserve">         las masacres,  quienes  además  del  impacto  señalado,  tal  como</w:t>
        <w:br/>
        <w:t xml:space="preserve">         explicó la perito Yáñez De La Cruz, “se encuentra[n]  con  que  su</w:t>
        <w:br/>
        <w:t xml:space="preserve">         padre y su madre son asesinados o uno de ellos, que  además  tiene</w:t>
        <w:br/>
        <w:t xml:space="preserve">         que huir [y] que todo es sufrimiento”[280]. Consta también que las</w:t>
        <w:br/>
        <w:t xml:space="preserve">         víctimas sobrevivientes desplazadas han  sufrido  un  impacto  más</w:t>
        <w:br/>
        <w:t xml:space="preserve">         fuerte en su bienestar y  salud  a  consecuencia  de  “la  ruptura</w:t>
        <w:br/>
        <w:t xml:space="preserve">         completa de la red cultural en el norte de Morazán, de la creación</w:t>
        <w:br/>
        <w:t xml:space="preserve">         de un estado del anomia total y de la destrucción completa de  una</w:t>
        <w:br/>
        <w:t xml:space="preserve">         cultura”[281].</w:t>
        <w:br/>
        <w:br/>
        <w:t xml:space="preserve">    195. En suma, la Corte  observa  que  la  situación  de  desplazamiento</w:t>
        <w:br/>
        <w:t xml:space="preserve">         forzado  interno  y  hacia  la  República  de  Honduras  que   han</w:t>
        <w:br/>
        <w:t xml:space="preserve">         enfrentado los sobrevivientes no puede  ser  desvinculada  de  las</w:t>
        <w:br/>
        <w:t xml:space="preserve">         otras violaciones declaradas. En efecto, el  desplazamiento  tiene</w:t>
        <w:br/>
        <w:t xml:space="preserve">         origen en las afectaciones sufridas durante las masacres, no  sólo</w:t>
        <w:br/>
        <w:t xml:space="preserve">         a raíz de las violaciones al derecho a la vida (supra párrs. 151 a</w:t>
        <w:br/>
        <w:t xml:space="preserve">         157), a la integridad personal (supra párrs. 159 a  165  y  170  a</w:t>
        <w:br/>
        <w:t xml:space="preserve">         174) y a la libertad personal (supra párr. 158), sino también  por</w:t>
        <w:br/>
        <w:t xml:space="preserve">         la destrucción del  ganado,  los  cultivos  y  las  viviendas,  en</w:t>
        <w:br/>
        <w:t xml:space="preserve">         violación del derecho a la propiedad privada (supra párrs.  168  y</w:t>
        <w:br/>
        <w:t xml:space="preserve">         175 a 181), y las injerencias arbitrarias o abusivas  en  la  vida</w:t>
        <w:br/>
        <w:t xml:space="preserve">         privada y el domicilio (artículo 11.2  de  la  Convención)  (supra</w:t>
        <w:br/>
        <w:t xml:space="preserve">         párrs. 168 y  182).  Además,  dado  que  dentro  de  las  víctimas</w:t>
        <w:br/>
        <w:t xml:space="preserve">         sobrevivientes se ha comprobado que se encontraban niños y  niñas,</w:t>
        <w:br/>
        <w:t xml:space="preserve">         la Corte concluye  que  las  violaciones  a  su  respecto  ocurren</w:t>
        <w:br/>
        <w:t xml:space="preserve">         también en relación con el artículo 19 de la Convención.</w:t>
        <w:br/>
        <w:br/>
        <w:t xml:space="preserve">    196. Para finalizar, la Corte nota que los representantes  argumentaron</w:t>
        <w:br/>
        <w:t xml:space="preserve">         la violación en  conjunto  de  los  artículos  11.2  y  22  de  la</w:t>
        <w:br/>
        <w:t xml:space="preserve">         Convención respecto tanto de aquellas personas que se  desplazaron</w:t>
        <w:br/>
        <w:t xml:space="preserve">         dentro  del  país  como  de  las  que  cruzaron  la  frontera.  En</w:t>
        <w:br/>
        <w:t xml:space="preserve">         particular, sostuvieron que el  desplazamiento  forzado  generaría</w:t>
        <w:br/>
        <w:t xml:space="preserve">         múltiples violaciones  de  derechos  humanos,  entre  las  que  se</w:t>
        <w:br/>
        <w:t xml:space="preserve">         encontrarían la violación al derecho a la vida privada y familiar,</w:t>
        <w:br/>
        <w:t xml:space="preserve">         la violación del derecho  a  la  integridad  y  la  violación  del</w:t>
        <w:br/>
        <w:t xml:space="preserve">         derecho a la libre circulación. En cuanto al  derecho  a  la  vida</w:t>
        <w:br/>
        <w:t xml:space="preserve">         privada,  argumentaron  que  estaría  intrínsecamente  ligado   al</w:t>
        <w:br/>
        <w:t xml:space="preserve">         proyecto de vida  de  las  víctimas.  En  razón  de  lo  anterior,</w:t>
        <w:br/>
        <w:t xml:space="preserve">         alegaron que el desplazamiento forzado habría afectado  de  manera</w:t>
        <w:br/>
        <w:t xml:space="preserve">         evidente la posibilidad de las víctimas  de  dirigir  su  vida  de</w:t>
        <w:br/>
        <w:t xml:space="preserve">         manera autónoma. Es decir, éstas no habrían  podido  desarrollarse</w:t>
        <w:br/>
        <w:t xml:space="preserve">         de la manera en que lo hubieran hecho de no ocurrir las masacres y</w:t>
        <w:br/>
        <w:t xml:space="preserve">         las condiciones subsecuentes que les habrían mantenido alejados de</w:t>
        <w:br/>
        <w:t xml:space="preserve">         su lugar de origen  o  residencia.  Sus  condiciones  de  vida  se</w:t>
        <w:br/>
        <w:t xml:space="preserve">         habrían visto seriamente afectadas al vivir sin sus familiares que</w:t>
        <w:br/>
        <w:t xml:space="preserve">         fueron asesinados, sin sus medios de subsistencia y alejados de su</w:t>
        <w:br/>
        <w:t xml:space="preserve">         entorno y relaciones sociales, por lo  que  su  proyecto  de  vida</w:t>
        <w:br/>
        <w:t xml:space="preserve">         habría  sido  profundamente   afectado.   En   consecuencia,   los</w:t>
        <w:br/>
        <w:t xml:space="preserve">         representantes consideraron que el desplazamiento forzado  de  las</w:t>
        <w:br/>
        <w:t xml:space="preserve">         víctimas sobrevivientes de las masacres habría implicado una grave</w:t>
        <w:br/>
        <w:t xml:space="preserve">         violación a su derecho a la vida privada y familiar. Al  respecto,</w:t>
        <w:br/>
        <w:t xml:space="preserve">         el Tribunal estima que no  resulta  necesario  pronunciarse  sobre</w:t>
        <w:br/>
        <w:t xml:space="preserve">         este alegato que se refiere a los mismos hechos y que ya  ha  sido</w:t>
        <w:br/>
        <w:t xml:space="preserve">         analizado a  la  luz  de  otras  obligaciones  convencionales.  No</w:t>
        <w:br/>
        <w:t xml:space="preserve">         obstante, será tenido en cuenta en lo pertinente  al  ordenar  las</w:t>
        <w:br/>
        <w:t xml:space="preserve">         reparaciones.</w:t>
        <w:br/>
        <w:br/>
        <w:br/>
        <w:t xml:space="preserve">           3)    Las violaciones de derechos humanos alegadas en  perjuicio</w:t>
        <w:br/>
        <w:t xml:space="preserve">           de los familiares de las personas ejecutadas</w:t>
        <w:br/>
        <w:br/>
        <w:br/>
        <w:t xml:space="preserve">    197. En cuanto a los familiares  de  las  víctimas  ejecutadas,  en  su</w:t>
        <w:br/>
        <w:t xml:space="preserve">         jurisprudencia más reciente en casos de masacres, el  Tribunal  ha</w:t>
        <w:br/>
        <w:t xml:space="preserve">         reiterado que los familiares de las  víctimas  de  ciertas  graves</w:t>
        <w:br/>
        <w:t xml:space="preserve">         violaciones de derechos humanos, como las masacres, pueden,  a  su</w:t>
        <w:br/>
        <w:t xml:space="preserve">         vez,  resultar  víctimas   de   violaciones   de   su   integridad</w:t>
        <w:br/>
        <w:t xml:space="preserve">         personal[282]. Asimismo,  en  este  tipo  de  casos  la  Corte  ha</w:t>
        <w:br/>
        <w:t xml:space="preserve">         considerado violado el derecho a la integridad psíquica y moral de</w:t>
        <w:br/>
        <w:t xml:space="preserve">         los familiares de  las  víctimas  con  motivo  del  sufrimiento  y</w:t>
        <w:br/>
        <w:t xml:space="preserve">         angustia adicionales  que  éstos  han  padecido  a  causa  de  las</w:t>
        <w:br/>
        <w:t xml:space="preserve">         actuaciones u omisiones posteriores de las  autoridades  estatales</w:t>
        <w:br/>
        <w:t xml:space="preserve">         con respecto a esos hechos[283] y debido a la ausencia de recursos</w:t>
        <w:br/>
        <w:t xml:space="preserve">         efectivos[284]. La Corte ha considerado que “la realización de una</w:t>
        <w:br/>
        <w:t xml:space="preserve">         investigación efectiva es un elemento fundamental y  condicionante</w:t>
        <w:br/>
        <w:t xml:space="preserve">         para la protección de ciertos derechos  que  se  ven  afectados  o</w:t>
        <w:br/>
        <w:t xml:space="preserve">         anulados por esas situaciones”[285].</w:t>
        <w:br/>
        <w:br/>
        <w:t xml:space="preserve">    198. La prueba presentada da cuenta de un grupo de  familiares  de  las</w:t>
        <w:br/>
        <w:t xml:space="preserve">         víctimas ejecutadas que  no  se  encontraban  al  momento  en  los</w:t>
        <w:br/>
        <w:t xml:space="preserve">         lugares en que  ocurrieron  las  masacres  a  que  se  refiere  el</w:t>
        <w:br/>
        <w:t xml:space="preserve">         presente  caso  y  cuando  regresaron  intentaron  buscar  a   sus</w:t>
        <w:br/>
        <w:t xml:space="preserve">         familiares encontrando únicamente los restos sin vida de aquéllos.</w:t>
        <w:br/>
        <w:t xml:space="preserve">         La Corte  considera  especialmente  grave  que  algunos  de  ellos</w:t>
        <w:br/>
        <w:t xml:space="preserve">         tuvieron que recoger los cuerpos de sus  seres  queridos  quemados</w:t>
        <w:br/>
        <w:t xml:space="preserve">         y/o en avanzado estado de  descomposición  y,  en  algunos  casos,</w:t>
        <w:br/>
        <w:t xml:space="preserve">         incompletos para  enterrarlos,  sin  poder  darles  una  sepultura</w:t>
        <w:br/>
        <w:t xml:space="preserve">         acorde con sus tradiciones, valores o creencias[286].</w:t>
        <w:br/>
        <w:br/>
        <w:t xml:space="preserve">    199. Entre otras declaraciones que constan en el expediente,  el  señor</w:t>
        <w:br/>
        <w:t xml:space="preserve">         José Pablo Díaz Portillo, en aquél entonces de 12  años  de  edad,</w:t>
        <w:br/>
        <w:t xml:space="preserve">         declaró que como dos meses después de ocurrida la masacre llegó al</w:t>
        <w:br/>
        <w:t xml:space="preserve">         cantón Cerro Pando, lugar  donde  vivía  con  sus  familiares,  “y</w:t>
        <w:br/>
        <w:t xml:space="preserve">         encontró un desastre del que fue difícil controlarse, ya que  veía</w:t>
        <w:br/>
        <w:t xml:space="preserve">         muchas personas muertas que estaban deshaciéndose, desgarradas por</w:t>
        <w:br/>
        <w:t xml:space="preserve">         los animales del campo, recorriendo  los  lugares  cercanos  [solo</w:t>
        <w:br/>
        <w:t xml:space="preserve">         encontró  personas]  muertas,   pudiendo   localizar   a   algunos</w:t>
        <w:br/>
        <w:t xml:space="preserve">         familiares asesinados, los cuales pudo identificar porque  estaban</w:t>
        <w:br/>
        <w:t xml:space="preserve">         en el propio lugar donde ellos vivían”. En  ese  lugar  identificó</w:t>
        <w:br/>
        <w:t xml:space="preserve">         los restos sin vida de su hermano junto con sus siete hijos y a su</w:t>
        <w:br/>
        <w:t xml:space="preserve">         prima junto  con  sus  tres  hijos,  “todos  los  cuerpos  estaban</w:t>
        <w:br/>
        <w:t xml:space="preserve">         dispersos  y  descompuestos”,  pero  no  los  inhumó  pues  siguió</w:t>
        <w:br/>
        <w:t xml:space="preserve">         buscando si había en el lugar personas vivas. Días después regresó</w:t>
        <w:br/>
        <w:t xml:space="preserve">         al lugar de la masacre con su padre que  había  sobrevivido  a  la</w:t>
        <w:br/>
        <w:t xml:space="preserve">         misma “y trataron de enterrar a sus familiares, pero no se  podían</w:t>
        <w:br/>
        <w:t xml:space="preserve">         reconocer bien y era  muy  difícil  recoger  los  restos  humanos,</w:t>
        <w:br/>
        <w:t xml:space="preserve">         porque sólo estaban ya los huesos y pedazos que los  animales  del</w:t>
        <w:br/>
        <w:t xml:space="preserve">         campo se habían comido, al final hicieron un agujero y  enterraron</w:t>
        <w:br/>
        <w:t xml:space="preserve">         los restos que pudieron, juntos”[287]. El señor  José  Cruz  Vigil</w:t>
        <w:br/>
        <w:t xml:space="preserve">         del Cid manifestó que no estaba en el lugar de  la  masacre,  pero</w:t>
        <w:br/>
        <w:t xml:space="preserve">         que su hermana con sus tres hijos y su hermano con sus seis  hijos</w:t>
        <w:br/>
        <w:t xml:space="preserve">         vivían respectivamente en Jocote Amarillo  y  Los  Toriles,  todos</w:t>
        <w:br/>
        <w:t xml:space="preserve">         murieron en la masacre. Después de unos quince días fue a buscar a</w:t>
        <w:br/>
        <w:t xml:space="preserve">         su hermano encontrando sus restos, los cuales enterró[288].</w:t>
        <w:br/>
        <w:br/>
        <w:t xml:space="preserve">    200. Asimismo, surge del expediente que en algunos casos los familiares</w:t>
        <w:br/>
        <w:t xml:space="preserve">         de  las  víctimas  ejecutadas  se  han  involucrado  en   diversas</w:t>
        <w:br/>
        <w:t xml:space="preserve">         acciones, tales como la búsqueda de justicia  participando  en  el</w:t>
        <w:br/>
        <w:t xml:space="preserve">         procedimiento ante la jurisdicción internacional (supra párr. 32).</w:t>
        <w:br/>
        <w:t xml:space="preserve">         De igual manera, consta que la falta de investigaciones  efectivas</w:t>
        <w:br/>
        <w:t xml:space="preserve">         para el esclarecimiento de los hechos y la  impunidad  en  que  se</w:t>
        <w:br/>
        <w:t xml:space="preserve">         mantienen los hechos en el presente caso ha generado  que  en  los</w:t>
        <w:br/>
        <w:t xml:space="preserve">         familiares de las víctimas ejecutadas  persistan  sentimientos  de</w:t>
        <w:br/>
        <w:t xml:space="preserve">         temor,  indefensión   e   inseguridad[289].   Las   circunstancias</w:t>
        <w:br/>
        <w:t xml:space="preserve">         descritas dan cuenta del profundo sufrimiento que han padecido los</w:t>
        <w:br/>
        <w:t xml:space="preserve">         familiares de las víctimas ejecutadas y que se ha prolongado en el</w:t>
        <w:br/>
        <w:t xml:space="preserve">         tiempo durante más de 30 años como resultado de  la  impunidad  en</w:t>
        <w:br/>
        <w:t xml:space="preserve">         que se encuentran los hechos.</w:t>
        <w:br/>
        <w:br/>
        <w:t xml:space="preserve">    201. Con base en todas  las  anteriores  consideraciones,  el  Tribunal</w:t>
        <w:br/>
        <w:t xml:space="preserve">         concluye que tales actos implicaron un  trato  cruel,  inhumano  y</w:t>
        <w:br/>
        <w:t xml:space="preserve">         degradante, contrario al artículo  5.1  y  5.2  de  la  Convención</w:t>
        <w:br/>
        <w:t xml:space="preserve">         Americana en relación con el artículo 1.1 del  mismo  instrumento,</w:t>
        <w:br/>
        <w:t xml:space="preserve">         en perjuicio de los familiares de las víctimas ejecutadas.</w:t>
        <w:br/>
        <w:br/>
        <w:t xml:space="preserve">    202.  Finalmente,  tal  como  ha  quedado  demostrado[290],   efectivos</w:t>
        <w:br/>
        <w:t xml:space="preserve">         militares procedieron a quemar las viviendas,  destruir  y  quemar</w:t>
        <w:br/>
        <w:t xml:space="preserve">         los cultivos de los pobladores, y a matar a  los  animales,  razón</w:t>
        <w:br/>
        <w:t xml:space="preserve">         por la cual la Corte concluye que el Estado violó el derecho a  la</w:t>
        <w:br/>
        <w:t xml:space="preserve">         propiedad privada reconocido en el artículo  21.1  y  21.2  de  la</w:t>
        <w:br/>
        <w:t xml:space="preserve">         Convención Americana, en relación con el artículo  1.1  del  mismo</w:t>
        <w:br/>
        <w:t xml:space="preserve">         instrumento, en  perjuicio  de  los  familiares  de  las  víctimas</w:t>
        <w:br/>
        <w:t xml:space="preserve">         ejecutadas de las masacres.</w:t>
        <w:br/>
        <w:br/>
        <w:br/>
        <w:t xml:space="preserve">           4)    Conclusión</w:t>
        <w:br/>
        <w:br/>
        <w:br/>
        <w:t xml:space="preserve">    203. A raíz de todo lo expuesto y sobre la base de la naturaleza propia</w:t>
        <w:br/>
        <w:t xml:space="preserve">         de las masacres de las cuales se deriva una violación compleja  de</w:t>
        <w:br/>
        <w:t xml:space="preserve">         derechos reconocidos en la Convención Americana (supra párr. 141),</w:t>
        <w:br/>
        <w:t xml:space="preserve">         la Corte concluye que el Estado de El Salvador es responsable  por</w:t>
        <w:br/>
        <w:t xml:space="preserve">         la violación de los artículos 4, 5.1,  5.2,  21.1  y  21.2  de  la</w:t>
        <w:br/>
        <w:t xml:space="preserve">         Convención Americana, en relación con el artículo  1.1  del  mismo</w:t>
        <w:br/>
        <w:t xml:space="preserve">         instrumento, y adicionalmente  en  relación  con  el  artículo  19</w:t>
        <w:br/>
        <w:t xml:space="preserve">         respecto de los niños  y  niñas,  en  perjuicio  de  las  víctimas</w:t>
        <w:br/>
        <w:t xml:space="preserve">         ejecutadas, listadas  en  el  Anexo  “A”.  Además,  el  Estado  es</w:t>
        <w:br/>
        <w:t xml:space="preserve">         responsable por la violación  del  artículo  7  de  la  Convención</w:t>
        <w:br/>
        <w:t xml:space="preserve">         Americana, en relación con el artículo 1.1 del mismo  instrumento,</w:t>
        <w:br/>
        <w:t xml:space="preserve">         en perjuicio de las víctimas ejecutadas en el caserío El Mozote.</w:t>
        <w:br/>
        <w:br/>
        <w:t xml:space="preserve">    204. A su vez, el  Estado  es  responsable  por  la  violación  de  los</w:t>
        <w:br/>
        <w:t xml:space="preserve">         artículos 5.2 y 11.2 de la Convención Americana, en  conexión  con</w:t>
        <w:br/>
        <w:t xml:space="preserve">         el artículo 1.1 de la misma,  en  perjuicio  de  las  mujeres  que</w:t>
        <w:br/>
        <w:t xml:space="preserve">         fueron víctimas de violaciones sexuales en el caserío El Mozote.</w:t>
        <w:br/>
        <w:br/>
        <w:t xml:space="preserve">    205. Además, el Estado es responsable por la violación de los artículos</w:t>
        <w:br/>
        <w:t xml:space="preserve">         5.1, 5.2, 11.2,  21.1  y  21.2  de  la  Convención  Americana,  en</w:t>
        <w:br/>
        <w:t xml:space="preserve">         relación con el artículo 1.1 de  la  misma,  y  adicionalmente  en</w:t>
        <w:br/>
        <w:t xml:space="preserve">         relación con el artículo 19 respecto de  los  niños  y  niñas,  en</w:t>
        <w:br/>
        <w:t xml:space="preserve">         perjuicio de las víctimas sobrevivientes de las masacres, listadas</w:t>
        <w:br/>
        <w:t xml:space="preserve">         en el Anexo “B”.</w:t>
        <w:br/>
        <w:br/>
        <w:t xml:space="preserve">    206. Igualmente, el Estado es  responsable  por  la  violación  de  los</w:t>
        <w:br/>
        <w:t xml:space="preserve">         artículos 5.1, 5.2, 21.1 y 21.2 de  la  Convención  Americana,  en</w:t>
        <w:br/>
        <w:t xml:space="preserve">         relación con el artículo 1.1 de la  misma,  en  perjuicio  de  los</w:t>
        <w:br/>
        <w:t xml:space="preserve">         familiares de las víctimas ejecutadas, listadas en el Anexo “C”.</w:t>
        <w:br/>
        <w:br/>
        <w:t xml:space="preserve">    207. Por último, el Estado es responsable por la violación del artículo</w:t>
        <w:br/>
        <w:t xml:space="preserve">         22.1 de la Convención, en conexión con el artículo 1.1  del  mismo</w:t>
        <w:br/>
        <w:t xml:space="preserve">         instrumento, y adicionalmente  en  relación  con  el  artículo  19</w:t>
        <w:br/>
        <w:t xml:space="preserve">         respecto de los niños y niñas, en perjuicio de  las  personas  que</w:t>
        <w:br/>
        <w:t xml:space="preserve">         fueron forzadas a desplazarse dentro de El  Salvador  y  hacia  la</w:t>
        <w:br/>
        <w:t xml:space="preserve">         República de  Honduras,  listadas  en  el  Anexo  “D”.  Sobre  las</w:t>
        <w:br/>
        <w:t xml:space="preserve">         víctimas de esta violación, la Comisión indicó que respecto de las</w:t>
        <w:br/>
        <w:t xml:space="preserve">         personas que tuvieron que desplazarse de su  lugar  de  residencia</w:t>
        <w:br/>
        <w:t xml:space="preserve">         para salir del país y buscar refugio en la República  de  Honduras</w:t>
        <w:br/>
        <w:t xml:space="preserve">         “se tiene la convicción de que el  verdadero  número  de  víctimas</w:t>
        <w:br/>
        <w:t xml:space="preserve">         supera ampliamente a las pocas personas individualizadas  mediante</w:t>
        <w:br/>
        <w:t xml:space="preserve">         la  prueba  que  obra  en  el  expediente”.   Los   representantes</w:t>
        <w:br/>
        <w:t xml:space="preserve">         señalaron, que en un contexto de violencia extrema, en el  que  el</w:t>
        <w:br/>
        <w:t xml:space="preserve">         desplazamiento forzado era una constante, sumado a las dimensiones</w:t>
        <w:br/>
        <w:t xml:space="preserve">         de las masacres y a la ausencia de registros  oficiales  sobre  el</w:t>
        <w:br/>
        <w:t xml:space="preserve">         origen y  destino  de  las  personas,  resultaba  muy  difícil  la</w:t>
        <w:br/>
        <w:t xml:space="preserve">         documentación de las circunstancias específicas de  desplazamiento</w:t>
        <w:br/>
        <w:t xml:space="preserve">         de cada una de las personas afectadas. En esta Sentencia la  Corte</w:t>
        <w:br/>
        <w:t xml:space="preserve">         describió los problemas suscitados en la  identificación  efectiva</w:t>
        <w:br/>
        <w:t xml:space="preserve">         de todos los sobrevivientes y familiares de las víctimas, lo  cual</w:t>
        <w:br/>
        <w:t xml:space="preserve">         impide  saber  con  certeza  cuántos  sobrevivientes   se   vieron</w:t>
        <w:br/>
        <w:t xml:space="preserve">         desplazados en este caso, por lo que  el  Tribunal  puede  evaluar</w:t>
        <w:br/>
        <w:t xml:space="preserve">         esta situación únicamente respecto de quienes han demostrado dicha</w:t>
        <w:br/>
        <w:t xml:space="preserve">         condición en este proceso (supra párr. 57). No obstante, la  Corte</w:t>
        <w:br/>
        <w:t xml:space="preserve">         deja constancia que tiene elementos suficientes para concluir  que</w:t>
        <w:br/>
        <w:t xml:space="preserve">         deben haber sido muchas otras las personas que  enfrentaron  dicha</w:t>
        <w:br/>
        <w:t xml:space="preserve">         situación  y  sobre  quienes  no  consta  prueba  para  su  debida</w:t>
        <w:br/>
        <w:t xml:space="preserve">         identificación en el proceso ante ella.</w:t>
        <w:br/>
        <w:br/>
        <w:t xml:space="preserve">    208.  Para  finalizar,  la  Corte  considera  que  la   responsabilidad</w:t>
        <w:br/>
        <w:t xml:space="preserve">         internacional del Estado en  el  presente  caso  se  configura  de</w:t>
        <w:br/>
        <w:t xml:space="preserve">         manera agravada en razón del contexto en que  los  hechos  de  las</w:t>
        <w:br/>
        <w:t xml:space="preserve">         masacres de El Mozote y lugares aledaños fueron  perpetrados,  que</w:t>
        <w:br/>
        <w:t xml:space="preserve">         se refiere a un período de violencia extrema durante el  conflicto</w:t>
        <w:br/>
        <w:t xml:space="preserve">         armado interno salvadoreño que respondió a una política de  estado</w:t>
        <w:br/>
        <w:t xml:space="preserve">         caracterizada por acciones militares  de  contrainsurgencia,  como</w:t>
        <w:br/>
        <w:t xml:space="preserve">         las operaciones de “tierra arrasada”, que tuvieron como  finalidad</w:t>
        <w:br/>
        <w:t xml:space="preserve">         el aniquilamiento masivo e indiscriminado de los poblados que eran</w:t>
        <w:br/>
        <w:t xml:space="preserve">         asimilados por sospecha a la guerrilla. Lo anterior, a  través  de</w:t>
        <w:br/>
        <w:t xml:space="preserve">         la expresión del extendido concepto de “quitarle el agua  al  pez”</w:t>
        <w:br/>
        <w:t xml:space="preserve">         (supra párr. 68). En este sentido, tal como ha quedado demostrado,</w:t>
        <w:br/>
        <w:t xml:space="preserve">         concluidas las ejecuciones extrajudiciales se  procedió  a  quemar</w:t>
        <w:br/>
        <w:t xml:space="preserve">         las viviendas, las pertenencias y los cultivos de los  pobladores,</w:t>
        <w:br/>
        <w:t xml:space="preserve">         y a matar a los animales, lo que implicó la pérdida definitiva  de</w:t>
        <w:br/>
        <w:t xml:space="preserve">         las propiedades de las víctimas y la destrucción de sus hogares  y</w:t>
        <w:br/>
        <w:t xml:space="preserve">         medios de subsistencia, provocando el  desplazamiento  forzado  de</w:t>
        <w:br/>
        <w:t xml:space="preserve">         los sobrevivientes de aquellos lugares. Tal como fue  establecido,</w:t>
        <w:br/>
        <w:t xml:space="preserve">         se destruyeron núcleos familiares completos, que por la naturaleza</w:t>
        <w:br/>
        <w:t xml:space="preserve">         propia de las  masacres  alteró  la  dinámica  de  sus  familiares</w:t>
        <w:br/>
        <w:t xml:space="preserve">         sobrevivientes y afectó  profundamente  el  tejido  social  de  la</w:t>
        <w:br/>
        <w:t xml:space="preserve">         comunidad. En atención a la preservación de la memoria histórica y</w:t>
        <w:br/>
        <w:t xml:space="preserve">         a la imperante necesidad de que  hechos  similares  no  vuelvan  a</w:t>
        <w:br/>
        <w:t xml:space="preserve">         repetirse, es deber de esta Corte destacar que las Masacres de  El</w:t>
        <w:br/>
        <w:t xml:space="preserve">         Mozote y lugares aledaños constituyen  indudablemente  un  ejemplo</w:t>
        <w:br/>
        <w:t xml:space="preserve">         exponencial de  esta  política  estatal,  dada  la  dimensión  del</w:t>
        <w:br/>
        <w:t xml:space="preserve">         operativo y del número de  víctimas  ejecutadas  registradas[291].</w:t>
        <w:br/>
        <w:t xml:space="preserve">         Además, como se verá a continuación, desde ese entonces y hasta el</w:t>
        <w:br/>
        <w:t xml:space="preserve">         día de hoy, no ha  habido  mecanismos  judiciales  efectivos  para</w:t>
        <w:br/>
        <w:t xml:space="preserve">         investigar  las  graves  violaciones  de  los   derechos   humanos</w:t>
        <w:br/>
        <w:t xml:space="preserve">         perpetradas ni  para  juzgar  y,  en  su  caso,  sancionar  a  los</w:t>
        <w:br/>
        <w:t xml:space="preserve">         responsables.   Todo   ello   resulta   en   una   responsabilidad</w:t>
        <w:br/>
        <w:t xml:space="preserve">         internacional agravada del Estado demandado.</w:t>
        <w:br/>
        <w:br/>
        <w:t xml:space="preserve">                                    VIII</w:t>
        <w:br/>
        <w:t xml:space="preserve">        DERECHOS A LAS GARANTÍAS JUDICIALES, A LA PROTECCIÓN JUDICIAL</w:t>
        <w:br/>
        <w:t xml:space="preserve">                Y A LA LIBERTAD DE PENSAMIENTO Y DE EXPRESIÓN</w:t>
        <w:br/>
        <w:t xml:space="preserve">        EN RELACIÓN CON LAS OBLIGACIONES DE RESPETAR Y GARANTIZAR LOS</w:t>
        <w:br/>
        <w:t xml:space="preserve">       DERECHOS Y EL DEBER DE ADOPTAR DISPOSICIONES DE DERECHO INTERNO</w:t>
        <w:br/>
        <w:t xml:space="preserve">    Y ARTÍCULOS 1, 6 Y 8 DE LA CONVENCIÓN INTERAMERICANA PARA PREVENIR Y</w:t>
        <w:br/>
        <w:t xml:space="preserve">        SANCIONAR LA TORTURA Y 7.B) DE LA CONVENCIÓN DE BELÉM DO PARÁ</w:t>
        <w:br/>
        <w:br/>
        <w:t xml:space="preserve">    209. El Tribunal  pasará  seguidamente  a  analizar  el  proceso  penal</w:t>
        <w:br/>
        <w:t xml:space="preserve">         iniciado sobre los hechos del presente caso a raíz de la  denuncia</w:t>
        <w:br/>
        <w:t xml:space="preserve">         interpuesta el 26 de octubre de 1990, a fin de determinar si  éste</w:t>
        <w:br/>
        <w:t xml:space="preserve">         ha constituido un recurso efectivo para asegurar los  derechos  de</w:t>
        <w:br/>
        <w:t xml:space="preserve">         acceso a la justicia, a conocer la verdad y a la reparación de las</w:t>
        <w:br/>
        <w:t xml:space="preserve">         víctimas sobrevivientes  y  de  los  familiares  de  las  víctimas</w:t>
        <w:br/>
        <w:t xml:space="preserve">         ejecutadas. A tal fin, el Tribunal estima pertinente  primeramente</w:t>
        <w:br/>
        <w:t xml:space="preserve">         establecer los hechos, para luego recordar  el  fundamento  de  la</w:t>
        <w:br/>
        <w:t xml:space="preserve">         obligación de investigar hechos  como  los  del  presente  caso  y</w:t>
        <w:br/>
        <w:t xml:space="preserve">         abordar los obstáculos fácticos y  legales  que  han  impedido  su</w:t>
        <w:br/>
        <w:t xml:space="preserve">         cumplimiento, generando a la  fecha  una  situación  de  impunidad</w:t>
        <w:br/>
        <w:t xml:space="preserve">         total[292].</w:t>
        <w:br/>
        <w:br/>
        <w:br/>
        <w:t>A.    La investigación de los hechos del presente caso</w:t>
        <w:br/>
        <w:br/>
        <w:br/>
        <w:t xml:space="preserve">    210. De la prueba se desprende que, debido a que  el  conflicto  armado</w:t>
        <w:br/>
        <w:t xml:space="preserve">         interno se encontraba en curso, al temor y a la desconfianza hacia</w:t>
        <w:br/>
        <w:t xml:space="preserve">         las instituciones estatales, las  víctimas  sobrevivientes  y  los</w:t>
        <w:br/>
        <w:t xml:space="preserve">         familiares de las víctimas ejecutadas no  denunciaron  los  hechos</w:t>
        <w:br/>
        <w:t xml:space="preserve">         del presente caso ante las instancias  correspondientes  hasta  el</w:t>
        <w:br/>
        <w:t xml:space="preserve">         mes de octubre de 1990[293].</w:t>
        <w:br/>
        <w:br/>
        <w:t xml:space="preserve">           1)    Inicio de las investigaciones y diligencias realizadas</w:t>
        <w:br/>
        <w:br/>
        <w:t xml:space="preserve">    211. La denuncia inicial fue presentada el 26 de octubre de 1990 por el</w:t>
        <w:br/>
        <w:t xml:space="preserve">         señor Pedro Chicas Romero  ante  el  Juzgado  Segundo  de  Primera</w:t>
        <w:br/>
        <w:t xml:space="preserve">         Instancia de San  Francisco  Gotera,  donde  denunció  los  hechos</w:t>
        <w:br/>
        <w:t xml:space="preserve">         ocurridos los días diez y once  de  diciembre  en  el  caserío  El</w:t>
        <w:br/>
        <w:t xml:space="preserve">         Mozote, el día once de diciembre en el cantón de La Joya,  el  día</w:t>
        <w:br/>
        <w:t xml:space="preserve">         doce de diciembre en los caseríos Ranchería y Los  Toriles,  y  el</w:t>
        <w:br/>
        <w:t xml:space="preserve">         día trece de diciembre en el caserío  Jocote  Amarillo  y  en  los</w:t>
        <w:br/>
        <w:t xml:space="preserve">         cantones Guacamaya y Cerro Pando, todos del  año  mil  novecientos</w:t>
        <w:br/>
        <w:t xml:space="preserve">         ochenta y uno[294]. Ese mismo día ratificó  su  denuncia  ante  el</w:t>
        <w:br/>
        <w:t xml:space="preserve">         referido Juzgado[295].</w:t>
        <w:br/>
        <w:br/>
        <w:t xml:space="preserve">    212. Tras la denuncia inicial presentada el 26 de octubre de  1990  por</w:t>
        <w:br/>
        <w:t xml:space="preserve">         el señor Pedro Chicas Romero, entre el 30 de octubre de 1990  y  7</w:t>
        <w:br/>
        <w:t xml:space="preserve">         de mayo de 1991, el Juzgado Segundo de Primera  Instancia  de  San</w:t>
        <w:br/>
        <w:t xml:space="preserve">         Francisco Gotera recibió las declaraciones de doce  sobrevivientes</w:t>
        <w:br/>
        <w:t xml:space="preserve">         de  las  masacres,  ya  sea  en  calidad   de   ofendidos   o   de</w:t>
        <w:br/>
        <w:t xml:space="preserve">         testigos[296].  Luego  de   estas   declaraciones   se   consideró</w:t>
        <w:br/>
        <w:t xml:space="preserve">         suficiente instruido sobre esta prueba, por lo cual  se  suspendió</w:t>
        <w:br/>
        <w:t xml:space="preserve">         la recepción de prueba testimonial[297].</w:t>
        <w:br/>
        <w:br/>
        <w:t xml:space="preserve">    213. El 3 de noviembre de 1990 el Fiscal Específico  acreditado  en  el</w:t>
        <w:br/>
        <w:t xml:space="preserve">         proceso solicitó al Juez de la  causa  una  serie  de  medidas  de</w:t>
        <w:br/>
        <w:t xml:space="preserve">         prueba, entre las cuales, figuraba la práctica de una inspección y</w:t>
        <w:br/>
        <w:t xml:space="preserve">         exhumación, y que se librara oficio al Presidente de la  República</w:t>
        <w:br/>
        <w:t xml:space="preserve">         y Comandante  General  de  la  Fuerza  Armada  a  fin  de  que  se</w:t>
        <w:br/>
        <w:t xml:space="preserve">         proporcionara  los  nombres  de  los  Jefes  y  Oficiales  que  se</w:t>
        <w:br/>
        <w:t xml:space="preserve">         encontraban al mando de la operación militar  en  los  lugares  en</w:t>
        <w:br/>
        <w:t xml:space="preserve">         donde se ubicaba la escena del delito[298].</w:t>
        <w:br/>
        <w:br/>
        <w:t xml:space="preserve">    214. El 9 de noviembre de 1990 se negó al Fiscal  comisionado  para  el</w:t>
        <w:br/>
        <w:t xml:space="preserve">         caso la solitud de librar oficio al Poder Ejecutivo con el fin  de</w:t>
        <w:br/>
        <w:t xml:space="preserve">         obtener información sobre los jefes y oficiales al  mando  de  las</w:t>
        <w:br/>
        <w:t xml:space="preserve">         operaciones bajo el argumento de “no estar  establecido  en  autos</w:t>
        <w:br/>
        <w:t xml:space="preserve">         que  hayan  sido  miembros   del   ej[é]rcito   Nacional   quienes</w:t>
        <w:br/>
        <w:t xml:space="preserve">         participaron en el hecho delictivo que aqu[í] se investiga  y  que</w:t>
        <w:br/>
        <w:t xml:space="preserve">         el uniforme verde lo utilizan tanto miembros del ejército Nacional</w:t>
        <w:br/>
        <w:t xml:space="preserve">         como los miembros del F.M.L.N., as[i]mismo no es prueba suficiente</w:t>
        <w:br/>
        <w:t xml:space="preserve">         el hecho de que los testigos y ofendido digan que los soldados les</w:t>
        <w:br/>
        <w:t xml:space="preserve">         dec[í]an  a  ellos  que  eran  del  Batallón  Atlacatl,  pues  tal</w:t>
        <w:br/>
        <w:t xml:space="preserve">         afirmación la  pudo  haber  hecho  tambi[é]n  miembros  de  grupos</w:t>
        <w:br/>
        <w:t xml:space="preserve">         terroristas,  haci[é]ndose  pasar  por  soldados  del   Ej[é]rcito</w:t>
        <w:br/>
        <w:t xml:space="preserve">         Nacional”[299]. Sin embargo, en la misma resolución y a  pesar  de</w:t>
        <w:br/>
        <w:t xml:space="preserve">         declarar sin lugar la solicitud del  Fiscal,  el  Juzgado  Segundo</w:t>
        <w:br/>
        <w:t xml:space="preserve">         ordenó librar “oficio al señor Comandante  General  de  la  Fuerza</w:t>
        <w:br/>
        <w:t xml:space="preserve">         Armada, a efecto de que informe a  este  Tribunal  lo  que  Unidad</w:t>
        <w:br/>
        <w:t xml:space="preserve">         Militar del Ejército Nacional, realizó  operaciones  militares  en</w:t>
        <w:br/>
        <w:t xml:space="preserve">         diciembre  del  año  1981,  en  la  población   de   Meanguera   y</w:t>
        <w:br/>
        <w:t xml:space="preserve">         precisamente en el Cantón el Mozote y lugares circunvecinos;  caso</w:t>
        <w:br/>
        <w:t xml:space="preserve">         de que se hubiere realizado operación alguna en dicho lugar”[300].</w:t>
        <w:br/>
        <w:t xml:space="preserve">         No obstante, recién el 19 de junio  de  1991  el  Juzgado  Segundo</w:t>
        <w:br/>
        <w:t xml:space="preserve">         libró oficio al Presidente de la República y Comandante General de</w:t>
        <w:br/>
        <w:t xml:space="preserve">         la Fuerza Armada solicitándoles un informe de nombres de los Jefes</w:t>
        <w:br/>
        <w:t xml:space="preserve">         y Oficiales que se encontraban al mando de una operación realizada</w:t>
        <w:br/>
        <w:t xml:space="preserve">         el 10 de diciembre del 1981 en las localidades de los hechos[301].</w:t>
        <w:br/>
        <w:t xml:space="preserve">         Posteriormente, en fechas 28 de noviembre de 1991[302], 9 de enero</w:t>
        <w:br/>
        <w:t xml:space="preserve">         de 1992[303] y 19 de junio de 1992[304] se  reiteró  la  solicitud</w:t>
        <w:br/>
        <w:t xml:space="preserve">         del informe. No  consta  respuesta  a  la  primera  solicitud.  En</w:t>
        <w:br/>
        <w:t xml:space="preserve">         respuesta a la solicitud de 9 de enero, el 19 de mayo de  1992  el</w:t>
        <w:br/>
        <w:t xml:space="preserve">         Ministro de la Presidencia informó  que  “no  h[abían]  encontrado</w:t>
        <w:br/>
        <w:t xml:space="preserve">         antecedentes de ninguna clase que se relacionen con  una  supuesta</w:t>
        <w:br/>
        <w:t xml:space="preserve">         operación militar realizada el día 10 de diciembre de 1981, en  la</w:t>
        <w:br/>
        <w:t xml:space="preserve">         población de Meanguera, Departamento de  Morazán”[305].  De  igual</w:t>
        <w:br/>
        <w:t xml:space="preserve">         forma, en respuesta a la solicitud de 19 de junio de 1992,  el  21</w:t>
        <w:br/>
        <w:t xml:space="preserve">         de julio de ese año el Ministro de la Presidencia reiteró que  “al</w:t>
        <w:br/>
        <w:t xml:space="preserve">         revisar el libro de registro de operaciones militares que lleva el</w:t>
        <w:br/>
        <w:t xml:space="preserve">         Ministerio de Defensa, no se encontró orden  militar  alguna  para</w:t>
        <w:br/>
        <w:t xml:space="preserve">         realizar operativos militares durante el mes de diciembre de  1981</w:t>
        <w:br/>
        <w:t xml:space="preserve">         en la zona de Meanguera, Departamento de Morazán, ni  antecedentes</w:t>
        <w:br/>
        <w:t xml:space="preserve">         de ninguna clase que  se  relacionen  con  la  supuesta  operación</w:t>
        <w:br/>
        <w:t xml:space="preserve">         militar”[306].</w:t>
        <w:br/>
        <w:br/>
        <w:t xml:space="preserve">    215. Por otro lado, ese mismo 9 de noviembre de 1990 el Juzgado Segundo</w:t>
        <w:br/>
        <w:t xml:space="preserve">         ordenó  la  práctica  de  algunas  diligencias,  entre  ellas,  la</w:t>
        <w:br/>
        <w:t xml:space="preserve">         inspección en el lugar de  los  hechos  y  la  exhumación  de  los</w:t>
        <w:br/>
        <w:t xml:space="preserve">         cadáveres[307]. Sin embargo, recién el 19 de junio de 1991 se fijó</w:t>
        <w:br/>
        <w:t xml:space="preserve">         fecha para dicha diligencia para el 23 de julio de  ese  año[308].</w:t>
        <w:br/>
        <w:t xml:space="preserve">         Al respecto, el Juzgado Segundo envió un oficio  al  Director  del</w:t>
        <w:br/>
        <w:t xml:space="preserve">         Instituto de Medicina Legal “Dr. Roberto Masferrer”  solicitándole</w:t>
        <w:br/>
        <w:t xml:space="preserve">         colaboración para la práctica de exhumaciones y autopsias[309]. En</w:t>
        <w:br/>
        <w:t xml:space="preserve">         respuesta, el Director de dicho Instituto informó al Juzgado sobre</w:t>
        <w:br/>
        <w:t xml:space="preserve">         la imposibilidad de hacerse presentes debido a que el  tiempo  era</w:t>
        <w:br/>
        <w:t xml:space="preserve">         muy corto para preparar una exhumación; a que  debían  contactarse</w:t>
        <w:br/>
        <w:t xml:space="preserve">         con la Cruz Roja Internacional; y  a  que  la  calendarización  de</w:t>
        <w:br/>
        <w:t xml:space="preserve">         exhumaciones se encontraba saturada para esa semana[310]. Por  tal</w:t>
        <w:br/>
        <w:t xml:space="preserve">         motivo, se suspendieron las diligencias  mencionadas  hasta  nueva</w:t>
        <w:br/>
        <w:t xml:space="preserve">         fecha[311] (infra párr. 230).</w:t>
        <w:br/>
        <w:br/>
        <w:t xml:space="preserve">    216. Entre el 19 de julio y el 19 de noviembre de 1991  no  se  realizó</w:t>
        <w:br/>
        <w:t xml:space="preserve">         ninguna diligencia.</w:t>
        <w:br/>
        <w:br/>
        <w:t xml:space="preserve">    217. El 20 de noviembre de 1991  el  Juez  de  la  causa,  “[a]ntes  de</w:t>
        <w:br/>
        <w:t xml:space="preserve">         proceder  a  las  exhumaciones  solicitadas  por  la  Fiscalía”  y</w:t>
        <w:br/>
        <w:t xml:space="preserve">         “teniendo conocimiento […] que las zonas  donde  supuestamente  se</w:t>
        <w:br/>
        <w:t xml:space="preserve">         encuentran  los  cadáveres  es  de  las  más  conflictivas  de  la</w:t>
        <w:br/>
        <w:t xml:space="preserve">         República y se asegura que en ellas se encuentra campo minado”, lo</w:t>
        <w:br/>
        <w:t xml:space="preserve">         cual implicaba “un grave riesgo” para las distintas autoridades  y</w:t>
        <w:br/>
        <w:t xml:space="preserve">         demás personas que acudirían a dicho acto, resolvió solicitar:  al</w:t>
        <w:br/>
        <w:t xml:space="preserve">         Ministro de Defensa informara a la mayor brevedad  posible  “sobre</w:t>
        <w:br/>
        <w:t xml:space="preserve">         las condiciones del lugar en donde sucedieron los hechos a que  se</w:t>
        <w:br/>
        <w:t xml:space="preserve">         refiere la  presente  causa,  en  cuanto  a  riesgo  por  minas  o</w:t>
        <w:br/>
        <w:t xml:space="preserve">         enfrentamientos  y  si   los   Cuerpos   de   Seguridad   pued[e]n</w:t>
        <w:br/>
        <w:t xml:space="preserve">         proporcionar la protección debida”. Asimismo, solicitó a  la  Cruz</w:t>
        <w:br/>
        <w:t xml:space="preserve">         Roja nacional e internacional proporcionar la protección necesaria</w:t>
        <w:br/>
        <w:t xml:space="preserve">         para el  cumplimiento  de  las  exhumaciones  y  al  Director  del</w:t>
        <w:br/>
        <w:t xml:space="preserve">         Instituto de Medicina Legal  tomar  las  medidas  necesarias  para</w:t>
        <w:br/>
        <w:t xml:space="preserve">         proporcionar  el  personal  médico,  paramédico  y   especialistas</w:t>
        <w:br/>
        <w:t xml:space="preserve">         científicos   necesarios   para    el    cumplimiento    de    las</w:t>
        <w:br/>
        <w:t xml:space="preserve">         diligencias[312]. En razón de lo anterior, el  Juez  de  la  causa</w:t>
        <w:br/>
        <w:t xml:space="preserve">         intercambió  comunicaciones  con  el  Director  del  Instituto  de</w:t>
        <w:br/>
        <w:t xml:space="preserve">         Medicina Legal el 25 de noviembre y 9 de diciembre  de  1991[313],</w:t>
        <w:br/>
        <w:t xml:space="preserve">         con el Director Ejecutivo del  C.I.C.R.  el  25  de  noviembre  de</w:t>
        <w:br/>
        <w:t xml:space="preserve">         1991[314], con el Ministro de Defensa el 25 de noviembre de 1991 y</w:t>
        <w:br/>
        <w:t xml:space="preserve">         9 de enero de 1992[315], y con el Jefe de la Unidad  Ejecutiva  de</w:t>
        <w:br/>
        <w:t xml:space="preserve">         la Comisión Investigadora de Hechos Delictivos el 25 de  noviembre</w:t>
        <w:br/>
        <w:t xml:space="preserve">         de 1991[316].</w:t>
        <w:br/>
        <w:br/>
        <w:t xml:space="preserve">    218. Por su parte, el 25 de noviembre de 1991 la Fiscalía  sostuvo  que</w:t>
        <w:br/>
        <w:t xml:space="preserve">         “[e]n la zona donde ha de llevarse a cabo la  diligencia  ordenada</w:t>
        <w:br/>
        <w:t xml:space="preserve">         […] se tiene conocimiento de que se encuentra minada, y a su  vez,</w:t>
        <w:br/>
        <w:t xml:space="preserve">         de que es conflictiva por los enfrentamientos armados que allí  se</w:t>
        <w:br/>
        <w:t xml:space="preserve">         dan”  y  solicitó,  entre  otros,  que  se  “libr[ara]  oficio  al</w:t>
        <w:br/>
        <w:t xml:space="preserve">         Ministerio de Defensa y Seguridad Pública, con el  objeto  de  que</w:t>
        <w:br/>
        <w:t xml:space="preserve">         proced[iera] a ‘Barrer las Minas’ en la zona”[317]. En  respuesta,</w:t>
        <w:br/>
        <w:t xml:space="preserve">         el 28 de noviembre de 1991 el Juez de la causa declaró  sin  lugar</w:t>
        <w:br/>
        <w:t xml:space="preserve">         dicha solicitud presentada por la Fiscalía estando a  lo  resuelto</w:t>
        <w:br/>
        <w:t xml:space="preserve">         el 20 de noviembre de 1991[318] (supra párr. 218).</w:t>
        <w:br/>
        <w:br/>
        <w:t xml:space="preserve">    219. El 13 de diciembre de 1991 el  Ministro  de  Defensa  y  Seguridad</w:t>
        <w:br/>
        <w:t xml:space="preserve">         Pública informó que los cantones y caseríos mencionados “han  sido</w:t>
        <w:br/>
        <w:t xml:space="preserve">         desde los inicios  del  conflicto  armado  imperante,  lugares  de</w:t>
        <w:br/>
        <w:t xml:space="preserve">         presencia y persistencia de los delincuentes terroristas,  quienes</w:t>
        <w:br/>
        <w:t xml:space="preserve">         minaron determinados sectores de  los  mismos  y  que  solo  ellos</w:t>
        <w:br/>
        <w:t xml:space="preserve">         conocen, por  lo  cual  en  diversas  incursiones  militares,  han</w:t>
        <w:br/>
        <w:t xml:space="preserve">         resultado lesionados elementos del Instituto  Castrense  al  pisar</w:t>
        <w:br/>
        <w:t xml:space="preserve">         tales artefactos explosivos.  Solamente  simpatizantes  del  FMLN,</w:t>
        <w:br/>
        <w:t xml:space="preserve">         debidamente guiados por personeros del citado  Frente  han  podido</w:t>
        <w:br/>
        <w:t xml:space="preserve">         conducirse sin contratiempos por dichos lugares”.  Además,  aclaró</w:t>
        <w:br/>
        <w:t xml:space="preserve">         que “no existen por el momento condiciones favorables de seguridad</w:t>
        <w:br/>
        <w:t xml:space="preserve">         para realizar las diligencias que  menciona,  aclarándole  que,  a</w:t>
        <w:br/>
        <w:t xml:space="preserve">         requerimiento  de  ese  Tribunal,  la  Fuerza   Armada   está   en</w:t>
        <w:br/>
        <w:t xml:space="preserve">         condiciones de realizar una Operación Militar de desalojo  de  los</w:t>
        <w:br/>
        <w:t xml:space="preserve">         posibles terroristas que se encontraren en el lugar en cuestión  y</w:t>
        <w:br/>
        <w:t xml:space="preserve">         limpieza del terreno de los obstáculos  y  minas  terroristas  que</w:t>
        <w:br/>
        <w:t xml:space="preserve">         allí se encontraren”[319].</w:t>
        <w:br/>
        <w:br/>
        <w:t xml:space="preserve">    220. Al respecto, el 23 de enero de  1992  la  Fiscalía  manifestó  que</w:t>
        <w:br/>
        <w:t xml:space="preserve">         dejaba a criterio del Juez las providencias que debían dictarse  a</w:t>
        <w:br/>
        <w:t xml:space="preserve">         efectos de practicar las diligencias necesarias para continuar con</w:t>
        <w:br/>
        <w:t xml:space="preserve">         el proceso[320]. Al día siguiente, el Juez de la causa  ordenó  se</w:t>
        <w:br/>
        <w:t xml:space="preserve">         librara oficio al Director del Instituto Geográfico Nacional  para</w:t>
        <w:br/>
        <w:t xml:space="preserve">         que enviara “fotografías o mapas topográficos de los lugares donde</w:t>
        <w:br/>
        <w:t xml:space="preserve">         supuestamente  sucedieron  los  hechos  de  que  trat[a  la  causa</w:t>
        <w:br/>
        <w:t xml:space="preserve">         penal]”[321]. Dicho oficio fue librado por el Juez hasta el  7  de</w:t>
        <w:br/>
        <w:t xml:space="preserve">         febrero de 1992[322]. Mediante comunicación de 11  de  febrero  de</w:t>
        <w:br/>
        <w:t xml:space="preserve">         1992 el Director de dicho Instituto respondió a la  solicitud  del</w:t>
        <w:br/>
        <w:t xml:space="preserve">         Juez remitiendo un mapa del Departamento de Morazán[323]. El 13 de</w:t>
        <w:br/>
        <w:t xml:space="preserve">         marzo de 1992 el Juez de la causa solicitó nuevamente al  Director</w:t>
        <w:br/>
        <w:t xml:space="preserve">         del referido Instituto un mapa del Departamento de Morazán, ya que</w:t>
        <w:br/>
        <w:t xml:space="preserve">         el anteriormente enviado “fu[e] donado al  Instituto  de  Medicina</w:t>
        <w:br/>
        <w:t xml:space="preserve">         Legal […p]ara que [fuese] usado para los mismos fines”[324].</w:t>
        <w:br/>
        <w:br/>
        <w:t xml:space="preserve">    221. El 25 de marzo  de  1992  el  Jefe  de  Observadores  Militares  y</w:t>
        <w:br/>
        <w:t xml:space="preserve">         Comandante de la División Militar de la Misión de Observadores  de</w:t>
        <w:br/>
        <w:t xml:space="preserve">         las Naciones Unidas en el Salvador (ONUSAL) certificó que el 7  de</w:t>
        <w:br/>
        <w:t xml:space="preserve">         marzo de ese año miembros del Ejército Nacional para la Democracia</w:t>
        <w:br/>
        <w:t xml:space="preserve">         (END/FMLN), acompañados por dos observadores militares, realizaron</w:t>
        <w:br/>
        <w:t xml:space="preserve">         una  búsqueda  de  las  probables  minas  depositadas  durante  el</w:t>
        <w:br/>
        <w:t xml:space="preserve">         conflicto en el área de El Mozote, y concluyeron que dichas  minas</w:t>
        <w:br/>
        <w:t xml:space="preserve">         habían sido retiradas en su totalidad y que, consecuentemente,  la</w:t>
        <w:br/>
        <w:t xml:space="preserve">         zona se hallaba totalmente libre de dichos artefactos[325].  Dicha</w:t>
        <w:br/>
        <w:t xml:space="preserve">         información fue puesta en conocimiento del Juez de la causa el  27</w:t>
        <w:br/>
        <w:t xml:space="preserve">         de marzo de 1992 tanto por ONUSAL como por  el  Ejército  Nacional</w:t>
        <w:br/>
        <w:t xml:space="preserve">         para la Democracia (END/FMLN),  aclarando  este  último  que  “por</w:t>
        <w:br/>
        <w:t xml:space="preserve">         parte de las unidades del END no ha[bían]  sido  colocados  campos</w:t>
        <w:br/>
        <w:t xml:space="preserve">         minados en dichos sectores”[326].</w:t>
        <w:br/>
        <w:br/>
        <w:t xml:space="preserve">    222. El 1 de abril de 1992 el Juez de la causa solicitó al Director del</w:t>
        <w:br/>
        <w:t xml:space="preserve">         Instituto de Medicina Legal que remitiera el listado del  personal</w:t>
        <w:br/>
        <w:t xml:space="preserve">         que colaboraría en las exhumaciones[327]. En respuesta, el  29  de</w:t>
        <w:br/>
        <w:t xml:space="preserve">         abril de 1992 el Instituto de Medicina Legal remitió la nómina del</w:t>
        <w:br/>
        <w:t xml:space="preserve">         personal médico y paramédico que tenía a su cargo la  práctica  de</w:t>
        <w:br/>
        <w:t xml:space="preserve">         las autopsias[328].</w:t>
        <w:br/>
        <w:br/>
        <w:t xml:space="preserve">    223. Mediante comunicación de 30 de  marzo  de  1992  el  Director  del</w:t>
        <w:br/>
        <w:t xml:space="preserve">         Instituto de Medicina Legal remitió al Juez de la causa  fotocopia</w:t>
        <w:br/>
        <w:t xml:space="preserve">         de los títulos académicos de  Mercedes  Celina  Doretti,  Patricia</w:t>
        <w:br/>
        <w:t xml:space="preserve">         Bernardi y Luis  Bernardo  Fondebrider,  los  cuales  habían  sido</w:t>
        <w:br/>
        <w:t xml:space="preserve">         proporcionados por Tutela Legal del Arzobispado. Asimismo, informó</w:t>
        <w:br/>
        <w:t xml:space="preserve">         que el equipo del Instituto de Medicina Legal se encontraba  listo</w:t>
        <w:br/>
        <w:t xml:space="preserve">         para  realizar   las   autopsias   y   exámenes   de   laboratorio</w:t>
        <w:br/>
        <w:t xml:space="preserve">         necesarios[329]. El 1 de  abril  de  1992  el  Juez  de  la  causa</w:t>
        <w:br/>
        <w:t xml:space="preserve">         solicitó la legalización de dichos títulos de conformidad con  las</w:t>
        <w:br/>
        <w:t xml:space="preserve">         leyes salvadoreñas, “a fin de que pu[dieran] intervenir  en  legal</w:t>
        <w:br/>
        <w:t xml:space="preserve">         forma como peritos accidentales”[330]. El 22 de abril de  1992  el</w:t>
        <w:br/>
        <w:t xml:space="preserve">         Juez acusó recibo de los  referidos  títulos  legalizados[331],  y</w:t>
        <w:br/>
        <w:t xml:space="preserve">         señaló el 29 de abril de 1992 como  fecha  para  la  práctica  del</w:t>
        <w:br/>
        <w:t xml:space="preserve">         nombramiento y juramentación de los mencionados  peritos[332].  El</w:t>
        <w:br/>
        <w:t xml:space="preserve">         28 de abril de 1992 una “Delegación de las Comunidades  del  Norte</w:t>
        <w:br/>
        <w:t xml:space="preserve">         de [Morazán],  acompañados  de  [p]eriodistas  y  [c]entenares  de</w:t>
        <w:br/>
        <w:t xml:space="preserve">         personas” solicitaron audiencia con el Juez de la causa a fin  que</w:t>
        <w:br/>
        <w:t xml:space="preserve">         explicara los motivos por los  cuales  el  juicio  “no  avanza[ba]</w:t>
        <w:br/>
        <w:t xml:space="preserve">         procesalmente hablando”, así como “las razones por la[s]  cual[es]</w:t>
        <w:br/>
        <w:t xml:space="preserve">         los [a]ntropólogos [a]rgentinos propuestos  por  Tutela  Legal  no</w:t>
        <w:br/>
        <w:t xml:space="preserve">         ha[bían] sido juramentados”[333]. Dicha  audiencia  fue  concedida</w:t>
        <w:br/>
        <w:t xml:space="preserve">         ese mismo día[334]. El 29 de abril de 1992 el  Juez  de  la  causa</w:t>
        <w:br/>
        <w:t xml:space="preserve">         nombró a los referidos profesionales como peritos  accidentales  a</w:t>
        <w:br/>
        <w:t xml:space="preserve">         fin de que pudieran actuar  como  “Cooperadores  Técnicos”  en  la</w:t>
        <w:br/>
        <w:t xml:space="preserve">         práctica de las exhumaciones. Ese mismo día,  Mercedes  Doretti  y</w:t>
        <w:br/>
        <w:t xml:space="preserve">         Patricia      Bernardi      hicieron      las      juramentaciones</w:t>
        <w:br/>
        <w:t xml:space="preserve">         correspondientes[335]. El 30 de abril de  1992  la  señora  perito</w:t>
        <w:br/>
        <w:t xml:space="preserve">         Mercedes Celina Doretti presentó al Juez de la causa el  “Plan  de</w:t>
        <w:br/>
        <w:t xml:space="preserve">         Trabajo Sugerido”, el cual indicó  que  había  sido  entregado  al</w:t>
        <w:br/>
        <w:t xml:space="preserve">         Director del Instituto de  Medicina  Legal  el  7  de  febrero  de</w:t>
        <w:br/>
        <w:t xml:space="preserve">         1992[336]. El 13 de octubre de 1992 Luis Bernardo Fondebrider hizo</w:t>
        <w:br/>
        <w:t xml:space="preserve">         su juramentación[337].</w:t>
        <w:br/>
        <w:br/>
        <w:t xml:space="preserve">    224. Mediante comunicado de prensa de 8 de abril de 1992, la Oficina de</w:t>
        <w:br/>
        <w:t xml:space="preserve">         Tutela Legal del Arzobispado denunció  irregularidades  que  a  su</w:t>
        <w:br/>
        <w:t xml:space="preserve">         criterio  se  estaban  cometiendo  hasta  ese   momento   en   las</w:t>
        <w:br/>
        <w:t xml:space="preserve">         investigaciones. Entre las irregularidades,  se  denunció  que  el</w:t>
        <w:br/>
        <w:t xml:space="preserve">         Juez de la causa: “[e]l día 8 de mayo de 1991, cuando la evidencia</w:t>
        <w:br/>
        <w:t xml:space="preserve">         testimonial del proceso comprobaba ampliamente la  responsabilidad</w:t>
        <w:br/>
        <w:t xml:space="preserve">         de la Fuerza Armada en los asesinatos, […] suspendió temporalmente</w:t>
        <w:br/>
        <w:t xml:space="preserve">         el examen de testigos, aduciendo que se dedicaría a  realizar  las</w:t>
        <w:br/>
        <w:t xml:space="preserve">         diligencias para comprobar el cuerpo del  delito,  tales  como  la</w:t>
        <w:br/>
        <w:t xml:space="preserve">         inspección en el lugar de los hechos, exhumaciones y autopsias  de</w:t>
        <w:br/>
        <w:t xml:space="preserve">         los cadáveres de las víctimas. Dichas diligencias  se  encontraban</w:t>
        <w:br/>
        <w:t xml:space="preserve">         ordenadas en el proceso desde el  9  de  noviembre  de  1990,  sin</w:t>
        <w:br/>
        <w:t xml:space="preserve">         embargo, hasta [esa] fecha no ha[bían] sido realizadas, a pesar de</w:t>
        <w:br/>
        <w:t xml:space="preserve">         su importancia,  continuando,  además,  suspendido  el  examen  de</w:t>
        <w:br/>
        <w:t xml:space="preserve">         testigos sin razón legal que justifi[cara] tal actitud”; se negó a</w:t>
        <w:br/>
        <w:t xml:space="preserve">         señalar a los  miembros  del  EAAF  fecha  para  la  inspección  y</w:t>
        <w:br/>
        <w:t xml:space="preserve">         exhumación, dando “credibilidad a los  rumores  sobre  los  campos</w:t>
        <w:br/>
        <w:t xml:space="preserve">         minados en el área de El Mozote, a pesar de que los pobladores del</w:t>
        <w:br/>
        <w:t xml:space="preserve">         lugar que transita por dicha área manifestaron la falsedad de  los</w:t>
        <w:br/>
        <w:t xml:space="preserve">         mismos, lo cual ha[bía] sido comprobado por la prensa  nacional  y</w:t>
        <w:br/>
        <w:t xml:space="preserve">         extranjera que ha visitado el lugar” y el “rastreo y  búsqueda  de</w:t>
        <w:br/>
        <w:t xml:space="preserve">         minas” realizado el 7 de marzo de 1992 en el  cual  se  estableció</w:t>
        <w:br/>
        <w:t xml:space="preserve">         que “la zona se hallaba totalmente libre de minas”; y  que  no  se</w:t>
        <w:br/>
        <w:t xml:space="preserve">         recibió  respuesta  alguna  a  las   solicitudes   realizadas   al</w:t>
        <w:br/>
        <w:t xml:space="preserve">         Presidente de  la  República  sobre  “el  listado  de  soldados  y</w:t>
        <w:br/>
        <w:t xml:space="preserve">         oficiales que participaron en el operativo militar durante el cual</w:t>
        <w:br/>
        <w:t xml:space="preserve">         se produjo la Masacre de El Mozote”[338]. El 27 de abril de  1992,</w:t>
        <w:br/>
        <w:t xml:space="preserve">         en un comunicado de  los  Organismos  del  Norte  de  Morazán,  se</w:t>
        <w:br/>
        <w:t xml:space="preserve">         denunció, entre otros, la negativa del Juez “de juramentar  a  los</w:t>
        <w:br/>
        <w:t xml:space="preserve">         peritos forenses extranjeros” y de “fijar fecha para  el  comienzo</w:t>
        <w:br/>
        <w:t xml:space="preserve">         de la inspección y exhumación de los restos óseos de la masacre de</w:t>
        <w:br/>
        <w:t xml:space="preserve">         ‘El Mozote’”, así como “la pasividad de la Fiscalía General de  la</w:t>
        <w:br/>
        <w:t xml:space="preserve">         República ante todas estas irregularidades y obstrucciones  en  el</w:t>
        <w:br/>
        <w:t xml:space="preserve">         juicio de las masacre”[339]. Al día siguiente, en una comunicación</w:t>
        <w:br/>
        <w:t xml:space="preserve">         dirigida al Juzgado Segundo por el Patronato para el Desarrollo de</w:t>
        <w:br/>
        <w:t xml:space="preserve">         las  Comunidades  de  Morazán  y  San  Miguel   (PADECOMSM),   las</w:t>
        <w:br/>
        <w:t xml:space="preserve">         Comunidades Eclesiales de Base de El Salvador (CEBES),  la  Ciudad</w:t>
        <w:br/>
        <w:t xml:space="preserve">         Segundo Montes, y el Movimiento Comunal  de  Mujeres  de  Morazán,</w:t>
        <w:br/>
        <w:t xml:space="preserve">         pobladores y organismos del Norte de Morazán denunciaron hechos  y</w:t>
        <w:br/>
        <w:t xml:space="preserve">         circunstancias similares[340].</w:t>
        <w:br/>
        <w:br/>
        <w:t xml:space="preserve">    225. Posteriormente, mediante escritos de 30 de abril y 29 de  mayo  de</w:t>
        <w:br/>
        <w:t xml:space="preserve">         1992 el Ejército Nacional para la Democracia  (END/FMLN)  comunicó</w:t>
        <w:br/>
        <w:t xml:space="preserve">         al Juzgado de la causa que el 23 de abril, y 8, 26 y 27 de mayo de</w:t>
        <w:br/>
        <w:t xml:space="preserve">         1992 un equipo de explosivistas junto con un subcomandante  de  la</w:t>
        <w:br/>
        <w:t xml:space="preserve">         3era Región Militar del END,  acompañados  por  dos  oficiales  de</w:t>
        <w:br/>
        <w:t xml:space="preserve">         ONUSAL, realizaron un recorrido en el área del cantón de La  Joya,</w:t>
        <w:br/>
        <w:t xml:space="preserve">         el caserío Jocote Amarillo, los caseríos Los Toriles y  Ranchería,</w:t>
        <w:br/>
        <w:t xml:space="preserve">         y los cantones Cerro Pando y Guacamaya “con el fin de confirmar la</w:t>
        <w:br/>
        <w:t xml:space="preserve">         no existencia de campos minados” en dichos lugares[341].</w:t>
        <w:br/>
        <w:br/>
        <w:t xml:space="preserve">    226. El 5 de mayo de 1992 el Juzgado Segundo  dispuso  la  citación  al</w:t>
        <w:br/>
        <w:t xml:space="preserve">         Alcalde Municipal de Meanguera, así como a las personas que habían</w:t>
        <w:br/>
        <w:t xml:space="preserve">         declarado previamente, a fin de que indicaran los “lugares exactos</w:t>
        <w:br/>
        <w:t xml:space="preserve">         donde se encuentran las fosas  comunes  e  individuales  donde  se</w:t>
        <w:br/>
        <w:t xml:space="preserve">         encuentran [i]nhumados los cadáveres a que se refiere el  presente</w:t>
        <w:br/>
        <w:t xml:space="preserve">         hecho de sangre”[342]. Dichas declaraciones se llevaron a cabo  el</w:t>
        <w:br/>
        <w:t xml:space="preserve">         14 de mayo de 1992[343].</w:t>
        <w:br/>
        <w:br/>
        <w:t xml:space="preserve">    227. El 7 de mayo de 1992 el  Juzgado  Segundo  emitió  una  resolución</w:t>
        <w:br/>
        <w:t xml:space="preserve">         disponiendo la práctica de la Inspección de  Ley  en  los  lugares</w:t>
        <w:br/>
        <w:t xml:space="preserve">         donde  “se  dice  ocurri[eron  los]  hechos  de  sangre   que   se</w:t>
        <w:br/>
        <w:t xml:space="preserve">         investiga[n]”,  y  estableciendo  un  orden  de  lugares   a   ser</w:t>
        <w:br/>
        <w:t xml:space="preserve">         inspeccionados con el respectivo calendario. Asimismo, se  dispuso</w:t>
        <w:br/>
        <w:t xml:space="preserve">         a  invitar  a  varias  autoridades,  medios  de   comunicación   y</w:t>
        <w:br/>
        <w:t xml:space="preserve">         organismos internacionales[344]. El 26 de mayo de 1992  la  Unidad</w:t>
        <w:br/>
        <w:t xml:space="preserve">         Técnica  Forense  de  la  Comisión  de  Investigación  de   Hechos</w:t>
        <w:br/>
        <w:t xml:space="preserve">         Delictivos nombró técnicos y un fotógrafo para que participaran en</w:t>
        <w:br/>
        <w:t xml:space="preserve">         las   inspecciones[345],   quienes   hicieron   sus    respectivas</w:t>
        <w:br/>
        <w:t xml:space="preserve">         juramentaciones el día siguiente[346]. Las  primeras  inspecciones</w:t>
        <w:br/>
        <w:t xml:space="preserve">         se realizaron el 27 de mayo de  1992  en  el  caserío  El  Mozote.</w:t>
        <w:br/>
        <w:t xml:space="preserve">         Posteriormente, el 3, 10 y 17  de  junio  de  1992  se  realizaron</w:t>
        <w:br/>
        <w:t xml:space="preserve">         respectivamente las inspecciones en el cerro “El  Chingo”,  en  el</w:t>
        <w:br/>
        <w:t xml:space="preserve">         cerro “La Cruz” y  en  el  cantón  de  La  Joya.  Esta  última  se</w:t>
        <w:br/>
        <w:t xml:space="preserve">         suspendió y fue continuada hasta el 1 de julio del mismo  año,  lo</w:t>
        <w:br/>
        <w:t xml:space="preserve">         que causó que el resto de las inspecciones ordenadas por  el  Juez</w:t>
        <w:br/>
        <w:t xml:space="preserve">         de la causa se atrasaran. Posteriormente, el 8, 15,  22  y  29  de</w:t>
        <w:br/>
        <w:t xml:space="preserve">         julio, y 12 de agosto de 1992 se realizaron las inspecciones en el</w:t>
        <w:br/>
        <w:t xml:space="preserve">         cantón Guacamaya, en los caseríos Ranchería, Los Toriles y  Jocote</w:t>
        <w:br/>
        <w:t xml:space="preserve">         Amarillo  y  en  el  cantón  Cerro  Pando,   respectivamente[347].</w:t>
        <w:br/>
        <w:t xml:space="preserve">         Asimismo, el Juez de la causa recibió tres declaraciones el  2  de</w:t>
        <w:br/>
        <w:t xml:space="preserve">         junio[348] y dos más el 21 de agosto de 1992[349].</w:t>
        <w:br/>
        <w:br/>
        <w:t xml:space="preserve">    228. Durante  las  inspecciones  realizadas  en  El  Mozote,  La  Joya,</w:t>
        <w:br/>
        <w:t xml:space="preserve">         Ranchería y Cerro Pando se encontraron osamentas las cuales fueron</w:t>
        <w:br/>
        <w:t xml:space="preserve">         levantadas por los peritos de la Comisión de Hechos Delictivos,  y</w:t>
        <w:br/>
        <w:t xml:space="preserve">         remitidas al Instituto de Medicina Legal[350].</w:t>
        <w:br/>
        <w:br/>
        <w:t xml:space="preserve">    229. Entre agosto del año 1992 y septiembre del  año  1993  –fecha  del</w:t>
        <w:br/>
        <w:t xml:space="preserve">         dictado de la resolución de sobreseimiento en aplicación de la Ley</w:t>
        <w:br/>
        <w:t xml:space="preserve">         de Amnistía General para la Consolidación de la Paz  (infra  párr.</w:t>
        <w:br/>
        <w:t xml:space="preserve">         276)-, no se realizó ninguna otra diligencia de  investigación,  a</w:t>
        <w:br/>
        <w:t xml:space="preserve">         excepción de las exhumaciones.</w:t>
        <w:br/>
        <w:br/>
        <w:t xml:space="preserve">           2)    Las exhumaciones  realizadas  con  el  apoyo  de  técnicos</w:t>
        <w:br/>
        <w:t xml:space="preserve">           extranjeros</w:t>
        <w:br/>
        <w:br/>
        <w:t xml:space="preserve">    230. El 20 de julio de 1992 el Director del Instituto de Medicina Legal</w:t>
        <w:br/>
        <w:t xml:space="preserve">         comunicó al Juez de la causa que, encontrándose ya en el  país  la</w:t>
        <w:br/>
        <w:t xml:space="preserve">         Comisión de la Verdad, resultaba oportuno proceder a la exhumación</w:t>
        <w:br/>
        <w:t xml:space="preserve">         y práctica de las diligencias judiciales y periciales pertinentes,</w:t>
        <w:br/>
        <w:t xml:space="preserve">         para lo cual opinó que el Juez de la causa debía  solicitar  a  la</w:t>
        <w:br/>
        <w:t xml:space="preserve">         Corte Suprema de Justicia y al Ministerio de Relaciones Exteriores</w:t>
        <w:br/>
        <w:t xml:space="preserve">         que gestionaran ante los Gobiernos de Argentina,  Reino  Unido  de</w:t>
        <w:br/>
        <w:t xml:space="preserve">         Gran Bretaña y los Estados Unidos de América su colaboración  para</w:t>
        <w:br/>
        <w:t xml:space="preserve">         nombrar  un  antropólogo  forense  o   físico   que   actúe   como</w:t>
        <w:br/>
        <w:t xml:space="preserve">         colaborador, a fin “que quede con diáfana  claridad  la  actuación</w:t>
        <w:br/>
        <w:t xml:space="preserve">         del Poder Judicial Salvadoreño y de sus  Organismos  Auxiliares  y</w:t>
        <w:br/>
        <w:t xml:space="preserve">         Colaboradores”[351]. En respuesta, el 28 de julio de 1992 el  Juez</w:t>
        <w:br/>
        <w:t xml:space="preserve">         de la  causa  solicitó  a  la  Corte  Suprema  de  Justicia  dicha</w:t>
        <w:br/>
        <w:t xml:space="preserve">         gestión[352]. El 9 de septiembre de  1992  el  Juez  de  la  causa</w:t>
        <w:br/>
        <w:t xml:space="preserve">         autorizó las primeras exhumaciones para el 13 de octubre de  1992,</w:t>
        <w:br/>
        <w:t xml:space="preserve">         “[n]o obstante estar pendiente el Suplicatorio librado” a la Corte</w:t>
        <w:br/>
        <w:t xml:space="preserve">         Suprema de Justicia[353]. El 30 de septiembre de 1992 el  Juez  de</w:t>
        <w:br/>
        <w:t xml:space="preserve">         la causa recibió una comunicación que la  Comisión  de  la  Verdad</w:t>
        <w:br/>
        <w:t xml:space="preserve">         había remitido al Presidente de la Corte Suprema de Justicia en la</w:t>
        <w:br/>
        <w:t xml:space="preserve">         que solicitó que, “[s]in perjuicio  de  la  facultad  de  designar</w:t>
        <w:br/>
        <w:t xml:space="preserve">         otros peritos especializados”, consideraba necesaria la presencia,</w:t>
        <w:br/>
        <w:t xml:space="preserve">         entre otros, de los profesionales  Clyde  Collins  Snow,  Patricia</w:t>
        <w:br/>
        <w:t xml:space="preserve">         Bernardi, Mercedes Doretti y Luis Bernardo Fondebrider[354], éstos</w:t>
        <w:br/>
        <w:t xml:space="preserve">         tres últimos peritos ya nombrados ante el Juez de la causa  (supra</w:t>
        <w:br/>
        <w:t xml:space="preserve">         párr. 223). Una vez recibida la información procedente  por  parte</w:t>
        <w:br/>
        <w:t xml:space="preserve">         de los Gobiernos de Estados Unidos de América, Reino Unido de Gran</w:t>
        <w:br/>
        <w:t xml:space="preserve">         Bretaña y Argentina[355], el 30 de noviembre y 9 de  diciembre  de</w:t>
        <w:br/>
        <w:t xml:space="preserve">         1992 se nombró como peritos accidentales a Clyde C.  Snow,  Robert</w:t>
        <w:br/>
        <w:t xml:space="preserve">         H. Kirschner, Douglas D. Scott y John  J.  Fitzpatrick,  para  que</w:t>
        <w:br/>
        <w:t xml:space="preserve">         actuaran como Cooperados Técnicos[356], a quienes el  Juez  de  la</w:t>
        <w:br/>
        <w:t xml:space="preserve">         causa hizo saber de dichas  designaciones[357].  Desde  el  13  de</w:t>
        <w:br/>
        <w:t xml:space="preserve">         octubre hasta el 17 de noviembre de 1992 se realizaron trabajos de</w:t>
        <w:br/>
        <w:t xml:space="preserve">         excavación y exhumación en el denominado Sitio  1,  conocido  como</w:t>
        <w:br/>
        <w:t xml:space="preserve">         “El Convento” en el  caserío  El  Mozote[358].  En  cuanto  a  las</w:t>
        <w:br/>
        <w:t xml:space="preserve">         conclusiones de dichas exhumaciones, se redactaron  dos  informes:</w:t>
        <w:br/>
        <w:t xml:space="preserve">         uno del Equipo Argentino de  Antropología  Forense  (EAAF)[359]  y</w:t>
        <w:br/>
        <w:t xml:space="preserve">         otro de los peritos Robert H. Kirschner, Clyde C. Snow, Douglas D.</w:t>
        <w:br/>
        <w:t xml:space="preserve">         Scott y John J. Fitzpatrick[360], estos últimos en su  calidad  de</w:t>
        <w:br/>
        <w:t xml:space="preserve">         consultores de la Comisión de la Verdad de El Salvador.</w:t>
        <w:br/>
        <w:br/>
        <w:t xml:space="preserve">    231. Las conclusiones del  Equipo  Argentino  de  Antropología  Forense</w:t>
        <w:br/>
        <w:t xml:space="preserve">         sobre los trabajos de exhumación realizados del 13 de  octubre  al</w:t>
        <w:br/>
        <w:t xml:space="preserve">         17 de noviembre de 1992 en el Sitio 1, conocido como “El Convento”</w:t>
        <w:br/>
        <w:t xml:space="preserve">         en el caserío  El  Mozote,  fueron,  entre  otras:  a)  todos  los</w:t>
        <w:br/>
        <w:t xml:space="preserve">         esqueletos recuperados, así como la evidencia  asociada  a  ellos,</w:t>
        <w:br/>
        <w:t xml:space="preserve">         fueron depositados en un mismo  evento  temporal,  conformando  un</w:t>
        <w:br/>
        <w:t xml:space="preserve">         tipo de enterramiento común,  primario  y  sincrónico;  b)  no  es</w:t>
        <w:br/>
        <w:t xml:space="preserve">         posible establecer  con  certeza  si  todas  las  víctimas  fueron</w:t>
        <w:br/>
        <w:t xml:space="preserve">         introducidas con vida en el convento, pero puede concluirse que al</w:t>
        <w:br/>
        <w:t xml:space="preserve">         menos una parte de ellas recibieron disparos de  proyectil  en  el</w:t>
        <w:br/>
        <w:t xml:space="preserve">         interior de la vivienda que bien pueden haber sido letales; c)  se</w:t>
        <w:br/>
        <w:t xml:space="preserve">         recuperaron 245 vainillas, 244  correspondían  al  mismo  tipo  de</w:t>
        <w:br/>
        <w:t xml:space="preserve">         munición, sólo una de ellas corresponde a otro tipo  de  munición;</w:t>
        <w:br/>
        <w:t xml:space="preserve">         d) se recuperaron 117 esqueletos individualizados en el campo,  67</w:t>
        <w:br/>
        <w:t xml:space="preserve">         de dichos esqueletos tenían fragmentos de proyectiles asociados  a</w:t>
        <w:br/>
        <w:t xml:space="preserve">         ellos; e) el fuego produjo un gran daño en los  restos  óseos,  en</w:t>
        <w:br/>
        <w:t xml:space="preserve">         vestimenta   y   efectos   personales   de   las   víctimas;    f)</w:t>
        <w:br/>
        <w:t xml:space="preserve">         aproximadamente el 85% de las 117 víctimas eran niños  menores  de</w:t>
        <w:br/>
        <w:t xml:space="preserve">         12 años; g) los sucesos que  se  investigan  no  habrían  sucedido</w:t>
        <w:br/>
        <w:t xml:space="preserve">         después de 1981; h) con posterioridad a los disparos, uno o varios</w:t>
        <w:br/>
        <w:t xml:space="preserve">         artefactos explosivos  y/o  incendiarios  fueron  arrojados  a  la</w:t>
        <w:br/>
        <w:t xml:space="preserve">         vivienda; y i) toda la información señalada apunta a la idea de un</w:t>
        <w:br/>
        <w:t xml:space="preserve">         crimen masivo, donde no se  encontraron  evidencias  que  pudieran</w:t>
        <w:br/>
        <w:t xml:space="preserve">         sustentar  la  posibilidad  de   un   enfrentamiento   entre   dos</w:t>
        <w:br/>
        <w:t xml:space="preserve">         bandos[361].</w:t>
        <w:br/>
        <w:br/>
        <w:t xml:space="preserve">    232. Por su parte, el informe de los peritos Robert H. Kirschner, Clyde</w:t>
        <w:br/>
        <w:t xml:space="preserve">         C. Snow, Douglas D. Scott  y  John  J.  Fitzpatrick  presenta  las</w:t>
        <w:br/>
        <w:t xml:space="preserve">         siguientes conclusiones: a) como resultado de los  daños  causados</w:t>
        <w:br/>
        <w:t xml:space="preserve">         por el incendio, el peso  de  las  tejas  y  de  las  paredes  del</w:t>
        <w:br/>
        <w:t xml:space="preserve">         edificio ocasionó más daños en  los  cadáveres.  Es  probable  que</w:t>
        <w:br/>
        <w:t xml:space="preserve">         algunos niños muy pequeños (menos de un año) hayan sido totalmente</w:t>
        <w:br/>
        <w:t xml:space="preserve">         cremados (sobre la base del número menor del que cabría esperar de</w:t>
        <w:br/>
        <w:t xml:space="preserve">         esos niños), pero no  es  posible  determinar  su  número;  b)  se</w:t>
        <w:br/>
        <w:t xml:space="preserve">         estudiaron 245 cartuchos recuperados, de  los  cuales  184  tenían</w:t>
        <w:br/>
        <w:t xml:space="preserve">         marcas reconocibles, que indicaban que las municiones habían  sido</w:t>
        <w:br/>
        <w:t xml:space="preserve">         fabricadas por el Gobierno de los Estados  Unidos  de  América  en</w:t>
        <w:br/>
        <w:t xml:space="preserve">         Lake City, Missouri. Todos los proyectiles, excepto  uno,  parecen</w:t>
        <w:br/>
        <w:t xml:space="preserve">         haber sido disparados con fusiles M-16 también fabricados  en  los</w:t>
        <w:br/>
        <w:t xml:space="preserve">         Estados Unidos de América. Se  identificaron  24  armas  de  fuego</w:t>
        <w:br/>
        <w:t xml:space="preserve">         distintas, lo cual indica que había por lo menos 24  personas  que</w:t>
        <w:br/>
        <w:t xml:space="preserve">         disparaban -por lo menos 11 personas dispararon sus  armas  dentro</w:t>
        <w:br/>
        <w:t xml:space="preserve">         del edificio y no menos de 13 personas dispararon sus armas  desde</w:t>
        <w:br/>
        <w:t xml:space="preserve">         el exterior del  edificio[362]-,  y  c)  los  esqueletos  muestran</w:t>
        <w:br/>
        <w:t xml:space="preserve">         indicios de trauma grave, resultante de la alta velocidad  de  las</w:t>
        <w:br/>
        <w:t xml:space="preserve">         balas y de los daños post-mortem resultantes de  aplastamientos  y</w:t>
        <w:br/>
        <w:t xml:space="preserve">         del fuego o el calor. Asimismo, se identificó la presencia de  143</w:t>
        <w:br/>
        <w:t xml:space="preserve">         esqueletos, incluidos 136 niños y adolescentes  y  7  adultos.  La</w:t>
        <w:br/>
        <w:t xml:space="preserve">         edad media de los  niños  era  aproximadamente  6  años.  Había  6</w:t>
        <w:br/>
        <w:t xml:space="preserve">         mujeres de 21 a 40 años, una de las cuales  estaba  en  el  tercer</w:t>
        <w:br/>
        <w:t xml:space="preserve">         trimestre de embarazo  y  un  hombre  alrededor  de  50  años.  Al</w:t>
        <w:br/>
        <w:t xml:space="preserve">         respecto, en el  informe  se  advierte  que  en  total  se  habían</w:t>
        <w:br/>
        <w:t xml:space="preserve">         asignado 120 números de casos a los restos exhumados. Sin embargo,</w:t>
        <w:br/>
        <w:t xml:space="preserve">         cuando los  conjuntos  fueron  examinados  en  el  laboratorio  se</w:t>
        <w:br/>
        <w:t xml:space="preserve">         determinó que varios  de  ellos  estaban  entremezclados  con  los</w:t>
        <w:br/>
        <w:t xml:space="preserve">         restos de otras  personas;  en  esos  casos  se  clasificó  a  los</w:t>
        <w:br/>
        <w:t xml:space="preserve">         conjuntos secundarios que se podían  identificar  claramente  como</w:t>
        <w:br/>
        <w:t xml:space="preserve">         individuos separados.  La  inclusión  de  esos  nuevos  individuos</w:t>
        <w:br/>
        <w:t xml:space="preserve">         amplió la serie total a 143 casos[363].</w:t>
        <w:br/>
        <w:br/>
        <w:t xml:space="preserve">    233. Siguiendo con la práctica de exhumaciones en el caserío El Mozote,</w:t>
        <w:br/>
        <w:t xml:space="preserve">         el Instituto de Medicina Legal designó a los peritos Roger  Haglar</w:t>
        <w:br/>
        <w:t xml:space="preserve">         y Charles Lee Cecil, quienes el 6 de enero de  1993  hicieron  las</w:t>
        <w:br/>
        <w:t xml:space="preserve">         juramentaciones correspondientes como  cooperadores  técnicos.  La</w:t>
        <w:br/>
        <w:t xml:space="preserve">         prueba del expediente indica que del 6 al 29 de enero de  1993  se</w:t>
        <w:br/>
        <w:t xml:space="preserve">         realizaron  las  diligencias  judiciales  para   “la   excavación,</w:t>
        <w:br/>
        <w:t xml:space="preserve">         zarandeo de tierra y limpieza” en  los  denominados  Sitio  2  “La</w:t>
        <w:br/>
        <w:t xml:space="preserve">         Tumba” y Sitio 3 “El Pozo”, conocidos como “casa de Sofía Márquez”</w:t>
        <w:br/>
        <w:t xml:space="preserve">         y “casa de Benita Díaz” en el caserío El  Mozote[364].  El  24  de</w:t>
        <w:br/>
        <w:t xml:space="preserve">         marzo de 1993  el  Juez  de  la  causa  remitió  al  Director  del</w:t>
        <w:br/>
        <w:t xml:space="preserve">         Instituto  de  Medicina  Legal  “diez  cajas  conteniendo   restos</w:t>
        <w:br/>
        <w:t xml:space="preserve">         [ó]seos, encontrados en el sitio  dos”,  así  como  el  inventario</w:t>
        <w:br/>
        <w:t xml:space="preserve">         correspondiente a los Sitios 2 y 3[365].</w:t>
        <w:br/>
        <w:br/>
        <w:t xml:space="preserve">    234. Con posterioridad a la decisión  de  sobreseimiento  (infra  párr.</w:t>
        <w:br/>
        <w:t xml:space="preserve">         276), la Asociación Tutela Legal del Arzobispado  promovió  nuevas</w:t>
        <w:br/>
        <w:t xml:space="preserve">         diligencias de exhumación de víctimas ante el Juzgado  Segundo  de</w:t>
        <w:br/>
        <w:t xml:space="preserve">         Primera Instancia de San Francisco Gotera.  En  consecuencia,  los</w:t>
        <w:br/>
        <w:t xml:space="preserve">         diferentes Jueces a cargo de la causa autorizaron el desarrollo de</w:t>
        <w:br/>
        <w:t xml:space="preserve">         las exhumaciones en los años  2000[366],  2001[367],  2003[368]  y</w:t>
        <w:br/>
        <w:t xml:space="preserve">         2004[369] sólo a efecto de que una vez recuperados  los  restos  y</w:t>
        <w:br/>
        <w:t xml:space="preserve">         realizado el análisis de identificación se autorice la restitución</w:t>
        <w:br/>
        <w:t xml:space="preserve">         de los mismos a sus familiares para sepultarlos en  el  lugar  que</w:t>
        <w:br/>
        <w:t xml:space="preserve">         estimen conveniente y, en consecuencia,  el  Equipo  Argentino  de</w:t>
        <w:br/>
        <w:t xml:space="preserve">         Antropología Forense  pudo  retomar  sus  trabajos  forenses[370].</w:t>
        <w:br/>
        <w:t xml:space="preserve">         Dichas tareas fueron dirigidas por miembros del  Equipo  Argentino</w:t>
        <w:br/>
        <w:t xml:space="preserve">         de Antropología Forense con  la  colaboración  del  cuerpo  médico</w:t>
        <w:br/>
        <w:t xml:space="preserve">         forense de los Institutos de Medicina Legal de San Salvador, Santa</w:t>
        <w:br/>
        <w:t xml:space="preserve">         Tecla y San Miguel y del perito Clyde C. Snow[371].</w:t>
        <w:br/>
        <w:br/>
        <w:t xml:space="preserve">    235. Los trabajos de excavaciones arqueológicas se extendieron desde el</w:t>
        <w:br/>
        <w:t xml:space="preserve">         6 de abril hasta el 25 de mayo de 2000, en el cantón La Joya y  el</w:t>
        <w:br/>
        <w:t xml:space="preserve">         caserío Jocote Amarillo. Los sitios fueron  denominados  Sitio  1,</w:t>
        <w:br/>
        <w:t xml:space="preserve">         Sitio 2b, Sitio 4, Sitio 5, Sitio 16 y Sitio  17  de  la  Joya,  y</w:t>
        <w:br/>
        <w:t xml:space="preserve">         Sitio 1, Sitio 2, Sitio 3 Fosa A, Sitio 3 Fosa B, Sitio 3 Fosa C y</w:t>
        <w:br/>
        <w:t xml:space="preserve">         Sitio 4 de Jocote Amarillo. Sobre  la  base  de  las  exhumaciones</w:t>
        <w:br/>
        <w:t xml:space="preserve">         realizadas, el Equipo Argentino de Antropología  Forense  presentó</w:t>
        <w:br/>
        <w:t xml:space="preserve">         los siguientes resultados:  a)  se  recuperaron  un  total  de  37</w:t>
        <w:br/>
        <w:t xml:space="preserve">         individuos de los cuales 14 eran adultos, 23 niños menores  de  14</w:t>
        <w:br/>
        <w:t xml:space="preserve">         años de edad, y los restos de un feto de aproximadamente 6  meses.</w:t>
        <w:br/>
        <w:t xml:space="preserve">         Dentro del grupo de los adultos,  tres  son  hombres  y  once  son</w:t>
        <w:br/>
        <w:t xml:space="preserve">         mujeres. Las edades de los hombres van de 40 a 60 o  más  años  de</w:t>
        <w:br/>
        <w:t xml:space="preserve">         edad al momento de la muerte. Las mujeres adultas tenían una  edad</w:t>
        <w:br/>
        <w:t xml:space="preserve">         entre 20 y 85 años al momento de su muerte; b) en  la  mayoría  de</w:t>
        <w:br/>
        <w:t xml:space="preserve">         los casos estudiados, las lesiones encontradas fueron  suficientes</w:t>
        <w:br/>
        <w:t xml:space="preserve">         en número de disparos y zonas letales afectadas, como  para  haber</w:t>
        <w:br/>
        <w:t xml:space="preserve">         causado la muerte de las personas; c) se recuperó un total  de  96</w:t>
        <w:br/>
        <w:t xml:space="preserve">         evidencias  balísticas;   d)   los   niños   presentaron   grandes</w:t>
        <w:br/>
        <w:t xml:space="preserve">         dificultades para ser identificados individualmente dentro de  las</w:t>
        <w:br/>
        <w:t xml:space="preserve">         fosas comunes, por un lado, al ser niños, no  poseen  generalmente</w:t>
        <w:br/>
        <w:t xml:space="preserve">         importantes rasgos identificatorios dentales o en su osamenta  que</w:t>
        <w:br/>
        <w:t xml:space="preserve">         pueda  diferenciarlos  entre  sí.   No   se   encontraron   restos</w:t>
        <w:br/>
        <w:t xml:space="preserve">         esqueletarios en el Sitio 1 de la Joya ni en los Sitios 2 y 3 Fosa</w:t>
        <w:br/>
        <w:t xml:space="preserve">         B de Jocote Amarillo[372].</w:t>
        <w:br/>
        <w:br/>
        <w:t xml:space="preserve">    236. Los trabajos de exhumación de 2001 se extendieron desde  el  1  de</w:t>
        <w:br/>
        <w:t xml:space="preserve">         octubre hasta el 2 de noviembre de 2001 en los denominados Sitio 2</w:t>
        <w:br/>
        <w:t xml:space="preserve">         del caserío El Mozote, Sitio 1, Sitio 2, Sitio 3 y Sitio 4 de  Los</w:t>
        <w:br/>
        <w:t xml:space="preserve">         Toriles y Sitio 1A del cantón La Joya. En lo  que  se  refiere  al</w:t>
        <w:br/>
        <w:t xml:space="preserve">         Sitio 2, conocido como la “casa de Israel Márquez” en  el  caserío</w:t>
        <w:br/>
        <w:t xml:space="preserve">         El Mozote, debido a los grandes daños sufridos por la  acción  del</w:t>
        <w:br/>
        <w:t xml:space="preserve">         fuego no fue posible individualizar los esqueletos de las personas</w:t>
        <w:br/>
        <w:t xml:space="preserve">         allí asesinadas  y  no  fue  posible  establecer  ningún  tipo  de</w:t>
        <w:br/>
        <w:t xml:space="preserve">         relación entre  los  fragmentos,  por  lo  que,  el  objetivo  del</w:t>
        <w:br/>
        <w:t xml:space="preserve">         análisis  de  laboratorio  fue  determinar  el  Número  Mínimo  de</w:t>
        <w:br/>
        <w:t xml:space="preserve">         Individuos  (NMI).  Así  pues,  conforme  a  las  piezas  dentales</w:t>
        <w:br/>
        <w:t xml:space="preserve">         encontradas se estimó un total  de  12  adultos  y  4  subadultos.</w:t>
        <w:br/>
        <w:t xml:space="preserve">         Además, se recuperó un  total  de  95  evidencias  balísticas.  En</w:t>
        <w:br/>
        <w:t xml:space="preserve">         relación con el caserío Los Toriles, se exhumaron un total  de  25</w:t>
        <w:br/>
        <w:t xml:space="preserve">         esqueletos. De dichos esqueletos, 17 se recuperaron  completos  en</w:t>
        <w:br/>
        <w:t xml:space="preserve">         cuatro fosas comunes y en 8 casos los esqueletos se recuperaron de</w:t>
        <w:br/>
        <w:t xml:space="preserve">         manera incompleta. En 15  casos  los  esqueletos  fueron  de  sexo</w:t>
        <w:br/>
        <w:t xml:space="preserve">         masculino y en 10 casos fueron de sexo  femenino.  De  conformidad</w:t>
        <w:br/>
        <w:t xml:space="preserve">         con las conclusiones de Equipo Argentino de  Antropología  Forense</w:t>
        <w:br/>
        <w:t xml:space="preserve">         las lesiones encontradas son suficientes en número de  disparos  y</w:t>
        <w:br/>
        <w:t xml:space="preserve">         zonas letales afectadas, como para haber causado la muerte de  las</w:t>
        <w:br/>
        <w:t xml:space="preserve">         personas. También, se recuperaron dos fragmentos de proyectiles de</w:t>
        <w:br/>
        <w:t xml:space="preserve">         armas de fuego en el Sitio 1, 21 proyectiles en el Sitio  2  y  33</w:t>
        <w:br/>
        <w:t xml:space="preserve">         evidencias balísticas en el Sitio 3. En cuanto  al  Sitio  1A  del</w:t>
        <w:br/>
        <w:t xml:space="preserve">         cantón La Joya,  se  contabilizó  un  número  de  tres  esqueletos</w:t>
        <w:br/>
        <w:t xml:space="preserve">         humanos en una fosa  común  y  se  contabilizaron  tres  vainillas</w:t>
        <w:br/>
        <w:t xml:space="preserve">         servidas en un fragmento de proyectil de arma de fuego[373].</w:t>
        <w:br/>
        <w:br/>
        <w:t xml:space="preserve">    237. Los trabajos forenses del año 2003 se realizaron entre  el  23  de</w:t>
        <w:br/>
        <w:t xml:space="preserve">         octubre y  el  10  de  diciembre  de  2003.  Los  trabajos  fueron</w:t>
        <w:br/>
        <w:t xml:space="preserve">         realizados en el Sitio 1, Fosas A y B, en el caserío Poza Honda de</w:t>
        <w:br/>
        <w:t xml:space="preserve">         Cerro Pando, en el  Sitio  1,  Sitio  2  y  Sitio  3  del  caserío</w:t>
        <w:br/>
        <w:t xml:space="preserve">         Ranchería, Sitio 3 y Sitio 4 del caserío El Mozote y en el Sitio 5</w:t>
        <w:br/>
        <w:t xml:space="preserve">         del  caserío  Los  Toriles.  En  los  trabajos  de  exhumación  se</w:t>
        <w:br/>
        <w:t xml:space="preserve">         recuperaron los restos esqueletales de un mínimo de 57 individuos,</w:t>
        <w:br/>
        <w:t xml:space="preserve">         entre ellos, 10 masculinos, 11 femeninos, 2 probablemente de  sexo</w:t>
        <w:br/>
        <w:t xml:space="preserve">         femenino y 21 de sexo  indeterminado.  De  todos  ellos,  26  eran</w:t>
        <w:br/>
        <w:t xml:space="preserve">         adultos, 9 subadultos, 9 niños/subadultos, 10 niños, 2  infantiles</w:t>
        <w:br/>
        <w:t xml:space="preserve">         y 9 de edad indeterminada. La identificación de los niños presentó</w:t>
        <w:br/>
        <w:t xml:space="preserve">         grandes  dificultades,  dado   el   estado   de   conservación   y</w:t>
        <w:br/>
        <w:t xml:space="preserve">         depositación en el que fueron recuperados (altamente erosionados y</w:t>
        <w:br/>
        <w:t xml:space="preserve">         mezclados en concentraciones óseas en la mayoría de los casos),  y</w:t>
        <w:br/>
        <w:t xml:space="preserve">         en virtud de que  los  niños  no  poseen  rasgos  identificatorios</w:t>
        <w:br/>
        <w:t xml:space="preserve">         dentales o en  su  osamenta  que  posibiliten  la  identificación.</w:t>
        <w:br/>
        <w:t xml:space="preserve">         Además, se  recuperaron  un  total  de  172  piezas  de  evidencia</w:t>
        <w:br/>
        <w:t xml:space="preserve">         balística[374].</w:t>
        <w:br/>
        <w:br/>
        <w:t xml:space="preserve">    238. Los trabajos de exhumación del año 2004 fueron realizados entre el</w:t>
        <w:br/>
        <w:t xml:space="preserve">         21 de octubre y el 3 de noviembre en el Sitio 5 y en  el  Sitio  6</w:t>
        <w:br/>
        <w:t xml:space="preserve">         del caserío del El Mozote. Considerando la sumatoria de las piezas</w:t>
        <w:br/>
        <w:t xml:space="preserve">         dentarias naturales en el Sitio 5, el Número Mínimo de  Individuos</w:t>
        <w:br/>
        <w:t xml:space="preserve">         recuperados fue de tres. En el Sitio 6 se concluyó que  no  habían</w:t>
        <w:br/>
        <w:t xml:space="preserve">         osamentas humanas. En ambos sitios se  recuperó  un  total  de  69</w:t>
        <w:br/>
        <w:t xml:space="preserve">         piezas de evidencias balísticas[375].</w:t>
        <w:br/>
        <w:br/>
        <w:t xml:space="preserve">    239. Para la identificación de los restos de las exhumaciones de 2000 a</w:t>
        <w:br/>
        <w:t xml:space="preserve">         2003, se confeccionaron listas de  personas  cuyos  restos  debían</w:t>
        <w:br/>
        <w:t xml:space="preserve">         encontrarse en los lugares de las exhumaciones, en función  de  la</w:t>
        <w:br/>
        <w:t xml:space="preserve">         información  otorgada  por   los   testigos   y   las   evidencias</w:t>
        <w:br/>
        <w:t xml:space="preserve">         recuperadas. Se organizaron entrevistas para  recoger  información</w:t>
        <w:br/>
        <w:t xml:space="preserve">         pre mortem, la que fue comparada en el laboratorio  a  posteriori.</w:t>
        <w:br/>
        <w:t xml:space="preserve">         Desafortunadamente, para las exhumaciones realizadas en  el  2004,</w:t>
        <w:br/>
        <w:t xml:space="preserve">         no se pudo contar con información testimonial  para  comparar  los</w:t>
        <w:br/>
        <w:t xml:space="preserve">         resultados  con  el   fin   de   identificar   a   las   osamentas</w:t>
        <w:br/>
        <w:t xml:space="preserve">         recuperadas[376].</w:t>
        <w:br/>
        <w:br/>
        <w:t xml:space="preserve">    240. En cuanto  a  las  exhumaciones  del  período  2000-2004,  “muchas</w:t>
        <w:br/>
        <w:t xml:space="preserve">         víctimas fueron identificadas eficazmente y sus restos  entregados</w:t>
        <w:br/>
        <w:t xml:space="preserve">         a familiares directos o a la comunidad  (en  el  caso  de  los  no</w:t>
        <w:br/>
        <w:t xml:space="preserve">         identificados)   para   que   se   procediera   a   su   cristiana</w:t>
        <w:br/>
        <w:t xml:space="preserve">         sepultura”[377] (supra párr. 234).</w:t>
        <w:br/>
        <w:br/>
        <w:t xml:space="preserve">    241. Para el 13º Aniversario de las masacres de  El  Mozote  y  lugares</w:t>
        <w:br/>
        <w:t xml:space="preserve">         aledaños, el 23 de noviembre de 1994 Juan Bautista Márquez, Raquel</w:t>
        <w:br/>
        <w:t xml:space="preserve">         Romero viuda de Claros y Rufina Amaya solicitaron al  Juez  de  la</w:t>
        <w:br/>
        <w:t xml:space="preserve">         causa la restitución de los restos óseos exhumados en  los  sitios</w:t>
        <w:br/>
        <w:t xml:space="preserve">         del caserío El Mozote, a  fin  de  darles  cristiana  sepultura  y</w:t>
        <w:br/>
        <w:t xml:space="preserve">         conmemorar religiosamente lo sufrido por las  personas  fallecidas</w:t>
        <w:br/>
        <w:t xml:space="preserve">         durante la masacre[378]. En respuesta, el Juez autorizó la entrega</w:t>
        <w:br/>
        <w:t xml:space="preserve">         de los restos  humanos  encontrados  en  los  Sitios  1,  2  y  3,</w:t>
        <w:br/>
        <w:t xml:space="preserve">         conocidos como “El Convento”, “casa de Sofía Márquez” y  “casa  de</w:t>
        <w:br/>
        <w:t xml:space="preserve">         Benita Díaz”[379]. Posteriormente,  surge  de  la  prueba  que  en</w:t>
        <w:br/>
        <w:t xml:space="preserve">         diversas oportunidades el Juez de la causa dispuso la  entrega  de</w:t>
        <w:br/>
        <w:t xml:space="preserve">         los  restos  óseos  encontrados  en  el  marco  de  las  distintas</w:t>
        <w:br/>
        <w:t xml:space="preserve">         diligencias de exhumación practicadas a petición de sus familiares</w:t>
        <w:br/>
        <w:t xml:space="preserve">         y/o de Tutela Legal del Arzobispado[380].</w:t>
        <w:br/>
        <w:br/>
        <w:br/>
        <w:t>B.    La obligación de investigar los hechos del presente caso</w:t>
        <w:br/>
        <w:br/>
        <w:br/>
        <w:t xml:space="preserve">    242. La Corte ha establecido que,  de  conformidad  con  la  Convención</w:t>
        <w:br/>
        <w:t xml:space="preserve">         Americana  sobre  Derechos  Humanos,  los  Estados  Partes   están</w:t>
        <w:br/>
        <w:t xml:space="preserve">         obligados  a  suministrar  recursos  judiciales  efectivos  a  las</w:t>
        <w:br/>
        <w:t xml:space="preserve">         víctimas de violaciones de los  derechos  humanos  (artículo  25),</w:t>
        <w:br/>
        <w:t xml:space="preserve">         recursos que deben ser sustanciados de conformidad con las  reglas</w:t>
        <w:br/>
        <w:t xml:space="preserve">         del debido proceso legal (artículo 8.1), todo ello  dentro  de  la</w:t>
        <w:br/>
        <w:t xml:space="preserve">         obligación general, a cargo de los mismos Estados,  de  garantizar</w:t>
        <w:br/>
        <w:t xml:space="preserve">         el libre y pleno ejercicio de  los  derechos  reconocidos  por  la</w:t>
        <w:br/>
        <w:t xml:space="preserve">         Convención a toda persona que se encuentre  bajo  su  jurisdicción</w:t>
        <w:br/>
        <w:t xml:space="preserve">         (artículo 1.1)[381]. Asimismo,  ha  señalado  que  el  derecho  de</w:t>
        <w:br/>
        <w:t xml:space="preserve">         acceso a la  justicia  debe  asegurar,  en  tiempo  razonable,  el</w:t>
        <w:br/>
        <w:t xml:space="preserve">         derecho de las presuntas víctimas o sus familiares a que  se  haga</w:t>
        <w:br/>
        <w:t xml:space="preserve">         todo lo  necesario  para  conocer  la  verdad  de  lo  sucedido  e</w:t>
        <w:br/>
        <w:t xml:space="preserve">         investigar, juzgar y, en  su  caso,  sancionar  a  los  eventuales</w:t>
        <w:br/>
        <w:t xml:space="preserve">         responsables[382].</w:t>
        <w:br/>
        <w:br/>
        <w:t xml:space="preserve">    243. La obligación de investigar violaciones de derechos humanos es una</w:t>
        <w:br/>
        <w:t xml:space="preserve">         de las medidas  positivas  que  deben  adoptar  los  Estados  para</w:t>
        <w:br/>
        <w:t xml:space="preserve">         garantizar los derechos reconocidos en la  Convención[383].  Desde</w:t>
        <w:br/>
        <w:t xml:space="preserve">         su primera sentencia esta Corte ha destacado  la  importancia  del</w:t>
        <w:br/>
        <w:t xml:space="preserve">         deber  estatal  de  investigar  y  sancionar  las  violaciones  de</w:t>
        <w:br/>
        <w:t xml:space="preserve">         derechos  humanos[384].  Es  así  que  en  casos  en  que  se   ha</w:t>
        <w:br/>
        <w:t xml:space="preserve">         establecido  que   ocurrieron   ejecuciones   extrajudiciales   es</w:t>
        <w:br/>
        <w:t xml:space="preserve">         fundamental que los Estados investiguen efectivamente la privación</w:t>
        <w:br/>
        <w:t xml:space="preserve">         del derecho a la vida reconocido en el artículo 4 de la Convención</w:t>
        <w:br/>
        <w:t xml:space="preserve">         y  determinen  las  responsabilidades  de  todos  los  autores   y</w:t>
        <w:br/>
        <w:t xml:space="preserve">         partícipes,  especialmente  cuando  están   involucrados   agentes</w:t>
        <w:br/>
        <w:t xml:space="preserve">         estatales[385]. De igual forma, la obligación  de  garantizar  los</w:t>
        <w:br/>
        <w:t xml:space="preserve">         derechos reconocidos en los artículos 5.1 y 5.2 de  la  Convención</w:t>
        <w:br/>
        <w:t xml:space="preserve">         Americana implica el deber del Estado de investigar posibles actos</w:t>
        <w:br/>
        <w:t xml:space="preserve">         de tortura u otros tratos crueles, inhumanos  o  degradantes[386],</w:t>
        <w:br/>
        <w:t xml:space="preserve">         la cual se ve reforzada por lo dispuesto en los artículos 1, 6 y 8</w:t>
        <w:br/>
        <w:t xml:space="preserve">         de la Convención  Interamericana  para  Prevenir  y  Sancionar  la</w:t>
        <w:br/>
        <w:t xml:space="preserve">         Tortura[387], que obligan al Estado a “tomar […] medidas efectivas</w:t>
        <w:br/>
        <w:t xml:space="preserve">         para  prevenir  y  sancionar  la  tortura  en  el  ámbito  de   su</w:t>
        <w:br/>
        <w:t xml:space="preserve">         jurisdicción”.  En  casos  de  violencia  contra  la   mujer   las</w:t>
        <w:br/>
        <w:t xml:space="preserve">         obligaciones generales establecidas en la Convención Americana  se</w:t>
        <w:br/>
        <w:t xml:space="preserve">         complementan y refuerzan con aquellas derivadas de  la  Convención</w:t>
        <w:br/>
        <w:t xml:space="preserve">         de Belém do Pará, que obliga de manera específica en  su  artículo</w:t>
        <w:br/>
        <w:t xml:space="preserve">         7.b) a los Estados Partes a utilizar  la  debida  diligencia  para</w:t>
        <w:br/>
        <w:t xml:space="preserve">         prevenir, sancionar y erradicar la violencia contra la mujer[388].</w:t>
        <w:br/>
        <w:t xml:space="preserve">         Asimismo, existe una  obligación  de  realizar  una  investigación</w:t>
        <w:br/>
        <w:t xml:space="preserve">         efectiva en determinados casos de desplazamiento forzado[389].</w:t>
        <w:br/>
        <w:br/>
        <w:t xml:space="preserve">    244. Ahora bien, la obligación de investigar, como elemento fundamental</w:t>
        <w:br/>
        <w:t xml:space="preserve">         y condicionante para la protección de ciertos derechos  afectados,</w:t>
        <w:br/>
        <w:t xml:space="preserve">         adquiere una particular y determinante  intensidad  e  importancia</w:t>
        <w:br/>
        <w:t xml:space="preserve">         ante la gravedad de los delitos cometidos y la naturaleza  de  los</w:t>
        <w:br/>
        <w:t xml:space="preserve">         derechos lesionados[390], como en casos de  graves  violaciones  a</w:t>
        <w:br/>
        <w:t xml:space="preserve">         los derechos humanos ocurridas como parte de un patrón sistemático</w:t>
        <w:br/>
        <w:t xml:space="preserve">         o práctica aplicada o tolerada por el Estado[391] o  en  contextos</w:t>
        <w:br/>
        <w:t xml:space="preserve">         de ataques masivos y  sistemáticos  o  generalizados  hacia  algún</w:t>
        <w:br/>
        <w:t xml:space="preserve">         sector de  la  población[392],  pues  la  necesidad  imperiosa  de</w:t>
        <w:br/>
        <w:t xml:space="preserve">         prevenir la repetición de tales hechos depende, en  buena  medida,</w:t>
        <w:br/>
        <w:t xml:space="preserve">         de que se evite su impunidad y se satisfaga  las  expectativas  de</w:t>
        <w:br/>
        <w:t xml:space="preserve">         las  víctimas  y  la  sociedad  en  su  conjunto  de  acceder   al</w:t>
        <w:br/>
        <w:t xml:space="preserve">         conocimiento de la verdad de lo sucedido[393]. La  eliminación  de</w:t>
        <w:br/>
        <w:t xml:space="preserve">         la impunidad, por todos los  medios  legales  disponibles,  es  un</w:t>
        <w:br/>
        <w:t xml:space="preserve">         elemento fundamental  para  la  erradicación  de  las  ejecuciones</w:t>
        <w:br/>
        <w:t xml:space="preserve">         extrajudiciales, la tortura  y  otras  graves  violaciones  a  los</w:t>
        <w:br/>
        <w:t xml:space="preserve">         derechos humanos[394].</w:t>
        <w:br/>
        <w:br/>
        <w:t xml:space="preserve">    245. Ha sido probado y reconocido por el  Estado  que  los  hechos  del</w:t>
        <w:br/>
        <w:t xml:space="preserve">         presente  caso   se   refieren,   entre   otros,   a   ejecuciones</w:t>
        <w:br/>
        <w:t xml:space="preserve">         extrajudiciales masivas, a actos de tortura y de violencia  contra</w:t>
        <w:br/>
        <w:t xml:space="preserve">         la mujer, así como a desplazamientos  forzados,  cometidos  en  el</w:t>
        <w:br/>
        <w:t xml:space="preserve">         contexto del conflicto armado interno en El Salvador y como  parte</w:t>
        <w:br/>
        <w:t xml:space="preserve">         de una política planificada por  el  Estado  contra  la  población</w:t>
        <w:br/>
        <w:t xml:space="preserve">         civil perteneciente a zonas asociadas con la guerrilla.</w:t>
        <w:br/>
        <w:br/>
        <w:t xml:space="preserve">    246.  Este  Tribunal  nota  que,  de  conformidad  con  la   Convención</w:t>
        <w:br/>
        <w:t xml:space="preserve">         Americana, vigente al momento de las masacres, el Estado tenía  la</w:t>
        <w:br/>
        <w:t xml:space="preserve">         obligación de investigar  con  la  debida  diligencia  todos  esos</w:t>
        <w:br/>
        <w:t xml:space="preserve">         hechos, obligación que se mantiene vigente en la actualidad. Dicha</w:t>
        <w:br/>
        <w:t xml:space="preserve">         obligación fue reafirmada por el Estado con  motivo  del  depósito</w:t>
        <w:br/>
        <w:t xml:space="preserve">         del instrumento de ratificación de  la  Convención  Interamericana</w:t>
        <w:br/>
        <w:t xml:space="preserve">         para Prevenir y Sancionar la Tortura el 5 de diciembre de 1994  y,</w:t>
        <w:br/>
        <w:t xml:space="preserve">         posteriormente, con el de la Convención de Belém do Pará el 26  de</w:t>
        <w:br/>
        <w:t xml:space="preserve">         enero  de  1996,  por  lo  que  el  Estado  debía  velar  por   su</w:t>
        <w:br/>
        <w:t xml:space="preserve">         cumplimiento a partir de esos momentos[395], aún cuando  éstas  no</w:t>
        <w:br/>
        <w:t xml:space="preserve">         habían  sido  adoptadas  por  el  Estado   cuando   las   masacres</w:t>
        <w:br/>
        <w:t xml:space="preserve">         ocurrieron.</w:t>
        <w:br/>
        <w:br/>
        <w:t xml:space="preserve">    247. Dada su importancia, la obligación de investigar  en  el  presente</w:t>
        <w:br/>
        <w:t xml:space="preserve">         caso no puede ser ejecutada de cualquier  manera,  sino  que  debe</w:t>
        <w:br/>
        <w:t xml:space="preserve">         realizarse de acuerdo a los estándares establecidos por las normas</w:t>
        <w:br/>
        <w:t xml:space="preserve">         y  la  jurisprudencia  internacionales  que  caracterizan  a   las</w:t>
        <w:br/>
        <w:t xml:space="preserve">         investigaciones de graves violaciones a los derechos  humanos,  lo</w:t>
        <w:br/>
        <w:t xml:space="preserve">         cual supone, en primer término, generar un marco normativo interno</w:t>
        <w:br/>
        <w:t xml:space="preserve">         adecuado y/u organizar el sistema de administración de justicia de</w:t>
        <w:br/>
        <w:t xml:space="preserve">         forma  tal  que  su  funcionamiento  asegure  la  realización   de</w:t>
        <w:br/>
        <w:t xml:space="preserve">         investigaciones ex officio, sin dilación,  serias,  imparciales  y</w:t>
        <w:br/>
        <w:t xml:space="preserve">         efectivas[396].</w:t>
        <w:br/>
        <w:br/>
        <w:t xml:space="preserve">    248. El deber de investigar  es  una  obligación  de  medios  y  no  de</w:t>
        <w:br/>
        <w:t xml:space="preserve">         resultado, que debe ser  asumida  por  el  Estado  como  un  deber</w:t>
        <w:br/>
        <w:t xml:space="preserve">         jurídico propio y no  como  una  simple  formalidad  condenada  de</w:t>
        <w:br/>
        <w:t xml:space="preserve">         antemano a ser infructuosa, o como una mera gestión  de  intereses</w:t>
        <w:br/>
        <w:t xml:space="preserve">         particulares,  que  dependa  de  la  iniciativa  procesal  de  las</w:t>
        <w:br/>
        <w:t xml:space="preserve">         víctimas,  de  sus  familiares  o  de  la  aportación  privada  de</w:t>
        <w:br/>
        <w:t xml:space="preserve">         elementos probatorios[397].</w:t>
        <w:br/>
        <w:br/>
        <w:t xml:space="preserve">    249. De igual modo, dicho deber impone la remoción de todo obstáculo de</w:t>
        <w:br/>
        <w:t xml:space="preserve">         jure y de facto que impida la investigación y juzgamiento  de  los</w:t>
        <w:br/>
        <w:t xml:space="preserve">         hechos y, en su caso, la sanción de todos los responsables de  las</w:t>
        <w:br/>
        <w:t xml:space="preserve">         violaciones declaradas así como  la  búsqueda  de  la  verdad.  En</w:t>
        <w:br/>
        <w:t xml:space="preserve">         efecto, si el aparato del Estado actúa de modo que  tal  violación</w:t>
        <w:br/>
        <w:t xml:space="preserve">         quede impune y no se restablece, en  cuanto  sea  posible,  a  las</w:t>
        <w:br/>
        <w:t xml:space="preserve">         víctimas en la plenitud de sus derechos, puede  afirmarse  que  ha</w:t>
        <w:br/>
        <w:t xml:space="preserve">         incumplido el deber de garantizar su libre y pleno ejercicio a las</w:t>
        <w:br/>
        <w:t xml:space="preserve">         personas sujetas a su jurisdicción[398]. Bajo  esta  consideración</w:t>
        <w:br/>
        <w:t xml:space="preserve">         subyace la idea de que un procesamiento que se desarrolla hasta su</w:t>
        <w:br/>
        <w:t xml:space="preserve">         conclusión y cumpla su cometido  es  la  señal  más  clara  de  no</w:t>
        <w:br/>
        <w:t xml:space="preserve">         tolerancia a  las  graves  violaciones  a  los  derechos  humanos,</w:t>
        <w:br/>
        <w:t xml:space="preserve">         contribuye a la reparación de las víctimas y muestra a la sociedad</w:t>
        <w:br/>
        <w:t xml:space="preserve">         que se ha hecho justicia[399].</w:t>
        <w:br/>
        <w:br/>
        <w:br/>
        <w:t>C.    Deber de iniciar una investigación ex officio</w:t>
        <w:br/>
        <w:br/>
        <w:br/>
        <w:t xml:space="preserve">    250. La Comisión refirió que las autoridades  salvadoreñas  no  habrían</w:t>
        <w:br/>
        <w:t xml:space="preserve">         dado inicio a una investigación ex officio de las masacres, lo que</w:t>
        <w:br/>
        <w:t xml:space="preserve">         habría generado que entre el 13 de diciembre de 1981 y  el  30  de</w:t>
        <w:br/>
        <w:t xml:space="preserve">         octubre de 1990, fecha en la cual el  señor  Pedro  Chicas  Romero</w:t>
        <w:br/>
        <w:t xml:space="preserve">         habría presentado una denuncia, no se desplegare  ningún  tipo  de</w:t>
        <w:br/>
        <w:t xml:space="preserve">         averiguación  oficial  sobre  los  hechos.  De  esta  manera,  las</w:t>
        <w:br/>
        <w:t xml:space="preserve">         investigaciones sobre las masacres habrían iniciado 9 años después</w:t>
        <w:br/>
        <w:t xml:space="preserve">         de ocurridas y como consecuencia de una denuncia presentada por un</w:t>
        <w:br/>
        <w:t xml:space="preserve">         sobreviviente de las mismas y no a iniciativa  del  Estado  de  El</w:t>
        <w:br/>
        <w:t xml:space="preserve">         Salvador.  Según  la  Comisión,  dicha  falencia  no  podría   ser</w:t>
        <w:br/>
        <w:t xml:space="preserve">         justificada en la falta de conocimiento  público  de  los  hechos,</w:t>
        <w:br/>
        <w:t xml:space="preserve">         pues se contaría con evidencia de que ya en el año 1982 medios  de</w:t>
        <w:br/>
        <w:t xml:space="preserve">         prensa internacionales habrían dado cuenta  de  las  masacres.  En</w:t>
        <w:br/>
        <w:t xml:space="preserve">         consecuencia, consideró que  la  falta  de  una  investigación  de</w:t>
        <w:br/>
        <w:t xml:space="preserve">         oficio  por  parte  del  Estado  para  investigar  las   masacres,</w:t>
        <w:br/>
        <w:t xml:space="preserve">         constituiría en sí misma una violación de los derechos consagrados</w:t>
        <w:br/>
        <w:t xml:space="preserve">         en los artículos 8.1 y 25.1 de la Convención, en relación  con  el</w:t>
        <w:br/>
        <w:t xml:space="preserve">         artículo 1.1 de mismo instrumento, en perjuicio de los  familiares</w:t>
        <w:br/>
        <w:t xml:space="preserve">         de las víctimas. Los representantes solicitaron que se declare  al</w:t>
        <w:br/>
        <w:t xml:space="preserve">         Estado responsable por no haber iniciado una investigación de  los</w:t>
        <w:br/>
        <w:t xml:space="preserve">         hechos de las masacres de oficio, de manera inmediata, de modo que</w:t>
        <w:br/>
        <w:t xml:space="preserve">         debido al retraso en el inicio de las investigaciones,  se  perdió</w:t>
        <w:br/>
        <w:t xml:space="preserve">         información fundamental para el esclarecimiento de los hechos.</w:t>
        <w:br/>
        <w:br/>
        <w:t xml:space="preserve">    251. En el presente caso fue demostrado que en enero de 1982 se  dio  a</w:t>
        <w:br/>
        <w:t xml:space="preserve">         conocer la posible ocurrencia de una masacre, perpetrada  por  las</w:t>
        <w:br/>
        <w:t xml:space="preserve">         propia Fuerza Armada, sin  que  las  autoridades  correspondientes</w:t>
        <w:br/>
        <w:t xml:space="preserve">         realizaran  investigación  alguna.  Por  el  contrario,  como  fue</w:t>
        <w:br/>
        <w:t xml:space="preserve">         establecido, las autoridades salvadoreñas negaron y encubrieron en</w:t>
        <w:br/>
        <w:t xml:space="preserve">         forma sistemática los hechos (supra párrs. 73 a 77). Al  respecto,</w:t>
        <w:br/>
        <w:t xml:space="preserve">         la Comisión de la Verdad  destacó  que  el  entonces  Ministro  de</w:t>
        <w:br/>
        <w:t xml:space="preserve">         Defensa y el entonces Jefe del Estado Mayor de  la  Fuerza  Armada</w:t>
        <w:br/>
        <w:t xml:space="preserve">         tuvieron conocimiento “de la ocurrencia de la  masacre  y  tampoco</w:t>
        <w:br/>
        <w:t xml:space="preserve">         promovi[eron] ninguna investigación”[400]. Fue recién  en  el  año</w:t>
        <w:br/>
        <w:t xml:space="preserve">         1990,  cuando  volvieron  a  El  Salvador  la  gran   mayoría   de</w:t>
        <w:br/>
        <w:t xml:space="preserve">         sobrevivientes  desplazados   forzadamente,   que   uno   de   los</w:t>
        <w:br/>
        <w:t xml:space="preserve">         sobrevivientes  pudo  interponer  una  denuncia.  En  efecto,   la</w:t>
        <w:br/>
        <w:t xml:space="preserve">         denuncia inicial fue presentada el 26 de octubre de  1990  por  el</w:t>
        <w:br/>
        <w:t xml:space="preserve">         señor Pedro Chicas Romero  ante  el  Juzgado  Segundo  de  Primera</w:t>
        <w:br/>
        <w:t xml:space="preserve">         Instancia de San Francisco Gotera[401]. Es decir, por  nueve  años</w:t>
        <w:br/>
        <w:t xml:space="preserve">         el Estado omitió iniciar  una  investigación  que  garantizara  la</w:t>
        <w:br/>
        <w:t xml:space="preserve">         pronta  obtención  y  preservación  de  pruebas  que   permitieran</w:t>
        <w:br/>
        <w:t xml:space="preserve">         establecer lo sucedido.</w:t>
        <w:br/>
        <w:br/>
        <w:t xml:space="preserve">    252. En virtud de lo anterior, la Corte concluye que, al menos a partir</w:t>
        <w:br/>
        <w:t xml:space="preserve">         de 1982, el Estado debió iniciar ex officio  y  sin  dilación  una</w:t>
        <w:br/>
        <w:t xml:space="preserve">         investigación seria, imparcial y efectiva de todos los  hechos  de</w:t>
        <w:br/>
        <w:t xml:space="preserve">         las masacres relacionados tanto con la vulneración de la vida, así</w:t>
        <w:br/>
        <w:t xml:space="preserve">         como  respecto  a  otras  afectaciones   específicas   contra   la</w:t>
        <w:br/>
        <w:t xml:space="preserve">         integridad personal, tales como las supuestas torturas y actos  de</w:t>
        <w:br/>
        <w:t xml:space="preserve">         violencia contra la mujer con una  perspectiva  de  género,  y  de</w:t>
        <w:br/>
        <w:t xml:space="preserve">         conformidad con los artículos 8.1 y 25.1 de la Convención,  y  las</w:t>
        <w:br/>
        <w:t xml:space="preserve">         obligaciones específicas dispuestas en los artículos 1, 6 y  8  de</w:t>
        <w:br/>
        <w:t xml:space="preserve">         la Convención Interamericana para Prevenir y Sancionar la  Tortura</w:t>
        <w:br/>
        <w:t xml:space="preserve">         y 7.b) de la Convención de Belém do Pará.</w:t>
        <w:br/>
        <w:br/>
        <w:br/>
        <w:t>D.    Falta de debida diligencia en la investigación penal</w:t>
        <w:br/>
        <w:br/>
        <w:br/>
        <w:t xml:space="preserve">    253. La Comisión sostuvo  que,  de  la  lectura  de  la  totalidad  del</w:t>
        <w:br/>
        <w:t xml:space="preserve">         expediente  del  Juzgado  Segundo  de  Primera  Instancia  de  San</w:t>
        <w:br/>
        <w:t xml:space="preserve">         Francisco Gotera, habría identificado una  serie  de  omisiones  e</w:t>
        <w:br/>
        <w:t xml:space="preserve">         irregularidades que habrían dificultado el esclarecimiento  de  lo</w:t>
        <w:br/>
        <w:t xml:space="preserve">         sucedido,  la  individualización  de  los   responsables   y   las</w:t>
        <w:br/>
        <w:t xml:space="preserve">         posibilidades  de  que  a  los  familiares  de  las  víctimas  les</w:t>
        <w:br/>
        <w:t xml:space="preserve">         devolvieran los restos de sus familiares  tras  un  estudio  serio</w:t>
        <w:br/>
        <w:t xml:space="preserve">         sobre su identificación, las que a saber son: el  Juzgado  Segundo</w:t>
        <w:br/>
        <w:t xml:space="preserve">         no habría citado a declarar a autoridad estatal alguna que pudiera</w:t>
        <w:br/>
        <w:t xml:space="preserve">         aportar información sobre  el  operativo  militar  y  que  pudiera</w:t>
        <w:br/>
        <w:t xml:space="preserve">         referirse a los hechos narrados por los testigos; ante la falta de</w:t>
        <w:br/>
        <w:t xml:space="preserve">         respuesta del Presidente de la República a los oficios dirigidos a</w:t>
        <w:br/>
        <w:t xml:space="preserve">         obtener  información  oficial   sobre   los   operativos   y   sus</w:t>
        <w:br/>
        <w:t xml:space="preserve">         perpetradores,  el  Juzgado  Segundo  no  habría  dispuesto  medio</w:t>
        <w:br/>
        <w:t xml:space="preserve">         coercitivo  alguno  para  asegurar  la  presentación  oportuna  de</w:t>
        <w:br/>
        <w:t xml:space="preserve">         información  para  avanzar  con  las  investigaciones;   ante   la</w:t>
        <w:br/>
        <w:t xml:space="preserve">         respuesta del Ministerio  de  Defensa  sobre  la  inexistencia  de</w:t>
        <w:br/>
        <w:t xml:space="preserve">         operación militar alguna, el Juzgado Segundo no habría  desplegado</w:t>
        <w:br/>
        <w:t xml:space="preserve">         ningún esfuerzo para reiterar la  exigencia  de  la  obtención  de</w:t>
        <w:br/>
        <w:t xml:space="preserve">         información, para utilizar otros mecanismos como la realización de</w:t>
        <w:br/>
        <w:t xml:space="preserve">         inspecciones judiciales en instalaciones militares, ni para llamar</w:t>
        <w:br/>
        <w:t xml:space="preserve">         a declarar a las autoridades gubernamentales de la  época  de  los</w:t>
        <w:br/>
        <w:t xml:space="preserve">         hechos; no constaría  diligencia  alguna  por  parte  del  Juzgado</w:t>
        <w:br/>
        <w:t xml:space="preserve">         Segundo a fin de obtener información  sobre  los  nombres  de  los</w:t>
        <w:br/>
        <w:t xml:space="preserve">         militares que habrían  brindado  declaraciones  a  la  Oficina  de</w:t>
        <w:br/>
        <w:t xml:space="preserve">         Tutela Legal del Arzobispado  y,  de  ser  el  caso,  llamarlos  a</w:t>
        <w:br/>
        <w:t xml:space="preserve">         declarar para que pudieran arrojar luz sobre los hechos; no surgía</w:t>
        <w:br/>
        <w:t xml:space="preserve">         que se hubiera efectuado diligencias en aras de dar seguimiento  a</w:t>
        <w:br/>
        <w:t xml:space="preserve">         las diligencias de exhumación o a cumplir con las  recomendaciones</w:t>
        <w:br/>
        <w:t xml:space="preserve">         de la Comisión de la Verdad y del Equipo Argentino de Antropología</w:t>
        <w:br/>
        <w:t xml:space="preserve">         Forense (EAAF), sino que el Juzgado Segundo habría determinado dar</w:t>
        <w:br/>
        <w:t xml:space="preserve">         por finalizadas las diligencias de exhumación una vez se aprobó la</w:t>
        <w:br/>
        <w:t xml:space="preserve">         ley de amnistía; el Juzgado Segundo no habría dispuesto los medios</w:t>
        <w:br/>
        <w:t xml:space="preserve">         necesarios  para  resguardar  adecuadamente   los   restos   óseos</w:t>
        <w:br/>
        <w:t xml:space="preserve">         encontrados a fin de su posterior identificación  y  devolución  a</w:t>
        <w:br/>
        <w:t xml:space="preserve">         los familiares; y en relación con la decisión de sobreseimiento de</w:t>
        <w:br/>
        <w:t xml:space="preserve">         27 de septiembre de 1993, el Juzgado Segundo habría  trasladado  a</w:t>
        <w:br/>
        <w:t xml:space="preserve">         los testigos u ofendidos que habrían acudido a declarar  la  carga</w:t>
        <w:br/>
        <w:t xml:space="preserve">         de probar tanto el cuerpo del delito como la participación de  los</w:t>
        <w:br/>
        <w:t xml:space="preserve">         perpetradores de las masacres, sin asumir la investigación como un</w:t>
        <w:br/>
        <w:t xml:space="preserve">         deber jurídico propio y, en  consecuencia,  sin  valorar  toda  la</w:t>
        <w:br/>
        <w:t xml:space="preserve">         información disponible y agotar todos los medios a su alcance para</w:t>
        <w:br/>
        <w:t xml:space="preserve">         investigar adecuada  y  diligentemente  los  hechos.  La  Comisión</w:t>
        <w:br/>
        <w:t xml:space="preserve">         consideró que los anteriores  elementos  serían  suficientes  para</w:t>
        <w:br/>
        <w:t xml:space="preserve">         concluir que la supuesta falta de seriedad  y  diligencia  en  las</w:t>
        <w:br/>
        <w:t xml:space="preserve">         investigaciones  realizadas  por  el   Juzgado   Segundo,   y   su</w:t>
        <w:br/>
        <w:t xml:space="preserve">         inefectividad para esclarecer  los  hechos  e  identificar  a  los</w:t>
        <w:br/>
        <w:t xml:space="preserve">         responsables,  constituirían  una   violación   a   los   derechos</w:t>
        <w:br/>
        <w:t xml:space="preserve">         consagrados  en  los  artículos  8.1  y  25.1  de  la   Convención</w:t>
        <w:br/>
        <w:t xml:space="preserve">         Americana, en relación con el artículo 1.1 del mismo  instrumento,</w:t>
        <w:br/>
        <w:t xml:space="preserve">         así como de las obligaciones establecidas en los artículos 1, 6  y</w:t>
        <w:br/>
        <w:t xml:space="preserve">         8 de la Convención Interamericana para  Prevenir  y  Sancionar  la</w:t>
        <w:br/>
        <w:t xml:space="preserve">         Tortura y en el artículo 7 de la Convención de Belém do  Pará,  en</w:t>
        <w:br/>
        <w:t xml:space="preserve">         perjuicio de los familiares de las víctimas. La Comisión  concluyó</w:t>
        <w:br/>
        <w:t xml:space="preserve">         también que la omisión de dar continuidad a las investigaciones se</w:t>
        <w:br/>
        <w:t xml:space="preserve">         habría extendido hasta la fecha y constituiría  una  violación  de</w:t>
        <w:br/>
        <w:t xml:space="preserve">         los referidos artículos.</w:t>
        <w:br/>
        <w:br/>
        <w:t xml:space="preserve">    254.  Los  representantes  alegaron  que  el  Estado   salvadoreño   es</w:t>
        <w:br/>
        <w:t xml:space="preserve">         responsable por haber incurrido en  retardo  injustificado  en  la</w:t>
        <w:br/>
        <w:t xml:space="preserve">         investigación de los hechos de las masacres de El Mozote y lugares</w:t>
        <w:br/>
        <w:t xml:space="preserve">         aledaños. Al respecto, indicaron que habrían transcurrido menos de</w:t>
        <w:br/>
        <w:t xml:space="preserve">         3 años hasta que el 1 de septiembre de 1993, el juez de  la  causa</w:t>
        <w:br/>
        <w:t xml:space="preserve">         habría aplicado la Ley de Amnistía al caso. Luego  de  esa  fecha,</w:t>
        <w:br/>
        <w:t xml:space="preserve">         habrían pasado 7 años sin ningún tipo  de  actividad  procesal  y,</w:t>
        <w:br/>
        <w:t xml:space="preserve">         posteriormente, las únicas diligencias que  se  habrían  realizado</w:t>
        <w:br/>
        <w:t xml:space="preserve">         hasta la fecha  habrían  sido  impulsadas  por  Tutela  Legal  del</w:t>
        <w:br/>
        <w:t xml:space="preserve">         Arzobispado, las cuales estarían, en su mayoría,  dirigidas  a  la</w:t>
        <w:br/>
        <w:t xml:space="preserve">         recuperación de los restos, dado que  las  solicitudes  planteadas</w:t>
        <w:br/>
        <w:t xml:space="preserve">         con el objetivo de que se  prosiga  con  la  investigación  de  lo</w:t>
        <w:br/>
        <w:t xml:space="preserve">         ocurrido y la eventual sanción de los responsables no habrían sido</w:t>
        <w:br/>
        <w:t xml:space="preserve">         atendidas por las autoridades. Habrían  transcurrido  entonces  21</w:t>
        <w:br/>
        <w:t xml:space="preserve">         años desde que se inició la investigación,  sin  que  a  la  fecha</w:t>
        <w:br/>
        <w:t xml:space="preserve">         persona alguna hubiera sido siquiera procesada  y  sancionada  por</w:t>
        <w:br/>
        <w:t xml:space="preserve">         los graves hechos alegados. En  consecuencia,  los  representantes</w:t>
        <w:br/>
        <w:t xml:space="preserve">         consideraron que era evidente que el retardo en  la  investigación</w:t>
        <w:br/>
        <w:t xml:space="preserve">         de los hechos habría sido consecuencia de  la  absoluta  falta  de</w:t>
        <w:br/>
        <w:t xml:space="preserve">         voluntad  del  Estado.  En  la  misma  línea,  los  representantes</w:t>
        <w:br/>
        <w:t xml:space="preserve">         sostuvieron  que  desde  el  26   de   noviembre   de   2006   los</w:t>
        <w:br/>
        <w:t xml:space="preserve">         representantes de las  víctimas  en  el  proceso  interno  habrían</w:t>
        <w:br/>
        <w:t xml:space="preserve">         presentado ante el juzgado competente una serie de solicitudes que</w:t>
        <w:br/>
        <w:t xml:space="preserve">         no  habrían  sido  resueltas,  las  cuales  se  referirían  a  los</w:t>
        <w:br/>
        <w:t xml:space="preserve">         siguientes aspectos: declarar la  inaplicabilidad  de  la  Ley  de</w:t>
        <w:br/>
        <w:t xml:space="preserve">         Amnistía,  dar  continuidad  al  proceso   penal,   solicitar   al</w:t>
        <w:br/>
        <w:t xml:space="preserve">         Presidente de la República diversas informaciones en manos de  las</w:t>
        <w:br/>
        <w:t xml:space="preserve">         Fuerzas  Armadas  salvadoreñas,  realizar  inspecciones   en   los</w:t>
        <w:br/>
        <w:t xml:space="preserve">         archivos  del  mismo  cuerpo  castrense,  ordenar   la   detención</w:t>
        <w:br/>
        <w:t xml:space="preserve">         provisional de los oficiales de las  Fuerzas  Armadas  acusados  y</w:t>
        <w:br/>
        <w:t xml:space="preserve">         tramitar la extradición de uno de los oficiales acusados.  Además,</w:t>
        <w:br/>
        <w:t xml:space="preserve">         el proceso se habría caracterizado por poseer largos  períodos  de</w:t>
        <w:br/>
        <w:t xml:space="preserve">         inactividad. En consecuencia, los representantes solicitaron a  la</w:t>
        <w:br/>
        <w:t xml:space="preserve">         Corte que declare  que  el  Estado  salvadoreño  ha  incurrido  en</w:t>
        <w:br/>
        <w:t xml:space="preserve">         retardo injustificado en la investigación de los hechos  relativos</w:t>
        <w:br/>
        <w:t xml:space="preserve">         a las masacres de El Mozote y lugares aledaños y, en consecuencia,</w:t>
        <w:br/>
        <w:t xml:space="preserve">         que violó los derechos contenidos en los artículos 8 y  25  de  la</w:t>
        <w:br/>
        <w:t xml:space="preserve">         Convención Americana.</w:t>
        <w:br/>
        <w:br/>
        <w:t xml:space="preserve">    255. La Corte observa que tanto los representantes como la Comisión han</w:t>
        <w:br/>
        <w:t xml:space="preserve">         indicado que en el curso de la investigación se han producido  una</w:t>
        <w:br/>
        <w:t xml:space="preserve">         serie de actuaciones u omisiones de las autoridades estatales  que</w:t>
        <w:br/>
        <w:t xml:space="preserve">         habrían configurado una falta de debida diligencia y denegación de</w:t>
        <w:br/>
        <w:t xml:space="preserve">         justicia. La Corte ha constatado que una evaluación del expediente</w:t>
        <w:br/>
        <w:t xml:space="preserve">         judicial, así como de otros documentos que constan  en  el  acervo</w:t>
        <w:br/>
        <w:t xml:space="preserve">         probatorio,   permiten   concluir   que   efectivamente   en   los</w:t>
        <w:br/>
        <w:t xml:space="preserve">         aproximadamente tres años que permaneció la investigación  abierta</w:t>
        <w:br/>
        <w:t xml:space="preserve">         hasta el sobreseimiento de la causa en aplicación  de  la  Ley  de</w:t>
        <w:br/>
        <w:t xml:space="preserve">         Amnistía General para la Consolidación de la  Paz  se  verificaron</w:t>
        <w:br/>
        <w:t xml:space="preserve">         una serie de obstáculos fácticos que han impedido la investigación</w:t>
        <w:br/>
        <w:t xml:space="preserve">         efectiva, juzgamiento y, en su caso, sanción de los responsables.</w:t>
        <w:br/>
        <w:br/>
        <w:t xml:space="preserve">    256. En primer lugar, de la prueba del presente caso se desprende  que,</w:t>
        <w:br/>
        <w:t xml:space="preserve">         aún cuando se recibieron las declaraciones de algunos ofendidos  y</w:t>
        <w:br/>
        <w:t xml:space="preserve">         testigos que se presentaron  al  Juzgado  (supra  párr.  212),  se</w:t>
        <w:br/>
        <w:t xml:space="preserve">         realizaron inspecciones judiciales y  exhumaciones  (supra  párrs.</w:t>
        <w:br/>
        <w:t xml:space="preserve">         227 y 230 a 238), y se ofició al Presidente y al  Ministro  de  la</w:t>
        <w:br/>
        <w:t xml:space="preserve">         Defensa Nacional (supra párr. 214), con lo cual se constata cierta</w:t>
        <w:br/>
        <w:t xml:space="preserve">         actividad investigativa de las autoridades encargadas de  impulsar</w:t>
        <w:br/>
        <w:t xml:space="preserve">         las investigaciones, no se agotaron todas las medidas  que  debían</w:t>
        <w:br/>
        <w:t xml:space="preserve">         realizarse a fin de identificar a  los  posibles  autores  de  los</w:t>
        <w:br/>
        <w:t xml:space="preserve">         hechos y, en su caso, vincularlos al proceso. Es decir, el  Estado</w:t>
        <w:br/>
        <w:t xml:space="preserve">         no fue diligente en  la  recaudación  de  la  prueba  tendiente  a</w:t>
        <w:br/>
        <w:t xml:space="preserve">         identificar a las personas involucradas. La Corte observa que,  de</w:t>
        <w:br/>
        <w:t xml:space="preserve">         acuerdo con los hechos establecidos, por lo  menos  entre  1000  a</w:t>
        <w:br/>
        <w:t xml:space="preserve">         2000 efectivos militares  participaron  en  la  ejecución  de  las</w:t>
        <w:br/>
        <w:t xml:space="preserve">         masacres (supra  párr.  84),  esto  sin  contar  a  otros  autores</w:t>
        <w:br/>
        <w:t xml:space="preserve">         materiales, intelectuales o en general partícipes de ésta. Además,</w:t>
        <w:br/>
        <w:t xml:space="preserve">         no  se  realizó   medida   alguna   para   inspeccionar   material</w:t>
        <w:br/>
        <w:t xml:space="preserve">         hemerográfico a través del cual  pudiera  eventualmente  obtenerse</w:t>
        <w:br/>
        <w:t xml:space="preserve">         información sobre las personas que participaron en los  operativos</w:t>
        <w:br/>
        <w:t xml:space="preserve">         militares que se realizaron en el lugar y fecha de los  hechos  ni</w:t>
        <w:br/>
        <w:t xml:space="preserve">         se incorporó oportunamente a  las  investigaciones  las  secciones</w:t>
        <w:br/>
        <w:t xml:space="preserve">         correspondientes del Informe de la Comisión de la Verdad  para  El</w:t>
        <w:br/>
        <w:t xml:space="preserve">         Salvador en las que se  señala  los  nombres  de  algunos  de  los</w:t>
        <w:br/>
        <w:t xml:space="preserve">         militares que participaron  en  los  operativos[402].  En  efecto,</w:t>
        <w:br/>
        <w:t xml:space="preserve">         tanto en el informe de la  Comisión  de  la  Verdad  de  marzo  de</w:t>
        <w:br/>
        <w:t xml:space="preserve">         1993[403] como en las  investigaciones  desarrolladas  por  Tutela</w:t>
        <w:br/>
        <w:t xml:space="preserve">         Legal del Arzobispado que fueron  hechas  públicas  en  1992[404],</w:t>
        <w:br/>
        <w:t xml:space="preserve">         cuyas copias fueron aportadas a la  causa  por  Tutela  Legal  del</w:t>
        <w:br/>
        <w:t xml:space="preserve">         Arzobispado en el año 2006[405], se indican las unidades militares</w:t>
        <w:br/>
        <w:t xml:space="preserve">         que habrían participado en los operativos,  así  como  se  habrían</w:t>
        <w:br/>
        <w:t xml:space="preserve">         identificado los nombres de algunas autoridades  a  cargo  de  las</w:t>
        <w:br/>
        <w:t xml:space="preserve">         mismas, permitiendo establecer una nómina de participantes de  las</w:t>
        <w:br/>
        <w:t xml:space="preserve">         masacres, sobre todo aquellos que tuvieron posiciones de decisión,</w:t>
        <w:br/>
        <w:t xml:space="preserve">         sin que dicha información haya sido  utilizada  dentro  de  alguna</w:t>
        <w:br/>
        <w:t xml:space="preserve">         línea de investigación ni que se vinculara a proceso  y  citara  a</w:t>
        <w:br/>
        <w:t xml:space="preserve">         declarar a ningún miembro de la Fuerza Armada.</w:t>
        <w:br/>
        <w:br/>
        <w:t xml:space="preserve">    257. En casos como  el  presente,  la  Corte  ha  considerado  que  las</w:t>
        <w:br/>
        <w:t xml:space="preserve">         autoridades encargadas de la  investigación  tienen  el  deber  de</w:t>
        <w:br/>
        <w:t xml:space="preserve">         asegurar que en el curso de las mismas  se  valoren  los  patrones</w:t>
        <w:br/>
        <w:t xml:space="preserve">         sistemáticos que permitieron la comisión de graves violaciones  de</w:t>
        <w:br/>
        <w:t xml:space="preserve">         los derechos humanos[406]. En aras de garantizar  su  efectividad,</w:t>
        <w:br/>
        <w:t xml:space="preserve">         la  investigación  debe  ser  conducida  tomando  en   cuenta   la</w:t>
        <w:br/>
        <w:t xml:space="preserve">         complejidad de este tipo de hechos, que ocurrieron en el marco  de</w:t>
        <w:br/>
        <w:t xml:space="preserve">         operativos  de  contrainsurgencia  de  la  Fuerza  Armada,  y   la</w:t>
        <w:br/>
        <w:t xml:space="preserve">         estructura en la  cual  se  ubicaban  las  personas  probablemente</w:t>
        <w:br/>
        <w:t xml:space="preserve">         involucradas  en  los  mismos,  evitando  así  omisiones   en   la</w:t>
        <w:br/>
        <w:t xml:space="preserve">         recaudación de prueba y en el seguimiento  de  líneas  lógicas  de</w:t>
        <w:br/>
        <w:t xml:space="preserve">         investigación[407]. En esta línea,  la  Corte  considera  que  las</w:t>
        <w:br/>
        <w:t xml:space="preserve">         autoridades  estatales  están  obligadas   a   colaborar   en   la</w:t>
        <w:br/>
        <w:t xml:space="preserve">         recaudación de  la  prueba  para  alcanzar  los  objetivos  de  la</w:t>
        <w:br/>
        <w:t xml:space="preserve">         investigación  y  abstenerse  de  realizar  actos  que   impliquen</w:t>
        <w:br/>
        <w:t xml:space="preserve">         obstrucciones para la marcha del proceso  investigativo[408].  Del</w:t>
        <w:br/>
        <w:t xml:space="preserve">         mismo modo, resulta esencial  que  los  órganos  a  cargo  de  las</w:t>
        <w:br/>
        <w:t xml:space="preserve">         investigaciones estén dotados, formal y  sustancialmente,  de  las</w:t>
        <w:br/>
        <w:t xml:space="preserve">         facultades y garantías adecuadas y necesarias para  acceder  a  la</w:t>
        <w:br/>
        <w:t xml:space="preserve">         documentación e información pertinente para investigar los  hechos</w:t>
        <w:br/>
        <w:t xml:space="preserve">         denunciados y obtener indicios o evidencias de la ubicación de las</w:t>
        <w:br/>
        <w:t xml:space="preserve">         víctimas[409]. En efecto, el Estado no puede ampararse en la falta</w:t>
        <w:br/>
        <w:t xml:space="preserve">         de prueba de la existencia de los documentos solicitados sino que,</w:t>
        <w:br/>
        <w:t xml:space="preserve">         por el contrario,  debe  fundamentar  la  negativa  a  proveerlos,</w:t>
        <w:br/>
        <w:t xml:space="preserve">         demostrando que ha adoptado todas las medidas a  su  alcance  para</w:t>
        <w:br/>
        <w:t xml:space="preserve">         comprobar  que,  efectivamente,  la  información   solicitada   no</w:t>
        <w:br/>
        <w:t xml:space="preserve">         existía[410]. En este  sentido,  en  caso  de  violaciones  a  los</w:t>
        <w:br/>
        <w:t xml:space="preserve">         derechos humanos, el Tribunal ya ha señalado que “las  autoridades</w:t>
        <w:br/>
        <w:t xml:space="preserve">         estatales no se pueden amparar en mecanismos como  el  secreto  de</w:t>
        <w:br/>
        <w:t xml:space="preserve">         Estado o la confidencialidad de la información, o  en  razones  de</w:t>
        <w:br/>
        <w:t xml:space="preserve">         interés público o seguridad nacional, para  dejar  de  aportar  la</w:t>
        <w:br/>
        <w:t xml:space="preserve">         información   requerida   por   las   autoridades   judiciales   o</w:t>
        <w:br/>
        <w:t xml:space="preserve">         administrativas  encargadas  de   la   investigación   o   proceso</w:t>
        <w:br/>
        <w:t xml:space="preserve">         pendientes”[411].</w:t>
        <w:br/>
        <w:br/>
        <w:t xml:space="preserve">    258. En segundo lugar, la Corte observa que si bien el Juez de la causa</w:t>
        <w:br/>
        <w:t xml:space="preserve">         ordenó el 9 de noviembre de 1990 la práctica de la  inspección  en</w:t>
        <w:br/>
        <w:t xml:space="preserve">         el lugar de los hechos y  la  exhumación  de  los  cadáveres,  fue</w:t>
        <w:br/>
        <w:t xml:space="preserve">         recién el 19 de junio de 1991 que el Juez fijó  fecha  para  dicha</w:t>
        <w:br/>
        <w:t xml:space="preserve">         diligencia, la cual finalmente no fue posible realizar debido a la</w:t>
        <w:br/>
        <w:t xml:space="preserve">         falta de tiempo  para  su  preparación,  según  la  respuesta  del</w:t>
        <w:br/>
        <w:t xml:space="preserve">         Director del  Instituto  de  Medicina  Legal  (supra  párr.  215).</w:t>
        <w:br/>
        <w:t xml:space="preserve">         Posteriormente,  no  fue  posible   practicar   las   exhumaciones</w:t>
        <w:br/>
        <w:t xml:space="preserve">         requeridas en razón de la supuesta existencia de campo  minado  en</w:t>
        <w:br/>
        <w:t xml:space="preserve">         la zona donde debía llevarse a cabo la diligencia ordenada.  Dicha</w:t>
        <w:br/>
        <w:t xml:space="preserve">         situación se mantuvo hasta el 5 de mayo de 1992 que el Juez de  la</w:t>
        <w:br/>
        <w:t xml:space="preserve">         causa dispuso la continuación de diligencias (supra párrs.  217  a</w:t>
        <w:br/>
        <w:t xml:space="preserve">         226). Finalmente, fue recién el 27 de mayo de 1992 que  comenzaron</w:t>
        <w:br/>
        <w:t xml:space="preserve">         las inspecciones a los lugares en donde ocurrieron los hechos y el</w:t>
        <w:br/>
        <w:t xml:space="preserve">         9  de  septiembre  de  1992  que  se  autorizaron   las   primeras</w:t>
        <w:br/>
        <w:t xml:space="preserve">         exhumaciones, las cuales se realizaron del 13 de octubre al 17  de</w:t>
        <w:br/>
        <w:t xml:space="preserve">         noviembre de 1992 (supra párrs. 227 y 230). Es decir, no  obstante</w:t>
        <w:br/>
        <w:t xml:space="preserve">         que  la  denuncia  inicial  del  señor  Pedro  Chicas  Romero  fue</w:t>
        <w:br/>
        <w:t xml:space="preserve">         presentada el 26 de octubre de 1990, fue recién el 13  de  octubre</w:t>
        <w:br/>
        <w:t xml:space="preserve">         de 1992 que se realizaron los primeros trabajos de exhumación.  En</w:t>
        <w:br/>
        <w:t xml:space="preserve">         definitiva, por casi dos años los trabajos  de  exhumación  no  se</w:t>
        <w:br/>
        <w:t xml:space="preserve">         realizaron debido a la carencia de especialista en la materia y  a</w:t>
        <w:br/>
        <w:t xml:space="preserve">         la supuesta existencia de campo  minado,  situaciones  a  las  que</w:t>
        <w:br/>
        <w:t xml:space="preserve">         caracterizó la inactividad de la autoridad judicial.</w:t>
        <w:br/>
        <w:br/>
        <w:t xml:space="preserve">    259. Según los Informes Internos de Tutela Legal  del  Arzobispado,  en</w:t>
        <w:br/>
        <w:t xml:space="preserve">         una  reunión  sostenida  el  27  de  marzo  de  1992  entre  dicha</w:t>
        <w:br/>
        <w:t xml:space="preserve">         organización y el Juez de la  causa,  éste  expresó  que  “t[enía]</w:t>
        <w:br/>
        <w:t xml:space="preserve">         órdenes superiores de dilatar o estancar  la  investigación”,  las</w:t>
        <w:br/>
        <w:t xml:space="preserve">         cuales eran del entonces Presidente de la República, del  entonces</w:t>
        <w:br/>
        <w:t xml:space="preserve">         Presidente de la Corte Suprema de Justicia,  del  entonces  Fiscal</w:t>
        <w:br/>
        <w:t xml:space="preserve">         General de la República  e  incluso  del  entonces  Ministerio  de</w:t>
        <w:br/>
        <w:t xml:space="preserve">         Defensa. Dichas órdenes eran en el sentido de que no señale  fecha</w:t>
        <w:br/>
        <w:t xml:space="preserve">         para las exhumaciones, entre  otras[412].  Asimismo,  mediante  un</w:t>
        <w:br/>
        <w:t xml:space="preserve">         comunicado de prensa de 8 de abril de 1992, la Oficina  de  Tutela</w:t>
        <w:br/>
        <w:t xml:space="preserve">         Legal del Arzobispado denunció irregularidades que a su parecer se</w:t>
        <w:br/>
        <w:t xml:space="preserve">         estaban cometiendo hasta ese momento en las investigaciones. Entre</w:t>
        <w:br/>
        <w:t xml:space="preserve">         dichas irregularidades, se denunció que el Juez  de  la  causa  se</w:t>
        <w:br/>
        <w:t xml:space="preserve">         negó  “a  señalar  [a  los  miembros  del  Equipo   Argentino   de</w:t>
        <w:br/>
        <w:t xml:space="preserve">         Antropología Forense]  fecha  para  la  inspección  y  exhumación,</w:t>
        <w:br/>
        <w:t xml:space="preserve">         [dando] credibilidad a los rumores sobre campos minados en el área</w:t>
        <w:br/>
        <w:t xml:space="preserve">         de El Mozote”, rumores que fueron desmentidos tanto por pobladores</w:t>
        <w:br/>
        <w:t xml:space="preserve">         del lugar como por la prensa nacional y extranjera  que  visitaron</w:t>
        <w:br/>
        <w:t xml:space="preserve">         la zona[413].</w:t>
        <w:br/>
        <w:br/>
        <w:t xml:space="preserve">    260. Por su parte, el Informe de la Comisión de la Verdad describió que</w:t>
        <w:br/>
        <w:t xml:space="preserve">         el Presidente de la Corte Suprema de Justicia de  El  Salvador  de</w:t>
        <w:br/>
        <w:t xml:space="preserve">         ese entonces había expresado, durante una visita realizada por los</w:t>
        <w:br/>
        <w:t xml:space="preserve">         miembros de la Comisión de la Verdad el 16 de julio de 1992,  “que</w:t>
        <w:br/>
        <w:t xml:space="preserve">         la exhumación que el juez de la causa había dispuesto  demostraría</w:t>
        <w:br/>
        <w:t xml:space="preserve">         que en El Mozote ‘sólo hay enterrados guerrilleros muertos’”[414],</w:t>
        <w:br/>
        <w:t xml:space="preserve">         y concluyó que dicho magistrado  “ha[bía]  tenido  una  injerencia</w:t>
        <w:br/>
        <w:t xml:space="preserve">         indebida y negativa, con criterios políticos parcializados, en  el</w:t>
        <w:br/>
        <w:t xml:space="preserve">         procedimiento judicial que se siguen en el caso”[415].</w:t>
        <w:br/>
        <w:br/>
        <w:t xml:space="preserve">    261. Al respecto, los peritos  Mercedes  Doretti,  Luis  Fondebrider  y</w:t>
        <w:br/>
        <w:t xml:space="preserve">         Silvana  Turner  del  Equipo  Argentino  de  Antropología  Forense</w:t>
        <w:br/>
        <w:t xml:space="preserve">         señalaron  que  los  mayores  obstáculos  al  trabajo  forense  se</w:t>
        <w:br/>
        <w:t xml:space="preserve">         produjeron durante el año 1991 y  1992,  período  en  el  cual  se</w:t>
        <w:br/>
        <w:t xml:space="preserve">         observó una obstaculización deliberada en el  nombramiento  cuando</w:t>
        <w:br/>
        <w:t xml:space="preserve">         en  El  Salvador  se  carecía  de  especialistas  en  el  área  de</w:t>
        <w:br/>
        <w:t xml:space="preserve">         arqueología y antropología forense. Posteriormente, luego de  tres</w:t>
        <w:br/>
        <w:t xml:space="preserve">         meses de espera en el país y a petición de comunidades  locales  y</w:t>
        <w:br/>
        <w:t xml:space="preserve">         Tutela Legal, entre otros, dos miembros del  Equipo  Argentino  de</w:t>
        <w:br/>
        <w:t xml:space="preserve">         Antropología Forense fueron nombrados por el  Juez  actuante  pero</w:t>
        <w:br/>
        <w:t xml:space="preserve">         sin fecha de inicio de las  exhumaciones.  Finalmente,  el  Equipo</w:t>
        <w:br/>
        <w:t xml:space="preserve">         Argentino de Antropología Forense abandonó el país en espera de la</w:t>
        <w:br/>
        <w:t xml:space="preserve">         resolución del caso[416]. Al respecto, la perito Tal  Linda  Ileen</w:t>
        <w:br/>
        <w:t xml:space="preserve">         Simmons expresó que el hecho  que  las  primeras  exhumaciones  se</w:t>
        <w:br/>
        <w:t xml:space="preserve">         iniciaran 11 años después de los hechos,  por  la  obstaculización</w:t>
        <w:br/>
        <w:t xml:space="preserve">         del Gobierno de El Salvador, tuvo  repercusiones  directas  en  el</w:t>
        <w:br/>
        <w:t xml:space="preserve">         estado tanto de los restos humanos como  de  las  pruebas  conexas</w:t>
        <w:br/>
        <w:t xml:space="preserve">         encontradas por el Equipo Argentino  de  Antropología  Forense  en</w:t>
        <w:br/>
        <w:t xml:space="preserve">         estos casos, y en las posibilidades de determinar la identidad  de</w:t>
        <w:br/>
        <w:t xml:space="preserve">         los restos exhumados[417].</w:t>
        <w:br/>
        <w:br/>
        <w:t xml:space="preserve">    262. Por ende, esta Corte considera que el Estado dilató y  obstaculizó</w:t>
        <w:br/>
        <w:t xml:space="preserve">         el inicio de los trabajo de exhumación, lo cual se  vincula  tanto</w:t>
        <w:br/>
        <w:t xml:space="preserve">         con la recaudación  de  la  prueba  como  con  la  posibilidad  de</w:t>
        <w:br/>
        <w:t xml:space="preserve">         entregar los restos a los familiares a fin  de  que  éstos  puedan</w:t>
        <w:br/>
        <w:t xml:space="preserve">         cerrar su proceso de duelo. La  Corte  reitera  que  el  paso  del</w:t>
        <w:br/>
        <w:t xml:space="preserve">         tiempo  guarda  una  relación  directamente  proporcional  con  la</w:t>
        <w:br/>
        <w:t xml:space="preserve">         limitación –y en algunos casos, la imposibilidad- para obtener las</w:t>
        <w:br/>
        <w:t xml:space="preserve">         pruebas y/o testimonios, dificultando la práctica  de  diligencias</w:t>
        <w:br/>
        <w:t xml:space="preserve">         probatorias  a  fin  de   esclarecer   los   hechos   materia   de</w:t>
        <w:br/>
        <w:t xml:space="preserve">         investigación[418],  identificar  a   los   posibles   autores   y</w:t>
        <w:br/>
        <w:t xml:space="preserve">         partícipes, y determinar las eventuales responsabilidades penales.</w:t>
        <w:br/>
        <w:br/>
        <w:t xml:space="preserve">    263. En tercer término, la Corte nota que el sobreseimiento  definitivo</w:t>
        <w:br/>
        <w:t xml:space="preserve">         de la causa “a favor de cualquier persona que haya pertenecido  al</w:t>
        <w:br/>
        <w:t xml:space="preserve">         Batallón Atlacatl en esa época que ocurrió el hecho”  se  dio  sin</w:t>
        <w:br/>
        <w:t xml:space="preserve">         que se haya individualizado ni vinculado formalmente a  proceso  a</w:t>
        <w:br/>
        <w:t xml:space="preserve">         persona alguna y en aplicación de la Ley de Amnistía General  para</w:t>
        <w:br/>
        <w:t xml:space="preserve">         la Consolidación de la Paz, frustrando en  consecuencia  cualquier</w:t>
        <w:br/>
        <w:t xml:space="preserve">         aspiración de las víctimas a que se haga efectiva la determinación</w:t>
        <w:br/>
        <w:t xml:space="preserve">         de  los  hechos  que  se  investigaban  y,  en  su  caso,  de  las</w:t>
        <w:br/>
        <w:t xml:space="preserve">         correspondientes responsabilidades penales en un plazo razonable.</w:t>
        <w:br/>
        <w:br/>
        <w:t xml:space="preserve">    264. Una vez decretado el sobreseimiento definitivo de la causa el 1 de</w:t>
        <w:br/>
        <w:t xml:space="preserve">         septiembre de 1993, la Oficina de  Tutela  Legal  del  Arzobispado</w:t>
        <w:br/>
        <w:t xml:space="preserve">         promovió nuevas diligencias de  exhumación  de  víctimas  ante  el</w:t>
        <w:br/>
        <w:t xml:space="preserve">         Juzgado de la causa, quien autorizó su práctica en los años  2000,</w:t>
        <w:br/>
        <w:t xml:space="preserve">         2001, 2003 y 2004, sin que conste diligencia alguna de  exhumación</w:t>
        <w:br/>
        <w:t xml:space="preserve">         que haya sido realizada a iniciativa  propia  de  las  autoridades</w:t>
        <w:br/>
        <w:t xml:space="preserve">         estatales, es decir, que con posterioridad al año  1993  persistió</w:t>
        <w:br/>
        <w:t xml:space="preserve">         la actitud omisiva del Estado.</w:t>
        <w:br/>
        <w:br/>
        <w:br/>
        <w:t>E.    La Ley de Amnistía General para  la  Consolidación  de  la  Paz  y  su</w:t>
        <w:br/>
        <w:t>aplicación al presente caso</w:t>
        <w:br/>
        <w:br/>
        <w:br/>
        <w:t xml:space="preserve">    265. A continuación, la Corte procederá a exponer los hechos relevantes</w:t>
        <w:br/>
        <w:t xml:space="preserve">         y analizar si la Ley de Amnistía General para la Consolidación  de</w:t>
        <w:br/>
        <w:t xml:space="preserve">         la Paz dictada por Asamblea Legislativa  de  la  República  de  El</w:t>
        <w:br/>
        <w:t xml:space="preserve">         Salvador en el año 1993  es  o  no  compatible  con  los  derechos</w:t>
        <w:br/>
        <w:t xml:space="preserve">         reconocidos en los artículos 1.1, 2[419], 8.1[420] y 25[421] de la</w:t>
        <w:br/>
        <w:t xml:space="preserve">         Convención Americana de la cual el Estado de El Salvador es  parte</w:t>
        <w:br/>
        <w:t xml:space="preserve">         o, en su caso, si aquella puede  mantener  sus  efectos  jurídicos</w:t>
        <w:br/>
        <w:t xml:space="preserve">         respecto de graves violaciones de derechos humanos e  infracciones</w:t>
        <w:br/>
        <w:t xml:space="preserve">         graves al derecho internacional humanitario cometidas  durante  el</w:t>
        <w:br/>
        <w:t xml:space="preserve">         conflicto   armado   interno,   tomando   en   consideración   las</w:t>
        <w:br/>
        <w:t xml:space="preserve">         circunstancias específicas que rodearon la expedición de dicha ley</w:t>
        <w:br/>
        <w:t xml:space="preserve">         en El Salvador.</w:t>
        <w:br/>
        <w:br/>
        <w:t xml:space="preserve">           1)    Los hechos relativos  al  proceso  de  paz  y  la  Ley  de</w:t>
        <w:br/>
        <w:t xml:space="preserve">           Amnistía General para la Consolidación de la Paz</w:t>
        <w:br/>
        <w:br/>
        <w:br/>
        <w:t xml:space="preserve">                   El  conflicto   armado   interno   y   el   proceso   de</w:t>
        <w:br/>
        <w:t xml:space="preserve">                   negociaciones hacia la paz</w:t>
        <w:br/>
        <w:br/>
        <w:br/>
        <w:t xml:space="preserve">    266. El proceso de negociaciones hacia la  paz  se  inició  cuando  los</w:t>
        <w:br/>
        <w:t xml:space="preserve">         cinco Presidentes centroamericanos solicitaron la intervención del</w:t>
        <w:br/>
        <w:t xml:space="preserve">         Secretario General de las Naciones Unidas  para  que  interpusiera</w:t>
        <w:br/>
        <w:t xml:space="preserve">         sus buenos oficios con el fin de  lograr  la  pacificación  en  la</w:t>
        <w:br/>
        <w:t xml:space="preserve">         región  de  América  Central,  lo  que  fue  ratificado   mediante</w:t>
        <w:br/>
        <w:t xml:space="preserve">         Resolución 637 (1989), de 27 de julio  de  1989,  del  Consejo  de</w:t>
        <w:br/>
        <w:t xml:space="preserve">         Seguridad de las Naciones Unidas[422].</w:t>
        <w:br/>
        <w:br/>
        <w:t xml:space="preserve">    267. En octubre de 1989, el Secretario General de las  Naciones  Unidas</w:t>
        <w:br/>
        <w:t xml:space="preserve">         informó a la Asamblea General y al Consejo de Seguridad  sobre  el</w:t>
        <w:br/>
        <w:t xml:space="preserve">         Acuerdo suscrito el 15 de septiembre en la Ciudad de México  entre</w:t>
        <w:br/>
        <w:t xml:space="preserve">         el Gobierno de El Salvador y el Frente  Farabundo  Martí  para  la</w:t>
        <w:br/>
        <w:t xml:space="preserve">         Liberación Nacional (FMLN) que procuraba entablar  un  proceso  de</w:t>
        <w:br/>
        <w:t xml:space="preserve">         diálogo con el  objeto  de  poner  fin  por  la  vía  política  al</w:t>
        <w:br/>
        <w:t xml:space="preserve">         conflicto armado en El Salvador[423]. En  diciembre  de  1989,  en</w:t>
        <w:br/>
        <w:t xml:space="preserve">         forma  separada,  el  Gobierno  del  entonces  Presidente  Alfredo</w:t>
        <w:br/>
        <w:t xml:space="preserve">         Cristiani y el FMLN solicitaron  al  Secretario  General  que  les</w:t>
        <w:br/>
        <w:t xml:space="preserve">         asistiera en la búsqueda de la paz[424].</w:t>
        <w:br/>
        <w:br/>
        <w:t xml:space="preserve">    268. A partir de ello, el Secretario  General  impulsó  el  proceso  de</w:t>
        <w:br/>
        <w:t xml:space="preserve">         negociación que se establecía bajo  sus  buenos  oficios,  con  el</w:t>
        <w:br/>
        <w:t xml:space="preserve">         objeto de lograr “la concertación de un  cese  del  enfrentamiento</w:t>
        <w:br/>
        <w:t xml:space="preserve">         armado y de todo acto que irrespete los derechos de  la  población</w:t>
        <w:br/>
        <w:t xml:space="preserve">         civil” en El  Salvador[425].  El  marco  de  dicho  proceso  quedó</w:t>
        <w:br/>
        <w:t xml:space="preserve">         establecido en el Acuerdo de Ginebra de 4 de abril de 1990,  luego</w:t>
        <w:br/>
        <w:t xml:space="preserve">         de lo cual las partes diseñaron una Agenda General y un Calendario</w:t>
        <w:br/>
        <w:t xml:space="preserve">         del proceso  de  negociación  que  fueron  acordados  en  Caracas,</w:t>
        <w:br/>
        <w:t xml:space="preserve">         Venezuela, el 21 de mayo de 1990[426].</w:t>
        <w:br/>
        <w:br/>
        <w:t xml:space="preserve">    269. El 26 de julio de 1990 las partes  firmaron  en  San  José,  Costa</w:t>
        <w:br/>
        <w:t xml:space="preserve">         Rica, el primer Acuerdo en el proceso de  negociación  relacionado</w:t>
        <w:br/>
        <w:t xml:space="preserve">         con el respeto irrestricto a los derechos humanos[427], en el cual</w:t>
        <w:br/>
        <w:t xml:space="preserve">         convinieron que “[s]e tomar[ían] de inmediato todas las acciones y</w:t>
        <w:br/>
        <w:t xml:space="preserve">         medidas necesarias para evitar todo tipo de hechos o prácticas que</w:t>
        <w:br/>
        <w:t xml:space="preserve">         atenten contra la vida, la integridad, la seguridad y la  libertad</w:t>
        <w:br/>
        <w:t xml:space="preserve">         de las  personas  [así  como]  para  erradicar  toda  práctica  de</w:t>
        <w:br/>
        <w:t xml:space="preserve">         desapariciones y  secuestros.  Se  dar[ía]  toda  prioridad  a  la</w:t>
        <w:br/>
        <w:t xml:space="preserve">         investigación  de  los  casos  de  esta  naturaleza  que  pudieran</w:t>
        <w:br/>
        <w:t xml:space="preserve">         presentarse, así como a la identificación  y  sanción  de  quienes</w:t>
        <w:br/>
        <w:t xml:space="preserve">         resultaren culpables”[428]. Dicho acuerdo también fue la base para</w:t>
        <w:br/>
        <w:t xml:space="preserve">         la creación de la Misión de Observadores de las Naciones Unidas en</w:t>
        <w:br/>
        <w:t xml:space="preserve">         El Salvador (ONUSAL), a través de la Resolución 693 de 20 de  mayo</w:t>
        <w:br/>
        <w:t xml:space="preserve">         de 1991 del Consejo de Seguridad, la cual se instaló efectivamente</w:t>
        <w:br/>
        <w:t xml:space="preserve">         el 26 de julio de 1991, con  el  fin  de  verificar  los  acuerdos</w:t>
        <w:br/>
        <w:t xml:space="preserve">         políticos a que llegaran las partes en el conflicto interno[429].</w:t>
        <w:br/>
        <w:br/>
        <w:t xml:space="preserve">    270. Los Acuerdos de México de 27 de abril de 1991 propugnaron reformas</w:t>
        <w:br/>
        <w:t xml:space="preserve">         constitucionales para  la  Fuerza  Armada,  relativas  al  sistema</w:t>
        <w:br/>
        <w:t xml:space="preserve">         judicial y de derechos  humanos,  así  como  respecto  al  sistema</w:t>
        <w:br/>
        <w:t xml:space="preserve">         electoral. Asimismo, la Comisión de la Verdad para el Salvador fue</w:t>
        <w:br/>
        <w:t xml:space="preserve">         establecida por las partes en dichos acuerdos[430], con el mandato</w:t>
        <w:br/>
        <w:t xml:space="preserve">         de investigar “graves hechos de violencia  ocurridos  desde  1980,</w:t>
        <w:br/>
        <w:t xml:space="preserve">         cuya huella sobre la sociedad reclama[ra] con  mayor  urgencia  el</w:t>
        <w:br/>
        <w:t xml:space="preserve">         conocimiento público de la verdad”[431],  y  elaborar  un  informe</w:t>
        <w:br/>
        <w:t xml:space="preserve">         final con sus  conclusiones  y  recomendaciones  de  orden  legal,</w:t>
        <w:br/>
        <w:t xml:space="preserve">         político o administrativo que podían guardar  relación  con  casos</w:t>
        <w:br/>
        <w:t xml:space="preserve">         específicos  o  ser  de  carácter  más  general.  Las  partes   se</w:t>
        <w:br/>
        <w:t xml:space="preserve">         comprometieron  a  cumplir   con   las   recomendaciones   de   la</w:t>
        <w:br/>
        <w:t xml:space="preserve">         Comisión[432].</w:t>
        <w:br/>
        <w:br/>
        <w:t xml:space="preserve">    271. Posteriormente, “el Acuerdo de Nueva York abriría el camino  a  la</w:t>
        <w:br/>
        <w:t xml:space="preserve">         obtención  de  la  paz   definitiva”[433]   hasta   culminar   las</w:t>
        <w:br/>
        <w:t xml:space="preserve">         negociaciones la noche del 31 de diciembre de 1991  con  la  firma</w:t>
        <w:br/>
        <w:t xml:space="preserve">         del Acta de Nueva York, en la que las  partes  reconocieron  haber</w:t>
        <w:br/>
        <w:t xml:space="preserve">         alcanzado un acuerdo sobre todos los aspectos que  se  encontraban</w:t>
        <w:br/>
        <w:t xml:space="preserve">         pendientes y convinieron en establecer un cese del  enfrentamiento</w:t>
        <w:br/>
        <w:t xml:space="preserve">         armado.</w:t>
        <w:br/>
        <w:br/>
        <w:t xml:space="preserve">    272. El Acuerdo final de paz que puso término al conflicto armado de 12</w:t>
        <w:br/>
        <w:t xml:space="preserve">         años  fue  firmado  16  de  enero  de  1992,  en  el  Castillo  de</w:t>
        <w:br/>
        <w:t xml:space="preserve">         Chapultepec de la Ciudad de México, D.F. El Acuerdo de Paz  de  El</w:t>
        <w:br/>
        <w:t xml:space="preserve">         Salvador  reafirmó  la  necesidad  de  superar  la  impunidad,  al</w:t>
        <w:br/>
        <w:t xml:space="preserve">         disponer que:</w:t>
        <w:br/>
        <w:br/>
        <w:br/>
        <w:t xml:space="preserve">      Se conoce la necesidad de esclarecer y superar  todo  señalamiento  de</w:t>
        <w:br/>
        <w:t xml:space="preserve">      impunidad de oficiales de la Fuerza  Armada,  especialmente  en  casos</w:t>
        <w:br/>
        <w:t xml:space="preserve">      donde esté comprometido el respeto a los derechos humanos. A tal  fin,</w:t>
        <w:br/>
        <w:t xml:space="preserve">      las Partes remiten la consideración y resolución de este  punto  a  la</w:t>
        <w:br/>
        <w:t xml:space="preserve">      Comisión de la Verdad. Todo ello sin perjuicio del principio, que  las</w:t>
        <w:br/>
        <w:t xml:space="preserve">      Partes  igualmente  reconocen,  de  que  hechos  de  esa   naturaleza,</w:t>
        <w:br/>
        <w:t xml:space="preserve">      independientemente del sector al que pertenecieren sus autores,  deben</w:t>
        <w:br/>
        <w:t xml:space="preserve">      ser objeto  de  la  actuación  ejemplarizante  de  los  tribunales  de</w:t>
        <w:br/>
        <w:t xml:space="preserve">      justicia, a fin de que se aplique a quienes resulten responsables  las</w:t>
        <w:br/>
        <w:t xml:space="preserve">      sanciones contempladas por la ley[434].</w:t>
        <w:br/>
        <w:br/>
        <w:t xml:space="preserve">    273. El 13 de julio de  1992  la  Comisión  de  la  Verdad  inició  sus</w:t>
        <w:br/>
        <w:t xml:space="preserve">         actividades, tomando en consideración por un  lado,  “la  singular</w:t>
        <w:br/>
        <w:t xml:space="preserve">         trascendencia  que  pueda  atribuirse   a   los   hechos   a   ser</w:t>
        <w:br/>
        <w:t xml:space="preserve">         investigados, sus  características  y  repercusión,  así  como  la</w:t>
        <w:br/>
        <w:t xml:space="preserve">         conmoción social que originaron”, y por el otro, “la necesidad  de</w:t>
        <w:br/>
        <w:t xml:space="preserve">         crear confianza en los cambios positivos que  el  proceso  de  paz</w:t>
        <w:br/>
        <w:t xml:space="preserve">         impulsa  y  de  estimular  el  tránsito  hacia  la  reconciliación</w:t>
        <w:br/>
        <w:t xml:space="preserve">         nacional”[435]. Sobre la  base  de  esos  criterios,  la  Comisión</w:t>
        <w:br/>
        <w:t xml:space="preserve">         investigó dos tipos de casos: “(a) los casos o hechos individuales</w:t>
        <w:br/>
        <w:t xml:space="preserve">         que, por sus características singulares, conmovieron a la sociedad</w:t>
        <w:br/>
        <w:t xml:space="preserve">         salvadoreña y/o a la sociedad internacional”, y “(b) una serie  de</w:t>
        <w:br/>
        <w:t xml:space="preserve">         casos individuales de características  similares  que  revelan  un</w:t>
        <w:br/>
        <w:t xml:space="preserve">         patrón sistemático de violencia o maltrato y  que,  vistos  en  su</w:t>
        <w:br/>
        <w:t xml:space="preserve">         conjunto, conmovieron en igual medida a la  sociedad  salvadoreña,</w:t>
        <w:br/>
        <w:t xml:space="preserve">         sobre todo por cuanto su objetivo fue impactar  por  medio  de  la</w:t>
        <w:br/>
        <w:t xml:space="preserve">         intimidación a ciertos sectores de esa sociedad”[436]. La Comisión</w:t>
        <w:br/>
        <w:t xml:space="preserve">         de la Verdad describió en su informe hecho público el 15 de  marzo</w:t>
        <w:br/>
        <w:t xml:space="preserve">         de 1993 los patrones de violencia  durante  el  conflicto  armado,</w:t>
        <w:br/>
        <w:t xml:space="preserve">         tanto de agentes del  Estado  como  de  integrantes  del  FMLN,  e</w:t>
        <w:br/>
        <w:t xml:space="preserve">         incluyó aproximadamente 30 casos ilustrativos de los mismos[437].</w:t>
        <w:br/>
        <w:br/>
        <w:br/>
        <w:t xml:space="preserve">                   La Ley de Reconciliación Nacional y la Ley  de  Amnistía</w:t>
        <w:br/>
        <w:t xml:space="preserve">                   General para la Consolidación de la Paz</w:t>
        <w:br/>
        <w:br/>
        <w:br/>
        <w:t xml:space="preserve">    274. El 23 de enero de 1992, tras la suscripción de los Acuerdos de Paz</w:t>
        <w:br/>
        <w:t xml:space="preserve">         de Chapultepec el 16 de enero de 1992, la Asamblea Legislativa  de</w:t>
        <w:br/>
        <w:t xml:space="preserve">         la República de El Salvador dictó el Decreto  Legislativo  Nº  147</w:t>
        <w:br/>
        <w:t xml:space="preserve">         denominado “Ley de Reconciliación  Nacional”.  El  artículo  1  de</w:t>
        <w:br/>
        <w:t xml:space="preserve">         dicho Decreto establecía: “[s]e concede amnistía a favor de  todas</w:t>
        <w:br/>
        <w:t xml:space="preserve">         las  personas  que  hayan  participado  como  autores  inmediatos,</w:t>
        <w:br/>
        <w:t xml:space="preserve">         mediatos o cómplices en la comisión de delitos  políticos  comunes</w:t>
        <w:br/>
        <w:t xml:space="preserve">         conexos con éstos y en delitos comunes cometidos por un número  de</w:t>
        <w:br/>
        <w:t xml:space="preserve">         personas que no baje de veinte, antes del 1º  de  enero  de  1992,</w:t>
        <w:br/>
        <w:t xml:space="preserve">         exceptuándose,  en  todo  caso,  el  delito  común  de  secuestro,</w:t>
        <w:br/>
        <w:t xml:space="preserve">         contemplado en el Art[ículo] 220 del Código Penal”[438]. Asimismo,</w:t>
        <w:br/>
        <w:t xml:space="preserve">         en su artículo 6 contenía una cláusula expresa que  indicaba  que:</w:t>
        <w:br/>
        <w:t xml:space="preserve">         “[n]o gozarán de esta gracia las personas que, según el informe de</w:t>
        <w:br/>
        <w:t xml:space="preserve">         la Comisión de la Verdad, hubieren participado en graves hechos de</w:t>
        <w:br/>
        <w:t xml:space="preserve">         violencia ocurridos desde el 1º de  enero  de  1980,  cuya  huella</w:t>
        <w:br/>
        <w:t xml:space="preserve">         sobre la sociedad, reclama  con  mayor  urgencia  el  conocimiento</w:t>
        <w:br/>
        <w:t xml:space="preserve">         público  de  la  verdad,  independientemente  del  sector  a   que</w:t>
        <w:br/>
        <w:t xml:space="preserve">         pertenecieren en su caso”[439].</w:t>
        <w:br/>
        <w:br/>
        <w:t xml:space="preserve">    275. El 20 de marzo de 1993, cinco días después de la presentación  del</w:t>
        <w:br/>
        <w:t xml:space="preserve">         Informe de la Comisión de la Verdad, la Asamblea Legislativa dictó</w:t>
        <w:br/>
        <w:t xml:space="preserve">         la denominada “Ley de Amnistía General para la Consolidación de la</w:t>
        <w:br/>
        <w:t xml:space="preserve">         Paz”  (en  adelante  “Ley  de  Amnistía”),  mediante  el   Decreto</w:t>
        <w:br/>
        <w:t xml:space="preserve">         Legislativo Nº 486 publicado el 22 de marzo de ese año[440]. Dicho</w:t>
        <w:br/>
        <w:t xml:space="preserve">         decreto establece textualmente lo siguiente:</w:t>
        <w:br/>
        <w:br/>
        <w:t xml:space="preserve">      Art. 1.- Se concede amnistía amplia, absoluta e incondicional a  favor</w:t>
        <w:br/>
        <w:t xml:space="preserve">      de todas las personas que en cualquier forma hayan participado  en  la</w:t>
        <w:br/>
        <w:t xml:space="preserve">      comisión de delitos políticos, comunes conexos con éstos y en  delitos</w:t>
        <w:br/>
        <w:t xml:space="preserve">      comunes cometidos por un número de personas  que  no  baje  de  veinte</w:t>
        <w:br/>
        <w:t xml:space="preserve">      antes del primero de enero de mil novecientos noventa y  dos,  ya  sea</w:t>
        <w:br/>
        <w:t xml:space="preserve">      que contra dichas personas  se  hubiere  dictado  sentencia,  se  haya</w:t>
        <w:br/>
        <w:t xml:space="preserve">      iniciado o no procedimiento por los mismos delitos, concediéndose esta</w:t>
        <w:br/>
        <w:t xml:space="preserve">      gracia a  todas  las  personas  que  hayan  participado  como  autores</w:t>
        <w:br/>
        <w:t xml:space="preserve">      inmediatos, mediatos  o  cómplices  en  los  hechos  delictivos  antes</w:t>
        <w:br/>
        <w:t xml:space="preserve">      referidos. La gracia de la amnistía se extiende a las personas  a  las</w:t>
        <w:br/>
        <w:t xml:space="preserve">      que se refiere el artículo 6 de la  Ley  de  Reconciliación  Nacional,</w:t>
        <w:br/>
        <w:t xml:space="preserve">      contenida en el Decreto Legislativo Número 147, de fecha veintitrés de</w:t>
        <w:br/>
        <w:t xml:space="preserve">      enero de mil novecientos noventa  y  dos  y  publicado  en  el  Diario</w:t>
        <w:br/>
        <w:t xml:space="preserve">      Oficial Número 14 Tomo 314 de la misma fecha.</w:t>
        <w:br/>
        <w:br/>
        <w:br/>
        <w:t xml:space="preserve">      Art. 2.- Para los efectos de esta Ley, además de los especificados  en</w:t>
        <w:br/>
        <w:t xml:space="preserve">      el artículo 151 del Código Penal, se considerarán también como delitos</w:t>
        <w:br/>
        <w:t xml:space="preserve">      políticos los comprendidos en los artículos del 400 al 411 y  del  460</w:t>
        <w:br/>
        <w:t xml:space="preserve">      al  479  del  mismo  Código,  y  los  cometidos  con  motivo  o   como</w:t>
        <w:br/>
        <w:t xml:space="preserve">      consecuencia del conflicto armado,  sin  que  para  ello  se  tome  en</w:t>
        <w:br/>
        <w:t xml:space="preserve">      consideración  la  condición,  militancia,   filiación   o   ideología</w:t>
        <w:br/>
        <w:t xml:space="preserve">      política.</w:t>
        <w:br/>
        <w:br/>
        <w:br/>
        <w:t xml:space="preserve">      Art. 3.- No gozarán de la gracia de amnistía:</w:t>
        <w:br/>
        <w:t xml:space="preserve">      a) Los que individual o  colectivamente  hubiesen  participado  en  la</w:t>
        <w:br/>
        <w:t xml:space="preserve">      comisión de los delitos tipificados en el inciso segundo del  artículo</w:t>
        <w:br/>
        <w:t xml:space="preserve">      400 del Código Penal, cuando éstos  lo  fuesen  con  ánimo  de  lucro,</w:t>
        <w:br/>
        <w:t xml:space="preserve">      encontrándose cumpliendo o no penas de prisión por tales hechos; y</w:t>
        <w:br/>
        <w:t xml:space="preserve">      b) Los que individual o  colectivamente  hubieren  participado  en  la</w:t>
        <w:br/>
        <w:t xml:space="preserve">      comisión de delitos  de  secuestro  y  extorsión  tipificados  en  los</w:t>
        <w:br/>
        <w:t xml:space="preserve">      artículos 220 y 257 del Código Penal y  los  comprendidos  en  la  Ley</w:t>
        <w:br/>
        <w:t xml:space="preserve">      Reguladora de las Actividades Relativas  a  las  Drogas,  ya  sea  que</w:t>
        <w:br/>
        <w:t xml:space="preserve">      contra ellos se haya iniciado o  no  procedimiento  o  se  encontraren</w:t>
        <w:br/>
        <w:t xml:space="preserve">      cumpliendo penas de prisión por cualquiera de estos delitos, sean o no</w:t>
        <w:br/>
        <w:t xml:space="preserve">      conexos con delitos políticos.</w:t>
        <w:br/>
        <w:br/>
        <w:br/>
        <w:t xml:space="preserve">      Art. 4.- La gracia de amnistía concedida por esta  ley  producirá  los</w:t>
        <w:br/>
        <w:t xml:space="preserve">      efectos siguientes:</w:t>
        <w:br/>
        <w:t xml:space="preserve">      a) Si se tratare de condenados a penas privativas de libertad, el juez</w:t>
        <w:br/>
        <w:t xml:space="preserve">      o tribunal que estuviere ejecutando la sentencia, decretará de  oficio</w:t>
        <w:br/>
        <w:t xml:space="preserve">      la libertad inmediata de los  condenados,  sin  necesidad  de  fianza;</w:t>
        <w:br/>
        <w:t xml:space="preserve">      igual procedimiento aplicará el Tribunal que estuviere conociendo, aún</w:t>
        <w:br/>
        <w:t xml:space="preserve">      cuando la sentencia no estuviere ejecutoriada;</w:t>
        <w:br/>
        <w:t xml:space="preserve">      b) Si  se  tratare  de  ausentes  condenados  a  penas  privativas  de</w:t>
        <w:br/>
        <w:t xml:space="preserve">      libertad,  el  Juez  o  Tribunal  competente,  levantará   de   oficio</w:t>
        <w:br/>
        <w:t xml:space="preserve">      inmediatamente las órdenes de captura libradas en contra de ellos, sin</w:t>
        <w:br/>
        <w:t xml:space="preserve">      necesidad de fianza;</w:t>
        <w:br/>
        <w:t xml:space="preserve">      c)  En  los  casos  de  imputados  con  causas  pendientes,  el   Juez</w:t>
        <w:br/>
        <w:t xml:space="preserve">      competente, decretará de oficio el sobreseimiento sin restricciones  a</w:t>
        <w:br/>
        <w:t xml:space="preserve">      favor de los procesados por extinción de la acción penal, ordenando la</w:t>
        <w:br/>
        <w:t xml:space="preserve">      inmediata libertad de los mismos;</w:t>
        <w:br/>
        <w:t xml:space="preserve">      ch) Si se tratare de personas que aún no han sido sometidas a  proceso</w:t>
        <w:br/>
        <w:t xml:space="preserve">      alguno, el presente decreto servirá para que en cualquier  momento  en</w:t>
        <w:br/>
        <w:t xml:space="preserve">      que se inicie el proceso en su contra por los delitos comprendidos  en</w:t>
        <w:br/>
        <w:t xml:space="preserve">      esta amnistía, puedan oponer la excepción de extinción  de  la  acción</w:t>
        <w:br/>
        <w:t xml:space="preserve">      penal y solicitar el sobreseimiento definitivo; y en el  caso  de  que</w:t>
        <w:br/>
        <w:t xml:space="preserve">      fueren capturadas, serán puestas a la orden del Juez  competente  para</w:t>
        <w:br/>
        <w:t xml:space="preserve">      que decrete su libertad;</w:t>
        <w:br/>
        <w:t xml:space="preserve">      d) Las personas que no se encuentren  comprendidas  en  los  literales</w:t>
        <w:br/>
        <w:t xml:space="preserve">      anteriores y que por iniciativa propia  o  por  cualquier  otra  razón</w:t>
        <w:br/>
        <w:t xml:space="preserve">      deseen  acogerse  a  la  gracia  de  la  presente   amnistía,   podrán</w:t>
        <w:br/>
        <w:t xml:space="preserve">      presentarse a los Jueces de  Primera  Instancia  respectivos,  quienes</w:t>
        <w:br/>
        <w:t xml:space="preserve">      vistas las solicitudes extenderán una  constancia  que  contendrá  las</w:t>
        <w:br/>
        <w:t xml:space="preserve">      razones por las que no se les puede restringir a los solicitantes  sus</w:t>
        <w:br/>
        <w:t xml:space="preserve">      derechos que les corresponden como ciudadanos; y</w:t>
        <w:br/>
        <w:t xml:space="preserve">      e) La amnistía concedida por  esta  ley,  extingue  en  todo  caso  la</w:t>
        <w:br/>
        <w:t xml:space="preserve">      responsabilidad civil.</w:t>
        <w:br/>
        <w:br/>
        <w:br/>
        <w:t xml:space="preserve">      Art. 5.- Sin perjuicio de lo dispuesto en los literales a),  b)  y  c)</w:t>
        <w:br/>
        <w:t xml:space="preserve">      del artículo anterior, las personas  que  estén  procesadas  y  deseen</w:t>
        <w:br/>
        <w:t xml:space="preserve">      acogerse a los beneficios de la presente ley, dirigirán solicitud  por</w:t>
        <w:br/>
        <w:t xml:space="preserve">      escrito,  ya  sea  personalmente  o  por  medio  de  apoderado,  o  se</w:t>
        <w:br/>
        <w:t xml:space="preserve">      presentarán a los Jueces de Primera Instancia, pidiendo que  se  dicte</w:t>
        <w:br/>
        <w:t xml:space="preserve">      en su favor el sobreseimiento correspondiente; el Juez competente,  de</w:t>
        <w:br/>
        <w:t xml:space="preserve">      ser  procedente,  dictará  el  sobreseimiento,  el   cual   será   sin</w:t>
        <w:br/>
        <w:t xml:space="preserve">      restricciones y sin necesidad de fianza.</w:t>
        <w:br/>
        <w:t xml:space="preserve">      Las solicitudes también se podrán presentar ante los  Jueces  de  Paz,</w:t>
        <w:br/>
        <w:t xml:space="preserve">      Gobernadores  Departamentales,   Alcaldes   Municipales   y   Cónsules</w:t>
        <w:br/>
        <w:t xml:space="preserve">      acreditados  en  el  exterior,  quienes  inmediatamente  después,  las</w:t>
        <w:br/>
        <w:t xml:space="preserve">      remitirán al Juez de Primera Instancia respectivo, para que les dé  el</w:t>
        <w:br/>
        <w:t xml:space="preserve">      trámite correspondiente.</w:t>
        <w:br/>
        <w:t xml:space="preserve">      A los funcionarios indicados en este artículo que no cumplan con dicha</w:t>
        <w:br/>
        <w:t xml:space="preserve">      obligación, el Juez competente les impondrá una  multa  de  Un  Mil  a</w:t>
        <w:br/>
        <w:t xml:space="preserve">      Cinco  Mil  Colones,  siguiendo  el  procedimiento  que  establece  el</w:t>
        <w:br/>
        <w:t xml:space="preserve">      artículo 718 del Código Procesal Penal.</w:t>
        <w:br/>
        <w:br/>
        <w:br/>
        <w:t xml:space="preserve">      Art. 6.- Derógase todas las disposiciones que contraríen  la  presente</w:t>
        <w:br/>
        <w:t xml:space="preserve">      ley, especialmente el Art. 6 y el último inciso del Art. 7,  ambos  de</w:t>
        <w:br/>
        <w:t xml:space="preserve">      la  Ley  de  Reconciliación  Nacional,  así  como  la   interpretación</w:t>
        <w:br/>
        <w:t xml:space="preserve">      auténtica de  la  primera  de  las  disposiciones  citadas  que  están</w:t>
        <w:br/>
        <w:t xml:space="preserve">      contenidas respectivamente, en el Decreto Nº 147 de  23  de  enero  de</w:t>
        <w:br/>
        <w:t xml:space="preserve">      1992, publicado en el Diario Oficial Nº 14, Tomo 314 de la misma fecha</w:t>
        <w:br/>
        <w:t xml:space="preserve">      y Decreto Nº 164 de fecha 6 de febrero del mismo año, publicado en  el</w:t>
        <w:br/>
        <w:t xml:space="preserve">      Diario Oficial Nº 26, Tomo 314 del 10 de febrero de 1992.</w:t>
        <w:br/>
        <w:br/>
        <w:br/>
        <w:t xml:space="preserve">      Art. 7.- El presente decreto entrará en vigencia ocho días después  de</w:t>
        <w:br/>
        <w:t xml:space="preserve">      su publicación en el Diario Oficial.</w:t>
        <w:br/>
        <w:br/>
        <w:br/>
        <w:br/>
        <w:t xml:space="preserve">                   La decisión de sobreseimiento  del  Juzgado  Segundo  de</w:t>
        <w:br/>
        <w:t xml:space="preserve">                   Primera Instancia de San Francisco Gotera</w:t>
        <w:br/>
        <w:br/>
        <w:br/>
        <w:t xml:space="preserve">    276. El 1 de septiembre de 1993 el Juzgado Segundo de Primera Instancia</w:t>
        <w:br/>
        <w:t xml:space="preserve">         de  San  Francisco  Gotera  profirió  decisión  de  sobreseimiento</w:t>
        <w:br/>
        <w:t xml:space="preserve">         definitivo. En dicha  decisión,  indicó  que  “de  acuerdo  a  las</w:t>
        <w:br/>
        <w:t xml:space="preserve">         EXHUMACIONES practicadas, no se ha podido establecer la  identidad</w:t>
        <w:br/>
        <w:t xml:space="preserve">         de cada persona fallecida, como así mismo el cuerpo del delito, si</w:t>
        <w:br/>
        <w:t xml:space="preserve">         bien es cierto que se encontraron [119] y con[c]entraciones de  la</w:t>
        <w:br/>
        <w:t xml:space="preserve">         misma especie deterioradas por el tiempo y naturaleza del  terreno</w:t>
        <w:br/>
        <w:t xml:space="preserve">         con que se encontraban cubiertas; y no habiendo ning[ú]n testigo u</w:t>
        <w:br/>
        <w:t xml:space="preserve">         ofendido que haya identificado las [o]samentas de sus  respectivos</w:t>
        <w:br/>
        <w:t xml:space="preserve">         cadáveres”. Además, señaló que “[e]n cuanto a la PARTICIPACIÓN  de</w:t>
        <w:br/>
        <w:t xml:space="preserve">         los autores intelectuales sobre quien o quienes se les imputa este</w:t>
        <w:br/>
        <w:t xml:space="preserve">         delito consta en autos que se refieren a Elementos  de  la  Fuerza</w:t>
        <w:br/>
        <w:t xml:space="preserve">         Armada  o  del  Batallón  Atlacat[l],  en  forma  colectiva,   sin</w:t>
        <w:br/>
        <w:t xml:space="preserve">         individualizar a  determinadas  personas  o  sea  que  no  se  han</w:t>
        <w:br/>
        <w:t xml:space="preserve">         mencionado sujetos activos en dicho hecho y en vista de la LEY  DE</w:t>
        <w:br/>
        <w:t xml:space="preserve">         AMNISTÍA GENERAL PARA LA CONSOLIDACIÓN DE LA PAZ,  […]  SOBRESEESE</w:t>
        <w:br/>
        <w:t xml:space="preserve">         DEFINITIVAMENTE a favor de cualquier persona que haya  pertenecido</w:t>
        <w:br/>
        <w:t xml:space="preserve">         al BATALLÓN ATLACAT[L] en esa época que ocurrió el hecho,  por  la</w:t>
        <w:br/>
        <w:t xml:space="preserve">         masacre ocurrida y POSTERIORMENTE ARCHIVESE”[441].</w:t>
        <w:br/>
        <w:br/>
        <w:br/>
        <w:t xml:space="preserve">                   Decisiones de la Sala de lo Constitucional de  la  Corte</w:t>
        <w:br/>
        <w:t xml:space="preserve">                   Suprema de Justicia</w:t>
        <w:br/>
        <w:br/>
        <w:br/>
        <w:t xml:space="preserve">    277. El 20 de mayo de 1993 la Sala de lo  Constitucional  de  la  Corte</w:t>
        <w:br/>
        <w:t xml:space="preserve">         Suprema de  Justicia  de  la  República  de  El  Salvador  declaró</w:t>
        <w:br/>
        <w:t xml:space="preserve">         improcedente la pretensión de revisar la constitucionalidad de  la</w:t>
        <w:br/>
        <w:t xml:space="preserve">         Ley de Amnistía General  para  la  Consolidación  de  la  Paz  por</w:t>
        <w:br/>
        <w:t xml:space="preserve">         considerar que  la  amnistía  constituyó  un  “acto  eminentemente</w:t>
        <w:br/>
        <w:t xml:space="preserve">         político”[442].</w:t>
        <w:br/>
        <w:br/>
        <w:t xml:space="preserve">    278. Posteriormente, a raíz de  dos  recursos  de  inconstitucionalidad</w:t>
        <w:br/>
        <w:t xml:space="preserve">         promovidos contra los artículos 1  y  4  de  la  Ley  de  Amnistía</w:t>
        <w:br/>
        <w:t xml:space="preserve">         General para la Consolidación de la Paz, el 26  de  septiembre  de</w:t>
        <w:br/>
        <w:t xml:space="preserve">         2000 la Sala de lo Constitucional de la Corte Suprema de  Justicia</w:t>
        <w:br/>
        <w:t xml:space="preserve">         declaró la constitucionalidad de dichas normas sobre  la  base  de</w:t>
        <w:br/>
        <w:t xml:space="preserve">         que “tales disposiciones admiten una interpretación conforme a  la</w:t>
        <w:br/>
        <w:t xml:space="preserve">         Constitución”[443], que debe ser considerada por  el  juzgador  en</w:t>
        <w:br/>
        <w:t xml:space="preserve">         cada caso concreto para determinar si la aplicación de la  Ley  de</w:t>
        <w:br/>
        <w:t xml:space="preserve">         Amnistía es inconstitucional[444]. La Sala  de  lo  Constitucional</w:t>
        <w:br/>
        <w:t xml:space="preserve">         interpretó que el artículo 1 de la Ley de Amnistía  “es  aplicable</w:t>
        <w:br/>
        <w:t xml:space="preserve">         únicamente en aquellos casos en lo que  el  mencionado  ocurso  de</w:t>
        <w:br/>
        <w:t xml:space="preserve">         gracia no impida la protección en la conservación y defensa de los</w:t>
        <w:br/>
        <w:t xml:space="preserve">         derechos de la víctima o sus familiares, es decir cuando se  trata</w:t>
        <w:br/>
        <w:t xml:space="preserve">         de delitos cuya investigación no  persigue  la  reparación  de  un</w:t>
        <w:br/>
        <w:t xml:space="preserve">         derecho fundamental”[445].</w:t>
        <w:br/>
        <w:br/>
        <w:br/>
        <w:t xml:space="preserve">                   Solicitudes de reapertura</w:t>
        <w:br/>
        <w:br/>
        <w:br/>
        <w:t xml:space="preserve">    279. Mediante escrito de 23 de noviembre de 2006 se  presentó  ante  el</w:t>
        <w:br/>
        <w:t xml:space="preserve">         Juzgado Segundo de Primera Instancia de San Francisco  Gotera  una</w:t>
        <w:br/>
        <w:t xml:space="preserve">         acusación particular en contra de  cinco  miembros  de  la  Fuerza</w:t>
        <w:br/>
        <w:t xml:space="preserve">         Armada de El Salvador y cinco integrantes del  BIRI  Atlacatl  por</w:t>
        <w:br/>
        <w:t xml:space="preserve">         los  delitos  de  asesinato,  violación  agravada,  privación   de</w:t>
        <w:br/>
        <w:t xml:space="preserve">         libertad agravada, violación de  morada,  robo,  daños  agravados,</w:t>
        <w:br/>
        <w:t xml:space="preserve">         estragos especialmente sancionados, actos de  terrorismo  y  actos</w:t>
        <w:br/>
        <w:t xml:space="preserve">         preparatorios del terrorismo, solicitando se proceda a  la  formal</w:t>
        <w:br/>
        <w:t xml:space="preserve">         notificación de la sentencia que aplicó la  Ley  de  Amnistía;  se</w:t>
        <w:br/>
        <w:t xml:space="preserve">         revoque la decisión de sobreseimiento y se decrete la  continuidad</w:t>
        <w:br/>
        <w:t xml:space="preserve">         de la instrucción  penal,  así  como  varias  medidas  de  prueba,</w:t>
        <w:br/>
        <w:t xml:space="preserve">         basándose en la sentencia de 26 de septiembre de 2000 de  la  Sala</w:t>
        <w:br/>
        <w:t xml:space="preserve">         de lo Constitucional de la Corte Suprema de Justicia[446].  El  30</w:t>
        <w:br/>
        <w:t xml:space="preserve">         de noviembre de  2006  el  Juzgado  Segundo  admitió  el  escrito,</w:t>
        <w:br/>
        <w:t xml:space="preserve">         indicando que “dada la dimensión,  importancia  y  relevancia  del</w:t>
        <w:br/>
        <w:t xml:space="preserve">         caso, se procederá a un estudio exhaustivo del  mismo,  luego  del</w:t>
        <w:br/>
        <w:t xml:space="preserve">         cual se resolverá”; se solicitó el expediente original a la  Corte</w:t>
        <w:br/>
        <w:t xml:space="preserve">         Suprema de Justicia,  y  se  requirió  a  los  representantes  que</w:t>
        <w:br/>
        <w:t xml:space="preserve">         indicasen si existía algún proceso al  respecto  en  la  instancia</w:t>
        <w:br/>
        <w:t xml:space="preserve">         internacional[447]. Dicho requerimiento fue contestado  el  16  de</w:t>
        <w:br/>
        <w:t xml:space="preserve">         abril de 2007[448]. El 13 de  agosto  de  2007  Tutela  Legal  del</w:t>
        <w:br/>
        <w:t xml:space="preserve">         Arzobispado  reiteró  su  petición  de  reapertura   sin   obtener</w:t>
        <w:br/>
        <w:t xml:space="preserve">         respuesta de la autoridad[449], e informó que en sus escritos  más</w:t>
        <w:br/>
        <w:t xml:space="preserve">         recientes, ni las investigaciones ni las  gestiones  especificadas</w:t>
        <w:br/>
        <w:t xml:space="preserve">         solicitadas para el esclarecimiento de la verdad se habían llevado</w:t>
        <w:br/>
        <w:t xml:space="preserve">         a cabo.</w:t>
        <w:br/>
        <w:br/>
        <w:t xml:space="preserve">    280. El 4 de febrero de 2009 el Juzgado  Segundo  emitió  una  decisión</w:t>
        <w:br/>
        <w:t xml:space="preserve">         “resolviendo en parte el escrito de [23 de  noviembre  de  2006]”,</w:t>
        <w:br/>
        <w:t xml:space="preserve">         por la cual  declaró  improcedente  la  solicitud  relativa  a  la</w:t>
        <w:br/>
        <w:t xml:space="preserve">         notificación de la sentencia que aplicó la Ley  de  Amnistía[450].</w:t>
        <w:br/>
        <w:t xml:space="preserve">         El 9 de febrero de 2009 Tutela Legal del Arzobispado presentó  una</w:t>
        <w:br/>
        <w:t xml:space="preserve">         solicitud de revocatoria de la  resolución  de  4  de  febrero  de</w:t>
        <w:br/>
        <w:t xml:space="preserve">         2009[451]. Desde entonces, no habría habido ninguna otra actuación</w:t>
        <w:br/>
        <w:t xml:space="preserve">         relevante en el proceso.</w:t>
        <w:br/>
        <w:br/>
        <w:t xml:space="preserve">           2)    Argumentos de la Comisión y alegatos de las partes</w:t>
        <w:br/>
        <w:br/>
        <w:t xml:space="preserve">    281.  La  Comisión  consideró,  en  relación   con   la   decisión   de</w:t>
        <w:br/>
        <w:t xml:space="preserve">         sobreseimiento de 27 de septiembre de 1993 emitida por el  Juzgado</w:t>
        <w:br/>
        <w:t xml:space="preserve">         Segundo, que la Ley de Amnistía General para la  Consolidación  de</w:t>
        <w:br/>
        <w:t xml:space="preserve">         la Paz y su aplicación  en  el  presente  caso  habrían  resultado</w:t>
        <w:br/>
        <w:t xml:space="preserve">         incompatibles con las obligaciones internacionales del  Estado  de</w:t>
        <w:br/>
        <w:t xml:space="preserve">         El Salvador bajo la Convención Americana. Al respecto, sostuvo que</w:t>
        <w:br/>
        <w:t xml:space="preserve">         los hechos materia del presente caso revestirían extrema  gravedad</w:t>
        <w:br/>
        <w:t xml:space="preserve">         y  constituirían  crímenes  de  lesa  humanidad   cuya   impunidad</w:t>
        <w:br/>
        <w:t xml:space="preserve">         resultaba abiertamente contraria a la Convención. De esta  manera,</w:t>
        <w:br/>
        <w:t xml:space="preserve">         concluyó enfáticamente que el sobreseimiento así como  la  Ley  de</w:t>
        <w:br/>
        <w:t xml:space="preserve">         Amnistía carecían de efectos jurídicos, y no podían seguir  siendo</w:t>
        <w:br/>
        <w:t xml:space="preserve">         un obstáculo para la investigación de las masacres de El Mozote  y</w:t>
        <w:br/>
        <w:t xml:space="preserve">         lugares aledaños, ni para la identificación y el  castigo  de  los</w:t>
        <w:br/>
        <w:t xml:space="preserve">         responsables. Sobre la decisión de la Sala de lo Constitucional de</w:t>
        <w:br/>
        <w:t xml:space="preserve">         la Corte Suprema de Justicia de 2 de octubre de 2000, la  Comisión</w:t>
        <w:br/>
        <w:t xml:space="preserve">         consideró que si bien habría abierto una posibilidad a  discreción</w:t>
        <w:br/>
        <w:t xml:space="preserve">         de cada juez de continuar con las investigaciones en ciertos casos</w:t>
        <w:br/>
        <w:t xml:space="preserve">         en los que, como en el presente,  se  había  aplicado  la  Ley  de</w:t>
        <w:br/>
        <w:t xml:space="preserve">         Amnistía, dicha decisión no habría subsanado  los  graves  efectos</w:t>
        <w:br/>
        <w:t xml:space="preserve">         que habría tenido y continuaría teniendo la vigencia de dicha  ley</w:t>
        <w:br/>
        <w:t xml:space="preserve">         en las expectativas  de  verdad,  justicia  y  reparación  de  los</w:t>
        <w:br/>
        <w:t xml:space="preserve">         familiares de las víctimas y la  sociedad  salvadoreña.  Asimismo,</w:t>
        <w:br/>
        <w:t xml:space="preserve">         consideró que el texto mismo de la ley, al permitir  la  inclusión</w:t>
        <w:br/>
        <w:t xml:space="preserve">         de  graves  violaciones  de  derechos  humanos,   sería   per   se</w:t>
        <w:br/>
        <w:t xml:space="preserve">         incompatible con la Convención Americana y, por lo tanto, la norma</w:t>
        <w:br/>
        <w:t xml:space="preserve">         debería ser derogada o sus  efectos  eliminados.  De  igual  modo,</w:t>
        <w:br/>
        <w:t xml:space="preserve">         sostuvo que los jueces, fiscales y otras  autoridades  mantendrían</w:t>
        <w:br/>
        <w:t xml:space="preserve">         un entendimiento generalizado de que la Ley de Amnistía excluye la</w:t>
        <w:br/>
        <w:t xml:space="preserve">         posibilidad de responsabilizar penalmente a los  perpetradores  de</w:t>
        <w:br/>
        <w:t xml:space="preserve">         violaciones a los derechos humanos  en  el  conflicto  armado.  En</w:t>
        <w:br/>
        <w:t xml:space="preserve">         consecuencia, la Comisión concluyó que, tanto la vigencia como  la</w:t>
        <w:br/>
        <w:t xml:space="preserve">         aplicación de la Ley de Amnistía General para la Consolidación  de</w:t>
        <w:br/>
        <w:t xml:space="preserve">         la Paz en el presente  caso,  constituían  una  violación  de  los</w:t>
        <w:br/>
        <w:t xml:space="preserve">         derechos consagrados en los artículos 8.1 y 25.1, en relación  con</w:t>
        <w:br/>
        <w:t xml:space="preserve">         las obligaciones establecidas en los artículos 1.1 y 2  del  mismo</w:t>
        <w:br/>
        <w:t xml:space="preserve">         instrumento, en perjuicio de los familiares de las víctimas.</w:t>
        <w:br/>
        <w:br/>
        <w:t xml:space="preserve">    282. Los  representantes  alegaron  que  el  Estado  salvadoreño  sería</w:t>
        <w:br/>
        <w:t xml:space="preserve">         responsable por no investigar  de  manera  seria  y  efectiva  los</w:t>
        <w:br/>
        <w:t xml:space="preserve">         hechos de las masacres de El Mozote y lugares aledaños, en  virtud</w:t>
        <w:br/>
        <w:t xml:space="preserve">         de  la  aplicación  de  la  Ley  de  Amnistía  General   para   la</w:t>
        <w:br/>
        <w:t xml:space="preserve">         Consolidación de la Paz. Asimismo,  los  representantes  indicaron</w:t>
        <w:br/>
        <w:t xml:space="preserve">         que la propia Sala de lo Constitucional de  la  Corte  Suprema  de</w:t>
        <w:br/>
        <w:t xml:space="preserve">         Justicia de El Salvador habría establecido, desde el año 2001, que</w:t>
        <w:br/>
        <w:t xml:space="preserve">         la referida norma no era aplicable  a  graves  violaciones  a  los</w:t>
        <w:br/>
        <w:t xml:space="preserve">         derechos humanos. No  obstante,  aunque  para  los  representantes</w:t>
        <w:br/>
        <w:t xml:space="preserve">         sería  evidente  que  el  presente  caso  se  refiere   a   graves</w:t>
        <w:br/>
        <w:t xml:space="preserve">         violaciones a los derechos humanos,  la  Fiscalía  General  de  la</w:t>
        <w:br/>
        <w:t xml:space="preserve">         República no habría  solicitado  la  inaplicación  de  la  Ley  de</w:t>
        <w:br/>
        <w:t xml:space="preserve">         Amnistía a este caso, y tampoco habría sido inaplicada por el juez</w:t>
        <w:br/>
        <w:t xml:space="preserve">         de la causa, a pesar de que existiría  una  solicitud  expresa  en</w:t>
        <w:br/>
        <w:t xml:space="preserve">         este sentido desde el año 2006. En consecuencia, a la fecha,  casi</w:t>
        <w:br/>
        <w:t xml:space="preserve">         30 años después de  ocurridos  estos  graves  hechos,  los  mismos</w:t>
        <w:br/>
        <w:t xml:space="preserve">         permanecerían en la más absoluta impunidad y la  Ley  de  Amnistía</w:t>
        <w:br/>
        <w:t xml:space="preserve">         continuaría obstaculizando en la actualidad la determinación de lo</w:t>
        <w:br/>
        <w:t xml:space="preserve">         ocurrido  y  la  sanción  de  los  responsables.  Por  ello,   los</w:t>
        <w:br/>
        <w:t xml:space="preserve">         representantes solicitaron que la Corte declare que el  Estado  es</w:t>
        <w:br/>
        <w:t xml:space="preserve">         responsable por la violación  de  los  derechos  de  las  víctimas</w:t>
        <w:br/>
        <w:t xml:space="preserve">         sobrevivientes y los familiares de las víctimas  a  la  protección</w:t>
        <w:br/>
        <w:t xml:space="preserve">         judicial y a las garantías judiciales, contenidos en los artículos</w:t>
        <w:br/>
        <w:t xml:space="preserve">         8 y 25  de  la  Convención  Americana,  en  concordancia  con  los</w:t>
        <w:br/>
        <w:t xml:space="preserve">         artículos 1.1 y 2 de la misma, y en los artículos 1, 6 y 8  de  la</w:t>
        <w:br/>
        <w:t xml:space="preserve">         Convención Interamericana para Prevenir y Sancionar la Tortura,  y</w:t>
        <w:br/>
        <w:t xml:space="preserve">         el artículo 7 de la Convención de Belem do Pará.</w:t>
        <w:br/>
        <w:br/>
        <w:t xml:space="preserve">           3)    Consideraciones de la Corte</w:t>
        <w:br/>
        <w:br/>
        <w:t xml:space="preserve">    283. Ya ha sido expuesto y desarrollado ampliamente en los casos  Gomes</w:t>
        <w:br/>
        <w:t xml:space="preserve">         Lund Vs. Brasil y Gelman Vs. Uruguay[452] resueltos por esta Corte</w:t>
        <w:br/>
        <w:t xml:space="preserve">         en  el  ámbito  de  su  competencia  jurisdiccional,   como   este</w:t>
        <w:br/>
        <w:t xml:space="preserve">         Tribunal[453],   la   Comisión    Interamericana    de    Derechos</w:t>
        <w:br/>
        <w:t xml:space="preserve">         Humanos[454], los  órganos  de  las  Naciones  Unidas[455];  otros</w:t>
        <w:br/>
        <w:t xml:space="preserve">         organismos regionales de protección de los derechos  humanos[456];</w:t>
        <w:br/>
        <w:t xml:space="preserve">         y otros tribunales del ámbito del derecho penal internacional[457]</w:t>
        <w:br/>
        <w:t xml:space="preserve">         se han pronunciado sobre  la  incompatibilidad  de  las  leyes  de</w:t>
        <w:br/>
        <w:t xml:space="preserve">         amnistía relativas a graves violaciones de derechos humanos con el</w:t>
        <w:br/>
        <w:t xml:space="preserve">         derecho internacional y las obligaciones  internacionales  de  los</w:t>
        <w:br/>
        <w:t xml:space="preserve">         Estados. Esto debido a que las amnistías o  figuras  análogas  han</w:t>
        <w:br/>
        <w:t xml:space="preserve">         sido uno de los obstáculos invocados por algunos Estados  para  no</w:t>
        <w:br/>
        <w:t xml:space="preserve">         cumplir con su obligación de investigar, juzgar  y,  en  su  caso,</w:t>
        <w:br/>
        <w:t xml:space="preserve">         sancionar a los responsables de graves violaciones a los  derechos</w:t>
        <w:br/>
        <w:t xml:space="preserve">         humanos. Igualmente, diversos Estados miembros de la  Organización</w:t>
        <w:br/>
        <w:t xml:space="preserve">         de los Estados Americanos, por medio de sus más  altos  tribunales</w:t>
        <w:br/>
        <w:t xml:space="preserve">         de  justicia,  han   incorporado   los   estándares   mencionados,</w:t>
        <w:br/>
        <w:t xml:space="preserve">         observando de buena fe sus obligaciones  internacionales[458].  De</w:t>
        <w:br/>
        <w:t xml:space="preserve">         tal modo, a efectos del presente caso,  el  Tribunal  reitera[459]</w:t>
        <w:br/>
        <w:t xml:space="preserve">         que  “son  inadmisibles  las  disposiciones   de   amnistía,   las</w:t>
        <w:br/>
        <w:t xml:space="preserve">         disposiciones de prescripción y el establecimiento de  excluyentes</w:t>
        <w:br/>
        <w:t xml:space="preserve">         de  responsabilidad  que  pretendan  impedir  la  investigación  y</w:t>
        <w:br/>
        <w:t xml:space="preserve">         sanción de los responsables  de  las  violaciones  graves  de  los</w:t>
        <w:br/>
        <w:t xml:space="preserve">         derechos humanos tales como la tortura, las ejecuciones  sumarias,</w:t>
        <w:br/>
        <w:t xml:space="preserve">         extralegales o arbitrarias y las  desapariciones  forzadas,  todas</w:t>
        <w:br/>
        <w:t xml:space="preserve">         ellas prohibidas por contravenir derechos inderogables reconocidos</w:t>
        <w:br/>
        <w:t xml:space="preserve">         por el Derecho Internacional de los Derechos Humanos”[460].</w:t>
        <w:br/>
        <w:br/>
        <w:t xml:space="preserve">    284. Sin embargo y a diferencia de los  casos  abordados  anteriormente</w:t>
        <w:br/>
        <w:t xml:space="preserve">         por este Tribunal, en el presente caso se  trata  de  una  ley  de</w:t>
        <w:br/>
        <w:t xml:space="preserve">         amnistía general que se refiere a hechos cometidos en el  contexto</w:t>
        <w:br/>
        <w:t xml:space="preserve">         de  un  conflicto  armado  interno.  Por  ello,  la  Corte  estima</w:t>
        <w:br/>
        <w:t xml:space="preserve">         pertinente, al realizar el análisis de la compatibilidad de la Ley</w:t>
        <w:br/>
        <w:t xml:space="preserve">         de Amnistía General para  la  Consolidación  de  la  Paz  con  las</w:t>
        <w:br/>
        <w:t xml:space="preserve">         obligaciones internacionales derivadas de la Convención  Americana</w:t>
        <w:br/>
        <w:t xml:space="preserve">         y su aplicación al caso de las Masacres de  El  Mozote  y  lugares</w:t>
        <w:br/>
        <w:t xml:space="preserve">         aledaños, hacerlo también  a  la  luz  de  lo  establecido  en  el</w:t>
        <w:br/>
        <w:t xml:space="preserve">         Protocolo II adicional a los Convenios de Ginebra de 1949 así como</w:t>
        <w:br/>
        <w:t xml:space="preserve">         de los términos específicos en  que  se  acordó  el  cese  de  las</w:t>
        <w:br/>
        <w:t xml:space="preserve">         hostilidades que puso fin  al  conflicto  en  El  Salvador  y,  en</w:t>
        <w:br/>
        <w:t xml:space="preserve">         particular, del Capítulo I (“Fuerza Armada”), punto 5 (“Superación</w:t>
        <w:br/>
        <w:t xml:space="preserve">         de la Impunidad”), del Acuerdo de Paz de 16 de enero de 1992.</w:t>
        <w:br/>
        <w:br/>
        <w:t xml:space="preserve">    285. Según el  Derecho  Internacional  Humanitario  aplicable  a  estas</w:t>
        <w:br/>
        <w:t xml:space="preserve">         situaciones, se justifica en ocasiones  la  emisión  de  leyes  de</w:t>
        <w:br/>
        <w:t xml:space="preserve">         amnistía al cese de las hostilidades en los conflictos armados  de</w:t>
        <w:br/>
        <w:t xml:space="preserve">         carácter no internacional para posibilitar el retorno a la paz. En</w:t>
        <w:br/>
        <w:t xml:space="preserve">         efecto, el artículo 6.5 del Protocolo II adicional a los Convenios</w:t>
        <w:br/>
        <w:t xml:space="preserve">         de Ginebra de 1949 prevé que:</w:t>
        <w:br/>
        <w:br/>
        <w:br/>
        <w:t xml:space="preserve">      A la cesación  de  las  hostilidades,  las  autoridades  en  el  poder</w:t>
        <w:br/>
        <w:t xml:space="preserve">      procurarán conceder la amnistía más amplia posible a las personas  que</w:t>
        <w:br/>
        <w:t xml:space="preserve">      hayan tomado parte en el conflicto armado o que se encuentren privadas</w:t>
        <w:br/>
        <w:t xml:space="preserve">      de libertad, internadas o detenidas por motivos  relacionados  con  el</w:t>
        <w:br/>
        <w:t xml:space="preserve">      conflicto armado.</w:t>
        <w:br/>
        <w:br/>
        <w:t xml:space="preserve">    286. Sin embargo, esta norma no es absoluta, en tanto también existe en</w:t>
        <w:br/>
        <w:t xml:space="preserve">         el Derecho Internacional Humanitario una obligación de los Estados</w:t>
        <w:br/>
        <w:t xml:space="preserve">         de investigar y juzgar crímenes de guerra[461].  Por  esta  razón,</w:t>
        <w:br/>
        <w:t xml:space="preserve">         “las personas sospechosas o acusadas de haber cometido crímenes de</w:t>
        <w:br/>
        <w:t xml:space="preserve">         guerra, o que estén condenadas por ello” no podrán estar cubiertas</w:t>
        <w:br/>
        <w:t xml:space="preserve">         por una amnistía[462]. Por consiguiente, puede entenderse  que  el</w:t>
        <w:br/>
        <w:t xml:space="preserve">         artículo 6.5 del Protocolo II adicional está referido a  amnistías</w:t>
        <w:br/>
        <w:t xml:space="preserve">         amplias respecto de quienes  hayan  participado  en  el  conflicto</w:t>
        <w:br/>
        <w:t xml:space="preserve">         armado no internacional o se encuentren privados de  libertad  por</w:t>
        <w:br/>
        <w:t xml:space="preserve">         razones relacionadas con el conflicto armado, siempre  que  no  se</w:t>
        <w:br/>
        <w:t xml:space="preserve">         trate de hechos que, como los del presente  caso,  cabrían  en  la</w:t>
        <w:br/>
        <w:t xml:space="preserve">         categoría de crímenes de guerra[463] e, incluso, en la de crímenes</w:t>
        <w:br/>
        <w:t xml:space="preserve">         contra la humanidad[464].</w:t>
        <w:br/>
        <w:br/>
        <w:t xml:space="preserve">    287. Las negociaciones bajo los buenos oficios del  Secretario  General</w:t>
        <w:br/>
        <w:t xml:space="preserve">         de las Naciones Unidas y acuerdos alcanzados por  las  partes  del</w:t>
        <w:br/>
        <w:t xml:space="preserve">         conflicto armado salvadoreño -el Gobierno de la  República  de  El</w:t>
        <w:br/>
        <w:t xml:space="preserve">         Salvador y el Frente Farabundo Martí para la Liberación Nacional-,</w:t>
        <w:br/>
        <w:t xml:space="preserve">         en el proceso llevado  a  cabo  con  el  objeto  de  “terminar  el</w:t>
        <w:br/>
        <w:t xml:space="preserve">         conflicto armado por la vía política al más corto  plazo  posible,</w:t>
        <w:br/>
        <w:t xml:space="preserve">         impulsar la democratización del país,  garantizar  el  irrestricto</w:t>
        <w:br/>
        <w:t xml:space="preserve">         respeto  a  los  derechos  humanos  y  reunificar  a  la  sociedad</w:t>
        <w:br/>
        <w:t xml:space="preserve">         salvadoreña”, convergieron en la firma el 16 de enero de  1992  de</w:t>
        <w:br/>
        <w:t xml:space="preserve">         un Acuerdo de Paz que puso fin a las hostilidades[465].  En  dicho</w:t>
        <w:br/>
        <w:t xml:space="preserve">         Acuerdo  no  se  hizo  alusión  a  amnistía  alguna  sino  que  se</w:t>
        <w:br/>
        <w:t xml:space="preserve">         estableció claramente en su Capítulo I (“Fuerza Armada”), punto 5,</w:t>
        <w:br/>
        <w:t xml:space="preserve">         una cláusula denominada “Superación  de  la  Impunidad”[466],  que</w:t>
        <w:br/>
        <w:t xml:space="preserve">         dispone lo siguiente:</w:t>
        <w:br/>
        <w:br/>
        <w:t xml:space="preserve">      Se conoce la necesidad de esclarecer y superar  todo  señalamiento  de</w:t>
        <w:br/>
        <w:t xml:space="preserve">      impunidad de oficiales de la Fuerza  Armada,  especialmente  en  casos</w:t>
        <w:br/>
        <w:t xml:space="preserve">      donde esté comprometido el respeto a los derechos humanos. A tal  fin,</w:t>
        <w:br/>
        <w:t xml:space="preserve">      las Partes remiten la consideración y resolución de este  punto  a  la</w:t>
        <w:br/>
        <w:t xml:space="preserve">      Comisión de la Verdad. Todo ello sin perjuicio del principio, que  las</w:t>
        <w:br/>
        <w:t xml:space="preserve">      Partes  igualmente  reconocen,  de  que  hechos  de  esa   naturaleza,</w:t>
        <w:br/>
        <w:t xml:space="preserve">      independientemente del sector al que pertenecieren sus autores,  deben</w:t>
        <w:br/>
        <w:t xml:space="preserve">      ser objeto  de  la  actuación  ejemplarizante  de  los  tribunales  de</w:t>
        <w:br/>
        <w:t xml:space="preserve">      justicia, a fin que se aplique a quienes resulten responsables de  las</w:t>
        <w:br/>
        <w:t xml:space="preserve">      sanciones contempladas por la ley[467].</w:t>
        <w:br/>
        <w:br/>
        <w:t xml:space="preserve">    288. De lo antes descrito se colige que la lógica del proceso  político</w:t>
        <w:br/>
        <w:t xml:space="preserve">         entre  las  partes  en  conflicto,  que  llevó  al  cese  de   las</w:t>
        <w:br/>
        <w:t xml:space="preserve">         hostilidades en El Salvador, imponía la  obligación  a  cargo  del</w:t>
        <w:br/>
        <w:t xml:space="preserve">         Estado de  investigar  y  sancionar  a  través  de  “la  actuación</w:t>
        <w:br/>
        <w:t xml:space="preserve">         ejemplarizante” de los tribunales de justicia ordinarios al  menos</w:t>
        <w:br/>
        <w:t xml:space="preserve">         las graves violaciones de derechos  humanos  que  estableciera  la</w:t>
        <w:br/>
        <w:t xml:space="preserve">         Comisión de la Verdad, de modo tal que no quedaran  impunes  y  se</w:t>
        <w:br/>
        <w:t xml:space="preserve">         evitara su repetición.</w:t>
        <w:br/>
        <w:br/>
        <w:t xml:space="preserve">    289. Posteriormente, la Asamblea Legislativa  de  la  República  de  El</w:t>
        <w:br/>
        <w:t xml:space="preserve">         Salvador dictó la Ley de  Reconciliación  Nacional  de  1992,  que</w:t>
        <w:br/>
        <w:t xml:space="preserve">         establecía la gracia de la amnistía con  restricciones,  en  tanto</w:t>
        <w:br/>
        <w:t xml:space="preserve">         excluía de su aplicación a “las personas que, según el informe  de</w:t>
        <w:br/>
        <w:t xml:space="preserve">         la Comisión de la Verdad, hubieren participado en graves hechos de</w:t>
        <w:br/>
        <w:t xml:space="preserve">         violencia ocurridos desde el 1º de  enero  de  1980,  cuya  huella</w:t>
        <w:br/>
        <w:t xml:space="preserve">         sobre la sociedad, reclama  con  mayor  urgencia  el  conocimiento</w:t>
        <w:br/>
        <w:t xml:space="preserve">         público  de  la  verdad,  independientemente  del  sector  a   que</w:t>
        <w:br/>
        <w:t xml:space="preserve">         pertenecieren en su caso”[468].</w:t>
        <w:br/>
        <w:br/>
        <w:t xml:space="preserve">    290. En forma concordante, la Comisión de la  Verdad,  creada  por  los</w:t>
        <w:br/>
        <w:t xml:space="preserve">         Acuerdos de México de 27  de  abril  de  1991  y  que  inició  sus</w:t>
        <w:br/>
        <w:t xml:space="preserve">         actividades el 13 de julio de 1992, investigó  “graves  hechos  de</w:t>
        <w:br/>
        <w:t xml:space="preserve">         violencia ocurridos desde 1980, cuyo  impacto  sobre  la  sociedad</w:t>
        <w:br/>
        <w:t xml:space="preserve">         reclama[ra] con mayor  urgencia  el  conocimiento  público  de  la</w:t>
        <w:br/>
        <w:t xml:space="preserve">         verdad”, entre los cuales se encuentra las Masacres de El  Mozote,</w:t>
        <w:br/>
        <w:t xml:space="preserve">         como un caso ilustrativo de las masacres de  campesinos  cometidas</w:t>
        <w:br/>
        <w:t xml:space="preserve">         por la Fuerza Armada[469]. En su informe hecho público  el  15  de</w:t>
        <w:br/>
        <w:t xml:space="preserve">         marzo de 1993, la Comisión  de  la  Verdad  emitió  una  serie  de</w:t>
        <w:br/>
        <w:t xml:space="preserve">         recomendaciones, entre las  que  incluyó  un  apartado  sobre  las</w:t>
        <w:br/>
        <w:t xml:space="preserve">         “medidas  tendientes  a  la  reconciliación  nacional”.  En  dicho</w:t>
        <w:br/>
        <w:t xml:space="preserve">         apartado sostuvo, entre otros:</w:t>
        <w:br/>
        <w:br/>
        <w:t xml:space="preserve">      Con todo, para alcanzar la meta del perdón, es necesario  detenerse  a</w:t>
        <w:br/>
        <w:t xml:space="preserve">      considerar ciertas consecuencias que se coligen del conocimiento de la</w:t>
        <w:br/>
        <w:t xml:space="preserve">      verdad sobre los graves hechos que en este Informe  quedan  descritos.</w:t>
        <w:br/>
        <w:t xml:space="preserve">      Una de ellas, acaso la  más  difícil  de  encarar  dentro  del  actual</w:t>
        <w:br/>
        <w:t xml:space="preserve">      contexto del país, es  la  de  satisfacer  los  requerimientos  de  la</w:t>
        <w:br/>
        <w:t xml:space="preserve">      justicia. Estos requerimientos apuntan en dos direcciones. Una  es  la</w:t>
        <w:br/>
        <w:t xml:space="preserve">      sanción a los  responsables.  Otra  es  la  reparación  debida  a  las</w:t>
        <w:br/>
        <w:t xml:space="preserve">      víctimas y a sus familiares[470].</w:t>
        <w:br/>
        <w:br/>
        <w:t xml:space="preserve">    291. Sin embargo, el 20 de marzo de 1993,  cinco  días  después  de  la</w:t>
        <w:br/>
        <w:t xml:space="preserve">         presentación del Informe de la Comisión de la Verdad, la  Asamblea</w:t>
        <w:br/>
        <w:t xml:space="preserve">         Legislativa de la República de El  Salvador  dictó  la  denominada</w:t>
        <w:br/>
        <w:t xml:space="preserve">         “Ley de Amnistía General para la Consolidación de la Paz”, la cual</w:t>
        <w:br/>
        <w:t xml:space="preserve">         extendió la gracia de la amnistía a las  personas  a  las  que  se</w:t>
        <w:br/>
        <w:t xml:space="preserve">         refería el artículo 6 de la Ley de Reconciliación  Nacional,  esto</w:t>
        <w:br/>
        <w:t xml:space="preserve">         es, a “las personas que, según el informe de  la  Comisión  de  la</w:t>
        <w:br/>
        <w:t xml:space="preserve">         Verdad,  hubieren  participado  en  graves  hechos  de   violencia</w:t>
        <w:br/>
        <w:t xml:space="preserve">         ocurridos desde el  1º  de  enero  de  1980”[471].  Es  decir,  se</w:t>
        <w:br/>
        <w:t xml:space="preserve">         concedió una amnistía de carácter general y absoluta que amplió la</w:t>
        <w:br/>
        <w:t xml:space="preserve">         posibilidad de impedir la investigación penal y  la  determinación</w:t>
        <w:br/>
        <w:t xml:space="preserve">         de responsabilidades a aquellas personas que hubieran  participado</w:t>
        <w:br/>
        <w:t xml:space="preserve">         como autores inmediatos, mediatos o cómplices en  la  comisión  de</w:t>
        <w:br/>
        <w:t xml:space="preserve">         graves violaciones a los derechos humanos  e  infracciones  graves</w:t>
        <w:br/>
        <w:t xml:space="preserve">         del derecho internacional humanitario durante el conflicto  armado</w:t>
        <w:br/>
        <w:t xml:space="preserve">         interno, incluidos aquellos casos ejemplarizantes determinados por</w:t>
        <w:br/>
        <w:t xml:space="preserve">         la Comisión de la Verdad. En definitiva, se  dejó  sin  efecto  la</w:t>
        <w:br/>
        <w:t xml:space="preserve">         inaplicabilidad de una amnistía a estos supuestos, que había  sido</w:t>
        <w:br/>
        <w:t xml:space="preserve">         pactada por las partes en los Acuerdos de Paz y prevista en la Ley</w:t>
        <w:br/>
        <w:t xml:space="preserve">         de   Reconciliación   Nacional.   Asimismo,   se   incluyó    como</w:t>
        <w:br/>
        <w:t xml:space="preserve">         beneficiarios de la amnistía no sólo a  las  personas  con  causas</w:t>
        <w:br/>
        <w:t xml:space="preserve">         pendientes, sino  también  a  aquellas  que  aún  no  habían  sido</w:t>
        <w:br/>
        <w:t xml:space="preserve">         sometidas a proceso alguno o respecto de  quienes  ya  se  hubiere</w:t>
        <w:br/>
        <w:t xml:space="preserve">         dictado sentencia condenatoria, y se extinguió  en  todo  caso  la</w:t>
        <w:br/>
        <w:t xml:space="preserve">         responsabilidad civil.</w:t>
        <w:br/>
        <w:br/>
        <w:t xml:space="preserve">    292. Por ende, es evidente que la ratio legis de  la  Ley  de  Amnistía</w:t>
        <w:br/>
        <w:t xml:space="preserve">         General para la Consolidación de la Paz fue tornar  inoperante  el</w:t>
        <w:br/>
        <w:t xml:space="preserve">         Capítulo  I  (“Fuerza  Armada”),  punto  5  (“Superación   de   la</w:t>
        <w:br/>
        <w:t xml:space="preserve">         Impunidad”), del Acuerdo de Paz de 16 de enero de 1992 y, de  este</w:t>
        <w:br/>
        <w:t xml:space="preserve">         modo, amnistiar y dejar impunes la totalidad de los graves  hechos</w:t>
        <w:br/>
        <w:t xml:space="preserve">         delictivos contra el derecho internacional  cometidos  durante  el</w:t>
        <w:br/>
        <w:t xml:space="preserve">         conflicto  armado  interno,  a  pesar   de   que   hubiesen   sido</w:t>
        <w:br/>
        <w:t xml:space="preserve">         determinados  por  la  Comisión  de  la  Verdad  como  materias  a</w:t>
        <w:br/>
        <w:t xml:space="preserve">         investigar y sancionar. De tal modo,  la  sanción  de  la  Ley  de</w:t>
        <w:br/>
        <w:t xml:space="preserve">         Amnistía General  para  la  Consolidación  de  la  Paz  contravino</w:t>
        <w:br/>
        <w:t xml:space="preserve">         expresamente lo que las propias partes del conflicto armado habían</w:t>
        <w:br/>
        <w:t xml:space="preserve">         establecido en el Acuerdo de  Paz  que  dispuso  el  cese  de  las</w:t>
        <w:br/>
        <w:t xml:space="preserve">         hostilidades[472].</w:t>
        <w:br/>
        <w:br/>
        <w:t xml:space="preserve">    293. Por su parte, diversos órganos de protección de  derechos  humanos</w:t>
        <w:br/>
        <w:t xml:space="preserve">         establecidos por tratados de las Naciones Unidas han expresado  su</w:t>
        <w:br/>
        <w:t xml:space="preserve">         preocupación por la vigencia  de  la  Ley  de  Amnistía,  haciendo</w:t>
        <w:br/>
        <w:t xml:space="preserve">         hincapié en la necesidad de su revisión, modificación,  derogación</w:t>
        <w:br/>
        <w:t xml:space="preserve">         o enmienda[473] y resaltando que la decisión  de  la  Sala  de  lo</w:t>
        <w:br/>
        <w:t xml:space="preserve">         Constitucional del año 2000 (supra párr. 278) no  ha  traído  como</w:t>
        <w:br/>
        <w:t xml:space="preserve">         consecuencia   en   la   práctica    la    reapertura    de    las</w:t>
        <w:br/>
        <w:t xml:space="preserve">         investigaciones[474]. A nivel interno,  la  Procuraduría  para  la</w:t>
        <w:br/>
        <w:t xml:space="preserve">         Defensa de los Derechos Humanos consideró oportunamente que la Ley</w:t>
        <w:br/>
        <w:t xml:space="preserve">         de Amnistía General para la Consolidación de la Paz es  una  norma</w:t>
        <w:br/>
        <w:t xml:space="preserve">         del derecho positivo que  vulnera  gravemente  el  orden  jurídico</w:t>
        <w:br/>
        <w:t xml:space="preserve">         constitucional   y   que   afecta,   asimismo,   los    principios</w:t>
        <w:br/>
        <w:t xml:space="preserve">         fundamentales  del   Derecho   Internacional   de   los   Derechos</w:t>
        <w:br/>
        <w:t xml:space="preserve">         Humanos[475].</w:t>
        <w:br/>
        <w:br/>
        <w:t xml:space="preserve">    294. En el presente caso se están por cumplir veinte años desde que  la</w:t>
        <w:br/>
        <w:t xml:space="preserve">         investigación de las masacres de El Mozote y lugares aledaños  fue</w:t>
        <w:br/>
        <w:t xml:space="preserve">         sobreseída  y  el  expediente  archivado  a  consecuencia  de   la</w:t>
        <w:br/>
        <w:t xml:space="preserve">         aplicación de la Ley de Amnistía General para la Consolidación  de</w:t>
        <w:br/>
        <w:t xml:space="preserve">         la Paz, sin que posteriores solicitudes de reapertura por parte de</w:t>
        <w:br/>
        <w:t xml:space="preserve">         los representantes de las víctimas fueran atendidas.  La  decisión</w:t>
        <w:br/>
        <w:t xml:space="preserve">         de la Sala de lo Constitucional del año 2000 (supra párr. 279)  no</w:t>
        <w:br/>
        <w:t xml:space="preserve">         ha tenido efecto alguno en el presente caso, y tras doce  años  de</w:t>
        <w:br/>
        <w:t xml:space="preserve">         su emisión, parece ilusorio que la misma  se  traduzca  en  alguna</w:t>
        <w:br/>
        <w:t xml:space="preserve">         posibilidad efectiva de que se reabra la investigación. Sobre este</w:t>
        <w:br/>
        <w:t xml:space="preserve">         punto,  el  perito  Menéndez  Leal  afirmó  que  “esta  gracia  ha</w:t>
        <w:br/>
        <w:t xml:space="preserve">         repercutido en que ha construido  dentro  del  imaginario  de  los</w:t>
        <w:br/>
        <w:t xml:space="preserve">         operados del sistema de justicia un imaginario en el  sentido  que</w:t>
        <w:br/>
        <w:t xml:space="preserve">         no se puede impartir justicia a partir de esta ley  de  amnistía”,</w:t>
        <w:br/>
        <w:t xml:space="preserve">         de modo tal que “en el aparato de justicia salvadoreño se entiende</w:t>
        <w:br/>
        <w:t xml:space="preserve">         que la gracia  del  93  ha  extinguido  la  responsabilidad  tanto</w:t>
        <w:br/>
        <w:t xml:space="preserve">         intelectual o material de los hechos acaecidos  en  el  marco  del</w:t>
        <w:br/>
        <w:t xml:space="preserve">         conflicto y esto lleva a los operadores de justicia a  no  aplicar</w:t>
        <w:br/>
        <w:t xml:space="preserve">         las excepciones comprendidas  en  esta  sentencia”,  salvo  alguna</w:t>
        <w:br/>
        <w:t xml:space="preserve">         aislada excepción[476].</w:t>
        <w:br/>
        <w:br/>
        <w:t xml:space="preserve">    295. Es así que la aprobación por parte de la Asamblea  Legislativa  de</w:t>
        <w:br/>
        <w:t xml:space="preserve">         la Ley de Amnistía General para la Consolidación de la  Paz  y  su</w:t>
        <w:br/>
        <w:t xml:space="preserve">         posterior aplicación en el presente caso  por  parte  del  Juzgado</w:t>
        <w:br/>
        <w:t xml:space="preserve">         Segundo de Primera Instancia de San Francisco Gotera, por un lado,</w:t>
        <w:br/>
        <w:t xml:space="preserve">         es contraria a la letra y espíritu de los Acuerdos de Paz, lo cual</w:t>
        <w:br/>
        <w:t xml:space="preserve">         leído a la luz de la Convención Americana se refleja en una  grave</w:t>
        <w:br/>
        <w:t xml:space="preserve">         afectación de la obligación internacional del Estado de investigar</w:t>
        <w:br/>
        <w:t xml:space="preserve">         y sancionar las graves violaciones de derechos humanos referidas a</w:t>
        <w:br/>
        <w:t xml:space="preserve">         las masacres de El Mozote y lugares aledaños, al impedir  que  los</w:t>
        <w:br/>
        <w:t xml:space="preserve">         sobrevivientes y los familiares de las  víctimas  en  el  presente</w:t>
        <w:br/>
        <w:t xml:space="preserve">         caso fueran oídos por un  juez,  conforme  a  lo  señalado  en  el</w:t>
        <w:br/>
        <w:t xml:space="preserve">         artículo 8.1 de la Convención Americana  y  recibieran  protección</w:t>
        <w:br/>
        <w:t xml:space="preserve">         judicial, según el derecho establecido en el artículo 25 del mismo</w:t>
        <w:br/>
        <w:t xml:space="preserve">         instrumento.</w:t>
        <w:br/>
        <w:br/>
        <w:t xml:space="preserve">    296. Por el otro lado, la Ley de Amnistía General para la Consolidación</w:t>
        <w:br/>
        <w:t xml:space="preserve">         de  la  Paz  ha  tenido  como  consecuencia  la   instauración   y</w:t>
        <w:br/>
        <w:t xml:space="preserve">         perpetuación de una situación de impunidad debido a  la  falta  de</w:t>
        <w:br/>
        <w:t xml:space="preserve">         investigación, persecución, captura, enjuiciamiento y  sanción  de</w:t>
        <w:br/>
        <w:t xml:space="preserve">         los  responsables  de  los  hechos,  incumpliendo   asimismo   los</w:t>
        <w:br/>
        <w:t xml:space="preserve">         artículos 1.1 y 2 de la Convención Americana, referida esta última</w:t>
        <w:br/>
        <w:t xml:space="preserve">         norma a la obligación de adecuar su derecho interno a lo  previsto</w:t>
        <w:br/>
        <w:t xml:space="preserve">         en  ella[477].  Dada  su  manifiesta   incompatibilidad   con   la</w:t>
        <w:br/>
        <w:t xml:space="preserve">         Convención Americana, las disposiciones  de  la  Ley  de  Amnistía</w:t>
        <w:br/>
        <w:t xml:space="preserve">         General  para  la  Consolidación  de  la  Paz   que   impiden   la</w:t>
        <w:br/>
        <w:t xml:space="preserve">         investigación y sanción de las graves violaciones a  los  derechos</w:t>
        <w:br/>
        <w:t xml:space="preserve">         humanos sucedidas en el presente caso carecen de efectos jurídicos</w:t>
        <w:br/>
        <w:t xml:space="preserve">         y, en consecuencia, no pueden seguir  representando  un  obstáculo</w:t>
        <w:br/>
        <w:t xml:space="preserve">         para la investigación  de  los  hechos  del  presente  caso  y  la</w:t>
        <w:br/>
        <w:t xml:space="preserve">         identificación, juzgamiento y el castigo de los  responsables,  ni</w:t>
        <w:br/>
        <w:t xml:space="preserve">         pueden tener igual o similar impacto respecto de  otros  casos  de</w:t>
        <w:br/>
        <w:t xml:space="preserve">         graves  violaciones  de  derechos  humanos   reconocidos   en   la</w:t>
        <w:br/>
        <w:t xml:space="preserve">         Convención  Americana  que  puedan  haber  ocurrido   durante   el</w:t>
        <w:br/>
        <w:t xml:space="preserve">         conflicto armado en El Salvador[478].</w:t>
        <w:br/>
        <w:br/>
        <w:br/>
        <w:t>F.    Derecho a conocer la verdad</w:t>
        <w:br/>
        <w:br/>
        <w:br/>
        <w:t xml:space="preserve">    297. Los representantes sostuvieron que el derecho a la  verdad  es  un</w:t>
        <w:br/>
        <w:t xml:space="preserve">         derecho  autónomo  e  independiente,  que  si  bien   no   aparece</w:t>
        <w:br/>
        <w:t xml:space="preserve">         explícitamente declarado en el texto de la  Convención  Americana,</w:t>
        <w:br/>
        <w:t xml:space="preserve">         se encontraría conformado por las protecciones consagradas en  los</w:t>
        <w:br/>
        <w:t xml:space="preserve">         artículos 1.1, 8, 25, y 13 de la misma. Al respecto,  argumentaron</w:t>
        <w:br/>
        <w:t xml:space="preserve">         que en el presente caso el Estado violó el derecho a la verdad  de</w:t>
        <w:br/>
        <w:t xml:space="preserve">         las víctimas y sus familiares en la medida  en  que  las  masacres</w:t>
        <w:br/>
        <w:t xml:space="preserve">         habrían sido cometidas por agentes del Estado, como parte  de  una</w:t>
        <w:br/>
        <w:t xml:space="preserve">         estrategia militar. En consecuencia, el Estado sería el único  que</w:t>
        <w:br/>
        <w:t xml:space="preserve">         tiene en sus manos información relevante para establecer la verdad</w:t>
        <w:br/>
        <w:t xml:space="preserve">         de lo ocurrido. No obstante, se habría abstenido  de  proporcionar</w:t>
        <w:br/>
        <w:t xml:space="preserve">         esta información a los familiares de las  víctimas  fallecidas,  a</w:t>
        <w:br/>
        <w:t xml:space="preserve">         las víctimas sobrevivientes y a  la  sociedad  salvadoreña  en  su</w:t>
        <w:br/>
        <w:t xml:space="preserve">         conjunto. De igual forma, alegaron que el Estado  obstaculizó  las</w:t>
        <w:br/>
        <w:t xml:space="preserve">         investigaciones al no brindar la información requerida por el juez</w:t>
        <w:br/>
        <w:t xml:space="preserve">         de la  causa  a  diversas  autoridades  estatales.  Asimismo,  con</w:t>
        <w:br/>
        <w:t xml:space="preserve">         posterioridad al año 1995, el Estado no habría realizado una  sola</w:t>
        <w:br/>
        <w:t xml:space="preserve">         diligencia para establecer la verdad de lo ocurrido,  por  lo  que</w:t>
        <w:br/>
        <w:t xml:space="preserve">         solicitaron a la Corte que establezca que El Salvador ha vulnerado</w:t>
        <w:br/>
        <w:t xml:space="preserve">         el derecho a la verdad en perjuicio de las presuntas  víctimas  de</w:t>
        <w:br/>
        <w:t xml:space="preserve">         este caso, lo que habría resultado en violación de  los  artículos</w:t>
        <w:br/>
        <w:t xml:space="preserve">         1.1, 8, 25 y 13 de la Convención Americana. Al respecto, la  Corte</w:t>
        <w:br/>
        <w:t xml:space="preserve">         reitera  su  jurisprudencia  sobre  la  posibilidad  de  que   las</w:t>
        <w:br/>
        <w:t xml:space="preserve">         presuntas  víctimas  o  sus   representantes   invoquen   derechos</w:t>
        <w:br/>
        <w:t xml:space="preserve">         distintos a los comprendidos en el  informe  de  de  fondo  de  la</w:t>
        <w:br/>
        <w:t xml:space="preserve">         Comisión (supra párr. 182).</w:t>
        <w:br/>
        <w:br/>
        <w:t xml:space="preserve">    298.  Respecto  a  la  alegada  violación  del  artículo   13   de   la</w:t>
        <w:br/>
        <w:t xml:space="preserve">         Convención[479], la Corte recuerda que  toda  persona,  incluyendo</w:t>
        <w:br/>
        <w:t xml:space="preserve">         los familiares de las víctimas de graves  violaciones  a  derechos</w:t>
        <w:br/>
        <w:t xml:space="preserve">         humanos, tiene, de acuerdo con los artículos  1.1,  8.1,  25,  así</w:t>
        <w:br/>
        <w:t xml:space="preserve">         como  en  determinadas  circunstancias  el  artículo  13   de   la</w:t>
        <w:br/>
        <w:t xml:space="preserve">         Convención[480], el derecho  a  conocer  la  verdad,  por  lo  que</w:t>
        <w:br/>
        <w:t xml:space="preserve">         aquéllos  y  la  sociedad  toda  deben  ser   informados   de   lo</w:t>
        <w:br/>
        <w:t xml:space="preserve">         sucedido[481]. Asimismo, la Corte considera  pertinente  reiterar,</w:t>
        <w:br/>
        <w:t xml:space="preserve">         como lo ha hecho en  otros  casos  que,  en  cumplimiento  de  sus</w:t>
        <w:br/>
        <w:t xml:space="preserve">         obligaciones de garantizar el derecho a  conocer  la  verdad,  los</w:t>
        <w:br/>
        <w:t xml:space="preserve">         Estados  pueden  establecer  comisiones  de  la  verdad,  las  que</w:t>
        <w:br/>
        <w:t xml:space="preserve">         contribuyen  a  la  construcción  y  preservación  de  la  memoria</w:t>
        <w:br/>
        <w:t xml:space="preserve">         histórica, el esclarecimiento de  hechos  y  la  determinación  de</w:t>
        <w:br/>
        <w:t xml:space="preserve">         responsabilidades  institucionales,  sociales   y   políticas   en</w:t>
        <w:br/>
        <w:t xml:space="preserve">         determinados  períodos  históricos  de   una   sociedad[482].   No</w:t>
        <w:br/>
        <w:t xml:space="preserve">         obstante, esto no completa o sustituye la obligación del Estado de</w:t>
        <w:br/>
        <w:t xml:space="preserve">         establecer la verdad a través de procesos judiciales[483], por  lo</w:t>
        <w:br/>
        <w:t xml:space="preserve">         cual  era  una  obligación   del   Estado   iniciar   e   impulsar</w:t>
        <w:br/>
        <w:t xml:space="preserve">         investigaciones  penales  para  determinar  las   correspondientes</w:t>
        <w:br/>
        <w:t xml:space="preserve">         responsabilidades. En el presente caso, la Corte considera que  no</w:t>
        <w:br/>
        <w:t xml:space="preserve">         procede emitir un pronunciamiento sobre la  alegada  violación  de</w:t>
        <w:br/>
        <w:t xml:space="preserve">         aquella disposición, sin perjuicio del análisis ya realizado  bajo</w:t>
        <w:br/>
        <w:t xml:space="preserve">         el derecho de acceso a la justicia y la obligación de investigar.</w:t>
        <w:br/>
        <w:br/>
        <w:br/>
        <w:t>G.    Conclusión</w:t>
        <w:br/>
        <w:br/>
        <w:br/>
        <w:t xml:space="preserve">    299. Han transcurrido casi 31 años desde que las masacres de El  Mozote</w:t>
        <w:br/>
        <w:t xml:space="preserve">         y lugares aledaños ocurrieron, sin que se haya llevado a  cabo  un</w:t>
        <w:br/>
        <w:t xml:space="preserve">         proceso penal serio y exhaustivo encaminado a  identificar  a  los</w:t>
        <w:br/>
        <w:t xml:space="preserve">         autores materiales o intelectuales, y sin que se conozca aún  toda</w:t>
        <w:br/>
        <w:t xml:space="preserve">         la verdad  sobre  los  hechos.  De  modo  tal  que  prevalece  una</w:t>
        <w:br/>
        <w:t xml:space="preserve">         situación de impunidad  total  amparada  en  la  Ley  de  Amnistía</w:t>
        <w:br/>
        <w:t xml:space="preserve">         General para la Consolidación de la Paz. Desde el momento  en  que</w:t>
        <w:br/>
        <w:t xml:space="preserve">         se iniciaron las investigaciones se  ha  verificado  la  falta  de</w:t>
        <w:br/>
        <w:t xml:space="preserve">         diligencia, exhaustividad y seriedad en las mismas. En particular,</w:t>
        <w:br/>
        <w:t xml:space="preserve">         el incumplimiento  del  deber  de  iniciar  una  investigación  ex</w:t>
        <w:br/>
        <w:t xml:space="preserve">         officio y de promover las diligencias necesarias, la  ausencia  de</w:t>
        <w:br/>
        <w:t xml:space="preserve">         líneas de investigación claras y lógicas que  hubieran  tomado  en</w:t>
        <w:br/>
        <w:t xml:space="preserve">         cuenta el contexto de los hechos y la complejidad de  los  mismos,</w:t>
        <w:br/>
        <w:t xml:space="preserve">         los períodos de inactividad procesal, la negativa de  proporcionar</w:t>
        <w:br/>
        <w:t xml:space="preserve">         información relacionada con los operativos militares, la falta  de</w:t>
        <w:br/>
        <w:t xml:space="preserve">         diligencia y exhaustividad en el desarrollo de las investigaciones</w:t>
        <w:br/>
        <w:t xml:space="preserve">         por parte de las autoridades a cargo de las mismas, la  dilatación</w:t>
        <w:br/>
        <w:t xml:space="preserve">         en  la  práctica  de  las  inspecciones  judiciales   y   de   las</w:t>
        <w:br/>
        <w:t xml:space="preserve">         exhumaciones, así como el sobreseimiento dictado en aplicación  de</w:t>
        <w:br/>
        <w:t xml:space="preserve">         la Ley de Amnistía  General  para  la  Consolidación  de  la  Paz,</w:t>
        <w:br/>
        <w:t xml:space="preserve">         permiten concluir a la Corte que el proceso penal  interno  no  ha</w:t>
        <w:br/>
        <w:t xml:space="preserve">         constituido un recurso efectivo para garantizar  los  derechos  de</w:t>
        <w:br/>
        <w:t xml:space="preserve">         acceso  a  la  justicia  y  a  conocer  la  verdad,  mediante   la</w:t>
        <w:br/>
        <w:t xml:space="preserve">         investigación  y  eventual  sanción  de  los  responsables  y   la</w:t>
        <w:br/>
        <w:t xml:space="preserve">         reparación integral de las consecuencias de las violaciones.</w:t>
        <w:br/>
        <w:br/>
        <w:t xml:space="preserve">    300.  En  definitiva,   en   el   presente   caso   se   verificó   una</w:t>
        <w:br/>
        <w:t xml:space="preserve">         instrumentalización del poder estatal como medio  y  recurso  para</w:t>
        <w:br/>
        <w:t xml:space="preserve">         cometer la violación de  los  derechos  que  debieron  respetar  y</w:t>
        <w:br/>
        <w:t xml:space="preserve">         garantizar[484], lo que se ha visto favorecido por  una  situación</w:t>
        <w:br/>
        <w:t xml:space="preserve">         de impunidad de esas graves violaciones, propiciada y tolerada por</w:t>
        <w:br/>
        <w:t xml:space="preserve">         las más altas autoridades estatales que han obstaculizado el curso</w:t>
        <w:br/>
        <w:t xml:space="preserve">         de la investigación. La Corte advierte que hace más de 19 años que</w:t>
        <w:br/>
        <w:t xml:space="preserve">         el proceso penal se encuentra archivado debido a  la  decisión  de</w:t>
        <w:br/>
        <w:t xml:space="preserve">         sobreseimiento   definitivo,   no   habiéndose    individualizado,</w:t>
        <w:br/>
        <w:t xml:space="preserve">         procesado  y,  eventualmente,  sancionado   a   ninguno   de   los</w:t>
        <w:br/>
        <w:t xml:space="preserve">         responsables. En razón de lo anterior, la Corte considera  que  el</w:t>
        <w:br/>
        <w:t xml:space="preserve">         Estado no ha llevado a cabo una investigación ex  officio,  seria,</w:t>
        <w:br/>
        <w:t xml:space="preserve">         diligente y exhaustiva, en un plazo razonable, de todos los hechos</w:t>
        <w:br/>
        <w:t xml:space="preserve">         concernientes a las masacres de El Mozote y lugares aledaños.  Por</w:t>
        <w:br/>
        <w:t xml:space="preserve">         tal motivo, para la Corte resulta  imprescindible  que  el  Estado</w:t>
        <w:br/>
        <w:t xml:space="preserve">         revierta a la mayor brevedad posible las condiciones de  impunidad</w:t>
        <w:br/>
        <w:t xml:space="preserve">         verificadas en el presente caso a través de la remoción  de  todos</w:t>
        <w:br/>
        <w:t xml:space="preserve">         los  obstáculos,  de  facto  y  de  jure,  que  la  propiciaron  y</w:t>
        <w:br/>
        <w:t xml:space="preserve">         mantienen[485].</w:t>
        <w:br/>
        <w:br/>
        <w:t xml:space="preserve">    301. Por ende, el  Estado  es  responsable  por  la  violación  de  los</w:t>
        <w:br/>
        <w:t xml:space="preserve">         artículos 8.1 y 25.1 de la Convención Americana, en  relación  con</w:t>
        <w:br/>
        <w:t xml:space="preserve">         los artículos 1.1 y 2 de la misma,  y  por  la  violación  de  las</w:t>
        <w:br/>
        <w:t xml:space="preserve">         obligaciones establecidas  en  los  artículos  1,  6  y  8  de  la</w:t>
        <w:br/>
        <w:t xml:space="preserve">         Convención Interamericana para Prevenir y Sancionar la  Tortura  y</w:t>
        <w:br/>
        <w:t xml:space="preserve">         7.b) de la Convención Interamericana para  Prevenir,  Sancionar  y</w:t>
        <w:br/>
        <w:t xml:space="preserve">         Erradicar la Violencia contra la Mujer  “Convención  de  Belém  do</w:t>
        <w:br/>
        <w:t xml:space="preserve">         Pará”,  en  perjuicio  de  las  víctimas  sobrevivientes   y   los</w:t>
        <w:br/>
        <w:t xml:space="preserve">         familiares de las víctimas ejecutadas del presente  caso,  en  sus</w:t>
        <w:br/>
        <w:t xml:space="preserve">         respectivas circunstancias.</w:t>
        <w:br/>
        <w:br/>
        <w:t xml:space="preserve">                                     IX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 xml:space="preserve">    302. Sobre la base de lo dispuesto en el artículo 63.1 de la Convención</w:t>
        <w:br/>
        <w:t xml:space="preserve">         Americana[486], la Corte ha indicado que  toda  violación  de  una</w:t>
        <w:br/>
        <w:t xml:space="preserve">         obligación internacional que haya producido un  daño  comporta  el</w:t>
        <w:br/>
        <w:t xml:space="preserve">         deber de repararlo adecuadamente[487] y que esa disposición recoge</w:t>
        <w:br/>
        <w:t xml:space="preserve">         una norma consuetudinaria que constituye  uno  de  los  principios</w:t>
        <w:br/>
        <w:t xml:space="preserve">         fundamentales  del  derecho  internacional   contemporáneo   sobre</w:t>
        <w:br/>
        <w:t xml:space="preserve">         responsabilidad de un Estado[488].</w:t>
        <w:br/>
        <w:br/>
        <w:t xml:space="preserve">    303. En consideración de las violaciones a la Convención  Americana,  a</w:t>
        <w:br/>
        <w:t xml:space="preserve">         la Convención Interamericana para Prevenir y Sancionar la  Tortura</w:t>
        <w:br/>
        <w:t xml:space="preserve">         y a  la  Convención  Interamericana  para  Prevenir,  Sancionar  y</w:t>
        <w:br/>
        <w:t xml:space="preserve">         Erradicar la Violencia contra la Mujer  “Convención  de  Belém  do</w:t>
        <w:br/>
        <w:t xml:space="preserve">         Pará” declaradas  en  esta  Sentencia,  el  Tribunal  procederá  a</w:t>
        <w:br/>
        <w:t xml:space="preserve">         analizar las pretensiones presentadas por la Comisión  y  por  los</w:t>
        <w:br/>
        <w:t xml:space="preserve">         representantes, así como los argumentos del Estado, a  la  luz  de</w:t>
        <w:br/>
        <w:t xml:space="preserve">         los criterios fijados en la jurisprudencia de la Corte en relación</w:t>
        <w:br/>
        <w:t xml:space="preserve">         con la naturaleza y alcance de la obligación de reparar[489],  con</w:t>
        <w:br/>
        <w:t xml:space="preserve">         el objeto de disponer las medidas dirigidas a  reparar  los  daños</w:t>
        <w:br/>
        <w:t xml:space="preserve">         ocasionados a las víctimas.</w:t>
        <w:br/>
        <w:br/>
        <w:t xml:space="preserve">    304. Este Tribunal ha establecido que las reparaciones deben  tener  un</w:t>
        <w:br/>
        <w:t xml:space="preserve">         nexo causal con los hechos del caso, las  violaciones  declaradas,</w:t>
        <w:br/>
        <w:t xml:space="preserve">         los daños acreditados, así como con las medidas  solicitadas  para</w:t>
        <w:br/>
        <w:t xml:space="preserve">         reparar los daños respectivos.  Por  lo  tanto,  la  Corte  deberá</w:t>
        <w:br/>
        <w:t xml:space="preserve">         observar  dicha  concurrencia  para  pronunciarse  debidamente   y</w:t>
        <w:br/>
        <w:t xml:space="preserve">         conforme a derecho[490].</w:t>
        <w:br/>
        <w:br/>
        <w:t xml:space="preserve">    305. Previamente, la Corte estima pertinente reiterar que,  con  motivo</w:t>
        <w:br/>
        <w:t xml:space="preserve">         de la denegación de justicia  en  perjuicio  de  las  víctimas  de</w:t>
        <w:br/>
        <w:t xml:space="preserve">         graves violaciones a derechos humanos, como lo es una masacre,  se</w:t>
        <w:br/>
        <w:t xml:space="preserve">         presenta  una  diversidad  de  afectaciones  tanto  en  la  esfera</w:t>
        <w:br/>
        <w:t xml:space="preserve">         individual como colectiva[491]. En este sentido, resulta  evidente</w:t>
        <w:br/>
        <w:t xml:space="preserve">         que las víctimas de  una  impunidad  prolongada  sufran  distintas</w:t>
        <w:br/>
        <w:t xml:space="preserve">         afectaciones por la búsqueda  de  justicia  no  sólo  de  carácter</w:t>
        <w:br/>
        <w:t xml:space="preserve">         material, sino también otros  sufrimientos  y  daños  de  carácter</w:t>
        <w:br/>
        <w:t xml:space="preserve">         psicológico, físico y en su  proyecto  de  vida,  así  como  otras</w:t>
        <w:br/>
        <w:t xml:space="preserve">         posibles alteraciones en sus relaciones sociales y la dinámica  de</w:t>
        <w:br/>
        <w:t xml:space="preserve">         sus familias y comunidades[492]. Este  Tribunal  ha  señalado  que</w:t>
        <w:br/>
        <w:t xml:space="preserve">         estos  daños  se  intensifican  por  la  falta  de  apoyo  de  las</w:t>
        <w:br/>
        <w:t xml:space="preserve">         autoridades estatales en la búsqueda efectiva e identificación  de</w:t>
        <w:br/>
        <w:t xml:space="preserve">         los restos, y la imposibilidad  de  honrar  apropiadamente  a  sus</w:t>
        <w:br/>
        <w:t xml:space="preserve">         seres queridos[493]. Frente a ello, la  Corte  ha  considerado  la</w:t>
        <w:br/>
        <w:t xml:space="preserve">         necesidad de otorgar diversas medidas  de  reparación,  a  fin  de</w:t>
        <w:br/>
        <w:t xml:space="preserve">         resarcir los daños de manera integral, por lo que, además  de  las</w:t>
        <w:br/>
        <w:t xml:space="preserve">         compensaciones   pecuniarias,   las   medidas   de   satisfacción,</w:t>
        <w:br/>
        <w:t xml:space="preserve">         restitución, rehabilitación y garantías de  no  repetición  tienen</w:t>
        <w:br/>
        <w:t xml:space="preserve">         especial relevancia por la  gravedad  de  las  afectaciones  y  el</w:t>
        <w:br/>
        <w:t xml:space="preserve">         carácter colectivo de los daños ocasionados[494].</w:t>
        <w:br/>
        <w:br/>
        <w:t>A.    Parte Lesionada</w:t>
        <w:br/>
        <w:br/>
        <w:t xml:space="preserve">    306. El Tribunal reitera que  se  considera  parte  lesionada,  en  los</w:t>
        <w:br/>
        <w:t xml:space="preserve">         términos del artículo 63.1 de  la  Convención,  a  quien  ha  sido</w:t>
        <w:br/>
        <w:t xml:space="preserve">         declarado víctima de la violación de algún derecho  reconocido  en</w:t>
        <w:br/>
        <w:t xml:space="preserve">         la  misma.  Por  lo  tanto,  la  Corte  considera   como   “partes</w:t>
        <w:br/>
        <w:t xml:space="preserve">         lesionadas” del caso a aquellas personas incluidas en los listados</w:t>
        <w:br/>
        <w:t xml:space="preserve">         de: i) las víctimas ejecutadas; ii) las  víctimas  sobrevivientes;</w:t>
        <w:br/>
        <w:t xml:space="preserve">         iii) los familiares de las víctimas ejecutadas, y iv) las víctimas</w:t>
        <w:br/>
        <w:t xml:space="preserve">         desplazadas forzadamente, que figuran como Anexos “A”, “B”, “C”  y</w:t>
        <w:br/>
        <w:t xml:space="preserve">         “D” a la presente Sentencia. En su carácter  de  víctimas  de  las</w:t>
        <w:br/>
        <w:t xml:space="preserve">         violaciones  declaradas  en  los  Capítulos  VII  y  VIII,   serán</w:t>
        <w:br/>
        <w:t xml:space="preserve">         acreedoras y beneficiarias de las medidas que el  Tribunal  ordene</w:t>
        <w:br/>
        <w:t xml:space="preserve">         en el presente capítulo.</w:t>
        <w:br/>
        <w:br/>
        <w:t xml:space="preserve">    307. Por otro lado, la Comisión solicitó a la  Corte  que  disponga  al</w:t>
        <w:br/>
        <w:t xml:space="preserve">         Estado establecer un mecanismo que permita,  en  la  mayor  medida</w:t>
        <w:br/>
        <w:t xml:space="preserve">         posible, la identificación completa de las víctimas ejecutadas  en</w:t>
        <w:br/>
        <w:t xml:space="preserve">         las masacres de El Mozote y lugares aledaños. Asimismo,  manifestó</w:t>
        <w:br/>
        <w:t xml:space="preserve">         que dicho mecanismo deberá facilitar la identificación completa de</w:t>
        <w:br/>
        <w:t xml:space="preserve">         los familiares de las víctimas ejecutadas, de  manera  que  puedan</w:t>
        <w:br/>
        <w:t xml:space="preserve">         ser beneficiarios de las reparaciones  dispuestas.  Todo  ello  en</w:t>
        <w:br/>
        <w:t xml:space="preserve">         coordinación y complemento de las gestiones ya avanzadas  por  los</w:t>
        <w:br/>
        <w:t xml:space="preserve">         representantes.</w:t>
        <w:br/>
        <w:br/>
        <w:t xml:space="preserve">    308. Los representantes consideraron que  el  Estado  debe  avocarse  a</w:t>
        <w:br/>
        <w:t xml:space="preserve">         determinar  la  identidad  de  todas  las  personas   que   fueron</w:t>
        <w:br/>
        <w:t xml:space="preserve">         asesinadas, así como de  todos  los  familiares  de  las  víctimas</w:t>
        <w:br/>
        <w:t xml:space="preserve">         fallecidas y de las víctimas sobrevivientes de las  masacres.  Por</w:t>
        <w:br/>
        <w:t xml:space="preserve">         ello, solicitaron que se otorgue al Estado un plazo  máximo  de  6</w:t>
        <w:br/>
        <w:t xml:space="preserve">         meses para identificar a todas aquellas  personas  que  deben  ser</w:t>
        <w:br/>
        <w:t xml:space="preserve">         consideradas como titulares del derecho a la reparación y  que  no</w:t>
        <w:br/>
        <w:t xml:space="preserve">         se encuentran incluidas en los listados de víctimas, con el fin de</w:t>
        <w:br/>
        <w:t xml:space="preserve">         que sean incluidos en las reparaciones dictadas por este Tribunal.</w:t>
        <w:br/>
        <w:t xml:space="preserve">         Asimismo, solicitaron que se agregue a los  listados  de  víctimas</w:t>
        <w:br/>
        <w:t xml:space="preserve">         aportados la identidad de todas las personas que fueron asesinadas</w:t>
        <w:br/>
        <w:t xml:space="preserve">         en las masacres, aún en la eventualidad de que sus restos no  sean</w:t>
        <w:br/>
        <w:t xml:space="preserve">         encontrados. Según los representantes, dicha medida implicaría  la</w:t>
        <w:br/>
        <w:t xml:space="preserve">         elaboración de un listado de  víctimas  asesinadas,  que  contenga</w:t>
        <w:br/>
        <w:t xml:space="preserve">         además las características fundamentales de  cada  una  de  ellas,</w:t>
        <w:br/>
        <w:t xml:space="preserve">         incluyendo, sexo y edad, la cual  debería  ser  publicada  en  los</w:t>
        <w:br/>
        <w:t xml:space="preserve">         mismos términos que  la  sentencia  de  la  Corte.  Para  todo  lo</w:t>
        <w:br/>
        <w:t xml:space="preserve">         anterior, consideraron esencial la coordinación con las víctimas y</w:t>
        <w:br/>
        <w:t xml:space="preserve">         que el Estado asegure la provisión de todos los recursos  técnicos</w:t>
        <w:br/>
        <w:t xml:space="preserve">         y financieros necesarios, así como  de  personal  capacitado.  Sin</w:t>
        <w:br/>
        <w:t xml:space="preserve">         embargo, consideraron fundamental que el cumplimiento de las demás</w:t>
        <w:br/>
        <w:t xml:space="preserve">         medidas de reparación dictadas  por  la  Corte  no  se  sujete  al</w:t>
        <w:br/>
        <w:t xml:space="preserve">         cumplimiento de esta medida.</w:t>
        <w:br/>
        <w:br/>
        <w:t xml:space="preserve">    309. El Estado señaló que la creación de un registro de víctimas “es un</w:t>
        <w:br/>
        <w:t xml:space="preserve">         proceso avanzado y en  marcha  ya  por  parte  del  Estado  de  El</w:t>
        <w:br/>
        <w:t xml:space="preserve">         Salvador”, el cual “será la base para identificar no  sólo  a  las</w:t>
        <w:br/>
        <w:t xml:space="preserve">         personas sino también las zonas geográficas y la  población  hacia</w:t>
        <w:br/>
        <w:t xml:space="preserve">         la que se dirigirán muchas de las medidas  de  orden  social”.  Al</w:t>
        <w:br/>
        <w:t xml:space="preserve">         respecto, explicó que la creación del “Registro Único de  Víctimas</w:t>
        <w:br/>
        <w:t xml:space="preserve">         y Familiares de Víctimas de  Graves  Violaciones  a  los  Derechos</w:t>
        <w:br/>
        <w:t xml:space="preserve">         Humanos durante la Masacre de El Mozote”, en principio, responde a</w:t>
        <w:br/>
        <w:t xml:space="preserve">         la solicitud de los representantes en el sentido  de  elaborar  un</w:t>
        <w:br/>
        <w:t xml:space="preserve">         listado  de  víctimas  asesinadas,   que   contenga   además   las</w:t>
        <w:br/>
        <w:t xml:space="preserve">         características fundamentales de cada  una  de  ellas,  incluyendo</w:t>
        <w:br/>
        <w:t xml:space="preserve">         sexo y edad, y que abarque además a todos los  familiares  de  las</w:t>
        <w:br/>
        <w:t xml:space="preserve">         víctimas  fallecidas  y  a  las  víctimas  sobrevivientes  de  las</w:t>
        <w:br/>
        <w:t xml:space="preserve">         masacres. Sin embargo, “el citado  registro  permitirá  además  la</w:t>
        <w:br/>
        <w:t xml:space="preserve">         administración en el  tiempo  futuro  del  ejercicio  de  derechos</w:t>
        <w:br/>
        <w:t xml:space="preserve">         emanados de la aplicación de las diversas  medidas  de  reparación</w:t>
        <w:br/>
        <w:t xml:space="preserve">         que han sido aceptadas por el Estado”[495].</w:t>
        <w:br/>
        <w:br/>
        <w:t xml:space="preserve">    310. La Corte observa que, por  las  características  particulares  del</w:t>
        <w:br/>
        <w:t xml:space="preserve">         caso, y por  las  razones  que  ya  han  sido  señaladas  en  esta</w:t>
        <w:br/>
        <w:t xml:space="preserve">         Sentencia (supra párrs. 50 y 51), no ha sido posible identificar e</w:t>
        <w:br/>
        <w:t xml:space="preserve">         individualizar a la totalidad de las víctimas. Por lo anterior, la</w:t>
        <w:br/>
        <w:t xml:space="preserve">         Corte  considera  que,  en  el   presente   caso,   se   justifica</w:t>
        <w:br/>
        <w:t xml:space="preserve">         razonablemente la  aplicación  de  la  excepción  prevista  en  el</w:t>
        <w:br/>
        <w:t xml:space="preserve">         artículo 35.2 del Reglamento del Tribunal a efecto  de  incluir  a</w:t>
        <w:br/>
        <w:t xml:space="preserve">         otras personas como víctimas aún cuando no hayan sido  previamente</w:t>
        <w:br/>
        <w:t xml:space="preserve">         identificadas  e  individualizadas  por  este  Tribunal,  por   la</w:t>
        <w:br/>
        <w:t xml:space="preserve">         Comisión Interamericana o por los representantes (supra párr. 57).</w:t>
        <w:br/>
        <w:t xml:space="preserve">         Para tal efecto, la Corte valora positivamente la  iniciativa  del</w:t>
        <w:br/>
        <w:t xml:space="preserve">         Estado en cuanto a la creación del “Registro Único de  Víctimas  y</w:t>
        <w:br/>
        <w:t xml:space="preserve">         Familiares de  Víctimas  de  Graves  Violaciones  a  los  Derechos</w:t>
        <w:br/>
        <w:t xml:space="preserve">         Humanos durante la Masacre de El Mozote”. En razón de lo anterior,</w:t>
        <w:br/>
        <w:t xml:space="preserve">         este Tribunal dispone que el Estado continúe con la  plena  puesta</w:t>
        <w:br/>
        <w:t xml:space="preserve">         en funcionamiento del “Registro Único de Víctimas y Familiares  de</w:t>
        <w:br/>
        <w:t xml:space="preserve">         Víctimas de Graves Violaciones a los Derechos Humanos  durante  la</w:t>
        <w:br/>
        <w:t xml:space="preserve">         Masacre de El Mozote”, para  lo  cual  debe  adoptar  las  medidas</w:t>
        <w:br/>
        <w:t xml:space="preserve">         necesarias  para  asegurar  su  permanencia  en  el  tiempo  y  la</w:t>
        <w:br/>
        <w:t xml:space="preserve">         asignación  presupuestaria  para   su   efectivo   funcionamiento.</w:t>
        <w:br/>
        <w:t xml:space="preserve">         Asimismo, la Corte estima pertinente que en el plazo  de  un  año,</w:t>
        <w:br/>
        <w:t xml:space="preserve">         contado a partir de la notificación de esta Sentencia,  el  Estado</w:t>
        <w:br/>
        <w:t xml:space="preserve">         presente los resultados  de  la  identificación  de  las  víctimas</w:t>
        <w:br/>
        <w:t xml:space="preserve">         ejecutadas; las víctimas sobrevivientes;  los  familiares  de  las</w:t>
        <w:br/>
        <w:t xml:space="preserve">         víctimas ejecutadas; y las víctimas desplazadas  forzadamente,  de</w:t>
        <w:br/>
        <w:t xml:space="preserve">         las masacres de El Mozote y lugares  aledaños,  en  el  marco  del</w:t>
        <w:br/>
        <w:t xml:space="preserve">         “Registro Único de Víctimas y Familiares  de  Víctimas  de  Graves</w:t>
        <w:br/>
        <w:t xml:space="preserve">         Violaciones a los  Derechos  Humanos  durante  la  Masacre  de  El</w:t>
        <w:br/>
        <w:t xml:space="preserve">         Mozote”, a fin de que dichas personas puedan solicitar  y  recibir</w:t>
        <w:br/>
        <w:t xml:space="preserve">         las reparaciones que correspondan en los términos de  la  presente</w:t>
        <w:br/>
        <w:t xml:space="preserve">         Sentencia.</w:t>
        <w:br/>
        <w:br/>
        <w:t xml:space="preserve">    311. Lo anterior no obstaculiza  ni  excluye  la  posibilidad  de  que,</w:t>
        <w:br/>
        <w:t xml:space="preserve">         vencido el plazo de un año, el proceso de  identificación  de  las</w:t>
        <w:br/>
        <w:t xml:space="preserve">         víctimas continúe y que éstas sean incorporadas  en  el  “Registro</w:t>
        <w:br/>
        <w:t xml:space="preserve">         Único de Víctimas y Familiares de Víctimas de Graves Violaciones a</w:t>
        <w:br/>
        <w:t xml:space="preserve">         los Derechos Humanos durante la Masacre de El  Mozote”,  así  como</w:t>
        <w:br/>
        <w:t xml:space="preserve">         que puedan ser  consideradas  beneficiarias  de  las  reparaciones</w:t>
        <w:br/>
        <w:t xml:space="preserve">         establecidas en esta  Sentencia  por  el  Estado,  cuando  así  lo</w:t>
        <w:br/>
        <w:t xml:space="preserve">         soliciten ante las  autoridades  salvadoreñas,  más  allá  de  los</w:t>
        <w:br/>
        <w:t xml:space="preserve">         plazos establecidos. El Estado deberá informar a  la  Corte  sobre</w:t>
        <w:br/>
        <w:t xml:space="preserve">         las personas que  en  el  marco  del  mecanismo  mencionado  hayan</w:t>
        <w:br/>
        <w:t xml:space="preserve">         solicitado  reparaciones.  Al  efecto,  el  Tribunal  evaluará  lo</w:t>
        <w:br/>
        <w:t xml:space="preserve">         pertinente en el ejercicio de sus facultades  de  supervisión  del</w:t>
        <w:br/>
        <w:t xml:space="preserve">         presente Fallo.</w:t>
        <w:br/>
        <w:br/>
        <w:t>B.    Obligación de investigar los hechos que generaron  las  violaciones  e</w:t>
        <w:br/>
        <w:t>identificar, juzgar y, en su caso, sancionar a los  responsables,  así  como</w:t>
        <w:br/>
        <w:t>localizar, identificar y  entregar  a  sus  familiares  los  restos  de  las</w:t>
        <w:br/>
        <w:t>víctimas de las masacres</w:t>
        <w:br/>
        <w:br/>
        <w:t xml:space="preserve">   1)  Investigación  completa,  determinación,  enjuiciamiento  y  eventual</w:t>
        <w:br/>
        <w:t xml:space="preserve">      sanción de todos los responsables materiales e  intelectuales  de  las</w:t>
        <w:br/>
        <w:t xml:space="preserve">      masacres</w:t>
        <w:br/>
        <w:br/>
        <w:t xml:space="preserve">    312. La Comisión solicitó a la Corte que ordene al Estado investigar de</w:t>
        <w:br/>
        <w:t xml:space="preserve">         manera imparcial, efectiva y dentro de un plazo razonable  con  el</w:t>
        <w:br/>
        <w:t xml:space="preserve">         objeto de esclarecer los hechos en forma completa,  identificar  a</w:t>
        <w:br/>
        <w:t xml:space="preserve">         los autores intelectuales y materiales e imponer las sanciones que</w:t>
        <w:br/>
        <w:t xml:space="preserve">         correspondan. Asimismo, sostuvo que en el  cumplimiento  inmediato</w:t>
        <w:br/>
        <w:t xml:space="preserve">         de esta obligación las autoridades salvadoreñas no pueden  invocar</w:t>
        <w:br/>
        <w:t xml:space="preserve">         la vigencia de la Ley de Amnistía General para la Consolidación de</w:t>
        <w:br/>
        <w:t xml:space="preserve">         la Paz. En este sentido  solicitó  que  se  ordene  la  reapertura</w:t>
        <w:br/>
        <w:t xml:space="preserve">         inmediata de las  investigaciones  sin  que  sea  oponible  ni  el</w:t>
        <w:br/>
        <w:t xml:space="preserve">         sobreseimiento ni la Ley de Amnistía General para la Consolidación</w:t>
        <w:br/>
        <w:t xml:space="preserve">         de la Paz. Además, solicitó a la  Corte  que  disponga  al  Estado</w:t>
        <w:br/>
        <w:t xml:space="preserve">         dejar sin efecto o derogar la Ley  de  Amnistía  General  para  la</w:t>
        <w:br/>
        <w:t xml:space="preserve">         Consolidación de  la  Paz,  en  cuanto  impide  la  investigación,</w:t>
        <w:br/>
        <w:t xml:space="preserve">         juzgamiento y sanción de los responsables  de  violaciones  a  los</w:t>
        <w:br/>
        <w:t xml:space="preserve">         derechos humanos y los derechos  de  las  víctimas  a  la  verdad,</w:t>
        <w:br/>
        <w:t xml:space="preserve">         justicia y reparación, para lo cual el Estado deberá  disponer  de</w:t>
        <w:br/>
        <w:t xml:space="preserve">         los medios legales y/o constitucionales a su alcance para asegurar</w:t>
        <w:br/>
        <w:t xml:space="preserve">         que  la  vigencia  de  esta  normativa  “no  siga  perpetuando  la</w:t>
        <w:br/>
        <w:t xml:space="preserve">         impunidad”.  Asimismo,  sostuvo  que  se  deben   eliminar   otros</w:t>
        <w:br/>
        <w:t xml:space="preserve">         obstáculos de iure  o  de  facto  como  prácticas  de  autoridades</w:t>
        <w:br/>
        <w:t xml:space="preserve">         judiciales o investigativas.</w:t>
        <w:br/>
        <w:br/>
        <w:t xml:space="preserve">    313. Los representantes solicitaron a la Corte que ordene al Estado que</w:t>
        <w:br/>
        <w:t xml:space="preserve">         deje sin efecto o derogue la Ley  de  Amnistía  a  través  de  los</w:t>
        <w:br/>
        <w:t xml:space="preserve">         mecanismos  establecidos  en  su  legislación   interna,   y   que</w:t>
        <w:br/>
        <w:t xml:space="preserve">         cualquiera sea la vía que se elija, debe  quedar  establecido  que</w:t>
        <w:br/>
        <w:t xml:space="preserve">         dado la incompatibilidad de la  referida  Ley  con  la  Convención</w:t>
        <w:br/>
        <w:t xml:space="preserve">         Americana, “la misma careció de efectos desde su  origen,  por  lo</w:t>
        <w:br/>
        <w:t xml:space="preserve">         que no  puede  constituir  un  obstáculo  para  la  investigación,</w:t>
        <w:br/>
        <w:t xml:space="preserve">         procesamiento  y  sanción  de  este  caso,  ni  de  ninguna  grave</w:t>
        <w:br/>
        <w:t xml:space="preserve">         violación de derechos humanos cometida durante el conflicto armado</w:t>
        <w:br/>
        <w:t xml:space="preserve">         salvadoreño”. Por ende, los representantes solicitaron a la  Corte</w:t>
        <w:br/>
        <w:t xml:space="preserve">         que ordene  al  Estado  que  realice  una  investigación  seria  y</w:t>
        <w:br/>
        <w:t xml:space="preserve">         efectiva sobre todos los hechos denunciados en  este  caso,  entre</w:t>
        <w:br/>
        <w:t xml:space="preserve">         ellos, los actos de  tortura  y  las  ejecuciones  extrajudiciales</w:t>
        <w:br/>
        <w:t xml:space="preserve">         cometidos en perjuicio de las víctimas. Al respecto,  consideraron</w:t>
        <w:br/>
        <w:t xml:space="preserve">         que es necesario que la Corte ordene al Estado dejar sin efecto el</w:t>
        <w:br/>
        <w:t xml:space="preserve">         sobreseimiento definitivo dictado el  1  de  septiembre  de  1993,</w:t>
        <w:br/>
        <w:t xml:space="preserve">         ordene de inmediato la reapertura de las investigaciones y que  en</w:t>
        <w:br/>
        <w:t xml:space="preserve">         la investigación se satisfagan los siguientes criterios: a)  tomar</w:t>
        <w:br/>
        <w:t xml:space="preserve">         en cuenta el patrón de violencia de derechos humanos existentes en</w:t>
        <w:br/>
        <w:t xml:space="preserve">         la época; b) determinar los autores materiales e intelectuales  de</w:t>
        <w:br/>
        <w:t xml:space="preserve">         los hechos, sin que el Estado puede aplicar la Ley de Amnistía  en</w:t>
        <w:br/>
        <w:t xml:space="preserve">         beneficio de  los  autores,  así  como  ninguna  otra  disposición</w:t>
        <w:br/>
        <w:t xml:space="preserve">         análoga, prescripción, irretroactividad  de  la  ley  penal,  cosa</w:t>
        <w:br/>
        <w:t xml:space="preserve">         juzgada,  ne  bis  in  idem  o  cualquier  excluyente  similar  de</w:t>
        <w:br/>
        <w:t xml:space="preserve">         responsabilidad, “y que las autoridades se abstengan  de  realizar</w:t>
        <w:br/>
        <w:t xml:space="preserve">         actos que impliquen la obstrucción del proceso  investigativo”,  y</w:t>
        <w:br/>
        <w:t xml:space="preserve">         c) asegurar que:  i)  las  autoridades  competentes  realicen  las</w:t>
        <w:br/>
        <w:t xml:space="preserve">         investigaciones correspondientes ex officio, y que para tal efecto</w:t>
        <w:br/>
        <w:t xml:space="preserve">         tengan a su alcance y utilicen todos  los  recursos  logísticos  y</w:t>
        <w:br/>
        <w:t xml:space="preserve">         científicos necesarios y tengan la  facultad  para  acceder  a  la</w:t>
        <w:br/>
        <w:t xml:space="preserve">         documentación e información  pertinentes;  ii)  las  personas  que</w:t>
        <w:br/>
        <w:t xml:space="preserve">         participen en la investigación cuenten con las  debidas  garantías</w:t>
        <w:br/>
        <w:t xml:space="preserve">         de seguridad, y iii) las  autoridades  se  abstengan  de  realizar</w:t>
        <w:br/>
        <w:t xml:space="preserve">         actos que impliquen la obstrucción del proceso  investigativo.  Al</w:t>
        <w:br/>
        <w:t xml:space="preserve">         respecto, indicaron que los familiares  de  las  víctimas  deberán</w:t>
        <w:br/>
        <w:t xml:space="preserve">         tener pleno acceso y capacidad de actuar en las  distintas  etapas</w:t>
        <w:br/>
        <w:t xml:space="preserve">         procesales y los resultados de  las  investigaciones  deberán  ser</w:t>
        <w:br/>
        <w:t xml:space="preserve">         divulgados pública y ampliamente, para que la sociedad salvadoreña</w:t>
        <w:br/>
        <w:t xml:space="preserve">         los conozca.</w:t>
        <w:br/>
        <w:br/>
        <w:t xml:space="preserve">    314. El Estado  reconoció  “su  obligación  de  investigar  los  hechos</w:t>
        <w:br/>
        <w:t xml:space="preserve">         denunciados,  procesar  mediante  juicio  justo  y,  en  su  caso,</w:t>
        <w:br/>
        <w:t xml:space="preserve">         sancionar a los  responsables  de  los  hechos  planteados  en  la</w:t>
        <w:br/>
        <w:t xml:space="preserve">         demanda [sic], una vez sean individualizados  y  se  determine  su</w:t>
        <w:br/>
        <w:t xml:space="preserve">         responsabilidad  penal  o  administrativa  por   las   autoridades</w:t>
        <w:br/>
        <w:t xml:space="preserve">         competentes”, así como “su obligación de  adecuar  su  legislación</w:t>
        <w:br/>
        <w:t xml:space="preserve">         interna de conformidad a lo dispuesto  por  el  [a]rtículo  2,  en</w:t>
        <w:br/>
        <w:t xml:space="preserve">         relación al artículo 1.1 de la Convención Americana”.</w:t>
        <w:br/>
        <w:br/>
        <w:t xml:space="preserve">    315. En el Capítulo VIII de la presente Sentencia, la Corte declaró  la</w:t>
        <w:br/>
        <w:t xml:space="preserve">         violación de los derechos  a  las  garantías  judiciales  y  a  la</w:t>
        <w:br/>
        <w:t xml:space="preserve">         protección judicial, así como el incumplimiento de  los  artículos</w:t>
        <w:br/>
        <w:t xml:space="preserve">         1, 6 y 8 de la Convención Interamericana para Prevenir y Sancionar</w:t>
        <w:br/>
        <w:t xml:space="preserve">         la Tortura y 7.b) de la Convención de Belém do Pará, por no  haber</w:t>
        <w:br/>
        <w:t xml:space="preserve">         iniciado una investigación ex officio, por la falta de  diligencia</w:t>
        <w:br/>
        <w:t xml:space="preserve">         en la investigación penal realizada  por  el  Juzgado  Segundo  de</w:t>
        <w:br/>
        <w:t xml:space="preserve">         Primera Instancia de San Francisco Gotera, por  el  sobreseimiento</w:t>
        <w:br/>
        <w:t xml:space="preserve">         dictado en aplicación de  la  Ley  de  Amnistía  General  para  la</w:t>
        <w:br/>
        <w:t xml:space="preserve">         Consolidación de la Paz, así como por la violación de la  garantía</w:t>
        <w:br/>
        <w:t xml:space="preserve">         del plazo razonable. En este sentido, dicha  investigación  no  ha</w:t>
        <w:br/>
        <w:t xml:space="preserve">         constituido el recurso efectivo para garantizar  los  derechos  de</w:t>
        <w:br/>
        <w:t xml:space="preserve">         acceso  a  la  justicia  y  de  conocer  la  verdad  mediante   la</w:t>
        <w:br/>
        <w:t xml:space="preserve">         investigación,  enjuiciamiento   y   eventual   sanción   de   los</w:t>
        <w:br/>
        <w:t xml:space="preserve">         responsables de las masacres, de modo que  se  examinen  de  forma</w:t>
        <w:br/>
        <w:t xml:space="preserve">         completa y exhaustiva la multiplicidad de afectaciones ocasionadas</w:t>
        <w:br/>
        <w:t xml:space="preserve">         a las víctimas del presente caso, y  tampoco  para  garantizar  la</w:t>
        <w:br/>
        <w:t xml:space="preserve">         reparación integral de las consecuencias de  las  violaciones.  Es</w:t>
        <w:br/>
        <w:t xml:space="preserve">         así que, a 31 años de los hechos y a 19 años de que se dictara  el</w:t>
        <w:br/>
        <w:t xml:space="preserve">         sobreseimiento definitivo de la única causa que había sido abierta</w:t>
        <w:br/>
        <w:t xml:space="preserve">         por  los  hechos  del  presente  caso,  sin  que  ninguno  de  los</w:t>
        <w:br/>
        <w:t xml:space="preserve">         responsables  haya   sido   identificado   ni   vinculado   a   la</w:t>
        <w:br/>
        <w:t xml:space="preserve">         investigación, prevalece la impunidad total.</w:t>
        <w:br/>
        <w:br/>
        <w:t xml:space="preserve">    316. La Corte valora la labor y publicación del Informe de la  Comisión</w:t>
        <w:br/>
        <w:t xml:space="preserve">         de la Verdad para El Salvador, como un esfuerzo que ha contribuido</w:t>
        <w:br/>
        <w:t xml:space="preserve">         a la búsqueda y determinación de la verdad de un período histórico</w:t>
        <w:br/>
        <w:t xml:space="preserve">         de El Salvador. Además,  la  Comisión  de  la  Verdad  resaltó  la</w:t>
        <w:br/>
        <w:t xml:space="preserve">         importancia de la  realización  de  procesos  judiciales  para  el</w:t>
        <w:br/>
        <w:t xml:space="preserve">         juzgamiento y sanción de los responsables, razón por  la  cual  la</w:t>
        <w:br/>
        <w:t xml:space="preserve">         Corte considera pertinente  reiterar  que  la  “verdad  histórica”</w:t>
        <w:br/>
        <w:t xml:space="preserve">         contenida en dicho informe no completa o sustituye  la  obligación</w:t>
        <w:br/>
        <w:t xml:space="preserve">         del Estado de establecer la verdad  y  asegurar  la  determinación</w:t>
        <w:br/>
        <w:t xml:space="preserve">         judicial de responsabilidades individuales o estatales  también  a</w:t>
        <w:br/>
        <w:t xml:space="preserve">         través de los procesos judiciales[496].</w:t>
        <w:br/>
        <w:br/>
        <w:t xml:space="preserve">    317. El Tribunal reitera que la investigación es un imperativo estatal,</w:t>
        <w:br/>
        <w:t xml:space="preserve">         así como la importancia de que tales acciones se realicen conforme</w:t>
        <w:br/>
        <w:t xml:space="preserve">         a los estándares internacionales. Para ello,  la  Corte  considera</w:t>
        <w:br/>
        <w:t xml:space="preserve">         necesario que el Estado  adopte  estrategias  claras  y  concretas</w:t>
        <w:br/>
        <w:t xml:space="preserve">         encaminadas a superar  la  impunidad  en  el  juzgamiento  de  los</w:t>
        <w:br/>
        <w:t xml:space="preserve">         responsables materiales e intelectuales  de  las  masacres  de  El</w:t>
        <w:br/>
        <w:t xml:space="preserve">         Mozote y lugares aledaños cometidas durante  el  conflicto  armado</w:t>
        <w:br/>
        <w:t xml:space="preserve">         salvadoreño.</w:t>
        <w:br/>
        <w:br/>
        <w:t xml:space="preserve">    318. En primer lugar, dado que la  Ley  de  Amnistía  General  para  la</w:t>
        <w:br/>
        <w:t xml:space="preserve">         Consolidación de la Paz  carece  de  efectos,  de  acuerdo  a  las</w:t>
        <w:br/>
        <w:t xml:space="preserve">         consideraciones desarrolladas en los párrafos 283 a 296, el Estado</w:t>
        <w:br/>
        <w:t xml:space="preserve">         debe asegurar que aquélla no vuelva  a  representar  un  obstáculo</w:t>
        <w:br/>
        <w:t xml:space="preserve">         para la investigación de los hechos materia del presente  caso  ni</w:t>
        <w:br/>
        <w:t xml:space="preserve">         para la identificación, juzgamiento  y  eventual  sanción  de  los</w:t>
        <w:br/>
        <w:t xml:space="preserve">         responsables de los  mismos  y  de  otras  graves  violaciones  de</w:t>
        <w:br/>
        <w:t xml:space="preserve">         derechos humanos similares acontecidas durante el conflicto armado</w:t>
        <w:br/>
        <w:t xml:space="preserve">         en El Salvador. Esta obligación vincula  a  todos  los  poderes  y</w:t>
        <w:br/>
        <w:t xml:space="preserve">         órganos  estatales  en  su  conjunto,  los  cuales  se  encuentran</w:t>
        <w:br/>
        <w:t xml:space="preserve">         obligados a ejercer un control “de  convencionalidad”  ex  officio</w:t>
        <w:br/>
        <w:t xml:space="preserve">         entre las normas internas y la Convención Americana, evidentemente</w:t>
        <w:br/>
        <w:t xml:space="preserve">         en el marco de sus respectivas competencias y de las  regulaciones</w:t>
        <w:br/>
        <w:t xml:space="preserve">         procesales correspondientes[497].</w:t>
        <w:br/>
        <w:br/>
        <w:t xml:space="preserve">    319. Teniendo en cuenta lo anterior, así como  su  jurisprudencia[498],</w:t>
        <w:br/>
        <w:t xml:space="preserve">         este Tribunal dispone que el Estado debe, en un  plazo  razonable,</w:t>
        <w:br/>
        <w:t xml:space="preserve">         iniciar, impulsar, reabrir, dirigir, continuar y  concluir,  según</w:t>
        <w:br/>
        <w:t xml:space="preserve">         corresponda,  con  la  mayor  diligencia  las  investigaciones   y</w:t>
        <w:br/>
        <w:t xml:space="preserve">         procesos  pertinentes  en  un  plazo  razonable,  con  el  fin  de</w:t>
        <w:br/>
        <w:t xml:space="preserve">         establecer  toda  la  verdad  de  los  hechos  y  determinar   las</w:t>
        <w:br/>
        <w:t xml:space="preserve">         responsabilidades penales que pudieran existir,  y  remover  todos</w:t>
        <w:br/>
        <w:t xml:space="preserve">         los obstáculos de facto y de jure que mantienen la impunidad total</w:t>
        <w:br/>
        <w:t xml:space="preserve">         en  este  caso,   tomando   en   cuenta   que   han   transcurrido</w:t>
        <w:br/>
        <w:t xml:space="preserve">         aproximadamente  31  años  desde  que  sucedieron  las   referidas</w:t>
        <w:br/>
        <w:t xml:space="preserve">         masacres. En esta  línea,  el  Estado  debe  investigar  de  forma</w:t>
        <w:br/>
        <w:t xml:space="preserve">         efectiva todos los hechos de las masacres, incluyendo,  además  de</w:t>
        <w:br/>
        <w:t xml:space="preserve">         las   ejecuciones   extrajudiciales,   otras    posibles    graves</w:t>
        <w:br/>
        <w:t xml:space="preserve">         afectaciones a la integridad personal, y en particular, los  actos</w:t>
        <w:br/>
        <w:t xml:space="preserve">         de tortura y las violaciones sexuales contra las mujeres, así como</w:t>
        <w:br/>
        <w:t xml:space="preserve">         los desplazamientos forzados. A tal fin, el Estado debe:</w:t>
        <w:br/>
        <w:br/>
        <w:t xml:space="preserve">      a)    abstenerse de recurrir a figuras como la amnistía  en  beneficio</w:t>
        <w:br/>
        <w:t xml:space="preserve">      de  los  autores,  así  como  ninguna  otra  disposición  análoga,  la</w:t>
        <w:br/>
        <w:t xml:space="preserve">      prescripción, irretroactividad de la ley penal, cosa juzgada,  ne  bis</w:t>
        <w:br/>
        <w:t xml:space="preserve">      in  idem  o  cualquier  eximente  similar  de  responsabilidad,   para</w:t>
        <w:br/>
        <w:t xml:space="preserve">      excusarse de esta obligación;</w:t>
        <w:br/>
        <w:br/>
        <w:br/>
        <w:t xml:space="preserve">      b)    tomar en cuenta el patrón sistemático de violaciones a  derechos</w:t>
        <w:br/>
        <w:t xml:space="preserve">      humanos en el contexto del conflicto armado salvadoreño, así como  los</w:t>
        <w:br/>
        <w:t xml:space="preserve">      operativos militares de grandes proporciones  dentro  de  los  que  se</w:t>
        <w:br/>
        <w:t xml:space="preserve">      enmarcaron los hechos de este caso, con el objeto de que los  procesos</w:t>
        <w:br/>
        <w:t xml:space="preserve">      y las investigaciones pertinentes sean conducidos en consideración  de</w:t>
        <w:br/>
        <w:t xml:space="preserve">      la complejidad de estos  hechos  y  el  contexto  en  que  ocurrieron,</w:t>
        <w:br/>
        <w:t xml:space="preserve">      evitando omisiones en la recolección de prueba y en el seguimiento  de</w:t>
        <w:br/>
        <w:t xml:space="preserve">      líneas lógicas de investigación con base en una correcta valoración de</w:t>
        <w:br/>
        <w:t xml:space="preserve">      los patrones sistemáticos que  dieron  origen  a  los  hechos  que  se</w:t>
        <w:br/>
        <w:t xml:space="preserve">      investigan;</w:t>
        <w:br/>
        <w:br/>
        <w:br/>
        <w:t xml:space="preserve">      c)    identificar e individualizar a todos los  autores  materiales  e</w:t>
        <w:br/>
        <w:t xml:space="preserve">      intelectuales de las masacres del presente caso. La debida  diligencia</w:t>
        <w:br/>
        <w:t xml:space="preserve">      en la investigación implica que todas las autoridades estatales  están</w:t>
        <w:br/>
        <w:t xml:space="preserve">      obligadas a colaborar en la recaudación  de  la  prueba,  por  lo  que</w:t>
        <w:br/>
        <w:t xml:space="preserve">      deberán brindar al juez, fiscal u  otra  autoridad  judicial  toda  la</w:t>
        <w:br/>
        <w:t xml:space="preserve">      información que requiera  y  abstenerse  de  actos  que  impliquen  la</w:t>
        <w:br/>
        <w:t xml:space="preserve">      obstrucción para la marcha del proceso investigativo;</w:t>
        <w:br/>
        <w:br/>
        <w:br/>
        <w:t xml:space="preserve">      d)     asegurarse  que  las  autoridades  competentes   realicen   las</w:t>
        <w:br/>
        <w:t xml:space="preserve">      investigaciones correspondientes ex officio, y  que  para  tal  efecto</w:t>
        <w:br/>
        <w:t xml:space="preserve">      tengan a su  alcance  y  utilicen  todos  los  recursos  logísticos  y</w:t>
        <w:br/>
        <w:t xml:space="preserve">      científicos necesarios para recabar  y  procesar  las  pruebas  y,  en</w:t>
        <w:br/>
        <w:t xml:space="preserve">      particular, tengan las facultades para acceder a  la  documentación  e</w:t>
        <w:br/>
        <w:t xml:space="preserve">      información pertinentes  para  investigar  los  hechos  denunciados  y</w:t>
        <w:br/>
        <w:t xml:space="preserve">      llevar a cabo con  prontitud  aquellas  actuaciones  y  averiguaciones</w:t>
        <w:br/>
        <w:t xml:space="preserve">      esenciales para esclarecer lo sucedido en el presente caso;</w:t>
        <w:br/>
        <w:br/>
        <w:br/>
        <w:t xml:space="preserve">      e)    garantizar que las investigaciones por los hechos  constitutivos</w:t>
        <w:br/>
        <w:t xml:space="preserve">      de las masacres del presente caso se mantengan, en todo momento,  bajo</w:t>
        <w:br/>
        <w:t xml:space="preserve">      conocimiento de la jurisdicción ordinaria;</w:t>
        <w:br/>
        <w:br/>
        <w:br/>
        <w:t xml:space="preserve">      f)    asegurarse que los distintos órganos  del  sistema  de  justicia</w:t>
        <w:br/>
        <w:t xml:space="preserve">      involucrados en el caso cuenten con los recursos humanos,  económicos,</w:t>
        <w:br/>
        <w:t xml:space="preserve">      logísticos,  científicos  o  de  cualquier  índole   necesarios   para</w:t>
        <w:br/>
        <w:t xml:space="preserve">      desempeñar sus tareas de manera adecuada, independiente e imparcial  y</w:t>
        <w:br/>
        <w:t xml:space="preserve">      adoptar  las  medidas  necesarias  para  garantizar  que  funcionarios</w:t>
        <w:br/>
        <w:t xml:space="preserve">      judiciales, fiscales, investigadores y demás  operadores  de  justicia</w:t>
        <w:br/>
        <w:t xml:space="preserve">      cuenten con un sistema de seguridad y protección adecuado, tomando  en</w:t>
        <w:br/>
        <w:t xml:space="preserve">      cuenta las circunstancias de los casos a su cargo y el lugar donde  se</w:t>
        <w:br/>
        <w:t xml:space="preserve">      encuentran laborando, que les permita  desempeñar  sus  funciones  con</w:t>
        <w:br/>
        <w:t xml:space="preserve">      debida diligencia, así como la  protección  de  testigos,  víctimas  y</w:t>
        <w:br/>
        <w:t xml:space="preserve">      familiares; y</w:t>
        <w:br/>
        <w:br/>
        <w:br/>
        <w:t xml:space="preserve">      g)    asegurar el pleno acceso y capacidad de actuar de las víctimas o</w:t>
        <w:br/>
        <w:t xml:space="preserve">      sus  familiares  en  todas  las  etapas  de  la  investigación  y   el</w:t>
        <w:br/>
        <w:t xml:space="preserve">      juzgamiento de los responsables.</w:t>
        <w:br/>
        <w:br/>
        <w:t xml:space="preserve">    320. Adicionalmente, los resultados de  los  procesos  correspondientes</w:t>
        <w:br/>
        <w:t xml:space="preserve">         deberán ser publicados para que la  sociedad  salvadoreña  conozca</w:t>
        <w:br/>
        <w:t xml:space="preserve">         los hechos objeto del presente caso, así como a sus responsables.</w:t>
        <w:br/>
        <w:br/>
        <w:t xml:space="preserve">    321. Al igual que ha sido decidido en el Caso Contreras y otros Vs.  El</w:t>
        <w:br/>
        <w:t xml:space="preserve">         Salvador[499], el Estado debe adoptar las  medidas  pertinentes  y</w:t>
        <w:br/>
        <w:t xml:space="preserve">         adecuadas para garantizar a los operadores de justicia, así como a</w:t>
        <w:br/>
        <w:t xml:space="preserve">         la  sociedad   salvadoreña,   el   acceso   público,   técnico   y</w:t>
        <w:br/>
        <w:t xml:space="preserve">         sistematizado a los archivos  que  contengan  información  útil  y</w:t>
        <w:br/>
        <w:t xml:space="preserve">         relevante para la investigación en causas seguidas por violaciones</w:t>
        <w:br/>
        <w:t xml:space="preserve">         a los derechos humanos durante el conflicto  armado,  medidas  que</w:t>
        <w:br/>
        <w:t xml:space="preserve">         deberá apoyar con las asignaciones presupuestarias adecuadas.</w:t>
        <w:br/>
        <w:br/>
        <w:t xml:space="preserve">   2) Medidas administrativas, disciplinarias o penales a  los  funcionarios</w:t>
        <w:br/>
        <w:t xml:space="preserve">      estatales responsables de la obstaculización de las investigaciones</w:t>
        <w:br/>
        <w:br/>
        <w:t xml:space="preserve">    322. La Comisión solicitó a la Corte que ordene al Estado disponer  las</w:t>
        <w:br/>
        <w:t xml:space="preserve">         medidas administrativas, disciplinarias o penales correspondientes</w:t>
        <w:br/>
        <w:t xml:space="preserve">         frente a las acciones u omisiones de  los  funcionarios  estatales</w:t>
        <w:br/>
        <w:t xml:space="preserve">         que contribuyeron a la denegación de justicia e  impunidad  en  la</w:t>
        <w:br/>
        <w:t xml:space="preserve">         que se encuentran los  hechos  del  caso  o  que  participaron  en</w:t>
        <w:br/>
        <w:t xml:space="preserve">         medidas para obstaculizar los procesos destinados a identificar  y</w:t>
        <w:br/>
        <w:t xml:space="preserve">         sancionar a los responsables.</w:t>
        <w:br/>
        <w:br/>
        <w:t xml:space="preserve">    323. Los representantes señalaron que a pesar  de  que  en  el  proceso</w:t>
        <w:br/>
        <w:t xml:space="preserve">         judicial constan múltiples declaraciones y  que  a  través  de  la</w:t>
        <w:br/>
        <w:t xml:space="preserve">         realización de exhumaciones se ha comprobado la muerte violenta de</w:t>
        <w:br/>
        <w:t xml:space="preserve">         las víctimas, los agentes estatales a cargo  del  proceso  no  han</w:t>
        <w:br/>
        <w:t xml:space="preserve">         iniciado una sola diligencia  para  establecer  la  verdad  de  lo</w:t>
        <w:br/>
        <w:t xml:space="preserve">         ocurrido. Además, cinco años después el juez de la causa sigue sin</w:t>
        <w:br/>
        <w:t xml:space="preserve">         resolver una serie de solicitudes de  los  representantes  de  las</w:t>
        <w:br/>
        <w:t xml:space="preserve">         víctimas que incluyen la inaplicación de la Ley de Amnistía  y  la</w:t>
        <w:br/>
        <w:t xml:space="preserve">         realización de  una  serie  de  diligencias  para  esclarecer  los</w:t>
        <w:br/>
        <w:t xml:space="preserve">         hechos. Asimismo, a pesar de que hace más de diez años existe  una</w:t>
        <w:br/>
        <w:t xml:space="preserve">         decisión de la Corte Suprema de Justicia que indica que la Ley  de</w:t>
        <w:br/>
        <w:t xml:space="preserve">         Amnistía no debe ser aplicada respecto de este tipo de hechos,  la</w:t>
        <w:br/>
        <w:t xml:space="preserve">         Fiscalía no ha realizado ninguna solicitud en este sentido, ni  el</w:t>
        <w:br/>
        <w:t xml:space="preserve">         juez de la causa ha adoptado decisión  alguna.  Por  tanto,  sería</w:t>
        <w:br/>
        <w:t xml:space="preserve">         “evidente que en este  caso,  ni  el  juez  de  la  causa,  ni  el</w:t>
        <w:br/>
        <w:t xml:space="preserve">         Ministerio  Público   han   cumplido   con   sus   deberes”.   Por</w:t>
        <w:br/>
        <w:t xml:space="preserve">         consiguiente, solicitaron a la Corte que ordene al Estado realizar</w:t>
        <w:br/>
        <w:t xml:space="preserve">         una  investigación  pronta,  oportuna  e  imparcial  que   permita</w:t>
        <w:br/>
        <w:t xml:space="preserve">         corregir  las  irregularidades  cometidas,  además  de  juzgar   y</w:t>
        <w:br/>
        <w:t xml:space="preserve">         sancionar a sus responsables.</w:t>
        <w:br/>
        <w:br/>
        <w:t xml:space="preserve">    324. El Estado no se  refirió  específicamente  a  esta  pretensión  de</w:t>
        <w:br/>
        <w:t xml:space="preserve">         reparación, aunque reconoció  “su  obligación  de  investigar  los</w:t>
        <w:br/>
        <w:t xml:space="preserve">         hechos denunciados, procesar mediante juicio justo y, en su  caso,</w:t>
        <w:br/>
        <w:t xml:space="preserve">         sancionar a los  responsables  de  los  hechos  planteados  en  la</w:t>
        <w:br/>
        <w:t xml:space="preserve">         demanda [sic], una vez sean individualizados  y  se  determine  su</w:t>
        <w:br/>
        <w:t xml:space="preserve">         responsabilidad  penal  o  administrativa  por   las   autoridades</w:t>
        <w:br/>
        <w:t xml:space="preserve">         competentes”.</w:t>
        <w:br/>
        <w:br/>
        <w:t xml:space="preserve">    325. En casos anteriores[500], ante determinadas violaciones, la  Corte</w:t>
        <w:br/>
        <w:t xml:space="preserve">         ha dispuesto  que  el  Estado  inicie,  según  el  caso,  acciones</w:t>
        <w:br/>
        <w:t xml:space="preserve">         disciplinarias, administrativas  o  penales,  de  acuerdo  con  su</w:t>
        <w:br/>
        <w:t xml:space="preserve">         legislación  interna,  a  los  responsables   de   las   distintas</w:t>
        <w:br/>
        <w:t xml:space="preserve">         irregularidades procesales e investigativas. En el  presente  caso</w:t>
        <w:br/>
        <w:t xml:space="preserve">         se demostró que diversas autoridades estatales  obstaculizaron  el</w:t>
        <w:br/>
        <w:t xml:space="preserve">         avance de las investigaciones y dilataron la  realización  de  las</w:t>
        <w:br/>
        <w:t xml:space="preserve">         inspecciones judiciales y exhumaciones,  lo  que  culminó  con  la</w:t>
        <w:br/>
        <w:t xml:space="preserve">         aplicación de la Ley de Amnistía General para la Consolidación  de</w:t>
        <w:br/>
        <w:t xml:space="preserve">         la Paz, perpetuando así la impunidad en el  presente  caso  (supra</w:t>
        <w:br/>
        <w:t xml:space="preserve">         párr. 299). Asimismo, a pesar de las solicitudes de reapertura por</w:t>
        <w:br/>
        <w:t xml:space="preserve">         parte de los representantes  de  las  víctimas,  la  investigación</w:t>
        <w:br/>
        <w:t xml:space="preserve">         permanece sobreseída y archivada (supra párr. 300).</w:t>
        <w:br/>
        <w:br/>
        <w:t xml:space="preserve">    326. En consecuencia, este Tribunal considera, como forma  de  combatir</w:t>
        <w:br/>
        <w:t xml:space="preserve">         la  impunidad,  que  el  Estado  debe,  en  un  plazo   razonable,</w:t>
        <w:br/>
        <w:t xml:space="preserve">         investigar,  por  intermedio   de   las   instituciones   públicas</w:t>
        <w:br/>
        <w:t xml:space="preserve">         competentes, la conducta de los funcionarios que obstaculizaron la</w:t>
        <w:br/>
        <w:t xml:space="preserve">         investigación y permitieron que permaneciera  en  impunidad  desde</w:t>
        <w:br/>
        <w:t xml:space="preserve">         que ocurrieron los hechos y, luego de un debido proceso,  aplicar,</w:t>
        <w:br/>
        <w:t xml:space="preserve">         si es el caso, las  sanciones  administrativas,  disciplinarias  o</w:t>
        <w:br/>
        <w:t xml:space="preserve">         penales   correspondientes   a    quienes    fueran    encontrados</w:t>
        <w:br/>
        <w:t xml:space="preserve">         responsables.</w:t>
        <w:br/>
        <w:br/>
        <w:t xml:space="preserve">   3) Localización, identificación y entrega a sus familiares de los  restos</w:t>
        <w:br/>
        <w:t xml:space="preserve">      de las personas ejecutadas en las masacres  de  El  Mozote  y  lugares</w:t>
        <w:br/>
        <w:t xml:space="preserve">      aledaños</w:t>
        <w:br/>
        <w:br/>
        <w:t xml:space="preserve">    327. La Comisión solicitó a la Corte que disponga al Estado proveer  lo</w:t>
        <w:br/>
        <w:t xml:space="preserve">         necesario para dar continuidad a la exhumación,  identificación  y</w:t>
        <w:br/>
        <w:t xml:space="preserve">         devolución de los restos  mortales  de  las  víctimas  ejecutadas,</w:t>
        <w:br/>
        <w:t xml:space="preserve">         según los deseos de sus familiares.</w:t>
        <w:br/>
        <w:br/>
        <w:t xml:space="preserve">    328. Los representantes solicitaron a la Corte  que  ordene  al  Estado</w:t>
        <w:br/>
        <w:t xml:space="preserve">         iniciar de manera sistemática y rigurosa, con los recursos humanos</w:t>
        <w:br/>
        <w:t xml:space="preserve">         y  técnicos  adecuados,  y  en  seguimiento  de  las  labores   ya</w:t>
        <w:br/>
        <w:t xml:space="preserve">         emprendidas, cualquier otra acción que resulte necesaria  para  la</w:t>
        <w:br/>
        <w:t xml:space="preserve">         exhumación, identificación y entrega de los restos  de  las  demás</w:t>
        <w:br/>
        <w:t xml:space="preserve">         personas ejecutadas, para lo cual  se  deberá  emplear  todos  los</w:t>
        <w:br/>
        <w:t xml:space="preserve">         medios técnicos y científicos necesarios, tomando  en  cuenta  las</w:t>
        <w:br/>
        <w:t xml:space="preserve">         normas nacionales o internacionales pertinentes en  la  materia  y</w:t>
        <w:br/>
        <w:t xml:space="preserve">         deberá concluir con el total de las exhumaciones en  un  plazo  de</w:t>
        <w:br/>
        <w:t xml:space="preserve">         dos años contado a partir de la notificación de la Sentencia. Como</w:t>
        <w:br/>
        <w:t xml:space="preserve">         parte  de  dicha  medida,  en  su  escrito  de  alegatos   finales</w:t>
        <w:br/>
        <w:t xml:space="preserve">         consideraron necesario que se cuente con el consentimiento de  los</w:t>
        <w:br/>
        <w:t xml:space="preserve">         familiares de las víctimas, “pues pueden existir casos en los  que</w:t>
        <w:br/>
        <w:t xml:space="preserve">         las víctimas no desean que sus familiares sean exhumados”,  y  que</w:t>
        <w:br/>
        <w:t xml:space="preserve">         el Estado: i) lleve a  cabo  un  relevamiento  de  la  información</w:t>
        <w:br/>
        <w:t xml:space="preserve">         disponible sobre posibles sitios de entierro; ii) cree un banco de</w:t>
        <w:br/>
        <w:t xml:space="preserve">         datos genéticos,  y  iii)  asegure  la  capacitación  de  personal</w:t>
        <w:br/>
        <w:t xml:space="preserve">         especialista en la materia para  poder  iniciar  los  trabajos  de</w:t>
        <w:br/>
        <w:t xml:space="preserve">         localización y exhumación.</w:t>
        <w:br/>
        <w:br/>
        <w:t xml:space="preserve">    329. El Estado expresó su disposición de  aceptar  y  realizar,  en  el</w:t>
        <w:br/>
        <w:t xml:space="preserve">         plazo razonable que por su naturaleza requiera, la continuidad  de</w:t>
        <w:br/>
        <w:t xml:space="preserve">         la exhumación de las víctimas que aún se encuentren pendientes.</w:t>
        <w:br/>
        <w:br/>
        <w:t xml:space="preserve">    330. La Corte reconoce las acciones realizadas por el Equipo  Argentino</w:t>
        <w:br/>
        <w:t xml:space="preserve">         de Antropología Forense para recuperar los restos de las  personas</w:t>
        <w:br/>
        <w:t xml:space="preserve">         ejecutadas, así como la entrega de restos que fue realizada a raíz</w:t>
        <w:br/>
        <w:t xml:space="preserve">         de las mismas por  parte  de  las  autoridades  judiciales  (supra</w:t>
        <w:br/>
        <w:t xml:space="preserve">         párrs. 230 a 241). No obstante, la Corte observa  que  el  Juzgado</w:t>
        <w:br/>
        <w:t xml:space="preserve">         Segundo de Primera Instancia de San Francisco Gotera determinó dar</w:t>
        <w:br/>
        <w:t xml:space="preserve">         por finalizada la práctica de las diligencias  de  exhumación  una</w:t>
        <w:br/>
        <w:t xml:space="preserve">         vez que se aprobó y aplicó al presente caso  la  Ley  de  Amnistía</w:t>
        <w:br/>
        <w:t xml:space="preserve">         General para la Consolidación de la Paz (supra párrs. 229 y  276).</w:t>
        <w:br/>
        <w:t xml:space="preserve">         Las exhumaciones realizadas con posterioridad sólo se realizaron a</w:t>
        <w:br/>
        <w:t xml:space="preserve">         iniciativa de Tutela Legal  del  Arzobispado  (supra  párr.  234).</w:t>
        <w:br/>
        <w:t xml:space="preserve">         Asimismo, no se han realizado otras diligencias con  posterioridad</w:t>
        <w:br/>
        <w:t xml:space="preserve">         al año 2004 a fin de buscar  y  localizar  a  otras  personas  que</w:t>
        <w:br/>
        <w:t xml:space="preserve">         fallecieron en las masacres.</w:t>
        <w:br/>
        <w:br/>
        <w:t xml:space="preserve">    331. Este Tribunal ha establecido que el derecho de los  familiares  de</w:t>
        <w:br/>
        <w:t xml:space="preserve">         las víctimas de conocer donde se  encuentran  los  restos  de  sus</w:t>
        <w:br/>
        <w:t xml:space="preserve">         seres queridos constituye, además de una exigencia del  derecho  a</w:t>
        <w:br/>
        <w:t xml:space="preserve">         conocer la verdad, una medida de reparación y, por lo tanto,  hace</w:t>
        <w:br/>
        <w:t xml:space="preserve">         nacer el deber correlativo para  el  Estado  de  satisfacer  estas</w:t>
        <w:br/>
        <w:t xml:space="preserve">         justas expectativas. Asimismo, para  sus  familiares  es  de  suma</w:t>
        <w:br/>
        <w:t xml:space="preserve">         importancia recibir los cuerpos de las personas que fallecieron en</w:t>
        <w:br/>
        <w:t xml:space="preserve">         las masacres, ya que les permite  sepultarlos  de  acuerdo  a  sus</w:t>
        <w:br/>
        <w:t xml:space="preserve">         creencias, así como cerrar el proceso  de  duelo  que  han  estado</w:t>
        <w:br/>
        <w:t xml:space="preserve">         viviendo a lo largo de estos años[501]. En palabras de  la  perito</w:t>
        <w:br/>
        <w:t xml:space="preserve">         Yáñez De La Cruz, “[c]ontribuye a la elaboración del duelo ciertos</w:t>
        <w:br/>
        <w:t xml:space="preserve">         ritos que desde la cultura y la sociedad aportan prácticas como el</w:t>
        <w:br/>
        <w:t xml:space="preserve">         velatorio, el entierro, el consuelo, todas las  confirmatorias  de</w:t>
        <w:br/>
        <w:t xml:space="preserve">         no retorno del ser querido”, ritos  que  en  las  masacres  de  El</w:t>
        <w:br/>
        <w:t xml:space="preserve">         Mozote y lugares aledaños no hubo oportunidad  de  practicar[502].</w:t>
        <w:br/>
        <w:t xml:space="preserve">         De igual  modo,  cabe  resaltar  que  los  restos  pueden  brindar</w:t>
        <w:br/>
        <w:t xml:space="preserve">         información útil para el esclarecimiento  de  los  hechos  ya  que</w:t>
        <w:br/>
        <w:t xml:space="preserve">         ofrecen detalles del trato que recibió la víctima, la forma en que</w:t>
        <w:br/>
        <w:t xml:space="preserve">         fue ejecutada, el modus operandi. Del mismo modo, el  lugar  mismo</w:t>
        <w:br/>
        <w:t xml:space="preserve">         en  el  que  los  restos  son   encontrados   puede   proporcionar</w:t>
        <w:br/>
        <w:t xml:space="preserve">         información valiosa sobre los perpetradores o la institución a  la</w:t>
        <w:br/>
        <w:t xml:space="preserve">         que pertenecían[503].</w:t>
        <w:br/>
        <w:br/>
        <w:t xml:space="preserve">    332. La Corte considera que el Estado, dentro de un plazo  seis  meses,</w:t>
        <w:br/>
        <w:t xml:space="preserve">         contado a partir de  la  notificación  del  presente  Fallo,  debe</w:t>
        <w:br/>
        <w:t xml:space="preserve">         llevar a cabo un levantamiento de la información disponible  sobre</w:t>
        <w:br/>
        <w:t xml:space="preserve">         posibles sitios de inhumación o entierro a los  cuales  se  deberá</w:t>
        <w:br/>
        <w:t xml:space="preserve">         proteger para su preservación, a fin de que, en seguimiento de las</w:t>
        <w:br/>
        <w:t xml:space="preserve">         labores ya emprendidas por el  Equipo  Argentino  de  Antropología</w:t>
        <w:br/>
        <w:t xml:space="preserve">         Forense (EAAF), se inicien de manera sistemática y  rigurosa,  con</w:t>
        <w:br/>
        <w:t xml:space="preserve">         los recursos humanos y económicos adecuados, cualquier otra acción</w:t>
        <w:br/>
        <w:t xml:space="preserve">         que resulte necesaria para la exhumación e identificación de otras</w:t>
        <w:br/>
        <w:t xml:space="preserve">         personas ejecutadas[504]. Para  ello,  el  Estado  deberá  emplear</w:t>
        <w:br/>
        <w:t xml:space="preserve">         todos los medios técnicos y  científicos  necesarios,  tomando  en</w:t>
        <w:br/>
        <w:t xml:space="preserve">         cuenta las normas nacionales o internacionales pertinentes  en  la</w:t>
        <w:br/>
        <w:t xml:space="preserve">         materia[505] y procurará concluir con el total de las exhumaciones</w:t>
        <w:br/>
        <w:t xml:space="preserve">         en un plazo de dos años, contado a partir de la notificación de la</w:t>
        <w:br/>
        <w:t xml:space="preserve">         presente  Sentencia.  Al  respecto,  la  Corte  considera  que  el</w:t>
        <w:br/>
        <w:t xml:space="preserve">         consentimiento informado de los familiares de las  víctimas  y  la</w:t>
        <w:br/>
        <w:t xml:space="preserve">         coordinación  con  éstas  a  través  de  sus   representantes   es</w:t>
        <w:br/>
        <w:t xml:space="preserve">         fundamental en este proceso[506].</w:t>
        <w:br/>
        <w:br/>
        <w:t xml:space="preserve">    333. En caso de identificar los restos, deberán ser  entregados  a  sus</w:t>
        <w:br/>
        <w:t xml:space="preserve">         familiares,  previa   comprobación   genética   de   filiación   o</w:t>
        <w:br/>
        <w:t xml:space="preserve">         reconocimiento por los medios adecuados e idóneos,  según  sea  el</w:t>
        <w:br/>
        <w:t xml:space="preserve">         caso,  a  la  mayor  brevedad  y  sin  costo  alguno  para  dichos</w:t>
        <w:br/>
        <w:t xml:space="preserve">         familiares.  Además,  el  Estado  deberá  cubrir  los  gastos   de</w:t>
        <w:br/>
        <w:t xml:space="preserve">         transporte  y  sepultura,  de  acuerdo  a  las  creencias  de  sus</w:t>
        <w:br/>
        <w:t xml:space="preserve">         familiares[507].  Si  los  restos  no   fueren   identificados   o</w:t>
        <w:br/>
        <w:t xml:space="preserve">         reclamados por ningún familiar, el Estado  deberá  sepultarlos  de</w:t>
        <w:br/>
        <w:t xml:space="preserve">         forma  individualizada  en  un  cementerio  o  lugar  adecuado   e</w:t>
        <w:br/>
        <w:t xml:space="preserve">         identificado y que sea de conocimiento de las comunidades víctimas</w:t>
        <w:br/>
        <w:t xml:space="preserve">         de las masacres. En el referido lugar se deberá determinar un área</w:t>
        <w:br/>
        <w:t xml:space="preserve">         específica reservada e  identificable  para  sepultarlos  y  hacer</w:t>
        <w:br/>
        <w:t xml:space="preserve">         referencia  a  que  se  trata  de  personas  no  identificadas   o</w:t>
        <w:br/>
        <w:t xml:space="preserve">         reclamadas fallecidas en las  masacres  de  El  Mozote  y  lugares</w:t>
        <w:br/>
        <w:t xml:space="preserve">         aledaños y a los datos del  lugar  donde  fueron  encontrados  los</w:t>
        <w:br/>
        <w:t xml:space="preserve">         restos.</w:t>
        <w:br/>
        <w:br/>
        <w:t xml:space="preserve">    334. Para hacer efectiva y viable la individualización de las  personas</w:t>
        <w:br/>
        <w:t xml:space="preserve">         exhumadas, este Tribunal  dispone,  como  lo  ha  hecho  en  otros</w:t>
        <w:br/>
        <w:t xml:space="preserve">         casos[508], que el Estado  deberá  comunicar  por  escrito  a  los</w:t>
        <w:br/>
        <w:t xml:space="preserve">         representantes de las víctimas sobre el proceso de  identificación</w:t>
        <w:br/>
        <w:t xml:space="preserve">         y entrega de los restos de las personas fallecidas en las masacres</w:t>
        <w:br/>
        <w:t xml:space="preserve">         y,  en  su  caso,  requerir  su  colaboración  para  los   efectos</w:t>
        <w:br/>
        <w:t xml:space="preserve">         pertinentes. Las  copias  de  dichas  comunicaciones  deberán  ser</w:t>
        <w:br/>
        <w:t xml:space="preserve">         presentadas a la Corte para que sean  consideradas  dentro  de  la</w:t>
        <w:br/>
        <w:t xml:space="preserve">         supervisión del cumplimiento de esta Sentencia.</w:t>
        <w:br/>
        <w:br/>
        <w:t>C.    Medidas de restitución, rehabilitación, satisfacción  y  garantías  de</w:t>
        <w:br/>
        <w:t>no repetición</w:t>
        <w:br/>
        <w:br/>
        <w:t xml:space="preserve">    335. La jurisprudencia internacional y en particular de  la  Corte,  ha</w:t>
        <w:br/>
        <w:t xml:space="preserve">         establecido reiteradamente que la sentencia puede  constituir  per</w:t>
        <w:br/>
        <w:t xml:space="preserve">         se una forma de reparación[509].  No  obstante,  considerando  las</w:t>
        <w:br/>
        <w:t xml:space="preserve">         circunstancias  del  caso  y  las  afectaciones  a  las   víctimas</w:t>
        <w:br/>
        <w:t xml:space="preserve">         derivadas de las violaciones de la Convención Americana declaradas</w:t>
        <w:br/>
        <w:t xml:space="preserve">         en su perjuicio, el  Tribunal  estima  pertinente  determinar  las</w:t>
        <w:br/>
        <w:t xml:space="preserve">         siguientes medidas de reparación.</w:t>
        <w:br/>
        <w:br/>
        <w:t xml:space="preserve">   1) Medidas de restitución</w:t>
        <w:br/>
        <w:br/>
        <w:t xml:space="preserve">           a)    Programa de desarrollo dirigido al  caserío  El  Mozote  y</w:t>
        <w:br/>
        <w:t xml:space="preserve">           lugares aledaños</w:t>
        <w:br/>
        <w:br/>
        <w:t xml:space="preserve">    336. La Comisión no presentó solicitud alguna al respecto.</w:t>
        <w:br/>
        <w:br/>
        <w:t xml:space="preserve">    337. Los representantes señalaron que las comunidades de  El  Mozote  y</w:t>
        <w:br/>
        <w:t xml:space="preserve">         lugares aledaños no cuentan con vías públicas adecuadas, acceso  a</w:t>
        <w:br/>
        <w:t xml:space="preserve">         servicios públicos de agua y luz, acceso a servicios  de  salud  y</w:t>
        <w:br/>
        <w:t xml:space="preserve">         escuelas, por lo que, solicitaron que el Estado “cree un  programa</w:t>
        <w:br/>
        <w:t xml:space="preserve">         de desarrollo dirigido a estas comunidades, que incluya todos  los</w:t>
        <w:br/>
        <w:t xml:space="preserve">         aspectos mencionados”. Es decir, la  rehabilitación  de  las  vías</w:t>
        <w:br/>
        <w:t xml:space="preserve">         públicas y la construcción de al menos un centro de  salud  y  una</w:t>
        <w:br/>
        <w:t xml:space="preserve">         escuela en un lugar accesible para la mayoría de las  poblaciones.</w:t>
        <w:br/>
        <w:t xml:space="preserve">         Asimismo,  dado  la  situación  de  las  víctimas  sobrevivientes,</w:t>
        <w:br/>
        <w:t xml:space="preserve">         solicitaron que el Estado incluya el otorgamiento  de  becas  para</w:t>
        <w:br/>
        <w:t xml:space="preserve">         los familiares de las víctimas que se encuentran en etapa de  edad</w:t>
        <w:br/>
        <w:t xml:space="preserve">         escolar y la creación de centros de ciudadanos de la tercera edad.</w:t>
        <w:br/>
        <w:br/>
        <w:t xml:space="preserve">    338. El Estado expresó su disposición de aceptar e impulsar un programa</w:t>
        <w:br/>
        <w:t xml:space="preserve">         de desarrollo social en beneficio de las víctimas en este caso, en</w:t>
        <w:br/>
        <w:t xml:space="preserve">         el plazo  razonable  que  por  su  naturaleza  requiera.  En  este</w:t>
        <w:br/>
        <w:t xml:space="preserve">         sentido, explicó que se encuentra diseñando y planificando, en  el</w:t>
        <w:br/>
        <w:t xml:space="preserve">         marco del diálogo que mantiene con las comunidades  afectadas,  un</w:t>
        <w:br/>
        <w:t xml:space="preserve">         programa de desarrollo dirigido al caserío  El  Mozote  y  lugares</w:t>
        <w:br/>
        <w:t xml:space="preserve">         aledaños, en atención a las principales necesidades que  se  vayan</w:t>
        <w:br/>
        <w:t xml:space="preserve">         identificando y acordando, pero teniendo en referencia el  interés</w:t>
        <w:br/>
        <w:t xml:space="preserve">         en ciertos proyectos concretos, tales como la casa de  la  tercera</w:t>
        <w:br/>
        <w:t xml:space="preserve">         edad, becas escolares, conectividad vial,  entre  otras,  para  lo</w:t>
        <w:br/>
        <w:t xml:space="preserve">         cual, se elaborará un plan integral de obras de desarrollo  social</w:t>
        <w:br/>
        <w:t xml:space="preserve">         y de activación económica y de prestación de  servicios  públicos,</w:t>
        <w:br/>
        <w:t xml:space="preserve">         sin  perjuicio  de  atender  las  particularidades  de  eventuales</w:t>
        <w:br/>
        <w:t xml:space="preserve">         medidas de reparación que sean establecidas  en  la  sentencia  de</w:t>
        <w:br/>
        <w:t xml:space="preserve">         reparaciones que la Corte dicte en el presente caso.</w:t>
        <w:br/>
        <w:br/>
        <w:t xml:space="preserve">    339. La  Corte  valora  positivamente  la  disposición  del  Estado  de</w:t>
        <w:br/>
        <w:t xml:space="preserve">         impulsar un programa de desarrollo  social  en  beneficio  de  las</w:t>
        <w:br/>
        <w:t xml:space="preserve">         víctimas en este caso. Dado el daño ocasionado por los hechos  del</w:t>
        <w:br/>
        <w:t xml:space="preserve">         presente caso a los miembros de las comunidades pertenecientes  al</w:t>
        <w:br/>
        <w:t xml:space="preserve">         caserío El Mozote, al cantón La Joya, a  los  caseríos  Ranchería,</w:t>
        <w:br/>
        <w:t xml:space="preserve">         Los Toriles y Jocote  Amarillo  y  al  cantón  Cerro  Pando,  este</w:t>
        <w:br/>
        <w:t xml:space="preserve">         Tribunal dispone, como lo ha hecho en  otros  casos[510],  que  el</w:t>
        <w:br/>
        <w:t xml:space="preserve">         Estado debe implementar en dichas comunidades,  independientemente</w:t>
        <w:br/>
        <w:t xml:space="preserve">         de las obras públicas del presupuesto  nacional  que  se  destinen</w:t>
        <w:br/>
        <w:t xml:space="preserve">         para esa región o  municipio  y  en  plena  coordinación  con  las</w:t>
        <w:br/>
        <w:t xml:space="preserve">         víctimas y sus  representantes,  un  programa  de  desarrollo  que</w:t>
        <w:br/>
        <w:t xml:space="preserve">         incluya lo siguiente: a) mejoras en el  sistema  de  las  vías  de</w:t>
        <w:br/>
        <w:t xml:space="preserve">         comunicación públicas; b) acceso a servicios públicos  de  agua  y</w:t>
        <w:br/>
        <w:t xml:space="preserve">         luz; c)  establecimiento  de  un  centro  de  salud  en  un  lugar</w:t>
        <w:br/>
        <w:t xml:space="preserve">         accesible para la mayoría de las poblaciones, con  el  personal  y</w:t>
        <w:br/>
        <w:t xml:space="preserve">         las condiciones adecuadas, en el cual se  pueda  brindar  atención</w:t>
        <w:br/>
        <w:t xml:space="preserve">         médica, psicológica o psiquiátrica, y psicosocial, a las  personas</w:t>
        <w:br/>
        <w:t xml:space="preserve">         que se hayan visto afectadas y  que  requieran  de  este  tipo  de</w:t>
        <w:br/>
        <w:t xml:space="preserve">         tratamiento de conformidad con  los  párrafos  350  a  353  de  la</w:t>
        <w:br/>
        <w:t xml:space="preserve">         Sentencia; d) construcción de una escuela en  un  lugar  accesible</w:t>
        <w:br/>
        <w:t xml:space="preserve">         para la mayoría de las poblaciones, y e) construcción de un centro</w:t>
        <w:br/>
        <w:t xml:space="preserve">         para adultos mayores.</w:t>
        <w:br/>
        <w:br/>
        <w:t xml:space="preserve">    340. El Estado debe implementar el programa de desarrollo dentro de  un</w:t>
        <w:br/>
        <w:t xml:space="preserve">         plazo que no excederá de cinco años, a partir de  la  notificación</w:t>
        <w:br/>
        <w:t xml:space="preserve">         de la presente Sentencia.</w:t>
        <w:br/>
        <w:br/>
        <w:t xml:space="preserve">           b)     Proporcionar  las  condiciones  adecuadas  para  que  las</w:t>
        <w:br/>
        <w:t xml:space="preserve">           víctimas que aún se encuentran desplazadas puedan retornar a  su</w:t>
        <w:br/>
        <w:t xml:space="preserve">           lugar de origen</w:t>
        <w:br/>
        <w:br/>
        <w:t xml:space="preserve">    341. La Comisión no presentó solicitud alguna al respecto.</w:t>
        <w:br/>
        <w:br/>
        <w:t xml:space="preserve">    342. Los representantes señalaron que la  única  forma  de  reparar  en</w:t>
        <w:br/>
        <w:t xml:space="preserve">         parte el sufrimiento al que han estado sometidas las  víctimas  en</w:t>
        <w:br/>
        <w:t xml:space="preserve">         virtud del desplazamiento forzado  es  brindarles  la  posibilidad</w:t>
        <w:br/>
        <w:t xml:space="preserve">         para que puedan regresar  a  su  lugar  de  origen.  Al  respecto,</w:t>
        <w:br/>
        <w:t xml:space="preserve">         sostuvieron que para que este retorno sea realmente reparador debe</w:t>
        <w:br/>
        <w:t xml:space="preserve">         ser producto de una decisión individual y voluntaria de  cada  uno</w:t>
        <w:br/>
        <w:t xml:space="preserve">         de  los  afectados,  adoptada  sin  coacciones  y  con   base   en</w:t>
        <w:br/>
        <w:t xml:space="preserve">         información suficiente y adecuada. Según los representantes, dicha</w:t>
        <w:br/>
        <w:t xml:space="preserve">         medida debería incluir al menos, los  siguientes  componentes:  a)</w:t>
        <w:br/>
        <w:t xml:space="preserve">         garantizar la seguridad física de los retornados; b) establecer un</w:t>
        <w:br/>
        <w:t xml:space="preserve">         mecanismo de vigilancia durante y después del regreso a  cargo  de</w:t>
        <w:br/>
        <w:t xml:space="preserve">         entidades independientes; c) establecer mecanismos de  restitución</w:t>
        <w:br/>
        <w:t xml:space="preserve">         de bienes en  los  que  se  tengan  en  cuenta  tanto  el  derecho</w:t>
        <w:br/>
        <w:t xml:space="preserve">         codificado como  las  normas  tradicionales  sobre  propiedad;  d)</w:t>
        <w:br/>
        <w:t xml:space="preserve">         restituir la documentación a los retornados sin  discriminación  y</w:t>
        <w:br/>
        <w:t xml:space="preserve">         sin demora;  y  e)  asegurar  el  acceso  a  los  retornados,  sin</w:t>
        <w:br/>
        <w:t xml:space="preserve">         discriminación alguna, a los servicios  públicos,  los  medios  de</w:t>
        <w:br/>
        <w:t xml:space="preserve">         subsistencia y las actividades generadoras de ingresos.  Asimismo,</w:t>
        <w:br/>
        <w:t xml:space="preserve">         se refirieron a la reconstrucción de las viviendas y  la  creación</w:t>
        <w:br/>
        <w:t xml:space="preserve">         de un entorno económico y social propicio  al  regreso.  De  igual</w:t>
        <w:br/>
        <w:t xml:space="preserve">         modo, manifestaron que “[l]as medidas relativas a la  recuperación</w:t>
        <w:br/>
        <w:t xml:space="preserve">         de los bienes y viviendas y el acceso a servicios públicos, medios</w:t>
        <w:br/>
        <w:t xml:space="preserve">         de subsistencia y actividades  generadoras  de  ingresos  deb[ían]</w:t>
        <w:br/>
        <w:t xml:space="preserve">         también alcanzar a aquellas personas que fueron desplazadas y  que</w:t>
        <w:br/>
        <w:t xml:space="preserve">         lograron retornar con sus propios recursos”.</w:t>
        <w:br/>
        <w:br/>
        <w:t xml:space="preserve">    343. El Estado expresó su disposición de  aceptar  y  realizar  medidas</w:t>
        <w:br/>
        <w:t xml:space="preserve">         para la generación de condiciones para el retorno de las  personas</w:t>
        <w:br/>
        <w:t xml:space="preserve">         que aún permanecen desplazadas, en el plazo razonable que  por  su</w:t>
        <w:br/>
        <w:t xml:space="preserve">         naturaleza requiera.</w:t>
        <w:br/>
        <w:br/>
        <w:t xml:space="preserve">    344. De la prueba presentada en este caso se desprende que las víctimas</w:t>
        <w:br/>
        <w:t xml:space="preserve">         que  lograron  sobrevivir  a  las  masacres  en  su   mayoría   se</w:t>
        <w:br/>
        <w:t xml:space="preserve">         desplazaron de sus lugares de origen a otros municipios e  incluso</w:t>
        <w:br/>
        <w:t xml:space="preserve">         fuera  de  El  Salvador,  perdiendo  durante  las  masacres  y  el</w:t>
        <w:br/>
        <w:t xml:space="preserve">         desplazamiento sus viviendas, y en algunos  casos,  sus  cultivos,</w:t>
        <w:br/>
        <w:t xml:space="preserve">         bienes, animales de granja y ganado  (supra  párrs.  175  y  183).</w:t>
        <w:br/>
        <w:t xml:space="preserve">         Según  fue  determinado,  algunas  de  las  víctimas   desplazadas</w:t>
        <w:br/>
        <w:t xml:space="preserve">         regresaron a su lugar de origen y otras aún no han retornado,  sin</w:t>
        <w:br/>
        <w:t xml:space="preserve">         que se tenga información en todos los  casos  sobre  su  ubicación</w:t>
        <w:br/>
        <w:t xml:space="preserve">         actual (supra párrs. 189 y 190).</w:t>
        <w:br/>
        <w:br/>
        <w:t xml:space="preserve">    345. Con  el  fin  de  contribuir  a  la  reparación  de  las  víctimas</w:t>
        <w:br/>
        <w:t xml:space="preserve">         desplazadas forzadamente de sus comunidades de  origen,  esto  es,</w:t>
        <w:br/>
        <w:t xml:space="preserve">         del caserío El  Mozote,  del  cantón  La  Joya,  de  los  caseríos</w:t>
        <w:br/>
        <w:t xml:space="preserve">         Ranchería, Los Toriles y Jocote Amarillo y del cantón Cerro Pando,</w:t>
        <w:br/>
        <w:t xml:space="preserve">         el Tribunal ordena que el Estado debe garantizar  las  condiciones</w:t>
        <w:br/>
        <w:t xml:space="preserve">         adecuadas a fin de que las víctimas desplazadas puedan retornar  a</w:t>
        <w:br/>
        <w:t xml:space="preserve">         sus comunidades de origen de manera permanente, si así lo  desean.</w:t>
        <w:br/>
        <w:t xml:space="preserve">         Si no existieran estas condiciones el Estado  deberá  disponer  de</w:t>
        <w:br/>
        <w:t xml:space="preserve">         los recursos  necesarios  y  suficientes  para  procurar  que  las</w:t>
        <w:br/>
        <w:t xml:space="preserve">         víctimas  de  desplazamiento   forzado   puedan   reasentarse   en</w:t>
        <w:br/>
        <w:t xml:space="preserve">         condiciones similares a las que se encontraban antes de los hechos</w:t>
        <w:br/>
        <w:t xml:space="preserve">         en el lugar que ellas libre y voluntariamente indiquen dentro  del</w:t>
        <w:br/>
        <w:t xml:space="preserve">         Departamento de Morazán, en El Salvador. El Tribunal reconoce  que</w:t>
        <w:br/>
        <w:t xml:space="preserve">         el cumplimiento de la presente medida de reparación por parte  del</w:t>
        <w:br/>
        <w:t xml:space="preserve">         Estado implica,  en  parte,  que  los  beneficiarios  indiquen  su</w:t>
        <w:br/>
        <w:t xml:space="preserve">         voluntad de retornar a sus lugares de origen en El  Salvador.  Por</w:t>
        <w:br/>
        <w:t xml:space="preserve">         lo tanto, el Tribunal dispone que el Estado  y  los  beneficiarios</w:t>
        <w:br/>
        <w:t xml:space="preserve">         acuerden, dentro del plazo de dos años contados  a  partir  de  la</w:t>
        <w:br/>
        <w:t xml:space="preserve">         notificación de esta Sentencia, lo pertinente  para  concretar  el</w:t>
        <w:br/>
        <w:t xml:space="preserve">         cumplimiento  de  lo  ordenado,  en  caso  de  que  las   víctimas</w:t>
        <w:br/>
        <w:t xml:space="preserve">         desplazadas forzadamente, identificadas en el Anexo  “D”  de  esta</w:t>
        <w:br/>
        <w:t xml:space="preserve">         Sentencia, consideren su retorno a sus comunidades de origen.</w:t>
        <w:br/>
        <w:br/>
        <w:t xml:space="preserve">    346. Asimismo, dado que los habitantes de las  comunidades  mencionadas</w:t>
        <w:br/>
        <w:t xml:space="preserve">         perdieron sus  viviendas  como  consecuencia  de  los  hechos  del</w:t>
        <w:br/>
        <w:t xml:space="preserve">         presente caso (supra párrs. 175 a 178), este  Tribunal  ordena  al</w:t>
        <w:br/>
        <w:t xml:space="preserve">         Estado que  implemente  un  programa  habitacional  en  las  zonas</w:t>
        <w:br/>
        <w:t xml:space="preserve">         afectadas por las masacres del presente caso, mediante el cual  se</w:t>
        <w:br/>
        <w:t xml:space="preserve">         provea de vivienda adecuada a las víctimas desplazadas que así  lo</w:t>
        <w:br/>
        <w:t xml:space="preserve">         requieran[511].    Las    víctimas    desplazadas    forzadamente,</w:t>
        <w:br/>
        <w:t xml:space="preserve">         identificadas en el Anexo “D” de  esta  Sentencia,  que  soliciten</w:t>
        <w:br/>
        <w:t xml:space="preserve">         esta medida de reparación, o sus representantes legales,  disponen</w:t>
        <w:br/>
        <w:t xml:space="preserve">         de un plazo de dos años, contado a partir de la notificación de la</w:t>
        <w:br/>
        <w:t xml:space="preserve">         presente Sentencia, para dar a conocer al Estado su  intención  de</w:t>
        <w:br/>
        <w:t xml:space="preserve">         formar parte del programa habitacional.</w:t>
        <w:br/>
        <w:br/>
        <w:t xml:space="preserve">   2) Medidas de rehabilitación</w:t>
        <w:br/>
        <w:br/>
        <w:t xml:space="preserve">        a) Atención médica, psicológica o psiquiátrica y psicosocial a  las</w:t>
        <w:br/>
        <w:t xml:space="preserve">           víctimas</w:t>
        <w:br/>
        <w:br/>
        <w:t xml:space="preserve">    347. La Comisión  solicitó  a  la  Corte  que  disponga  al  Estado  la</w:t>
        <w:br/>
        <w:t xml:space="preserve">         implementación de un programa adecuado de atención  psicosocial  a</w:t>
        <w:br/>
        <w:t xml:space="preserve">         los familiares sobrevivientes.</w:t>
        <w:br/>
        <w:br/>
        <w:t xml:space="preserve">    348. Los representantes solicitaron que  el  Estado  brinde  asistencia</w:t>
        <w:br/>
        <w:t xml:space="preserve">         médica y psicosocial gratuita a las víctimas sobrevivientes de las</w:t>
        <w:br/>
        <w:t xml:space="preserve">         masacres y a los familiares de las víctimas fallecidas, de  manera</w:t>
        <w:br/>
        <w:t xml:space="preserve">         que puedan acceder a un centro médico estatal en el  cual  se  les</w:t>
        <w:br/>
        <w:t xml:space="preserve">         brinde una atención adecuada y personalizada que les ayude a sanar</w:t>
        <w:br/>
        <w:t xml:space="preserve">         sus heridas físicas y psicológicas derivadas  de  las  violaciones</w:t>
        <w:br/>
        <w:t xml:space="preserve">         sufridas. Dicha medida deberá incluir el costo de los medicamentos</w:t>
        <w:br/>
        <w:t xml:space="preserve">         que sean prescritos. Asimismo, para la provisión  del  tratamiento</w:t>
        <w:br/>
        <w:t xml:space="preserve">         se  deben  considerar  las  circunstancias  particulares  de  cada</w:t>
        <w:br/>
        <w:t xml:space="preserve">         persona y las necesidades de cada una  de  las  víctimas.  Además,</w:t>
        <w:br/>
        <w:t xml:space="preserve">         dicho tratamiento debe desarrollarse  después  de  una  evaluación</w:t>
        <w:br/>
        <w:t xml:space="preserve">         individual, según lo que se acuerde con  cada  una  de  ellas.  De</w:t>
        <w:br/>
        <w:t xml:space="preserve">         igual modo, el centro médico en el cual  se  les  brinde  atención</w:t>
        <w:br/>
        <w:t xml:space="preserve">         física  y  psicosocial  a  las  víctimas  y  sus  familiares  debe</w:t>
        <w:br/>
        <w:t xml:space="preserve">         encontrarse en un lugar accesible a sus residencias.</w:t>
        <w:br/>
        <w:br/>
        <w:t xml:space="preserve">    349. El Estado aceptó brindar la provisión de servicios de salud médica</w:t>
        <w:br/>
        <w:t xml:space="preserve">         y atención psicosocial a las víctimas sobrevivientes y  familiares</w:t>
        <w:br/>
        <w:t xml:space="preserve">         de las víctimas  que  sean  identificadas  en  el  presente  caso.</w:t>
        <w:br/>
        <w:t xml:space="preserve">         Además, informó que el pasado 14 de febrero de 2012 se instaló  un</w:t>
        <w:br/>
        <w:t xml:space="preserve">         Equipo Comunitario de Salud  Familiar  en  El  Mozote  “denominado</w:t>
        <w:br/>
        <w:t xml:space="preserve">         ECOS” para los familiares de las víctimas de las masacres, el cual</w:t>
        <w:br/>
        <w:t xml:space="preserve">         estaría integrado por personal médico, de  enfermería,  promotores</w:t>
        <w:br/>
        <w:t xml:space="preserve">         de salud, psicólogo y polivalente. Dicha modalidad de atención  en</w:t>
        <w:br/>
        <w:t xml:space="preserve">         salud permitiría acercar a la población los servicios de  consulta</w:t>
        <w:br/>
        <w:t xml:space="preserve">         médica  general,  atención   psicológica,   control   prenatal   a</w:t>
        <w:br/>
        <w:t xml:space="preserve">         embarazadas,  servicios   de   planificación   familiar,   control</w:t>
        <w:br/>
        <w:t xml:space="preserve">         infantil, atención a adultos  mayores,  entrega  de  medicamentos,</w:t>
        <w:br/>
        <w:t xml:space="preserve">         vacunaciones  y  otros  más,  considerando  la  atención  integral</w:t>
        <w:br/>
        <w:t xml:space="preserve">         durante el ciclo completo de vida de la persona.</w:t>
        <w:br/>
        <w:br/>
        <w:t xml:space="preserve">    350. En primer lugar, la Corte  valora  las  iniciativas  estatales  de</w:t>
        <w:br/>
        <w:t xml:space="preserve">         carácter general relacionadas con los sistemas de atención pública</w:t>
        <w:br/>
        <w:t xml:space="preserve">         de la salud. Sin perjuicio de ello, considera  pertinente  señalar</w:t>
        <w:br/>
        <w:t xml:space="preserve">         que no puede confundirse la prestación de los  servicios  sociales</w:t>
        <w:br/>
        <w:t xml:space="preserve">         que el Estado brinda a los individuos con las reparaciones  a  las</w:t>
        <w:br/>
        <w:t xml:space="preserve">         que  tienen  derecho  las  víctimas  de  violaciones  de  derechos</w:t>
        <w:br/>
        <w:t xml:space="preserve">         humanos,  en  razón  del   daño   específico   generado   por   la</w:t>
        <w:br/>
        <w:t xml:space="preserve">         violación[512].</w:t>
        <w:br/>
        <w:br/>
        <w:t xml:space="preserve">    351. Ahora bien,  en  lo  que  se  refiere  al  impacto  psicosocial  y</w:t>
        <w:br/>
        <w:t xml:space="preserve">         consecuencias emocionales sufridos por  las  víctimas,  la  perito</w:t>
        <w:br/>
        <w:t xml:space="preserve">         Yáñez De La Cruz explicó que “la masacre  […]disolvió  los  tramas</w:t>
        <w:br/>
        <w:t xml:space="preserve">         sociales donde se insertaba el proyecto de vida  tanto  individual</w:t>
        <w:br/>
        <w:t xml:space="preserve">         como comunitario […]. Hubo una pérdida del sujeto  colectivo  como</w:t>
        <w:br/>
        <w:t xml:space="preserve">         tal que se siente identitario dentro de su  comunidad  y  hubo  un</w:t>
        <w:br/>
        <w:t xml:space="preserve">         duro impacto a la dignidad colectiva”[513].  Sobre  este  aspecto,</w:t>
        <w:br/>
        <w:t xml:space="preserve">         puntualizó que la violencia se ejerció en  las  plazas  y  en  las</w:t>
        <w:br/>
        <w:t xml:space="preserve">         iglesias, así como se arrasó con la tierra y  los  animales,  como</w:t>
        <w:br/>
        <w:t xml:space="preserve">         efecto se arrasó también “con lo que era  el  centro  de  la  vida</w:t>
        <w:br/>
        <w:t xml:space="preserve">         colectiva”, “con la identidad y con  la  simbología  del  universo</w:t>
        <w:br/>
        <w:t xml:space="preserve">         campesino”[514]. Es así que las víctimas, cuando oyen hablar de la</w:t>
        <w:br/>
        <w:t xml:space="preserve">         masacre o ven algo que se las recuerda, “el 98%  describe  que  se</w:t>
        <w:br/>
        <w:t xml:space="preserve">         siente mal, con  mareos,  dolor  en  el  pecho  y  estado  general</w:t>
        <w:br/>
        <w:t xml:space="preserve">         bajo”[515].  Muchas,   además,   han   sido   diagnosticadas   con</w:t>
        <w:br/>
        <w:t xml:space="preserve">         enfermedades como cáncer, esclerosis múltiple y otras enfermedades</w:t>
        <w:br/>
        <w:t xml:space="preserve">         terminales[516]. Por su parte, las personas  y  las  familias  que</w:t>
        <w:br/>
        <w:t xml:space="preserve">         fueron desplazadas de su lugar de origen “perdieron  los  vínculos</w:t>
        <w:br/>
        <w:t xml:space="preserve">         comunitarios y afectivos de sus raíces identitarias, además de los</w:t>
        <w:br/>
        <w:t xml:space="preserve">         bienes materiales”, así como lo que “constituyó, hasta ese momento</w:t>
        <w:br/>
        <w:t xml:space="preserve">         el proyecto vital de cada cual”[517]. Por  ende,  sienten  “rabia,</w:t>
        <w:br/>
        <w:t xml:space="preserve">         tristeza, miedo, nostalgia, impotencia, vergüenza,  desampar[o]  y</w:t>
        <w:br/>
        <w:t xml:space="preserve">         desubicación vital, todo  lo  que  puede  dar  como  resultado  la</w:t>
        <w:br/>
        <w:t xml:space="preserve">         aparición de síntomas psicológicos”[518]. La perito  advirtió  que</w:t>
        <w:br/>
        <w:t xml:space="preserve">         en general las víctimas “[n]o han podido  procesar  el  dolor  por</w:t>
        <w:br/>
        <w:t xml:space="preserve">         falta de espacios de validación social de su dolor, por  la  falta</w:t>
        <w:br/>
        <w:t xml:space="preserve">         de apoyo institucional y colectivo. Es un dolor que se  lleva  muy</w:t>
        <w:br/>
        <w:t xml:space="preserve">         dentro, en lo privado,  paralizando  muchos  aspectos  saludables,</w:t>
        <w:br/>
        <w:t xml:space="preserve">         como dar  o  recibir  afecto,  y  como  tener  una  proyección  de</w:t>
        <w:br/>
        <w:t xml:space="preserve">         futuro”[519]. Todo ello debe repararse en los planos  individuales</w:t>
        <w:br/>
        <w:t xml:space="preserve">         y colectivos[520].</w:t>
        <w:br/>
        <w:br/>
        <w:t xml:space="preserve">    352. Habiendo constatado las violaciones y los daños sufridos  por  las</w:t>
        <w:br/>
        <w:t xml:space="preserve">         víctimas, tal como lo ha  hecho  en  otros  casos[521],  la  Corte</w:t>
        <w:br/>
        <w:t xml:space="preserve">         considera  necesario  ordenar  medidas  de  rehabilitación  en  el</w:t>
        <w:br/>
        <w:t xml:space="preserve">         presente caso. Al respecto, estima que una atención integral a los</w:t>
        <w:br/>
        <w:t xml:space="preserve">         padecimientos físicos, psíquicos y psicosociales sufridos por  las</w:t>
        <w:br/>
        <w:t xml:space="preserve">         víctimas en el presente caso resulta ser la reparación idónea.  En</w:t>
        <w:br/>
        <w:t xml:space="preserve">         efecto, dado las  características  del  presente  caso,  la  Corte</w:t>
        <w:br/>
        <w:t xml:space="preserve">         estima que la asistencia psicosocial es  un  componente  reparador</w:t>
        <w:br/>
        <w:t xml:space="preserve">         esencial, ya que se ha constatado que los daños sufridos  por  las</w:t>
        <w:br/>
        <w:t xml:space="preserve">         víctimas se refieren no sólo a partes de su  identidad  individual</w:t>
        <w:br/>
        <w:t xml:space="preserve">         sino a la pérdida de sus raíces y vínculos comunitarios. Por ende,</w:t>
        <w:br/>
        <w:t xml:space="preserve">         el Tribunal considera necesario disponer la obligación a cargo del</w:t>
        <w:br/>
        <w:t xml:space="preserve">         Estado de implementar, en un plazo  de  un  año,  un  programa  de</w:t>
        <w:br/>
        <w:t xml:space="preserve">         atención y tratamiento integral de la  salud  física,  psíquica  y</w:t>
        <w:br/>
        <w:t xml:space="preserve">         psicosocial con carácter permanente. Dicho programa  deberá  tener</w:t>
        <w:br/>
        <w:t xml:space="preserve">         un enfoque multidisciplinario a cargo de expertos en  la  materia,</w:t>
        <w:br/>
        <w:t xml:space="preserve">         sensibilizados  y  capacitados  en  la  atención  de  víctimas  de</w:t>
        <w:br/>
        <w:t xml:space="preserve">         violaciones a  los  derechos  humanos,  así  como  un  enfoque  de</w:t>
        <w:br/>
        <w:t xml:space="preserve">         atención colectiva.</w:t>
        <w:br/>
        <w:br/>
        <w:t xml:space="preserve">    353. En este  sentido,  mediante  el  referido  programa  dispuesto  de</w:t>
        <w:br/>
        <w:t xml:space="preserve">         atención y tratamiento  integral  de  la  salud,  el  Estado  debe</w:t>
        <w:br/>
        <w:t xml:space="preserve">         brindar gratuitamente, a través  de  sus  instituciones  de  salud</w:t>
        <w:br/>
        <w:t xml:space="preserve">         especializadas en El Salvador, y de forma adecuada y efectiva,  la</w:t>
        <w:br/>
        <w:t xml:space="preserve">         atención y el tratamiento médico,  psicológico  o  psiquiátrico  y</w:t>
        <w:br/>
        <w:t xml:space="preserve">         psicosocial a las víctimas sobrevivientes de las  masacres  y  los</w:t>
        <w:br/>
        <w:t xml:space="preserve">         familiares de las víctimas ejecutadas que así lo soliciten, previo</w:t>
        <w:br/>
        <w:t xml:space="preserve">         consentimiento informado, incluyendo el suministro gratuito de los</w:t>
        <w:br/>
        <w:t xml:space="preserve">         medicamentos y exámenes que eventualmente se requieran, tomando en</w:t>
        <w:br/>
        <w:t xml:space="preserve">         consideración los padecimientos de cada uno de ellos. En  el  caso</w:t>
        <w:br/>
        <w:t xml:space="preserve">         de  que  el  Estado  careciera  de   ellas   deberá   recurrir   a</w:t>
        <w:br/>
        <w:t xml:space="preserve">         instituciones privadas o  de  la  sociedad  civil  especializadas.</w:t>
        <w:br/>
        <w:t xml:space="preserve">         Asimismo, los tratamientos respectivos deberán  prestarse,  en  la</w:t>
        <w:br/>
        <w:t xml:space="preserve">         medida de lo posible, en los centros más cercanos a sus lugares de</w:t>
        <w:br/>
        <w:t xml:space="preserve">         residencia[522] en El Salvador por el tiempo que sea necesario. Al</w:t>
        <w:br/>
        <w:t xml:space="preserve">         proveer el tratamiento psicológico o psiquiátrico y psicosocial se</w:t>
        <w:br/>
        <w:t xml:space="preserve">         debe  considerar,  además,  las   circunstancias   y   necesidades</w:t>
        <w:br/>
        <w:t xml:space="preserve">         particulares de  cada  víctima,  de  manera  que  se  les  brinden</w:t>
        <w:br/>
        <w:t xml:space="preserve">         tratamientos colectivos, familiares e individuales, según  lo  que</w:t>
        <w:br/>
        <w:t xml:space="preserve">         se acuerde con cada una de  ellas  y  después  de  una  evaluación</w:t>
        <w:br/>
        <w:t xml:space="preserve">         individual[523].   Dicho   tratamiento   médico,   psicológico   o</w:t>
        <w:br/>
        <w:t xml:space="preserve">         psiquiátrico y psicosocial deberá incluir procedimientos sencillos</w:t>
        <w:br/>
        <w:t xml:space="preserve">         y diferenciados en la inscripción y actualización ante el  sistema</w:t>
        <w:br/>
        <w:t xml:space="preserve">         de  salud  correspondiente,  cuyo  carácter   reparador   sea   de</w:t>
        <w:br/>
        <w:t xml:space="preserve">         conocimiento  de  los   funcionarios   estatales   encargados   de</w:t>
        <w:br/>
        <w:t xml:space="preserve">         realizarlos. Las víctimas sobrevivientes y los familiares  de  las</w:t>
        <w:br/>
        <w:t xml:space="preserve">         víctimas ejecutadas, identificados en los anexos “B” y “C” de esta</w:t>
        <w:br/>
        <w:t xml:space="preserve">         Sentencia,  que  soliciten  esta  medida  de  reparación,  o   sus</w:t>
        <w:br/>
        <w:t xml:space="preserve">         representantes legales, disponen de un plazo de un año, contado  a</w:t>
        <w:br/>
        <w:t xml:space="preserve">         partir de la notificación de la presente  Sentencia,  para  dar  a</w:t>
        <w:br/>
        <w:t xml:space="preserve">         conocer  al  Estado  su  intención  de  recibir  atención  médica,</w:t>
        <w:br/>
        <w:t xml:space="preserve">         psicológica o psiquiátrica y psicosocial.</w:t>
        <w:br/>
        <w:br/>
        <w:t xml:space="preserve">   3) Medidas de satisfacción</w:t>
        <w:br/>
        <w:br/>
        <w:t xml:space="preserve">        a) Reconocimiento público de responsabilidad</w:t>
        <w:br/>
        <w:br/>
        <w:t xml:space="preserve">    354. En términos  generales,  la  Comisión  solicitó  a  la  Corte  que</w:t>
        <w:br/>
        <w:t xml:space="preserve">         disponga al Estado el establecimiento  y  difusión  de  la  verdad</w:t>
        <w:br/>
        <w:t xml:space="preserve">         histórica de los hechos y la recuperación de  la  memoria  de  las</w:t>
        <w:br/>
        <w:t xml:space="preserve">         víctimas fallecidas. En su escrito de  solicitudes  y  argumentos,</w:t>
        <w:br/>
        <w:t xml:space="preserve">         los representantes señalaron que para  que  el  reconocimiento  de</w:t>
        <w:br/>
        <w:t xml:space="preserve">         responsabilidad tenga un verdadero significado para las  víctimas,</w:t>
        <w:br/>
        <w:t xml:space="preserve">         dada la gravedad de los hechos, es  necesario  que  el  mismo  sea</w:t>
        <w:br/>
        <w:t xml:space="preserve">         realizado por el Presidente de la República, en  su  condición  de</w:t>
        <w:br/>
        <w:t xml:space="preserve">         Jefe de Estado, y que en dicho acto esté presente el alto mando de</w:t>
        <w:br/>
        <w:t xml:space="preserve">         las Fuerzas Armadas, altos funcionarios del Ministerio  Público  y</w:t>
        <w:br/>
        <w:t xml:space="preserve">         del  Órgano  Judicial  y  la  junta  directiva  de   la   Asamblea</w:t>
        <w:br/>
        <w:t xml:space="preserve">         Legislativa salvadoreña. Asimismo, solicitaron que dicha ceremonia</w:t>
        <w:br/>
        <w:t xml:space="preserve">         se lleve a cabo en el caserío El Mozote; que el  Estado  garantice</w:t>
        <w:br/>
        <w:t xml:space="preserve">         la presencia en dicha ceremonia de la mayor cantidad  de  víctimas</w:t>
        <w:br/>
        <w:t xml:space="preserve">         sobrevivientes y familiares de las víctimas  asesinadas,  para  lo</w:t>
        <w:br/>
        <w:t xml:space="preserve">         cual el Estado debe asumir todos los gastos que genere el traslado</w:t>
        <w:br/>
        <w:t xml:space="preserve">         de estas personas;  que  la  modalidad  y  los  detalles  de  esta</w:t>
        <w:br/>
        <w:t xml:space="preserve">         ceremonia, tales como su fecha y lugar sean acordados  previamente</w:t>
        <w:br/>
        <w:t xml:space="preserve">         con las víctimas y sus representante, y que  sea  transmitida  por</w:t>
        <w:br/>
        <w:t xml:space="preserve">         los principales medios de comunicación de alcance nacional.</w:t>
        <w:br/>
        <w:br/>
        <w:t xml:space="preserve">    355. El  Estado  expresó  inicialmente  su  disposición  de  aceptar  y</w:t>
        <w:br/>
        <w:t xml:space="preserve">         realizar   el   reconocimiento   público    de    responsabilidad.</w:t>
        <w:br/>
        <w:t xml:space="preserve">         Posteriormente, durante la audiencia pública y en  su  escrito  de</w:t>
        <w:br/>
        <w:t xml:space="preserve">         alegatos finales, el Estado indicó que dicha  “medida  que  ya  se</w:t>
        <w:br/>
        <w:t xml:space="preserve">         ha[bía] concretado”. Sobre este punto, el  Estado  se  refirió  al</w:t>
        <w:br/>
        <w:t xml:space="preserve">         acto de desagravio y  reconocimiento  de  responsabilidad  de  las</w:t>
        <w:br/>
        <w:t xml:space="preserve">         masacres de El Mozote y lugares aledaños, realizado en el  caserío</w:t>
        <w:br/>
        <w:t xml:space="preserve">         El Mozote el 16 de enero de 2012, en el marco de la  conmemoración</w:t>
        <w:br/>
        <w:t xml:space="preserve">         del vigésimo aniversario de los Acuerdos de Paz. Al  respecto,  el</w:t>
        <w:br/>
        <w:t xml:space="preserve">         Estado explicó que el 5  de  diciembre  de  2011  se  produjo  una</w:t>
        <w:br/>
        <w:t xml:space="preserve">         reunión entre el Presidente de la República de El  Salvador  y  un</w:t>
        <w:br/>
        <w:t xml:space="preserve">         grupo  representativo  de  víctimas  del  presente  caso   y   sus</w:t>
        <w:br/>
        <w:t xml:space="preserve">         representantes, en la cual “el señor Presidente aceptó realizar el</w:t>
        <w:br/>
        <w:t xml:space="preserve">         acto de desagravio y reconocimiento de responsabilidad  solicitado</w:t>
        <w:br/>
        <w:t xml:space="preserve">         por los representantes ante la […] Corte Interamericana”. Según el</w:t>
        <w:br/>
        <w:t xml:space="preserve">         Estado, dicha  propuesta  fue  aceptada  y  “la  organización  del</w:t>
        <w:br/>
        <w:t xml:space="preserve">         histórico acto de desagravio fue cuidadosamente planificada por el</w:t>
        <w:br/>
        <w:t xml:space="preserve">         Estado,  en  plena   coordinación   con   las   víctimas   y   sus</w:t>
        <w:br/>
        <w:t xml:space="preserve">         representantes”. El referido acto se realizó el  16  de  enero  de</w:t>
        <w:br/>
        <w:t xml:space="preserve">         2012 con la presencia del Presidente de la  República  y  diversas</w:t>
        <w:br/>
        <w:t xml:space="preserve">         autoridades estatales[524], y los costos de su realización  fueron</w:t>
        <w:br/>
        <w:t xml:space="preserve">         totalmente asumidos por el  Estado,  siendo  que  su  difusión  se</w:t>
        <w:br/>
        <w:t xml:space="preserve">         realizó en tiempo real por cadena nacional de radio y  televisión.</w:t>
        <w:br/>
        <w:t xml:space="preserve">         Posteriormente, se realizó su difusión a través de algunos de  los</w:t>
        <w:br/>
        <w:t xml:space="preserve">         principales medios de prensa  escrita,  cuñas  radiales  y  cortos</w:t>
        <w:br/>
        <w:t xml:space="preserve">         televisivos.</w:t>
        <w:br/>
        <w:br/>
        <w:t xml:space="preserve">    356. En la audiencia pública y en su escrito de  alegatos  finales  los</w:t>
        <w:br/>
        <w:t xml:space="preserve">         representantes reconocieron  la  importancia  que  tuvo  para  las</w:t>
        <w:br/>
        <w:t xml:space="preserve">         víctimas el “discurso por el cual el Presidente salvadoreño aceptó</w:t>
        <w:br/>
        <w:t xml:space="preserve">         responsabilidad y pidió perdón por los hechos de la  masacre”,  en</w:t>
        <w:br/>
        <w:t xml:space="preserve">         el  marco  del  vigésimo  aniversario  de  los  Acuerdos  de  Paz,</w:t>
        <w:br/>
        <w:t xml:space="preserve">         realizado en El Mozote el 16 de enero  de  2012  “porque  tuvieron</w:t>
        <w:br/>
        <w:t xml:space="preserve">         participación en su planificación y porque se sintieron  realmente</w:t>
        <w:br/>
        <w:t xml:space="preserve">         reparados”.  Manifestaron,  adicionalmente,  que   para   que   el</w:t>
        <w:br/>
        <w:t xml:space="preserve">         reconocimiento estatal y los diálogos planteados tengan un  efecto</w:t>
        <w:br/>
        <w:t xml:space="preserve">         reparador y sean coherentes es indispensable que se  traduzcan  en</w:t>
        <w:br/>
        <w:t xml:space="preserve">         la adopción de medidas efectivas que  recojan  el  sentir  de  las</w:t>
        <w:br/>
        <w:t xml:space="preserve">         víctimas. De igual forma, los representantes recordaron que  “[e]l</w:t>
        <w:br/>
        <w:t xml:space="preserve">         16 de enero de 2010, en el contexto  de  la  conmemoración  de  la</w:t>
        <w:br/>
        <w:t xml:space="preserve">         firma de los  acuerdos  de  paz  de  El  Salvador,  el  Presidente</w:t>
        <w:br/>
        <w:t xml:space="preserve">         salvadoreño  [había]  anunci[ado]  la  creación  de  una  comisión</w:t>
        <w:br/>
        <w:t xml:space="preserve">         encargada de proponer medidas de reparación  que  beneficiarían  a</w:t>
        <w:br/>
        <w:t xml:space="preserve">         las víctimas de graves violaciones de derechos humanos durante  el</w:t>
        <w:br/>
        <w:t xml:space="preserve">         conflicto armado”, y que “[a] partir de este momento se  ha[brían]</w:t>
        <w:br/>
        <w:t xml:space="preserve">         llevado a cabo algunas reuniones con organizaciones de la sociedad</w:t>
        <w:br/>
        <w:t xml:space="preserve">         civil y  víctimas  de  violaciones  a  derechos  humanos,  con  el</w:t>
        <w:br/>
        <w:t xml:space="preserve">         supuesto fin de  obtener  insumos  para  la  elaboración  de  esta</w:t>
        <w:br/>
        <w:t xml:space="preserve">         propuesta”, no  obstante,  desconocerían  el  contenido  de  dicha</w:t>
        <w:br/>
        <w:t xml:space="preserve">         propuesta. En consecuencia, consideraron necesario  que  la  Corte</w:t>
        <w:br/>
        <w:t xml:space="preserve">         llame la atención del Estado “en relación a la necesidad de  darle</w:t>
        <w:br/>
        <w:t xml:space="preserve">         cumplimiento al compromiso asumido por  el  [P]residente”,  y  que</w:t>
        <w:br/>
        <w:t xml:space="preserve">         dichas medidas cumplan con  los  estándares  establecidos  por  el</w:t>
        <w:br/>
        <w:t xml:space="preserve">         Tribunal.</w:t>
        <w:br/>
        <w:br/>
        <w:t xml:space="preserve">    357.  En  el  presente  caso,  la  Corte  constata  que  el   acto   de</w:t>
        <w:br/>
        <w:t xml:space="preserve">         reconocimiento de responsabilidad realizado a nivel interno  y  en</w:t>
        <w:br/>
        <w:t xml:space="preserve">         forma previa a la emisión de la presente  Sentencia  fue  acordado</w:t>
        <w:br/>
        <w:t xml:space="preserve">         con las víctimas o  sus  representantes  y  se  ejecutó  bajo  las</w:t>
        <w:br/>
        <w:t xml:space="preserve">         siguientes modalidades: a) en forma pública; b) en el mismo  lugar</w:t>
        <w:br/>
        <w:t xml:space="preserve">         en que ocurrieron los hechos; c) se reconoció  la  responsabilidad</w:t>
        <w:br/>
        <w:t xml:space="preserve">         por la ejecución extrajudicial de las víctimas  y  por  las  otras</w:t>
        <w:br/>
        <w:t xml:space="preserve">         violaciones cometidas en  el  presente  caso;  d)  se  realizó  en</w:t>
        <w:br/>
        <w:t xml:space="preserve">         presencia  y  con  participación  de  un  número  considerable  de</w:t>
        <w:br/>
        <w:t xml:space="preserve">         sobrevivientes y familiares; e) fue  conducido  por  la  más  alta</w:t>
        <w:br/>
        <w:t xml:space="preserve">         autoridad del Estado, esto es, el Presidente de la República y con</w:t>
        <w:br/>
        <w:t xml:space="preserve">         la participación de altos funcionarios del Estado, y f) contó  con</w:t>
        <w:br/>
        <w:t xml:space="preserve">         una amplia cobertura y difusión a nivel nacional. En  esta  línea,</w:t>
        <w:br/>
        <w:t xml:space="preserve">         la Corte Interamericana considera que el  acto  realizado  por  El</w:t>
        <w:br/>
        <w:t xml:space="preserve">         Salvador  es  apropiado  y  proporcional  a  la  gravedad  de  las</w:t>
        <w:br/>
        <w:t xml:space="preserve">         violaciones cuya reparación se pretende y que las expresiones  del</w:t>
        <w:br/>
        <w:t xml:space="preserve">         Presidente de la República tienen como efecto la  recuperación  de</w:t>
        <w:br/>
        <w:t xml:space="preserve">         la memoria de las víctimas, el reconocimiento de su dignidad y  el</w:t>
        <w:br/>
        <w:t xml:space="preserve">         consuelo de sus deudos[525]. Por lo tanto, en el presente caso  la</w:t>
        <w:br/>
        <w:t xml:space="preserve">         Corte estima que no es necesario ordenar una nueva realización  de</w:t>
        <w:br/>
        <w:t xml:space="preserve">         un acto público de reconocimiento de responsabilidad internacional</w:t>
        <w:br/>
        <w:t xml:space="preserve">         en relación con los hechos del presente caso y,  asimismo,  valora</w:t>
        <w:br/>
        <w:t xml:space="preserve">         positivamente la iniciativa estatal de realizar mesas  de  diálogo</w:t>
        <w:br/>
        <w:t xml:space="preserve">         con las víctimas sobre las  otras  medidas  de  reparación  a  ser</w:t>
        <w:br/>
        <w:t xml:space="preserve">         implementadas.  Finalmente,  el  Tribunal  exhorta  al  Estado   a</w:t>
        <w:br/>
        <w:t xml:space="preserve">         continuar las gestiones necesarias a fin de concretar las  medidas</w:t>
        <w:br/>
        <w:t xml:space="preserve">         anunciadas en dicho discurso.</w:t>
        <w:br/>
        <w:br/>
        <w:t xml:space="preserve">        b) Publicación de la Sentencia</w:t>
        <w:br/>
        <w:br/>
        <w:t xml:space="preserve">    358. En términos  generales,  la  Comisión  solicitó  a  la  Corte  que</w:t>
        <w:br/>
        <w:t xml:space="preserve">         disponga al Estado el establecimiento  y  difusión  de  la  verdad</w:t>
        <w:br/>
        <w:t xml:space="preserve">         histórica de los hechos y la recuperación de  la  memoria  de  las</w:t>
        <w:br/>
        <w:t xml:space="preserve">         víctimas fallecidas.</w:t>
        <w:br/>
        <w:br/>
        <w:t xml:space="preserve">    359. Los representantes solicitaron a la Corte que, de acuerdo  con  su</w:t>
        <w:br/>
        <w:t xml:space="preserve">         jurisprudencia, ordene al Estado  la  publicación  de  las  partes</w:t>
        <w:br/>
        <w:t xml:space="preserve">         pertinentes de la Sentencia, tanto en el Diario Oficial como en un</w:t>
        <w:br/>
        <w:t xml:space="preserve">         diario de amplia circulación nacional.</w:t>
        <w:br/>
        <w:br/>
        <w:t xml:space="preserve">    360. El  Estado  expresó  su  disposición  de  aceptar  y  realizar  la</w:t>
        <w:br/>
        <w:t xml:space="preserve">         publicación de las partes relevantes de la sentencia que emita  la</w:t>
        <w:br/>
        <w:t xml:space="preserve">         Corte, en el plazo razonable que por su naturaleza requiera.</w:t>
        <w:br/>
        <w:br/>
        <w:t xml:space="preserve">    361.  En  virtud  de  la  naturaleza  y  magnitud  de  las  violaciones</w:t>
        <w:br/>
        <w:t xml:space="preserve">         declaradas, el Tribunal  estima  oportuno  disponer,  como  lo  ha</w:t>
        <w:br/>
        <w:t xml:space="preserve">         ordenado en otros casos[526], que el Estado publique, en el  plazo</w:t>
        <w:br/>
        <w:t xml:space="preserve">         de seis meses, contado a partir de la notificación de este Fallo:</w:t>
        <w:br/>
        <w:br/>
        <w:br/>
        <w:t xml:space="preserve">            a)    el resumen oficial de la presente Sentencia elaborado  por</w:t>
        <w:br/>
        <w:t xml:space="preserve">      la Corte, por una sola vez, en el Diario Oficial;</w:t>
        <w:br/>
        <w:br/>
        <w:br/>
        <w:t xml:space="preserve">      b)    el resumen oficial de la presente  Sentencia  elaborado  por  la</w:t>
        <w:br/>
        <w:t xml:space="preserve">      Corte, por una sola vez, en un diario de amplia circulación  nacional,</w:t>
        <w:br/>
        <w:t xml:space="preserve">      y</w:t>
        <w:br/>
        <w:br/>
        <w:br/>
        <w:t xml:space="preserve">      c)    la presente  Sentencia  en  su  integridad,  disponible  por  un</w:t>
        <w:br/>
        <w:t xml:space="preserve">      período de un año, en un sitio web oficial.</w:t>
        <w:br/>
        <w:br/>
        <w:t xml:space="preserve">        c) Producción y difusión de audiovisuales</w:t>
        <w:br/>
        <w:br/>
        <w:t xml:space="preserve">    362. En términos  generales,  la  Comisión  solicitó  a  la  Corte  que</w:t>
        <w:br/>
        <w:t xml:space="preserve">         disponga al Estado el establecimiento  y  difusión  de  la  verdad</w:t>
        <w:br/>
        <w:t xml:space="preserve">         histórica de los hechos y la recuperación de  la  memoria  de  las</w:t>
        <w:br/>
        <w:t xml:space="preserve">         víctimas fallecidas.</w:t>
        <w:br/>
        <w:br/>
        <w:t xml:space="preserve">    363. Los representantes consideraron  fundamental  la  producción,  por</w:t>
        <w:br/>
        <w:t xml:space="preserve">         parte del Estado, de un video en el que se informe a  la  sociedad</w:t>
        <w:br/>
        <w:t xml:space="preserve">         acerca de los graves hechos cometidos en las masacres de El Mozote</w:t>
        <w:br/>
        <w:t xml:space="preserve">         y lugares aledaños, el cual además deberá referirse a la  política</w:t>
        <w:br/>
        <w:t xml:space="preserve">         de “tierra arrasada”, “en cuyo contexto se dieron los hechos de la</w:t>
        <w:br/>
        <w:t xml:space="preserve">         masacre e incluir información en relación a la no investigación de</w:t>
        <w:br/>
        <w:t xml:space="preserve">         estos graves hechos[, así como] incluir un  compromiso  por  parte</w:t>
        <w:br/>
        <w:t xml:space="preserve">         del Estado de que  estos  hechos  no  volverán  a  repetirse”.  Al</w:t>
        <w:br/>
        <w:t xml:space="preserve">         respecto,  solicitaron  que  todos  los  gastos  relativos  a   la</w:t>
        <w:br/>
        <w:t xml:space="preserve">         producción del video fueran asumidos por el Estado y su  contenido</w:t>
        <w:br/>
        <w:t xml:space="preserve">         aprobado por las  víctimas  y  sus  representantes,  previo  a  su</w:t>
        <w:br/>
        <w:t xml:space="preserve">         transmisión. Solicitaron también que dicho video se  transmita  en</w:t>
        <w:br/>
        <w:t xml:space="preserve">         los medios audiovisuales de mayor cobertura a nivel  nacional,  al</w:t>
        <w:br/>
        <w:t xml:space="preserve">         menos en tres ocasiones espaciadas por un mes, en  el  horario  de</w:t>
        <w:br/>
        <w:t xml:space="preserve">         mayor audiencia televisiva, y que sea colocado en la página web de</w:t>
        <w:br/>
        <w:t xml:space="preserve">         las fuerzas armadas salvadoreñas.</w:t>
        <w:br/>
        <w:br/>
        <w:t xml:space="preserve">    364. El  Estado  expresó  su  disposición  de  aceptar  y  realizar  la</w:t>
        <w:br/>
        <w:t xml:space="preserve">         producción y difusión de un audiovisual, en el plazo razonable que</w:t>
        <w:br/>
        <w:t xml:space="preserve">         por su naturaleza requiera.</w:t>
        <w:br/>
        <w:br/>
        <w:t xml:space="preserve">    365. La Corte valora positivamente la disposición  del  Estado  de  dar</w:t>
        <w:br/>
        <w:t xml:space="preserve">         cumplimiento  a  la  medida  de  reparación  solicitada  por   los</w:t>
        <w:br/>
        <w:t xml:space="preserve">         representantes  en  este  aspecto  de  la  Sentencia.   Dada   las</w:t>
        <w:br/>
        <w:t xml:space="preserve">         circunstancias  del  presente  caso,  el   Tribunal   dispone   la</w:t>
        <w:br/>
        <w:t xml:space="preserve">         realización de un audiovisual documental sobre los  graves  hechos</w:t>
        <w:br/>
        <w:t xml:space="preserve">         cometidos en las masacres de El Mozote y lugares aledaños, el cual</w:t>
        <w:br/>
        <w:t xml:space="preserve">         además deberá referirse a la política de “tierra arrasada”  en  el</w:t>
        <w:br/>
        <w:t xml:space="preserve">         marco del conflicto armado en El Salvador, con mención  específica</w:t>
        <w:br/>
        <w:t xml:space="preserve">         del presente caso, cuyo contenido debe  ser  previamente  acordado</w:t>
        <w:br/>
        <w:t xml:space="preserve">         con las víctimas y sus representantes. El  Estado  deberá  hacerse</w:t>
        <w:br/>
        <w:t xml:space="preserve">         cargo de todos los gastos que generen la producción y distribución</w:t>
        <w:br/>
        <w:t xml:space="preserve">         de dicho video. La Corte  considera  que  este  video  deberá  ser</w:t>
        <w:br/>
        <w:t xml:space="preserve">         distribuido lo más ampliamente posible  entre  las  víctimas,  sus</w:t>
        <w:br/>
        <w:t xml:space="preserve">         representantes,  escuelas  y  universidades  del  país   para   su</w:t>
        <w:br/>
        <w:t xml:space="preserve">         promoción y proyección posterior con el objetivo final de informar</w:t>
        <w:br/>
        <w:t xml:space="preserve">         a la sociedad salvadoreña sobre estos hechos. Dicho  video  deberá</w:t>
        <w:br/>
        <w:t xml:space="preserve">         ser transmitido, al  menos  una  vez,  en  un  canal  de  difusión</w:t>
        <w:br/>
        <w:t xml:space="preserve">         nacional y en el horario de mayor audiencia televisiva, y debe ser</w:t>
        <w:br/>
        <w:t xml:space="preserve">         colocado en la página web de la Fuerza Armada de El Salvador. Para</w:t>
        <w:br/>
        <w:t xml:space="preserve">         la realización de dichos actos, el Estado cuenta con el  plazo  de</w:t>
        <w:br/>
        <w:t xml:space="preserve">         dos años, contando a partir de  la  notificación  de  la  presente</w:t>
        <w:br/>
        <w:t xml:space="preserve">         Sentencia.</w:t>
        <w:br/>
        <w:br/>
        <w:t xml:space="preserve">   4) Garantías de no repetición</w:t>
        <w:br/>
        <w:br/>
        <w:t xml:space="preserve">        a) Capacitación de la Fuerza Armada de la República de El Salvador</w:t>
        <w:br/>
        <w:br/>
        <w:t xml:space="preserve">    366. La Comisión solicitó a la Corte que ordene al Estado  adoptar  las</w:t>
        <w:br/>
        <w:t xml:space="preserve">         medidas necesarias para evitar  que  en  el  futuro  se  produzcan</w:t>
        <w:br/>
        <w:t xml:space="preserve">         hechos similares, conforme al deber de prevención  y  garantía  de</w:t>
        <w:br/>
        <w:t xml:space="preserve">         los derechos humanos reconocidos en la  Convención  Americana.  En</w:t>
        <w:br/>
        <w:t xml:space="preserve">         particular, implementar programas permanentes de derechos  humanos</w:t>
        <w:br/>
        <w:t xml:space="preserve">         y derecho internacional humanitario en las escuelas  de  formación</w:t>
        <w:br/>
        <w:t xml:space="preserve">         de las Fuerzas Armadas.</w:t>
        <w:br/>
        <w:br/>
        <w:t xml:space="preserve">    367.  Los  representantes  ni  el  Estado  se  pronunciaron  de  manera</w:t>
        <w:br/>
        <w:t xml:space="preserve">         particular sobre esta medida de reparación.</w:t>
        <w:br/>
        <w:br/>
        <w:t xml:space="preserve">    368. En el presente caso, el Estado ha reconocido y la Corte  determinó</w:t>
        <w:br/>
        <w:t xml:space="preserve">         que, en el  marco  del  operativo  militar  en  el  que  participó</w:t>
        <w:br/>
        <w:t xml:space="preserve">         principalmente el BIRI Atlacatl, con apoyo de  otras  dependencias</w:t>
        <w:br/>
        <w:t xml:space="preserve">         militares,  incluida  la  Fuerza  Aérea  salvadoreña,  se   habían</w:t>
        <w:br/>
        <w:t xml:space="preserve">         perpetrado masacres sucesivas en siete localidades del  norte  del</w:t>
        <w:br/>
        <w:t xml:space="preserve">         Departamento de Morazán (supra párrs. 17, 19 y 151). Al  respecto,</w:t>
        <w:br/>
        <w:t xml:space="preserve">         la Corte estima pertinente recordar que la eficacia e  impacto  de</w:t>
        <w:br/>
        <w:t xml:space="preserve">         la implementación  de  los  programas  de  educación  en  derechos</w:t>
        <w:br/>
        <w:t xml:space="preserve">         humanos en el seno de las fuerzas de  seguridad  es  crucial  para</w:t>
        <w:br/>
        <w:t xml:space="preserve">         generar garantías de no repetición de hechos como los del presente</w:t>
        <w:br/>
        <w:t xml:space="preserve">         caso. Tales programas deben reflejarse en resultados de  acción  y</w:t>
        <w:br/>
        <w:t xml:space="preserve">         prevención  que  acrediten  su  eficacia,  más  allá  de  que   su</w:t>
        <w:br/>
        <w:t xml:space="preserve">         evaluación deba realizarse a través de indicadores adecuados[527].</w:t>
        <w:br/>
        <w:br/>
        <w:t xml:space="preserve">    369. En consecuencia, este Tribunal considera importante fortalecer las</w:t>
        <w:br/>
        <w:t xml:space="preserve">         capacidades institucionales del Estado mediante la capacitación de</w:t>
        <w:br/>
        <w:t xml:space="preserve">         los integrantes de la Fuerza Armada de la República de El Salvador</w:t>
        <w:br/>
        <w:t xml:space="preserve">         sobre los principios  y  normas  de  protección  de  los  derechos</w:t>
        <w:br/>
        <w:t xml:space="preserve">         humanos y sobre los límites a los cuales  deben  estar  sometidas.</w:t>
        <w:br/>
        <w:t xml:space="preserve">         Para ello, el Estado debe implementar,  en  un  plazo  de  un  año</w:t>
        <w:br/>
        <w:t xml:space="preserve">         contado a partir de la notificación de la presente Sentencia y con</w:t>
        <w:br/>
        <w:t xml:space="preserve">         la respectiva disposición  presupuestaria,  un  programa  o  curso</w:t>
        <w:br/>
        <w:t xml:space="preserve">         permanente y obligatorio sobre  derechos  humanos,  incluyendo  la</w:t>
        <w:br/>
        <w:t xml:space="preserve">         perspectiva de género  y  niñez,  dirigido  a  todos  los  niveles</w:t>
        <w:br/>
        <w:t xml:space="preserve">         jerárquicos de la Fuerza Armada de la República  de  El  Salvador.</w:t>
        <w:br/>
        <w:t xml:space="preserve">         Como parte de  esta  formación,  se  deberá  incluir  la  presente</w:t>
        <w:br/>
        <w:t xml:space="preserve">         Sentencia y la jurisprudencia de  la  Corte  Interamericana  sobre</w:t>
        <w:br/>
        <w:t xml:space="preserve">         graves violaciones a los derechos humanos.</w:t>
        <w:br/>
        <w:br/>
        <w:t xml:space="preserve">   5) Otras medidas solicitadas</w:t>
        <w:br/>
        <w:br/>
        <w:t xml:space="preserve">    370.  Los  representantes  presentaron   las   siguientes   solicitudes</w:t>
        <w:br/>
        <w:t xml:space="preserve">         adicionales: a) que el Estado adopte medidas para el  mejoramiento</w:t>
        <w:br/>
        <w:t xml:space="preserve">         del monumento construido para recordar a las víctimas en la  plaza</w:t>
        <w:br/>
        <w:t xml:space="preserve">         del caserío El Mozote, “lo cual incluye asegurar la  inclusión  de</w:t>
        <w:br/>
        <w:t xml:space="preserve">         los nombres de  todas  las  víctimas  que  en  este  proceso  sean</w:t>
        <w:br/>
        <w:t xml:space="preserve">         consideradas como víctimas”, así como que  el  referido  monumento</w:t>
        <w:br/>
        <w:t xml:space="preserve">         sea declarado monumento nacional y  que,  a  partir  de  ello,  el</w:t>
        <w:br/>
        <w:t xml:space="preserve">         Estado se haga responsable de su mantenimiento  y  protección;  b)</w:t>
        <w:br/>
        <w:t xml:space="preserve">         que el Estado “adquiera la vivienda del caserío  El  Mozote  donde</w:t>
        <w:br/>
        <w:t xml:space="preserve">         fueron asesinadas las mujeres, con el fin de establecer en ella un</w:t>
        <w:br/>
        <w:t xml:space="preserve">         centro de memoria, donde puedan conservarse objetos  y  documentos</w:t>
        <w:br/>
        <w:t xml:space="preserve">         relativos a la masacre”, y c) que el Estado disponga de  un  lugar</w:t>
        <w:br/>
        <w:t xml:space="preserve">         en cada una de las poblaciones afectadas en donde  los  familiares</w:t>
        <w:br/>
        <w:t xml:space="preserve">         de las víctimas asesinadas puedan acudir para recordarlas.</w:t>
        <w:br/>
        <w:br/>
        <w:t xml:space="preserve">    371. El Estado expresó su disposición de aceptar y realizar la creación</w:t>
        <w:br/>
        <w:t xml:space="preserve">         de  espacios  para  reconocer  la  dignidad  de  las  víctimas   y</w:t>
        <w:br/>
        <w:t xml:space="preserve">         recordarlas, en el plazo razonable que por su naturaleza requiera.</w:t>
        <w:br/>
        <w:t xml:space="preserve">         Al respecto, el Estado indicó que se había iniciado con el trámite</w:t>
        <w:br/>
        <w:t xml:space="preserve">         correspondiente para declarar como bien cultural  el  sitio  donde</w:t>
        <w:br/>
        <w:t xml:space="preserve">         ocurrió la masacre de El Mozote, como un acto de reparación  moral</w:t>
        <w:br/>
        <w:t xml:space="preserve">         para las víctimas  y  sus  familiares,  y  que  adicionalmente  se</w:t>
        <w:br/>
        <w:t xml:space="preserve">         elaborará un plan para la creación  de  diferentes  espacios  para</w:t>
        <w:br/>
        <w:t xml:space="preserve">         reconocer  la  dignidad  de  las  víctimas  en   las   poblaciones</w:t>
        <w:br/>
        <w:t xml:space="preserve">         afectadas,  todo  esto  en  coordinación   con   las   comunidades</w:t>
        <w:br/>
        <w:t xml:space="preserve">         afectadas.</w:t>
        <w:br/>
        <w:br/>
        <w:t xml:space="preserve">    372. La Corte valora positivamente y toma nota de  la  disposición  del</w:t>
        <w:br/>
        <w:t xml:space="preserve">         Estado  de  aceptar  y  realizar  la  creación  de  espacios  para</w:t>
        <w:br/>
        <w:t xml:space="preserve">         reconocer la dignidad de las víctimas y recordarlas, e insta a  El</w:t>
        <w:br/>
        <w:t xml:space="preserve">         Salvador a cumplir dicho compromiso, lo cual no  será  supervisado</w:t>
        <w:br/>
        <w:t xml:space="preserve">         por el Tribunal.</w:t>
        <w:br/>
        <w:br/>
        <w:t xml:space="preserve">    373. Los representantes solicitaron a la Corte  que  ordene  al  Estado</w:t>
        <w:br/>
        <w:t xml:space="preserve">         retirar  los  nombres   de   las   personas   identificadas   como</w:t>
        <w:br/>
        <w:t xml:space="preserve">         responsables de las masacres de cualquier institución pública, así</w:t>
        <w:br/>
        <w:t xml:space="preserve">         como  la  prohibición  de  cualquier  homenaje  en  su  honor.  Al</w:t>
        <w:br/>
        <w:t xml:space="preserve">         respecto, explicaron que una sala del Museo Militar de las Fuerzas</w:t>
        <w:br/>
        <w:t xml:space="preserve">         Armadas y la Tercera Brigada de Infantería  llevan  el  nombre  de</w:t>
        <w:br/>
        <w:t xml:space="preserve">         Domingo Monterrosa y otra sala del Museo Militar lleva  el  nombre</w:t>
        <w:br/>
        <w:t xml:space="preserve">         de Armando Azmilia Melara, a pesar de que dichas personas estarían</w:t>
        <w:br/>
        <w:t xml:space="preserve">         identificados como dos de los oficiales que tuvieron a su cargo la</w:t>
        <w:br/>
        <w:t xml:space="preserve">         dirección del operativo donde ocurrieron las masacres. Además,  el</w:t>
        <w:br/>
        <w:t xml:space="preserve">         23 de octubre de cada año  las  Fuerzas  Armadas  y  la  Alcaldía,</w:t>
        <w:br/>
        <w:t xml:space="preserve">         llevan a cabo un homenaje a Domingo Monterrosa, en conmemoración a</w:t>
        <w:br/>
        <w:t xml:space="preserve">         su muerte, en el Municipio de Jocoateca, Departamento de Morazán.</w:t>
        <w:br/>
        <w:br/>
        <w:t xml:space="preserve">    374. El Estado sostuvo que en el acto de desagravio y pedido de  perdón</w:t>
        <w:br/>
        <w:t xml:space="preserve">         realizado el 16 de enero de 2012 el  Presidente  de  la  República</w:t>
        <w:br/>
        <w:t xml:space="preserve">         “hizo un llamado muy claro no sólo para la  Fuerza  Armada  de  El</w:t>
        <w:br/>
        <w:t xml:space="preserve">         Salvador […] sino a diferentes sectores que son independientes del</w:t>
        <w:br/>
        <w:t xml:space="preserve">         poder  ejecutivo  salvadoreño  para  abstenerse   de   exaltar   a</w:t>
        <w:br/>
        <w:t xml:space="preserve">         personajes vinculados a violaciones  a  los  derechos  durante  el</w:t>
        <w:br/>
        <w:t xml:space="preserve">         conflicto armado”, sin perjuicio de ello, El Salvador  expresó  su</w:t>
        <w:br/>
        <w:t xml:space="preserve">         disposición de atender lo que disponga la Corte.</w:t>
        <w:br/>
        <w:br/>
        <w:t xml:space="preserve">    375. La Corte ha constatado el sentimiento de dolor y de injusticia que</w:t>
        <w:br/>
        <w:t xml:space="preserve">         los referidos homenajes provocan a las víctimas  sobrevivientes  y</w:t>
        <w:br/>
        <w:t xml:space="preserve">         familiares de las víctimas ejecutadas en las masacres[528]  y,  en</w:t>
        <w:br/>
        <w:t xml:space="preserve">         este sentido, valora positivamente que el  Estado  esté  adoptando</w:t>
        <w:br/>
        <w:t xml:space="preserve">         determinadas medidas al respecto.  No  obstante,  el  Tribunal  no</w:t>
        <w:br/>
        <w:t xml:space="preserve">         considera  procedente  ordenar  esta  medida  solicitada  por  los</w:t>
        <w:br/>
        <w:t xml:space="preserve">         representantes, ya que la emisión de la presente Sentencia  y  las</w:t>
        <w:br/>
        <w:t xml:space="preserve">         reparaciones  ordenadas  resultan  suficientes  y  adecuadas  para</w:t>
        <w:br/>
        <w:t xml:space="preserve">         remediar las violaciones sufridas por las  víctimas  del  presente</w:t>
        <w:br/>
        <w:t xml:space="preserve">         caso.</w:t>
        <w:br/>
        <w:br/>
        <w:t xml:space="preserve">    376. Los representantes solicitaron a la Corte que ordene al Estado que</w:t>
        <w:br/>
        <w:t xml:space="preserve">         designe el 11 de diciembre  de  1981  -fecha  en  que  comenzó  la</w:t>
        <w:br/>
        <w:t xml:space="preserve">         masacre de El Mozote- como el “Día Nacional  de  las  víctimas  de</w:t>
        <w:br/>
        <w:t xml:space="preserve">         masacres cometidas durante el conflicto armado de El Salvador”,  y</w:t>
        <w:br/>
        <w:t xml:space="preserve">         que el Estado lleve a cabo actividades para recordar y reivindicar</w:t>
        <w:br/>
        <w:t xml:space="preserve">         la memoria de las víctimas  de  las  masacres.  El  Estado  aceptó</w:t>
        <w:br/>
        <w:t xml:space="preserve">         “promover la designación de un día nacional,  en  homenaje  a  las</w:t>
        <w:br/>
        <w:t xml:space="preserve">         víctimas de masacres y otras graves  violaciones  a  los  derechos</w:t>
        <w:br/>
        <w:t xml:space="preserve">         humanos  ocurridas  durante  el  conflicto  armado  interno”.   No</w:t>
        <w:br/>
        <w:t xml:space="preserve">         obstante, expresó que dicha designación tendría  “una  implicación</w:t>
        <w:br/>
        <w:t xml:space="preserve">         directa  hacia  muchas  otras  víctimas  de   lamentables   hechos</w:t>
        <w:br/>
        <w:t xml:space="preserve">         ocurrid[o]s en diferentes lugares del país en aquella época”,  por</w:t>
        <w:br/>
        <w:t xml:space="preserve">         lo que, sugirió la adopción de un mecanismo de diálogo en  el  que</w:t>
        <w:br/>
        <w:t xml:space="preserve">         puedan formar parte víctimas de otros  casos,  “de  forma  que  la</w:t>
        <w:br/>
        <w:t xml:space="preserve">         denominación exacta y selección del día se establezca a partir  de</w:t>
        <w:br/>
        <w:t xml:space="preserve">         un conce[n]so amplio y que la mayoría  de  las  víctimas  se  vean</w:t>
        <w:br/>
        <w:t xml:space="preserve">         representadas”.</w:t>
        <w:br/>
        <w:br/>
        <w:br/>
        <w:br/>
        <w:t xml:space="preserve">    377. Al respecto, el Tribunal  no  considera  procedente  ordenar  esta</w:t>
        <w:br/>
        <w:t xml:space="preserve">         medida solicitada por los representantes ya que la emisión  de  la</w:t>
        <w:br/>
        <w:t xml:space="preserve">         presente  Sentencia  y   las   reparaciones   ordenadas   resultan</w:t>
        <w:br/>
        <w:t xml:space="preserve">         suficientes y adecuadas para remediar las violaciones sufridas por</w:t>
        <w:br/>
        <w:t xml:space="preserve">         las víctimas del presente caso.</w:t>
        <w:br/>
        <w:br/>
        <w:br/>
        <w:br/>
        <w:t xml:space="preserve">    378. En sus observaciones finales, la Comisión solicitó a la Corte  que</w:t>
        <w:br/>
        <w:t xml:space="preserve">         ordene al Estado  disponer  la  capacitación  a  los  funcionarios</w:t>
        <w:br/>
        <w:t xml:space="preserve">         judiciales y fiscales sobre  la  incompatibilidad  de  la  Ley  de</w:t>
        <w:br/>
        <w:t xml:space="preserve">         Amnistía con la Convención Americana  y  la  carencia  de  efectos</w:t>
        <w:br/>
        <w:t xml:space="preserve">         jurídicos en la investigación y sanción de los responsables de las</w:t>
        <w:br/>
        <w:t xml:space="preserve">         violaciones de derechos humanos  ocurridas  durante  el  conflicto</w:t>
        <w:br/>
        <w:t xml:space="preserve">         armado. En cuanto a dicha solicitud, la Corte observa que  no  fue</w:t>
        <w:br/>
        <w:t xml:space="preserve">         presentada en el momento procesal oportuno, esto es, en el escrito</w:t>
        <w:br/>
        <w:t xml:space="preserve">         de sometimiento del  caso  ante  este  Tribunal,  por  lo  que  es</w:t>
        <w:br/>
        <w:t xml:space="preserve">         extemporánea y no será considerada[529].</w:t>
        <w:br/>
        <w:br/>
        <w:br/>
        <w:br/>
        <w:t>D.    Indemnización Compensatoria</w:t>
        <w:br/>
        <w:br/>
        <w:br/>
        <w:br/>
        <w:t xml:space="preserve">   1) Daño material y daño inmaterial</w:t>
        <w:br/>
        <w:br/>
        <w:br/>
        <w:br/>
        <w:t xml:space="preserve">    379. La Comisión solicitó  reparar  adecuadamente  las  violaciones  de</w:t>
        <w:br/>
        <w:t xml:space="preserve">         derechos humanos tanto en el aspecto material como moral.</w:t>
        <w:br/>
        <w:br/>
        <w:br/>
        <w:br/>
        <w:t xml:space="preserve">    380. Los representantes solicitaron a la Corte que ordene al Estado que</w:t>
        <w:br/>
        <w:t xml:space="preserve">         compense los daños causados a las víctimas de las masacres  de  El</w:t>
        <w:br/>
        <w:t xml:space="preserve">         Mozote y  lugares  aledaños  y  sus  familiares,  a  raíz  de  las</w:t>
        <w:br/>
        <w:t xml:space="preserve">         violaciones a sus derechos cometidas con  posterioridad  al  6  de</w:t>
        <w:br/>
        <w:t xml:space="preserve">         junio de 1995. Al respecto, solicitaron a la  Corte  que  fije  en</w:t>
        <w:br/>
        <w:t xml:space="preserve">         equidad  la  cantidad  que  le  corresponde  a  cada  uno  de  los</w:t>
        <w:br/>
        <w:t xml:space="preserve">         beneficiarios por los daños causados, esto es: a) por “la falta de</w:t>
        <w:br/>
        <w:t xml:space="preserve">         investigación de los  hechos  por  la  aplicación  de  la  Ley  de</w:t>
        <w:br/>
        <w:t xml:space="preserve">         Amnistía y el estado de impunidad en que se encuentran los  graves</w:t>
        <w:br/>
        <w:t xml:space="preserve">         hechos ocurridos en las masacres”. Dicha reparación debe  alcanzar</w:t>
        <w:br/>
        <w:t xml:space="preserve">         tanto a las víctimas sobrevivientes como a los familiares  de  las</w:t>
        <w:br/>
        <w:t xml:space="preserve">         víctimas asesinadas en las masacres; b) por “las dimensiones de la</w:t>
        <w:br/>
        <w:t xml:space="preserve">         masacre, así como el conocimiento de que los  responsables  siguen</w:t>
        <w:br/>
        <w:t xml:space="preserve">         libres e incluso  son  objeto  de  homenajes[,  lo  cual]  ha[bía]</w:t>
        <w:br/>
        <w:t xml:space="preserve">         generado sufrimientos a los familiares  que  les  sobreviven,  aun</w:t>
        <w:br/>
        <w:t xml:space="preserve">         cuando ten[ían] un grado de parentesco más lejano”, y c)  por  “el</w:t>
        <w:br/>
        <w:t xml:space="preserve">         sufrimiento causado a raíz de la situación de desplazamiento en la</w:t>
        <w:br/>
        <w:t xml:space="preserve">         que  se  vieron  obligados  a  vivir  por   años   [las   víctimas</w:t>
        <w:br/>
        <w:t xml:space="preserve">         sobrevivientes], así como por la pérdida de bienes  fundamentales,</w:t>
        <w:br/>
        <w:t xml:space="preserve">         como sus viviendas y sus medios de subsistencia, los cuales  nunca</w:t>
        <w:br/>
        <w:t xml:space="preserve">         pudieron recuperar”.</w:t>
        <w:br/>
        <w:br/>
        <w:br/>
        <w:br/>
        <w:t xml:space="preserve">    381. El Estado no se pronunció sobre estas medidas de reparación.</w:t>
        <w:br/>
        <w:br/>
        <w:br/>
        <w:br/>
        <w:t xml:space="preserve">    382. La Corte ha desarrollado en su jurisprudencia el concepto de  daño</w:t>
        <w:br/>
        <w:t xml:space="preserve">         material y los supuestos en  que  corresponde  indemnizarlo.  Este</w:t>
        <w:br/>
        <w:t xml:space="preserve">         Tribunal ha establecido que el daño material supone la  pérdida  o</w:t>
        <w:br/>
        <w:t xml:space="preserve">         detrimento de los ingresos de las víctimas, los gastos  efectuados</w:t>
        <w:br/>
        <w:t xml:space="preserve">         con  motivo  de  los  hechos  y  las  consecuencias  de   carácter</w:t>
        <w:br/>
        <w:t xml:space="preserve">         pecuniario que tengan un nexo causal con los hechos del caso[530].</w:t>
        <w:br/>
        <w:t xml:space="preserve">         Por su  parte,  la  jurisprudencia  internacional  ha  establecido</w:t>
        <w:br/>
        <w:t xml:space="preserve">         reiteradamente que la sentencia puede constituir per se una  forma</w:t>
        <w:br/>
        <w:t xml:space="preserve">         de reparación[531]. No obstante, la Corte ha  desarrollado  en  su</w:t>
        <w:br/>
        <w:t xml:space="preserve">         jurisprudencia el concepto de daño inmaterial y ha establecido que</w:t>
        <w:br/>
        <w:t xml:space="preserve">         éste “puede comprender tanto los sufrimientos  y  las  aflicciones</w:t>
        <w:br/>
        <w:t xml:space="preserve">         causados a la víctima directa y a sus allegados, el  menoscabo  de</w:t>
        <w:br/>
        <w:t xml:space="preserve">         valores  muy  significativos  para  las  personas,  así  como  las</w:t>
        <w:br/>
        <w:t xml:space="preserve">         alteraciones, de carácter no pecuniario,  en  las  condiciones  de</w:t>
        <w:br/>
        <w:t xml:space="preserve">         existencia de la víctima o su familia”[532]. En el presente  caso,</w:t>
        <w:br/>
        <w:t xml:space="preserve">         los  representantes  no  solicitaron  un  concepto  específico  en</w:t>
        <w:br/>
        <w:t xml:space="preserve">         relación con  los  daños  materiales  e  inmateriales  alegados  y</w:t>
        <w:br/>
        <w:t xml:space="preserve">         tampoco presentaron  prueba  que  acredite  los  costos  estimados</w:t>
        <w:br/>
        <w:t xml:space="preserve">         respecto a los referidos daños.</w:t>
        <w:br/>
        <w:br/>
        <w:br/>
        <w:br/>
        <w:t xml:space="preserve">    383. La Corte no cuenta  con  elementos  para  acreditar  los  ingresos</w:t>
        <w:br/>
        <w:t xml:space="preserve">         dejados de percibir y el daño emergente que sufrieron las víctimas</w:t>
        <w:br/>
        <w:t xml:space="preserve">         del presente caso. No obstante, para la Corte es  lógico  que,  en</w:t>
        <w:br/>
        <w:t xml:space="preserve">         casos como el presente, la recolección de prueba que acredite este</w:t>
        <w:br/>
        <w:t xml:space="preserve">         tipo de pérdidas materiales y su aportación  al  Tribunal  es  una</w:t>
        <w:br/>
        <w:t xml:space="preserve">         labor  compleja.  Además,  es  evidente  que  las  violaciones  de</w:t>
        <w:br/>
        <w:t xml:space="preserve">         derechos humanos declaradas en  el  presente  caso  necesariamente</w:t>
        <w:br/>
        <w:t xml:space="preserve">         conllevan graves consecuencias de carácter  pecuniario.  Por  otra</w:t>
        <w:br/>
        <w:t xml:space="preserve">         parte, la Corte considera que a raíz de  las  violaciones  que  ha</w:t>
        <w:br/>
        <w:t xml:space="preserve">         declarado en esta Sentencia se presume que éstas sí produjeron  un</w:t>
        <w:br/>
        <w:t xml:space="preserve">         grave daño inmaterial, pues es propio de la naturaleza humana  que</w:t>
        <w:br/>
        <w:t xml:space="preserve">         toda persona que padece  una  violación  a  sus  derechos  humanos</w:t>
        <w:br/>
        <w:t xml:space="preserve">         experimente un sufrimiento[533].</w:t>
        <w:br/>
        <w:br/>
        <w:br/>
        <w:br/>
        <w:t xml:space="preserve">    384. En atención a los  criterios  establecidos  en  la  jurisprudencia</w:t>
        <w:br/>
        <w:t xml:space="preserve">         constante de este Tribunal, las circunstancias del presente  caso,</w:t>
        <w:br/>
        <w:t xml:space="preserve">         la entidad, carácter y gravedad de las violaciones  cometidas,  el</w:t>
        <w:br/>
        <w:t xml:space="preserve">         daño  generado  por  la  impunidad,  así  como  los   sufrimientos</w:t>
        <w:br/>
        <w:t xml:space="preserve">         ocasionados  a  las  víctimas  en  su  esfera  física,   moral   y</w:t>
        <w:br/>
        <w:t xml:space="preserve">         psicológica[534], la Corte estima pertinente fijar en equidad, por</w:t>
        <w:br/>
        <w:t xml:space="preserve">         concepto de daño material e inmaterial, las cantidades señaladas a</w:t>
        <w:br/>
        <w:t xml:space="preserve">         continuación, las cuales deberán ser pagadas en el  plazo  que  la</w:t>
        <w:br/>
        <w:t xml:space="preserve">         Corte fije para tal efecto (infra párr. 397):</w:t>
        <w:br/>
        <w:br/>
        <w:br/>
        <w:br/>
        <w:t xml:space="preserve">            a) US$ 35.000,00 (treinta y cinco mil dólares  de  los  Estados</w:t>
        <w:br/>
        <w:t xml:space="preserve">      Unidos  de  América)  a  cada  una  de  las  víctimas  de   ejecución</w:t>
        <w:br/>
        <w:t xml:space="preserve">      extrajudicial, señaladas en el Anexo “A” de esta Sentencia;</w:t>
        <w:br/>
        <w:br/>
        <w:br/>
        <w:br/>
        <w:br/>
        <w:t xml:space="preserve">            b) US$ 20,000.00 (veinte mil dólares de los Estados  Unidos  de</w:t>
        <w:br/>
        <w:t xml:space="preserve">      América) a cada una de las víctimas sobrevivientes de  las  masacres,</w:t>
        <w:br/>
        <w:t xml:space="preserve">      señaladas en el Anexo “B” de esta Sentencia; y</w:t>
        <w:br/>
        <w:br/>
        <w:br/>
        <w:br/>
        <w:br/>
        <w:t xml:space="preserve">            c) US$ 10,000.00 (diez mil dólares  de  los  Estados  Unidos  de</w:t>
        <w:br/>
        <w:t xml:space="preserve">      América)  a  cada  uno  de  los  demás  familiares  de  las   víctimas</w:t>
        <w:br/>
        <w:t xml:space="preserve">      ejecutadas, señaladas en el Anexo “C” de esta Sentencia.</w:t>
        <w:br/>
        <w:br/>
        <w:br/>
        <w:br/>
        <w:t>E.    Costas y gastos</w:t>
        <w:br/>
        <w:br/>
        <w:t xml:space="preserve">    385. Como ya lo ha señalado la Corte en oportunidades  anteriores,  las</w:t>
        <w:br/>
        <w:t xml:space="preserve">         costas  y  gastos  están  comprendidos  dentro  del  concepto   de</w:t>
        <w:br/>
        <w:t xml:space="preserve">         reparación establecido  en  el  artículo  63.1  de  la  Convención</w:t>
        <w:br/>
        <w:t xml:space="preserve">         Americana[535].</w:t>
        <w:br/>
        <w:br/>
        <w:t xml:space="preserve">    386. Los representantes solicitaron a la Corte  que  ordene  al  Estado</w:t>
        <w:br/>
        <w:t xml:space="preserve">         reintegrar las correspondientes  costas  y  gastos.  A  favor  del</w:t>
        <w:br/>
        <w:t xml:space="preserve">         Centro  por  la  Justicia  y  el  Derecho  Internacional  (CEJIL),</w:t>
        <w:br/>
        <w:t xml:space="preserve">         solicitaron el reintegro de US$ 20.837,95 (veinte mil  ochocientos</w:t>
        <w:br/>
        <w:t xml:space="preserve">         treinta y siete dólares de  los  Estados  Unidos  de  América  con</w:t>
        <w:br/>
        <w:t xml:space="preserve">         noventa y cinco centavos), por concepto de representación  de  las</w:t>
        <w:br/>
        <w:t xml:space="preserve">         víctimas y sus familiares en el proceso internacional a partir del</w:t>
        <w:br/>
        <w:t xml:space="preserve">         año   2000,   los   cuales   incluirían    viajes,    alojamiento,</w:t>
        <w:br/>
        <w:t xml:space="preserve">         comunicaciones,  fotocopias,   papelería   y   envíos.   Asimismo,</w:t>
        <w:br/>
        <w:t xml:space="preserve">         presentaron un estimativo global de las costas y gastos a favor de</w:t>
        <w:br/>
        <w:t xml:space="preserve">         la Oficina de Tutela  Legal  del  Arzobispado,  calculado  en  US$</w:t>
        <w:br/>
        <w:t xml:space="preserve">         120.000,00 (ciento veinte mil dólares de  los  Estados  Unidos  de</w:t>
        <w:br/>
        <w:t xml:space="preserve">         América), en razón de  los  procesos  investigativos  iniciados  a</w:t>
        <w:br/>
        <w:t xml:space="preserve">         partir de 1990, las gestiones ante  las  instancias  judiciales  y</w:t>
        <w:br/>
        <w:t xml:space="preserve">         fiscales y los costos por la representación y seguimiento del caso</w:t>
        <w:br/>
        <w:t xml:space="preserve">         a nivel interamericano. En su escrito  de  alegatos  finales,  los</w:t>
        <w:br/>
        <w:t xml:space="preserve">         representantes actualizaron los montos de  los  gastos  incurridos</w:t>
        <w:br/>
        <w:t xml:space="preserve">         “para la producción de prueba y la preparación y participación  en</w:t>
        <w:br/>
        <w:t xml:space="preserve">         la audiencia pública”, solicitando el pago adicional, a  favor  de</w:t>
        <w:br/>
        <w:t xml:space="preserve">         CEJIL de  US$  26.350,58  (veintiséis  mil  trescientos  cincuenta</w:t>
        <w:br/>
        <w:t xml:space="preserve">         dólares de los Estados Unidos de  América  con  cincuenta  y  ocho</w:t>
        <w:br/>
        <w:t xml:space="preserve">         centavos), y a favor  de  Tutela  Legal  del  Arzobispado  de  US$</w:t>
        <w:br/>
        <w:t xml:space="preserve">         6.090,93 (seis mil  noventa  dólares  de  los  Estados  Unidos  de</w:t>
        <w:br/>
        <w:t xml:space="preserve">         América con noventa y tres  centavos).  En  suma,  solicitaron  un</w:t>
        <w:br/>
        <w:t xml:space="preserve">         total de US$ 47.188,53 (cuarenta y siete mil ciento ochenta y ocho</w:t>
        <w:br/>
        <w:t xml:space="preserve">         dólares de los Estados Unidos de  América  con  cincuenta  y  tres</w:t>
        <w:br/>
        <w:t xml:space="preserve">         centavos) a favor de CEJIL y de US$ 126.090,93 (ciento  veintiséis</w:t>
        <w:br/>
        <w:t xml:space="preserve">         mil noventa dólares de los Estados Unidos de América con noventa y</w:t>
        <w:br/>
        <w:t xml:space="preserve">         tres centavos) a favor de Tutela Legal  del  Arzobispado.  Además,</w:t>
        <w:br/>
        <w:t xml:space="preserve">         solicitaron a la Corte que ordene una suma adicional  por  “gastos</w:t>
        <w:br/>
        <w:t xml:space="preserve">         futuros” relacionados con el cumplimiento de  la  sentencia  y  el</w:t>
        <w:br/>
        <w:t xml:space="preserve">         trámite de supervisión.</w:t>
        <w:br/>
        <w:br/>
        <w:t xml:space="preserve">    387. El Estado sostuvo que el monto de las costas y gastos  solicitados</w:t>
        <w:br/>
        <w:t xml:space="preserve">         por  los  representantes  “excede  el  estándar   de   precedentes</w:t>
        <w:br/>
        <w:t xml:space="preserve">         establecidos por  [la]  Corte”.  Asimismo,  advirtió  que  en  los</w:t>
        <w:br/>
        <w:t xml:space="preserve">         respaldos  presentados  constarían  documentos   en   sistema   de</w:t>
        <w:br/>
        <w:t xml:space="preserve">         fotocopias que no son legibles en su totalidad y otros que  no  se</w:t>
        <w:br/>
        <w:t xml:space="preserve">         encuentran claramente relacionados a las costas y gastos derivados</w:t>
        <w:br/>
        <w:t xml:space="preserve">         del  presente  caso  o  no  corresponden   a   gastos   incurridos</w:t>
        <w:br/>
        <w:t xml:space="preserve">         exclusivamente  con  propósito   del   caso,   como   combustible,</w:t>
        <w:br/>
        <w:t xml:space="preserve">         mantenimiento de vehículos y de equipo informático,  suscripciones</w:t>
        <w:br/>
        <w:t xml:space="preserve">         de  prensa  escrita  e  insumos  como   licencias   de   programas</w:t>
        <w:br/>
        <w:t xml:space="preserve">         informáticos, servidores, registro de dominio  público,  antivirus</w:t>
        <w:br/>
        <w:t xml:space="preserve">         para computadora, entre otros. Sobre dichos respaldos, señaló  que</w:t>
        <w:br/>
        <w:t xml:space="preserve">         los  representantes   no   habrían   relacionado   claramente   su</w:t>
        <w:br/>
        <w:t xml:space="preserve">         vinculación con el caso ni el porcentaje  de  los  gastos  que  es</w:t>
        <w:br/>
        <w:t xml:space="preserve">         aplicado al mismo. Por lo tanto, solicitó a la Corte que tenga  en</w:t>
        <w:br/>
        <w:t xml:space="preserve">         cuenta  estos  aspectos  al  momento  de  establecer  el   quantum</w:t>
        <w:br/>
        <w:t xml:space="preserve">         razonable, sobre  la  base  de  la  aplicación  del  principio  de</w:t>
        <w:br/>
        <w:t xml:space="preserve">         equidad.</w:t>
        <w:br/>
        <w:br/>
        <w:t xml:space="preserve">    388. Por su parte, la Comisión no presentó alegato alguno al respecto.</w:t>
        <w:br/>
        <w:br/>
        <w:t xml:space="preserve">    389. La Corte reitera que conforme a su jurisprudencia[536], las costas</w:t>
        <w:br/>
        <w:t xml:space="preserve">         y gastos hacen parte del concepto de reparación, toda vez  que  la</w:t>
        <w:br/>
        <w:t xml:space="preserve">         actividad desplegada por  las  víctimas  con  el  fin  de  obtener</w:t>
        <w:br/>
        <w:t xml:space="preserve">         justicia, tanto  a  nivel  nacional  como  internacional,  implica</w:t>
        <w:br/>
        <w:t xml:space="preserve">         erogaciones que deben ser compensadas  cuando  la  responsabilidad</w:t>
        <w:br/>
        <w:t xml:space="preserve">         internacional del  Estado  es  declarada  mediante  una  sentencia</w:t>
        <w:br/>
        <w:t xml:space="preserve">         condenatoria. En cuanto al  reembolso  de  las  costas  y  gastos,</w:t>
        <w:br/>
        <w:t xml:space="preserve">         corresponde al Tribunal apreciar prudentemente su alcance, el cual</w:t>
        <w:br/>
        <w:t xml:space="preserve">         comprende  los  gastos  generados  ante  las  autoridades  de   la</w:t>
        <w:br/>
        <w:t xml:space="preserve">         jurisdicción interna, así como  los  generados  en  el  curso  del</w:t>
        <w:br/>
        <w:t xml:space="preserve">         proceso ante el Sistema Interamericano,  teniendo  en  cuenta  las</w:t>
        <w:br/>
        <w:t xml:space="preserve">         circunstancias  del  caso  concreto  y   la   naturaleza   de   la</w:t>
        <w:br/>
        <w:t xml:space="preserve">         jurisdicción internacional de protección de los derechos  humanos.</w:t>
        <w:br/>
        <w:t xml:space="preserve">         Esta apreciación puede ser realizada con base en el  principio  de</w:t>
        <w:br/>
        <w:t xml:space="preserve">         equidad y tomando en cuenta los gastos señalados por  las  partes,</w:t>
        <w:br/>
        <w:t xml:space="preserve">         siempre que su quantum sea razonable[537].</w:t>
        <w:br/>
        <w:br/>
        <w:t xml:space="preserve">    390. El Tribunal ha señalado que “las pretensiones de  las  víctimas  o</w:t>
        <w:br/>
        <w:t xml:space="preserve">         sus representantes en materia de costas y gastos,  y  las  pruebas</w:t>
        <w:br/>
        <w:t xml:space="preserve">         que las sustentan, deben presentarse  a  la  Corte  en  el  primer</w:t>
        <w:br/>
        <w:t xml:space="preserve">         momento procesal que se les concede, esto es,  en  el  escrito  de</w:t>
        <w:br/>
        <w:t xml:space="preserve">         solicitudes y argumentos, sin perjuicio de que tales  pretensiones</w:t>
        <w:br/>
        <w:t xml:space="preserve">         se actualicen en un  momento  posterior,  conforme  a  las  nuevas</w:t>
        <w:br/>
        <w:t xml:space="preserve">         costas  y  gastos  en  que  se  haya  incurrido  con  ocasión  del</w:t>
        <w:br/>
        <w:t xml:space="preserve">         procedimiento ante esta Corte”[538]. Asimismo,  la  Corte  reitera</w:t>
        <w:br/>
        <w:t xml:space="preserve">         que no es suficiente la remisión de documentos  probatorios,  sino</w:t>
        <w:br/>
        <w:t xml:space="preserve">         que se  requiere  que  las  partes  hagan  una  argumentación  que</w:t>
        <w:br/>
        <w:t xml:space="preserve">         relacione la prueba con el hecho que se considera representado,  y</w:t>
        <w:br/>
        <w:t xml:space="preserve">         que,  al  tratarse  de   alegados   desembolsos   económicos,   se</w:t>
        <w:br/>
        <w:t xml:space="preserve">         establezcan con claridad los rubros  y  la  justificación  de  los</w:t>
        <w:br/>
        <w:t xml:space="preserve">         mismos[539].</w:t>
        <w:br/>
        <w:br/>
        <w:t xml:space="preserve">    391. La Oficina de Tutela Legal del  Arzobispado  ha  trabajado  en  la</w:t>
        <w:br/>
        <w:t xml:space="preserve">         investigación, documentación,  acompañamiento  y  tramitación  del</w:t>
        <w:br/>
        <w:t xml:space="preserve">         litigio a nivel nacional e internacional del presente  caso  desde</w:t>
        <w:br/>
        <w:t xml:space="preserve">         el año 1990 hasta la actualidad. En cuanto a la prueba relativa  a</w:t>
        <w:br/>
        <w:t xml:space="preserve">         las erogaciones económicas realizadas, el  Tribunal  constató  que</w:t>
        <w:br/>
        <w:t xml:space="preserve">         los comprobantes enviados corresponden al año 2000 en  adelante  y</w:t>
        <w:br/>
        <w:t xml:space="preserve">         se vinculan con gastos relacionados con  la  tramitación  para  la</w:t>
        <w:br/>
        <w:t xml:space="preserve">         realización  de  las  exhumaciones  y  los  trabajos  forenses  en</w:t>
        <w:br/>
        <w:t xml:space="preserve">         distintos sitios entre los años 2000  y  2004,  la  representación</w:t>
        <w:br/>
        <w:t xml:space="preserve">         legal,   gastos   de   documentación,   gastos   de    transporte,</w:t>
        <w:br/>
        <w:t xml:space="preserve">         alimentación,   viáticos,   papelería,    útiles    de    oficina,</w:t>
        <w:br/>
        <w:t xml:space="preserve">         mantenimiento informático, así como gastos de traslado, hospedaje,</w:t>
        <w:br/>
        <w:t xml:space="preserve">         alimentación y viáticos para asistir a la audiencia celebrada ante</w:t>
        <w:br/>
        <w:t xml:space="preserve">         la Corte en el presente caso en Guayaquil, Ecuador,  entre  otros.</w:t>
        <w:br/>
        <w:t xml:space="preserve">         La Corte constata que los gastos comprobados por Tutela Legal  del</w:t>
        <w:br/>
        <w:t xml:space="preserve">         Arzobispado ascienden a  aproximadamente  US$  117.116,41  (ciento</w:t>
        <w:br/>
        <w:t xml:space="preserve">         diecisiete mil ciento dieciséis dólares de los Estados  Unidos  de</w:t>
        <w:br/>
        <w:t xml:space="preserve">         América con cuarenta y un centavos). Al respecto,  la  Corte  nota</w:t>
        <w:br/>
        <w:t xml:space="preserve">         que: a) algunos comprobantes  se  refieren  de  manera  general  a</w:t>
        <w:br/>
        <w:t xml:space="preserve">         nómina  de  empleados,  gastos  de  documentación,  productos   de</w:t>
        <w:br/>
        <w:t xml:space="preserve">         oficina, gasolina y mantenimiento de vehículo, sin que  se  señale</w:t>
        <w:br/>
        <w:t xml:space="preserve">         el porcentaje específico que corresponde a los gastos del presente</w:t>
        <w:br/>
        <w:t xml:space="preserve">         caso; b) algunos comprobantes de pago  presentan  un  concepto  de</w:t>
        <w:br/>
        <w:t xml:space="preserve">         gasto que no se vincula de manera clara y precisa con el  presente</w:t>
        <w:br/>
        <w:t xml:space="preserve">         caso, y c) algunos comprobantes no presentan un concepto de  gasto</w:t>
        <w:br/>
        <w:t xml:space="preserve">         específico. Dichos conceptos han  sido  equitativamente  deducidos</w:t>
        <w:br/>
        <w:t xml:space="preserve">         del cálculo establecido por este Tribunal.</w:t>
        <w:br/>
        <w:br/>
        <w:t xml:space="preserve">    392. El Tribunal constató también que el Centro por la  Justicia  y  el</w:t>
        <w:br/>
        <w:t xml:space="preserve">         Derecho Internacional (CEJIL) incurrió en gastos relacionados  con</w:t>
        <w:br/>
        <w:t xml:space="preserve">         la tramitación del litigio a nivel internacional a partir del  mes</w:t>
        <w:br/>
        <w:t xml:space="preserve">         de octubre de 2005. Los representantes remitieron los comprobantes</w:t>
        <w:br/>
        <w:t xml:space="preserve">         de dichos gastos, los cuales se relacionan  con:  gastos  para  la</w:t>
        <w:br/>
        <w:t xml:space="preserve">         documentación del caso  en  El  Salvador  que  incluyen  traslado,</w:t>
        <w:br/>
        <w:t xml:space="preserve">         hospedaje, alimentación  y  servicios  de  comunicación;  talleres</w:t>
        <w:br/>
        <w:t xml:space="preserve">         realizados con las víctimas para la preparación del  caso;  gastos</w:t>
        <w:br/>
        <w:t xml:space="preserve">         de viaje  a  Guayaquil,  Ecuador,  para  asistir  a  la  audiencia</w:t>
        <w:br/>
        <w:t xml:space="preserve">         celebrada ante la Corte  en  el  presente  caso;  gastos  para  la</w:t>
        <w:br/>
        <w:t xml:space="preserve">         comparecencia de  declarantes  durante  la  audiencia  pública,  y</w:t>
        <w:br/>
        <w:t xml:space="preserve">         gastos para la elaboración del  peritaje  de  Yáñez  De  La  Cruz.</w:t>
        <w:br/>
        <w:t xml:space="preserve">         Asimismo, la Corte observa que CEJIL solicitó el pago proporcional</w:t>
        <w:br/>
        <w:t xml:space="preserve">         de representación legal, así como de mensajería  y  papelería.  La</w:t>
        <w:br/>
        <w:t xml:space="preserve">         Corte constata que los gastos comprobados  de  CEJIL  ascienden  a</w:t>
        <w:br/>
        <w:t xml:space="preserve">         aproximadamente US$ 45.867,11 (cuarenta y  cinco  mil  ochocientos</w:t>
        <w:br/>
        <w:t xml:space="preserve">         sesenta y siete dólares de los Estados Unidos de América con  once</w:t>
        <w:br/>
        <w:t xml:space="preserve">         centavos). Al respecto,  la  Corte  observa  que  algunos  de  los</w:t>
        <w:br/>
        <w:t xml:space="preserve">         comprobantes  de  gastos  aportados  por  los  representantes   no</w:t>
        <w:br/>
        <w:t xml:space="preserve">         corresponden solamente a gastos incurridos con propósito  de  este</w:t>
        <w:br/>
        <w:t xml:space="preserve">         caso, otros no presentan  un  concepto  de  gasto  específico,  se</w:t>
        <w:br/>
        <w:t xml:space="preserve">         encuentran ilegibles o  sin  vinculación  al  caso  y  algunos  se</w:t>
        <w:br/>
        <w:t xml:space="preserve">         refieren a gastos cubiertos por recursos provenientes del Fondo de</w:t>
        <w:br/>
        <w:t xml:space="preserve">         Asistencia Legal de Víctimas (supra párr.  12).  En  consecuencia,</w:t>
        <w:br/>
        <w:t xml:space="preserve">         dichos conceptos han sido equitativamente  deducidos  del  cálculo</w:t>
        <w:br/>
        <w:t xml:space="preserve">         establecido por el Tribunal.</w:t>
        <w:br/>
        <w:br/>
        <w:t xml:space="preserve">    393. En consecuencia, la Corte decide fijar, en equidad, la cantidad de</w:t>
        <w:br/>
        <w:t xml:space="preserve">         US$ 70.000,00 (setenta  mil  dólares  de  los  Estados  Unidos  de</w:t>
        <w:br/>
        <w:t xml:space="preserve">         América)  para  Tutela  Legal  del  Arzobispado  por  concepto  de</w:t>
        <w:br/>
        <w:t xml:space="preserve">         reintegro de costas y gastos por  las  labores  realizadas  en  la</w:t>
        <w:br/>
        <w:t xml:space="preserve">         búsqueda de las víctimas ejecutadas a través  de  impulso  de  las</w:t>
        <w:br/>
        <w:t xml:space="preserve">         exhumaciones y el litigio del caso a nivel interno e internacional</w:t>
        <w:br/>
        <w:t xml:space="preserve">         desde el año 1990, y adicionalmente, la Corte fija para el  Centro</w:t>
        <w:br/>
        <w:t xml:space="preserve">         por la Justicia y el Derecho Internacional  (CEJIL),  en  equidad,</w:t>
        <w:br/>
        <w:t xml:space="preserve">         una cantidad total de US$ 30.000,00 (treinta mil  dólares  de  los</w:t>
        <w:br/>
        <w:t xml:space="preserve">         Estados Unidos de América) por concepto de reintegro de  costas  y</w:t>
        <w:br/>
        <w:t xml:space="preserve">         gastos por el litigio del caso a nivel internacional a partir  del</w:t>
        <w:br/>
        <w:t xml:space="preserve">         año  2005.  Las  cantidades   fijadas   deberán   ser   entregadas</w:t>
        <w:br/>
        <w:t xml:space="preserve">         directamente  a  las  organizaciones  representantes.   La   Corte</w:t>
        <w:br/>
        <w:t xml:space="preserve">         considera que, en el procedimiento de supervisión del cumplimiento</w:t>
        <w:br/>
        <w:t xml:space="preserve">         de la presente Sentencia, podrá disponer que el Estado reembolse a</w:t>
        <w:br/>
        <w:t xml:space="preserve">         las víctimas o sus representantes los  gastos  razonables  en  que</w:t>
        <w:br/>
        <w:t xml:space="preserve">         incurran en dicha etapa procesal.</w:t>
        <w:br/>
        <w:br/>
        <w:t>F.    Reintegro de los gastos al Fondo de Asistencia Legal de Víctimas</w:t>
        <w:br/>
        <w:br/>
        <w:t xml:space="preserve">    394. En el año 2008, la Asamblea General de la Organización de  Estados</w:t>
        <w:br/>
        <w:t xml:space="preserve">         Americanos  creó  el  Fondo  de  Asistencia  Legal   del   Sistema</w:t>
        <w:br/>
        <w:t xml:space="preserve">         Interamericano de Derechos Humanos con el “objeto  [de]  facilitar</w:t>
        <w:br/>
        <w:t xml:space="preserve">         acceso al sistema interamericano de derechos  humanos  a  aquellas</w:t>
        <w:br/>
        <w:t xml:space="preserve">         personas que actualmente no tienen los  recursos  necesarios  para</w:t>
        <w:br/>
        <w:t xml:space="preserve">         llevar su caso al sistema”[540]. En el presente caso se otorgó con</w:t>
        <w:br/>
        <w:t xml:space="preserve">         cargo a dicho Fondo la  asistencia  económica  necesaria  para  la</w:t>
        <w:br/>
        <w:t xml:space="preserve">         comparecencia de las señoras  María  Dorila  Márquez  de  Márquez,</w:t>
        <w:br/>
        <w:t xml:space="preserve">         María del Rosario López Sánchez, María Margarita Chica  Márquez  y</w:t>
        <w:br/>
        <w:t xml:space="preserve">         María Sol Yáñez De La Cruz a la audiencia pública realizada en  la</w:t>
        <w:br/>
        <w:t xml:space="preserve">         ciudad de Guayaquil, República del Ecuador (supra párrs. 12 y 13).</w:t>
        <w:br/>
        <w:br/>
        <w:t xml:space="preserve">    395. El Estado tuvo la oportunidad de presentar sus observaciones sobre</w:t>
        <w:br/>
        <w:t xml:space="preserve">         las  erogaciones  realizadas  en  el  presente  caso,  las  cuales</w:t>
        <w:br/>
        <w:t xml:space="preserve">         ascendieron a la suma de US$ 6.034,36 (seis mil treinta  y  cuatro</w:t>
        <w:br/>
        <w:t xml:space="preserve">         dólares de los Estados  Unidos  de  América  con  treinta  y  seis</w:t>
        <w:br/>
        <w:t xml:space="preserve">         centavos). El Salvador sostuvo que el detalle  de  los  gastos  en</w:t>
        <w:br/>
        <w:t xml:space="preserve">         cuanto a los rubros cubiertos es conforme con  la  Resolución  del</w:t>
        <w:br/>
        <w:t xml:space="preserve">         Presidente del Tribunal que otorga la asistencia económica, por lo</w:t>
        <w:br/>
        <w:t xml:space="preserve">         que no  tenía  observaciones  que  realizar  al  mismo.  Asimismo,</w:t>
        <w:br/>
        <w:t xml:space="preserve">         solicitó a la Corte que en su evaluación sobre la  procedencia  de</w:t>
        <w:br/>
        <w:t xml:space="preserve">         ordenar el reintegro de tales  erogaciones,  “considere  la  buena</w:t>
        <w:br/>
        <w:t xml:space="preserve">         voluntad manifestada durante el desarrollo del […] proceso ante la</w:t>
        <w:br/>
        <w:t xml:space="preserve">         […] Corte”. Por ende, corresponde al Tribunal, en  aplicación  del</w:t>
        <w:br/>
        <w:t xml:space="preserve">         artículo 5 del Reglamento del Fondo,  evaluar  la  procedencia  de</w:t>
        <w:br/>
        <w:t xml:space="preserve">         ordenar al Estado demandado el reintegro al  Fondo  de  Asistencia</w:t>
        <w:br/>
        <w:t xml:space="preserve">         Legal de las erogaciones en que se hubiese incurrido.</w:t>
        <w:br/>
        <w:br/>
        <w:t xml:space="preserve">    396. En razón de las violaciones declaradas en la  presente  Sentencia,</w:t>
        <w:br/>
        <w:t xml:space="preserve">         la Corte ordena al  Estado  el  reintegro  a  dicho  Fondo  de  la</w:t>
        <w:br/>
        <w:t xml:space="preserve">         cantidad de US$ 6.034,36 (seis mil treinta y cuatro dólares de los</w:t>
        <w:br/>
        <w:t xml:space="preserve">         Estados Unidos  de  América  con  treinta  y  seis  centavos)  por</w:t>
        <w:br/>
        <w:t xml:space="preserve">         concepto  de  los  gastos  realizados  para  la  comparecencia  de</w:t>
        <w:br/>
        <w:t xml:space="preserve">         declarantes en la  audiencia  pública  del  presente  caso.  Dicha</w:t>
        <w:br/>
        <w:t xml:space="preserve">         cantidad deberá ser reintegrada  en  el  plazo  de  noventa  días,</w:t>
        <w:br/>
        <w:t xml:space="preserve">         contados a partir de la notificación del presente Fallo.</w:t>
        <w:br/>
        <w:br/>
        <w:t>G.    Modalidad de cumplimiento de los pagos ordenados</w:t>
        <w:br/>
        <w:br/>
        <w:t xml:space="preserve">    397. El Estado deberá efectuar  el  pago  de  las  indemnizaciones  por</w:t>
        <w:br/>
        <w:t xml:space="preserve">         concepto de daño material e inmaterial y el reintegro de costas  y</w:t>
        <w:br/>
        <w:t xml:space="preserve">         gastos establecidos en la presente Sentencia  directamente  a  las</w:t>
        <w:br/>
        <w:t xml:space="preserve">         personas y organizaciones indicadas en la misma, en cuotas anuales</w:t>
        <w:br/>
        <w:t xml:space="preserve">         equivalentes en el período de cinco años, contado a partir  de  la</w:t>
        <w:br/>
        <w:t xml:space="preserve">         notificación del  presente  Fallo,  sin  perjuicio  de  que  pueda</w:t>
        <w:br/>
        <w:t xml:space="preserve">         adelantar el pago completo en un plazo menor.</w:t>
        <w:br/>
        <w:br/>
        <w:t xml:space="preserve">    398. En caso de que los beneficiarios hayan fallecido o  fallezcan  con</w:t>
        <w:br/>
        <w:t xml:space="preserve">         anterioridad al pago  de  las  cantidades  respectivas,  éstas  se</w:t>
        <w:br/>
        <w:t xml:space="preserve">         entregarán  directamente  a  sus  derechohabientes,  conforme   al</w:t>
        <w:br/>
        <w:t xml:space="preserve">         derecho interno aplicable o a través del  mecanismo  más  adecuado</w:t>
        <w:br/>
        <w:t xml:space="preserve">         que se acuerde en las mesas de diálogo  con  las  víctimas  y  sus</w:t>
        <w:br/>
        <w:t xml:space="preserve">         representantes.</w:t>
        <w:br/>
        <w:br/>
        <w:t xml:space="preserve">    399. El Estado debe cumplir sus  obligaciones  monetarias  mediante  el</w:t>
        <w:br/>
        <w:t xml:space="preserve">         pago en dólares de los Estados Unidos de América.</w:t>
        <w:br/>
        <w:br/>
        <w:t xml:space="preserve">    400.  Si  por  causas  atribuibles   a   los   beneficiarios   de   las</w:t>
        <w:br/>
        <w:t xml:space="preserve">         indemnizaciones o a sus derechohabientes no fuese posible el  pago</w:t>
        <w:br/>
        <w:t xml:space="preserve">         de las cantidades  determinadas  dentro  del  plazo  indicado,  el</w:t>
        <w:br/>
        <w:t xml:space="preserve">         Estado consignará dichos  montos  a  su  favor  en  una  cuenta  o</w:t>
        <w:br/>
        <w:t xml:space="preserve">         certificado de depósito en una institución financiera  salvadoreña</w:t>
        <w:br/>
        <w:t xml:space="preserve">         solvente,  en  dólares  estadounidenses,  y  en  las   condiciones</w:t>
        <w:br/>
        <w:t xml:space="preserve">         financieras más  favorables  que  permitan  la  legislación  y  la</w:t>
        <w:br/>
        <w:t xml:space="preserve">         práctica   bancaria.   Si   no   se   reclama   la   indemnización</w:t>
        <w:br/>
        <w:t xml:space="preserve">         correspondiente una vez transcurridos diez  años,  las  cantidades</w:t>
        <w:br/>
        <w:t xml:space="preserve">         serán devueltas al Estado con los intereses devengados.</w:t>
        <w:br/>
        <w:br/>
        <w:t xml:space="preserve">    401.  Las  cantidades  asignadas  en   la   presente   Sentencia   como</w:t>
        <w:br/>
        <w:t xml:space="preserve">         indemnización y como reintegro de  costas  y  gastos  deberán  ser</w:t>
        <w:br/>
        <w:t xml:space="preserve">         entregadas a las personas  y  organizaciones  indicadas  en  forma</w:t>
        <w:br/>
        <w:t xml:space="preserve">         íntegra,  conforme  a  lo  establecido  en  esta  Sentencia,   sin</w:t>
        <w:br/>
        <w:t xml:space="preserve">         reducciones derivadas de eventuales cargas fiscales.</w:t>
        <w:br/>
        <w:br/>
        <w:t xml:space="preserve">    402. En caso de que el Estado  incurriera  en  mora,  deberá  pagar  un</w:t>
        <w:br/>
        <w:t xml:space="preserve">         interés sobre la  cantidad  adeudada  correspondiente  al  interés</w:t>
        <w:br/>
        <w:t xml:space="preserve">         bancario moratorio en El Salvador.</w:t>
        <w:br/>
        <w:br/>
        <w:t xml:space="preserve">                                      X</w:t>
        <w:br/>
        <w:t xml:space="preserve">                             PUNTOS RESOLUTIVOS</w:t>
        <w:br/>
        <w:br/>
        <w:t xml:space="preserve">    403. Por tanto,</w:t>
        <w:br/>
        <w:br/>
        <w:t>LA CORTE</w:t>
        <w:br/>
        <w:br/>
        <w:t>decide,</w:t>
        <w:br/>
        <w:br/>
        <w:t>por unanimidad, que:</w:t>
        <w:br/>
        <w:br/>
        <w:t xml:space="preserve">   1. Acepta el reconocimiento de hechos efectuado por  el  Estado,  en  los</w:t>
        <w:br/>
        <w:t xml:space="preserve">      términos de los párrafos 17 a 28 de la presente Sentencia.</w:t>
        <w:br/>
        <w:br/>
        <w:t>DECLARA,</w:t>
        <w:br/>
        <w:br/>
        <w:t>por unanimidad, que:</w:t>
        <w:br/>
        <w:br/>
        <w:t xml:space="preserve">     1. El Estado es responsable por la violación  de  los  derechos  a  la</w:t>
        <w:br/>
        <w:t xml:space="preserve">        vida, a la integridad personal y a la propiedad privada reconocidos</w:t>
        <w:br/>
        <w:t xml:space="preserve">        en los artículos  4,  5.1,  5.2,  21.1  y  21.2  de  la  Convención</w:t>
        <w:br/>
        <w:t xml:space="preserve">        Americana sobre Derechos Humanos, en relación con el  artículo  1.1</w:t>
        <w:br/>
        <w:t xml:space="preserve">        del mismo instrumento, y adicionalmente en relación con el artículo</w:t>
        <w:br/>
        <w:t xml:space="preserve">        19 respecto de los niños y niñas,  en  perjuicio  de  las  víctimas</w:t>
        <w:br/>
        <w:t xml:space="preserve">        ejecutadas, listadas  en  el  Anexo  “A”,  de  conformidad  con  lo</w:t>
        <w:br/>
        <w:t xml:space="preserve">        expuesto en los párrafos 142 a 157, 159 a 162, 168, 203 y 208 de la</w:t>
        <w:br/>
        <w:t xml:space="preserve">        presente Sentencia.</w:t>
        <w:br/>
        <w:br/>
        <w:br/>
        <w:t xml:space="preserve">     2. El Estado es responsable por la violación del derecho a la libertad</w:t>
        <w:br/>
        <w:t xml:space="preserve">        personal reconocido en el artículo 7  de  la  Convención  Americana</w:t>
        <w:br/>
        <w:t xml:space="preserve">        sobre Derechos Humanos, en relación con el artículo 1.1  del  mismo</w:t>
        <w:br/>
        <w:t xml:space="preserve">        instrumento, en perjuicio de las víctimas ejecutadas en el  caserío</w:t>
        <w:br/>
        <w:t xml:space="preserve">        El Mozote, listadas en el Anexo “A”, de conformidad con lo expuesto</w:t>
        <w:br/>
        <w:t xml:space="preserve">        en los párrafos 158, 203 y 208 de la presente Sentencia.</w:t>
        <w:br/>
        <w:br/>
        <w:t xml:space="preserve">     3. El Estado es responsable por la violación de la prohibición  de  la</w:t>
        <w:br/>
        <w:t xml:space="preserve">        tortura  y  otros  tratos   crueles,   inhumanos   o   degradantes,</w:t>
        <w:br/>
        <w:t xml:space="preserve">        establecida en el artículo 5.2,  así  como  por  la  violación  del</w:t>
        <w:br/>
        <w:t xml:space="preserve">        derecho a la vida privada reconocido en el  artículo  11.2,  de  la</w:t>
        <w:br/>
        <w:t xml:space="preserve">        Convención Americana sobre Derechos Humanos,  en  relación  con  el</w:t>
        <w:br/>
        <w:t xml:space="preserve">        artículo 1.1 del mismo instrumento, en perjuicio de las mujeres que</w:t>
        <w:br/>
        <w:t xml:space="preserve">        fueron víctimas de violaciones sexuales en el caserío El Mozote, de</w:t>
        <w:br/>
        <w:t xml:space="preserve">        conformidad con los párrafos 163 a 167, 204 y 208  de  la  presente</w:t>
        <w:br/>
        <w:t xml:space="preserve">        Sentencia.</w:t>
        <w:br/>
        <w:br/>
        <w:t xml:space="preserve">     4. El Estado es responsable por la violación  de  los  derechos  a  la</w:t>
        <w:br/>
        <w:t xml:space="preserve">        integridad personal, a la vida privada  y  el  domicilio,  y  a  la</w:t>
        <w:br/>
        <w:t xml:space="preserve">        propiedad privada reconocidos en los artículos 5.1, 5.2, 11.2, 21.1</w:t>
        <w:br/>
        <w:t xml:space="preserve">        y 21.2 de  la  Convención  Americana  sobre  Derechos  Humanos,  en</w:t>
        <w:br/>
        <w:t xml:space="preserve">        relación  con  el   artículo   1.1   del   mismo   instrumento,   y</w:t>
        <w:br/>
        <w:t xml:space="preserve">        adicionalmente en relación con el artículo 19 respecto de los niños</w:t>
        <w:br/>
        <w:t xml:space="preserve">        y niñas,  en  perjuicio  de  las  víctimas  sobrevivientes  de  las</w:t>
        <w:br/>
        <w:t xml:space="preserve">        masacres, listadas en el Anexo “B”, de conformidad con lo  expuesto</w:t>
        <w:br/>
        <w:t xml:space="preserve">        en los párrafos 170 a 182, 205 y 208 de la presente Sentencia.</w:t>
        <w:br/>
        <w:br/>
        <w:t xml:space="preserve">     5.  El  Estado  es  responsable  por  la  violación  del  derecho   de</w:t>
        <w:br/>
        <w:t xml:space="preserve">        circulación y de residencia reconocido en el artículo  22.1  de  la</w:t>
        <w:br/>
        <w:t xml:space="preserve">        Convención Americana sobre Derechos Humanos,  en  relación  con  el</w:t>
        <w:br/>
        <w:t xml:space="preserve">        artículo 1.1 del mismo instrumento, y  adicionalmente  en  relación</w:t>
        <w:br/>
        <w:t xml:space="preserve">        con el artículo 19 respecto de los niños y niñas, en  perjuicio  de</w:t>
        <w:br/>
        <w:t xml:space="preserve">        las personas  que  fueron  forzadas  a  desplazarse  dentro  de  El</w:t>
        <w:br/>
        <w:t xml:space="preserve">        Salvador y hacia la República de Honduras,  listadas  en  el  Anexo</w:t>
        <w:br/>
        <w:t xml:space="preserve">        “D”, de conformidad con lo expuesto en los párrafos 183 a 196,  207</w:t>
        <w:br/>
        <w:t xml:space="preserve">        y 208 de la presente Sentencia.</w:t>
        <w:br/>
        <w:br/>
        <w:br/>
        <w:t xml:space="preserve">     6. El Estado es responsable por la violación  de  los  derechos  a  la</w:t>
        <w:br/>
        <w:t xml:space="preserve">        integridad personal y a la propiedad  privada  reconocidos  en  los</w:t>
        <w:br/>
        <w:t xml:space="preserve">        artículos 5.1, 5.2, 21.1 y 21.2 de la  Convención  Americana  sobre</w:t>
        <w:br/>
        <w:t xml:space="preserve">        Derechos Humanos,  en  relación  con  el  artículo  1.1  del  mismo</w:t>
        <w:br/>
        <w:t xml:space="preserve">        instrumento,  en  perjuicio  de  los  familiares  de  las  víctimas</w:t>
        <w:br/>
        <w:t xml:space="preserve">        ejecutadas, listadas  en  el  Anexo  “C”,  de  conformidad  con  lo</w:t>
        <w:br/>
        <w:t xml:space="preserve">        expuesto en los párrafos 197 a  202,  206  y  208  de  la  presente</w:t>
        <w:br/>
        <w:t xml:space="preserve">        Sentencia.</w:t>
        <w:br/>
        <w:br/>
        <w:t xml:space="preserve">     7. El Estado es responsable por la violación de  los  derechos  a  las</w:t>
        <w:br/>
        <w:t xml:space="preserve">        garantías judiciales y a la protección judicial, reconocidos en los</w:t>
        <w:br/>
        <w:t xml:space="preserve">        artículos 8.1 y 25.1 de  la  Convención  Americana  sobre  Derechos</w:t>
        <w:br/>
        <w:t xml:space="preserve">        Humanos, en relación con el artículo 1.1 del mismo instrumento, así</w:t>
        <w:br/>
        <w:t xml:space="preserve">        como por el incumplimiento de las obligaciones establecidas en  los</w:t>
        <w:br/>
        <w:t xml:space="preserve">        artículos 1, 6 y 8 de la Convención Interamericana para Prevenir  y</w:t>
        <w:br/>
        <w:t xml:space="preserve">        Sancionar la Tortura y 7.b) de la  Convención  Interamericana  para</w:t>
        <w:br/>
        <w:t xml:space="preserve">        Prevenir, Sancionar  y  Erradicar  la  Violencia  contra  la  Mujer</w:t>
        <w:br/>
        <w:t xml:space="preserve">        “Convención de  Belém  do  Pará”,  en  perjuicio  de  las  víctimas</w:t>
        <w:br/>
        <w:t xml:space="preserve">        sobrevivientes de las masacres, listadas en el Anexo “B”, así  como</w:t>
        <w:br/>
        <w:t xml:space="preserve">        de los familiares de las víctimas ejecutadas, listadas en el  Anexo</w:t>
        <w:br/>
        <w:t xml:space="preserve">        “C”, de conformidad con lo expuesto en los párrafos 242 a 249,  251</w:t>
        <w:br/>
        <w:t xml:space="preserve">        a 252, 255 a 264, 283 a 295,  298  y  299  a  301  de  la  presente</w:t>
        <w:br/>
        <w:t xml:space="preserve">        Sentencia.</w:t>
        <w:br/>
        <w:br/>
        <w:t xml:space="preserve">     8. El Estado ha incumplido la obligación de adecuar su derecho interno</w:t>
        <w:br/>
        <w:t xml:space="preserve">        a la Convención Americana sobre Derechos Humanos, contenida  en  su</w:t>
        <w:br/>
        <w:t xml:space="preserve">        artículo 2, en relación con los artículos 8.1, 25 y 1.1  del  mismo</w:t>
        <w:br/>
        <w:t xml:space="preserve">        instrumento, en perjuicio de las  víctimas  sobrevivientes  de  las</w:t>
        <w:br/>
        <w:t xml:space="preserve">        masacres, listadas en el Anexo “B”, así como de los  familiares  de</w:t>
        <w:br/>
        <w:t xml:space="preserve">        las víctimas ejecutadas, listadas en el Anexo “C”,  de  conformidad</w:t>
        <w:br/>
        <w:t xml:space="preserve">        con lo expuesto en los párrafos 283  a  296  y  299  a  301  de  la</w:t>
        <w:br/>
        <w:t xml:space="preserve">        presente Sentencia.</w:t>
        <w:br/>
        <w:br/>
        <w:br/>
        <w:t>Y DISPONE,</w:t>
        <w:br/>
        <w:br/>
        <w:t>por unanimidad, que:</w:t>
        <w:br/>
        <w:br/>
        <w:t xml:space="preserve">                    1.  Esta  Sentencia  constituye  per  se  una  forma  de</w:t>
        <w:br/>
        <w:t xml:space="preserve">                       reparación.</w:t>
        <w:br/>
        <w:br/>
        <w:t>2. El Estado debe continuar  con  la  plena  puesta  en  funcionamiento  del</w:t>
        <w:br/>
        <w:t xml:space="preserve">   “Registro  Único  de  Víctimas  y  Familiares  de  Víctimas   de   Graves</w:t>
        <w:br/>
        <w:t xml:space="preserve">   Violaciones a los Derechos Humanos durante la Masacre  de  El  Mozote”  y</w:t>
        <w:br/>
        <w:t xml:space="preserve">   adoptar las medidas necesarias para asegurar su permanencia en el  tiempo</w:t>
        <w:br/>
        <w:t xml:space="preserve">   y la  asignación  presupuestaria  para  su  efectivo  funcionamiento,  de</w:t>
        <w:br/>
        <w:t xml:space="preserve">   conformidad con lo establecido en los párrafos 310 a 311 de  la  presente</w:t>
        <w:br/>
        <w:t xml:space="preserve">   Sentencia.</w:t>
        <w:br/>
        <w:br/>
        <w:t>3. El Estado debe,  en  un  plazo  razonable,  iniciar,  impulsar,  reabrir,</w:t>
        <w:br/>
        <w:t xml:space="preserve">   dirigir,  continuar  y  concluir,  según  corresponda,   con   la   mayor</w:t>
        <w:br/>
        <w:t xml:space="preserve">   diligencia, las investigaciones de todos los hechos  que  originaron  las</w:t>
        <w:br/>
        <w:t xml:space="preserve">   violaciones declaradas en la presente  Sentencia,  con  el  propósito  de</w:t>
        <w:br/>
        <w:t xml:space="preserve">   identificar, juzgar y, en su  caso,  sancionar  a  los  responsables,  de</w:t>
        <w:br/>
        <w:t xml:space="preserve">   conformidad con lo establecido en los párrafos 315 a 321 de  la  presente</w:t>
        <w:br/>
        <w:t xml:space="preserve">   Sentencia.</w:t>
        <w:br/>
        <w:br/>
        <w:t>4. El  Estado  debe  asegurar  que  la  Ley  de  Amnistía  General  para  la</w:t>
        <w:br/>
        <w:t xml:space="preserve">   Consolidación de la Paz no vuelva a  representar  un  obstáculo  para  la</w:t>
        <w:br/>
        <w:t xml:space="preserve">   investigación de  los  hechos  materia  del  presente  caso  ni  para  la</w:t>
        <w:br/>
        <w:t xml:space="preserve">   identificación, juzgamiento y eventual sanción de los responsables de los</w:t>
        <w:br/>
        <w:t xml:space="preserve">   mismos y de  otras  graves  violaciones  de  derechos  humanos  similares</w:t>
        <w:br/>
        <w:t xml:space="preserve">   acontecidas durante el conflicto armado en El  Salvador,  de  conformidad</w:t>
        <w:br/>
        <w:t xml:space="preserve">   con lo establecido en el párrafo 318 de la presente Sentencia.</w:t>
        <w:br/>
        <w:br/>
        <w:t>5. El Estado debe, en un plazo razonable, investigar, por intermedio de  las</w:t>
        <w:br/>
        <w:t xml:space="preserve">   instituciones públicas competentes, la conducta de los  funcionarios  que</w:t>
        <w:br/>
        <w:t xml:space="preserve">   obstaculizaron  la  investigación  y  permitieron  que  permaneciera   en</w:t>
        <w:br/>
        <w:t xml:space="preserve">   impunidad y, luego de un debido proceso, aplicar,  si  es  el  caso,  las</w:t>
        <w:br/>
        <w:t xml:space="preserve">   sanciones administrativas, disciplinarias o  penales  correspondientes  a</w:t>
        <w:br/>
        <w:t xml:space="preserve">   quienes fueran encontrados responsables, en los términos de los  párrafos</w:t>
        <w:br/>
        <w:t xml:space="preserve">   325 a 326 de la presente Sentencia.</w:t>
        <w:br/>
        <w:br/>
        <w:t>6. El  Estado  debe  llevar  a  cabo  un  levantamiento  de  la  información</w:t>
        <w:br/>
        <w:t xml:space="preserve">   disponible sobre posibles sitios de inhumación o entierro a los cuales se</w:t>
        <w:br/>
        <w:t xml:space="preserve">   deberá proteger para su preservación, a fin de que se inicien  de  manera</w:t>
        <w:br/>
        <w:t xml:space="preserve">   sistemática y rigurosa, con los recursos humanos y económicos  adecuados,</w:t>
        <w:br/>
        <w:t xml:space="preserve">   las exhumaciones, identificación y, en su caso, entrega de los restos  de</w:t>
        <w:br/>
        <w:t xml:space="preserve">   las personas ejecutadas a sus familiares, en los términos de los párrafos</w:t>
        <w:br/>
        <w:t xml:space="preserve">   331 a 334 de la presente Sentencia.</w:t>
        <w:br/>
        <w:br/>
        <w:t>7. El Estado debe implementar un programa  de  desarrollo  a  favor  de  las</w:t>
        <w:br/>
        <w:t xml:space="preserve">   comunidades del caserío El Mozote, del cantón La Joya,  de  los  caseríos</w:t>
        <w:br/>
        <w:t xml:space="preserve">   Ranchería, Los Toriles y Jocote Amarillo, y del cantón  Cerro  Pando,  en</w:t>
        <w:br/>
        <w:t xml:space="preserve">   los términos de lo señalado en los párrafos 339  a  340  de  la  presente</w:t>
        <w:br/>
        <w:t xml:space="preserve">   Sentencia.</w:t>
        <w:br/>
        <w:br/>
        <w:t>8. El Estado debe garantizar las condiciones adecuadas  a  fin  de  que  las</w:t>
        <w:br/>
        <w:t xml:space="preserve">   víctimas desplazadas puedan retornar  a  sus  comunidades  de  origen  de</w:t>
        <w:br/>
        <w:t xml:space="preserve">   manera permanente, si así lo desean, así  como  implementar  un  programa</w:t>
        <w:br/>
        <w:t xml:space="preserve">   habitacional en las zonas afectadas por las masacres del  presente  caso,</w:t>
        <w:br/>
        <w:t xml:space="preserve">   en los términos de lo señalado en los párrafos 345 y 346 de  la  presente</w:t>
        <w:br/>
        <w:t xml:space="preserve">   Sentencia.</w:t>
        <w:br/>
        <w:br/>
        <w:t>9. El  Estado  debe  implementar  un  programa  de  atención  y  tratamiento</w:t>
        <w:br/>
        <w:t xml:space="preserve">   integral  de  la  salud  física,  psíquica  y  psicosocial  con  carácter</w:t>
        <w:br/>
        <w:t xml:space="preserve">   permanente, en los términos de lo señalado en los párrafos 350 a  353  de</w:t>
        <w:br/>
        <w:t xml:space="preserve">   la presente Sentencia.</w:t>
        <w:br/>
        <w:br/>
        <w:t>10. El Estado debe realizar las publicaciones indicadas en  el  párrafo  361</w:t>
        <w:br/>
        <w:t xml:space="preserve">   de la presente Sentencia.</w:t>
        <w:br/>
        <w:br/>
        <w:t>11. El Estado debe realizar  un  audiovisual  documental  sobre  los  graves</w:t>
        <w:br/>
        <w:t xml:space="preserve">   hechos cometidos en las masacres de El Mozote y lugares aledaños, en  los</w:t>
        <w:br/>
        <w:t xml:space="preserve">   términos de lo señalado en el párrafo 365 de la presente Sentencia.</w:t>
        <w:br/>
        <w:br/>
        <w:t>12. El Estado debe implementar un programa o curso permanente y  obligatorio</w:t>
        <w:br/>
        <w:t xml:space="preserve">   sobre derechos humanos, incluyendo la  perspectiva  de  género  y  niñez,</w:t>
        <w:br/>
        <w:t xml:space="preserve">   dirigido a todos los niveles  jerárquicos  de  la  Fuerza  Armada  de  la</w:t>
        <w:br/>
        <w:t xml:space="preserve">   República de El Salvador, en los términos de lo señalado en los  párrafos</w:t>
        <w:br/>
        <w:t xml:space="preserve">   368 a 369 de la presente Sentencia.</w:t>
        <w:br/>
        <w:br/>
        <w:t>13. El Estado debe pagar las cantidades fijadas en los párrafos  384  y  393</w:t>
        <w:br/>
        <w:t xml:space="preserve">   de la presente Sentencia,  por  concepto  de  indemnizaciones  por  daños</w:t>
        <w:br/>
        <w:t xml:space="preserve">   materiales e inmateriales, y por el reintegro de costas y gastos, en  los</w:t>
        <w:br/>
        <w:t xml:space="preserve">   términos de los referidos párrafos y de los párrafos  397  a  402  de  la</w:t>
        <w:br/>
        <w:t xml:space="preserve">   presente Sentencia.</w:t>
        <w:br/>
        <w:br/>
        <w:t>14. El Estado debe reintegrar al Fondo de Asistencia Legal  de  Víctimas  de</w:t>
        <w:br/>
        <w:t xml:space="preserve">   la Corte Interamericana de Derechos Humanos la suma  erogada  durante  la</w:t>
        <w:br/>
        <w:t xml:space="preserve">   tramitación del presente caso, en los términos de lo  establecido  en  el</w:t>
        <w:br/>
        <w:t xml:space="preserve">   párrafo 396 de la presente Sentencia.</w:t>
        <w:br/>
        <w:br/>
        <w:t>15. El Estado debe, dentro del plazo de  un  año  contado  a  partir  de  la</w:t>
        <w:br/>
        <w:t xml:space="preserve">   notificación de esta Sentencia,  rendir  a  la  Corte  Interamericana  de</w:t>
        <w:br/>
        <w:t xml:space="preserve">   Derechos Humanos un informe sobre las medidas adoptadas para cumplir  con</w:t>
        <w:br/>
        <w:t xml:space="preserve">   la misma.</w:t>
        <w:br/>
        <w:br/>
        <w:t>16. La Corte supervisará el  cumplimiento  íntegro  de  esta  Sentencia,  en</w:t>
        <w:br/>
        <w:t xml:space="preserve">   ejercicio de sus atribuciones y en cumplimiento de sus deberes conforme a</w:t>
        <w:br/>
        <w:t xml:space="preserve">   la Convención Americana sobre Derechos Humanos, y dará por  concluido  el</w:t>
        <w:br/>
        <w:t xml:space="preserve">   presente caso una vez que el Estado haya dado  cabal  cumplimiento  a  lo</w:t>
        <w:br/>
        <w:t xml:space="preserve">   dispuesto en la misma.</w:t>
        <w:br/>
        <w:br/>
        <w:t>Los Jueces Diego García-Sayán y Eduardo Vio Grossi  hicieron  conocer  a  la</w:t>
        <w:br/>
        <w:t>Corte sus Votos Concurrentes, los cuales acompañan esta Sentencia.</w:t>
        <w:br/>
        <w:br/>
        <w:t>Redactada en español e inglés, haciendo fe  el  texto  en  español,  en  San</w:t>
        <w:br/>
        <w:t>José, Costa Rica, el 25 de octubre de 2012.</w:t>
        <w:br/>
        <w:br/>
        <w:br/>
        <w:br/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 Ventura  Robles                                        Leonardo   A.</w:t>
        <w:br/>
        <w:t>Franco</w:t>
        <w:br/>
        <w:br/>
        <w:br/>
        <w:br/>
        <w:br/>
        <w:t>Margarette May  Macaulay                                       Rhadys  Abreu</w:t>
        <w:br/>
        <w:t>Blondet</w:t>
        <w:br/>
        <w:br/>
        <w:br/>
        <w:br/>
        <w:br/>
        <w:t>Alberto  Pérez  Pérez                                                Eduardo</w:t>
        <w:br/>
        <w:t>Vio 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   Secretario</w:t>
        <w:br/>
        <w:br/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   Secretario</w:t>
        <w:br/>
        <w:br/>
        <w:br/>
        <w:br/>
        <w:br/>
        <w:t xml:space="preserve">                VOTO CONCURRENTE DEL JUEZ DIEGO GARCIA-SAYÁN</w:t>
        <w:br/>
        <w:t xml:space="preserve">          SENTENCIA DE LA CORTE INTERAMERICANA DE DERECHOS HUMANOS</w:t>
        <w:br/>
        <w:t xml:space="preserve">        CASO MASACRES DE EL MOZOTE Y LUGARES ALEDAÑOS VS. EL SALVADOR</w:t>
        <w:br/>
        <w:t xml:space="preserve">                          DE 25 DE OCTUBRE DE 2012</w:t>
        <w:br/>
        <w:br/>
        <w:br/>
        <w:br/>
        <w:br/>
        <w:br/>
        <w:t xml:space="preserve">   1. La Corte Interamericana de Derechos Humanos se ha referido  en  varias</w:t>
        <w:br/>
        <w:t xml:space="preserve">      de sus sentencias al tema de las  amnistías  en  su  relación  con  la</w:t>
        <w:br/>
        <w:t xml:space="preserve">      protección de los derechos humanos y al deber del Estado de investigar</w:t>
        <w:br/>
        <w:t xml:space="preserve">      y, en su caso, sancionar las graves violaciones de derechos humanos.</w:t>
        <w:br/>
        <w:br/>
        <w:br/>
        <w:t xml:space="preserve">   2. El tema de las amnistías  ha  sido  durante  mucho  tiempo  un  asunto</w:t>
        <w:br/>
        <w:t xml:space="preserve">      crítico en el derecho internacional, en las relaciones internacionales</w:t>
        <w:br/>
        <w:t xml:space="preserve">      y en el procesamiento de conflictos  armados  no  internacionales.  En</w:t>
        <w:br/>
        <w:t xml:space="preserve">      América Latina, rutinariamente, las amnistías fueron usadas a lo largo</w:t>
        <w:br/>
        <w:t xml:space="preserve">      del siglo XX como  herramienta  para  poner  fin  a  guerras  civiles,</w:t>
        <w:br/>
        <w:t xml:space="preserve">      asonadas, golpes de estado fallidos y conflictos armados diversos. Por</w:t>
        <w:br/>
        <w:t xml:space="preserve">      lo menos hasta principios de la  década  de  los  90,  esas  amnistías</w:t>
        <w:br/>
        <w:t xml:space="preserve">      fueron usadas sin mayor debate ni cuestionamiento frontal.</w:t>
        <w:br/>
        <w:br/>
        <w:br/>
        <w:t xml:space="preserve">   3. Desde tiempo más reciente son un asunto de creciente relevancia en  el</w:t>
        <w:br/>
        <w:t xml:space="preserve">      derecho internacional de los derechos  humanos,  como  se  expresa  en</w:t>
        <w:br/>
        <w:t xml:space="preserve">      varias sentencias del tribunal interamericano que se refieren al tema.</w:t>
        <w:br/>
        <w:t xml:space="preserve">      Esta problemática tiene que ver con nefastos hechos  y  contextos  que</w:t>
        <w:br/>
        <w:t xml:space="preserve">      suelen generar estas controvertidas respuestas en el orden  normativo.</w:t>
        <w:br/>
        <w:t xml:space="preserve">      Regímenes  autoritarios  o  dictatoriales,  procesos   de   transición</w:t>
        <w:br/>
        <w:t xml:space="preserve">      política, tensiones internas o conflictos armados, entre otros, dentro</w:t>
        <w:br/>
        <w:t xml:space="preserve">      de marcos que normalmente son política y  socialmente  muy  complejos,</w:t>
        <w:br/>
        <w:t xml:space="preserve">      suelen ser las  condiciones  objetivas  a  partir  de  las  cuales  se</w:t>
        <w:br/>
        <w:t xml:space="preserve">      plantean las amnistías.</w:t>
        <w:br/>
        <w:br/>
        <w:br/>
        <w:t xml:space="preserve">   4. Más allá de lo resuelto  en  casos  anteriores,  la  cuestión  de  las</w:t>
        <w:br/>
        <w:t xml:space="preserve">      amnistías y su relación con el deber de investigar y sancionar  graves</w:t>
        <w:br/>
        <w:t xml:space="preserve">      violaciones a derechos humanos, requiere un análisis  que  proporcione</w:t>
        <w:br/>
        <w:t xml:space="preserve">      criterios adecuados para un juicio de ponderación en contextos en  los</w:t>
        <w:br/>
        <w:t xml:space="preserve">      que pudieran surgir tensiones entre las demandas de justicia  con  los</w:t>
        <w:br/>
        <w:t xml:space="preserve">      requerimientos de una paz negociada en el marco de un conflicto armado</w:t>
        <w:br/>
        <w:t xml:space="preserve">      no internacional. Este  voto  concurrente  aborda  precisamente  estos</w:t>
        <w:br/>
        <w:t xml:space="preserve">      temas, a partir de la sentencia de la Corte en el presente caso.</w:t>
        <w:br/>
        <w:br/>
        <w:br/>
        <w:t xml:space="preserve">   5. Como es sabido, el caso considerado “emblemático” para  establecer  lo</w:t>
        <w:br/>
        <w:t xml:space="preserve">      que, para algunos, es la interpretación de la Corte sobre este tema es</w:t>
        <w:br/>
        <w:t xml:space="preserve">      el caso Barrios Altos respecto de Perú resuelto  el  14  de  marzo  de</w:t>
        <w:br/>
        <w:t xml:space="preserve">      2001. En su párrafo más conocido y citado de esta sentencia  la  Corte</w:t>
        <w:br/>
        <w:t xml:space="preserve">      estableció que:</w:t>
        <w:br/>
        <w:br/>
        <w:t xml:space="preserve">        “41. (...) son inadmisibles  las  disposiciones  de  amnistía,  las</w:t>
        <w:br/>
        <w:t xml:space="preserve">        disposiciones de prescripción y el establecimiento  de  excluyentes</w:t>
        <w:br/>
        <w:t xml:space="preserve">        de responsabilidad que pretendan impedir la investigación y sanción</w:t>
        <w:br/>
        <w:t xml:space="preserve">        de los responsables de  las  violaciones  graves  de  los  derechos</w:t>
        <w:br/>
        <w:t xml:space="preserve">        humanos  tales  como  la   tortura,   las   ejecuciones   sumarias,</w:t>
        <w:br/>
        <w:t xml:space="preserve">        extralegales o arbitrarias y  las  desapariciones  forzadas,  todas</w:t>
        <w:br/>
        <w:t xml:space="preserve">        ellas prohibidas por contravenir derechos inderogables  reconocidos</w:t>
        <w:br/>
        <w:t xml:space="preserve">        por el Derecho Internacional de los Derechos Humanos”.</w:t>
        <w:br/>
        <w:br/>
        <w:t xml:space="preserve">   6. Esa aproximación obedeció, en el caso concreto, a dos  leyes  dictadas</w:t>
        <w:br/>
        <w:t xml:space="preserve">      en Perú en 1995, a las que  la  Corte  calificó  en  su  sentencia  de</w:t>
        <w:br/>
        <w:t xml:space="preserve">      “autoamnistías”. Tan relevante era la condición de  “autoamnistía”  de</w:t>
        <w:br/>
        <w:t xml:space="preserve">      las leyes bajo examen, que parecía que  la  Corte  habría  acotado  su</w:t>
        <w:br/>
        <w:t xml:space="preserve">      interpretación a ese tipo de amnistía[541].</w:t>
        <w:br/>
        <w:br/>
        <w:br/>
        <w:t xml:space="preserve">   7. En esa ocasión, los votos concurrentes de los jueces García Ramírez  y</w:t>
        <w:br/>
        <w:t xml:space="preserve">      Cançado  Trindade,  cuyo   razonamiento   comparto,   enfatizaron   la</w:t>
        <w:br/>
        <w:t xml:space="preserve">      contradicción entre las “leyes de autoamnistía”  y  “las  obligaciones</w:t>
        <w:br/>
        <w:t xml:space="preserve">      generales del Estado conforme a la Convención Americana sobre Derechos</w:t>
        <w:br/>
        <w:t xml:space="preserve">      Humanos”[542]. Se afirmó que “[l]as  llamadas  autoamnistías  son,  en</w:t>
        <w:br/>
        <w:t xml:space="preserve">      suma, una afrenta inadmisible al derecho a la verdad y al derecho a la</w:t>
        <w:br/>
        <w:t xml:space="preserve">      justicia (empezando por el propio acceso  a  la  justicia)”[543];  que</w:t>
        <w:br/>
        <w:t xml:space="preserve">      “(...) la modalidad perversa de las llamadas  leyes  de  autoamnistía,</w:t>
        <w:br/>
        <w:t xml:space="preserve">      aunque se consideren leyes bajo un determinado  ordenamiento  jurídico</w:t>
        <w:br/>
        <w:t xml:space="preserve">      interno, no lo son en el  ámbito  del  Derecho  Internacional  de  los</w:t>
        <w:br/>
        <w:t xml:space="preserve">      Derechos Humanos”[544]; que “(...) ‘leyes’ de  este  tipo  carecen  de</w:t>
        <w:br/>
        <w:t xml:space="preserve">      carácter general, por cuanto son medidas  de  excepción”[545],  y  que</w:t>
        <w:br/>
        <w:t xml:space="preserve">      “(...) las llamadas ‘leyes’  de  autoamnistía  no  son  verdaderamente</w:t>
        <w:br/>
        <w:t xml:space="preserve">      leyes: no son nada más que una aberración, una afrenta  inadmisible  a</w:t>
        <w:br/>
        <w:t xml:space="preserve">      la conciencia jurídica de la humanidad”[546].</w:t>
        <w:br/>
        <w:br/>
        <w:br/>
        <w:t xml:space="preserve">   8. A partir de  ese  entonces,  la  Corte  Interamericana  ha  tenido  la</w:t>
        <w:br/>
        <w:t xml:space="preserve">      oportunidad de conocer y pronunciarse en diversos casos sobre leyes de</w:t>
        <w:br/>
        <w:t xml:space="preserve">      amnistía y su aplicación. En ellos se enfocó  en  la  incompatibilidad</w:t>
        <w:br/>
        <w:t xml:space="preserve">      sustantiva entre las normas  de  amnistía  con  las  obligaciones  del</w:t>
        <w:br/>
        <w:t xml:space="preserve">      Estado en materia de graves violaciones de derechos humanos.  Ello  en</w:t>
        <w:br/>
        <w:t xml:space="preserve">      atención, más que al proceso de adopción de la norma o a la  autoridad</w:t>
        <w:br/>
        <w:t xml:space="preserve">      que emitió la ley,  a  su  ratio  legis:  dejar  impunes  esas  graves</w:t>
        <w:br/>
        <w:t xml:space="preserve">      violaciones. Son los casos Almonacid  Arellano  y  otros  respecto  de</w:t>
        <w:br/>
        <w:t xml:space="preserve">      Chile (2006), La Cantuta respecto de Perú (2006), Gomes Lund  y  otros</w:t>
        <w:br/>
        <w:t xml:space="preserve">      respecto de Brasil (2010) y Gelman  respecto  de  Uruguay  (2011).  En</w:t>
        <w:br/>
        <w:t xml:space="preserve">      estos casos, la Corte siguió con su jurisprudencia  del  caso  Barrios</w:t>
        <w:br/>
        <w:t xml:space="preserve">      Altos y la profundizó en algunos aspectos. En términos  generales,  se</w:t>
        <w:br/>
        <w:t xml:space="preserve">      reiteró lo que ya se había señalado acerca de “la incompatibilidad  de</w:t>
        <w:br/>
        <w:t xml:space="preserve">      las leyes de amnistía  relativas  a  graves  violaciones  de  derechos</w:t>
        <w:br/>
        <w:t xml:space="preserve">      humanos   con   el   derecho   internacional   y   las    obligaciones</w:t>
        <w:br/>
        <w:t xml:space="preserve">      internacionales de los Estados”[547] y que las  disposiciones  de  las</w:t>
        <w:br/>
        <w:t xml:space="preserve">      leyes de amnistía que impiden la investigación  y  sanción  de  graves</w:t>
        <w:br/>
        <w:t xml:space="preserve">      violaciones de derechos humanos carecen de  efectos  jurídicos  y,  en</w:t>
        <w:br/>
        <w:t xml:space="preserve">      consecuencia, no pueden ser un obstáculo para la investigación de  los</w:t>
        <w:br/>
        <w:t xml:space="preserve">      hechos y la  identificación  y  el  sanción  de  los  responsables  de</w:t>
        <w:br/>
        <w:t xml:space="preserve">      violaciones de derechos humanos[548].</w:t>
        <w:br/>
        <w:br/>
        <w:br/>
        <w:t xml:space="preserve">   9. Cada uno de los casos sobre leyes de amnistía conocidos por  la  Corte</w:t>
        <w:br/>
        <w:t xml:space="preserve">      hasta antes de las masacres de El Mozote y lugares aledaños tenían sus</w:t>
        <w:br/>
        <w:t xml:space="preserve">      particularidades, matices y énfasis  propios,  ya  sea  en  cuanto  al</w:t>
        <w:br/>
        <w:t xml:space="preserve">      contexto en que se originó la ley o al  alcance  de  la  misma.  Todos</w:t>
        <w:br/>
        <w:t xml:space="preserve">      tenían en común, sin embargo, que ninguna de esas normas  de  amnistía</w:t>
        <w:br/>
        <w:t xml:space="preserve">      se daba dentro del contexto de un proceso orientado  a  poner  término</w:t>
        <w:br/>
        <w:t xml:space="preserve">      por la vía negociada a un conflicto armado no internacional.</w:t>
        <w:br/>
        <w:br/>
        <w:br/>
        <w:t xml:space="preserve">  10. El presente caso de amnistía deriva de un contexto  distinto  a  todos</w:t>
        <w:br/>
        <w:t xml:space="preserve">      los anteriores. Ello tiene repercusiones en el análisis y calificación</w:t>
        <w:br/>
        <w:t xml:space="preserve">      jurídica de los hechos, y en los conceptos  y  consideraciones  de  la</w:t>
        <w:br/>
        <w:t xml:space="preserve">      Corte sobre esta amnistía dictada luego de un conflicto armado y de un</w:t>
        <w:br/>
        <w:t xml:space="preserve">      proceso de negociaciones de paz. Es por ello que, en  el  razonamiento</w:t>
        <w:br/>
        <w:t xml:space="preserve">      de la Corte, se ha tenido que tomar en cuenta no  sólo  las  normas  y</w:t>
        <w:br/>
        <w:t xml:space="preserve">      principios del derecho internacional de los derechos humanos sino  las</w:t>
        <w:br/>
        <w:t xml:space="preserve">      disposiciones pertinentes del Derecho Internacional  Humanitario  dado</w:t>
        <w:br/>
        <w:t xml:space="preserve">      el contexto dentro del cual se produjeron los hechos.</w:t>
        <w:br/>
        <w:br/>
        <w:t xml:space="preserve">  11. Como se describe a lo largo de  esta  sentencia,  los  hechos  de  las</w:t>
        <w:br/>
        <w:t xml:space="preserve">      masacres de El Mozote y lugares  aledaños  se  produjeron  dentro  del</w:t>
        <w:br/>
        <w:t xml:space="preserve">      marco de un conflicto armado no internacional. Éste había  llegado  en</w:t>
        <w:br/>
        <w:t xml:space="preserve">      su desarrollo a lo largo de la década de los 80 a un punto en  el  que</w:t>
        <w:br/>
        <w:t xml:space="preserve">      se fueron dando las condiciones globales y regionales para la búsqueda</w:t>
        <w:br/>
        <w:t xml:space="preserve">      y concreción de la paz por la vía de  la  negociación.  A  través  del</w:t>
        <w:br/>
        <w:t xml:space="preserve">      Acuerdo de Esquipulas II, firmado en agosto de 1987,  los  presidentes</w:t>
        <w:br/>
        <w:t xml:space="preserve">      de cinco países centroamericanos se pusieron de acuerdo en buscar  una</w:t>
        <w:br/>
        <w:t xml:space="preserve">      salida a los conflictos armados internos  que  vivían  El  Salvador  y</w:t>
        <w:br/>
        <w:t xml:space="preserve">      otros países centroamericanos. Entre otros  puntos,  se  planteaba  el</w:t>
        <w:br/>
        <w:t xml:space="preserve">      diálogo y la reconciliación  como  salidas  a  los  conflictos,  y  se</w:t>
        <w:br/>
        <w:t xml:space="preserve">      exhortaba al cese de  hostilidades  y  a  la  democratización  de  las</w:t>
        <w:br/>
        <w:t xml:space="preserve">      sociedades centroamericanas[549].</w:t>
        <w:br/>
        <w:br/>
        <w:br/>
        <w:t xml:space="preserve">  12. Las negociaciones hacia la  paz  salvadoreña  se  iniciaron,  como  se</w:t>
        <w:br/>
        <w:t xml:space="preserve">      recuerda   en   la   sentencia[550],   luego   que   los   presidentes</w:t>
        <w:br/>
        <w:t xml:space="preserve">      centroamericanos solicitaran la intervención del Secretario General de</w:t>
        <w:br/>
        <w:t xml:space="preserve">      las Naciones Unidas. En setiembre de  1989  se  suscribió  el  acuerdo</w:t>
        <w:br/>
        <w:t xml:space="preserve">      entre el gobierno de El Salvador y el Frente Farabundo Martí  para  la</w:t>
        <w:br/>
        <w:t xml:space="preserve">      Liberación Nacional (FMLN) para entablar un proceso de diálogo y poner</w:t>
        <w:br/>
        <w:t xml:space="preserve">      fin, por la vía política, al conflicto armado en El Salvador. Luego de</w:t>
        <w:br/>
        <w:t xml:space="preserve">      la suscripción de acuerdos parciales (el primero  fue  el  Acuerdo  de</w:t>
        <w:br/>
        <w:t xml:space="preserve">      Derechos Humanos suscrito el 26  de  julio  de  1990),  finalmente  el</w:t>
        <w:br/>
        <w:t xml:space="preserve">      acuerdo de paz se concretó el 31 de diciembre de 1991,  firmándose  de</w:t>
        <w:br/>
        <w:t xml:space="preserve">      manera solemne el 16 de enero de 1992, en el Castillo  de  Chapultepec</w:t>
        <w:br/>
        <w:t xml:space="preserve">      de la Ciudad de México.</w:t>
        <w:br/>
        <w:br/>
        <w:br/>
        <w:t xml:space="preserve">  13. Tratándose de una salida negociada a  un  largo  e  intenso  conflicto</w:t>
        <w:br/>
        <w:t xml:space="preserve">      armado, no era extraño que el tema de  qué  hacer  con  el  pasado  se</w:t>
        <w:br/>
        <w:t xml:space="preserve">      planteara. Tanto en el proceso que condujo  a  la  firma  de  la  paz,</w:t>
        <w:br/>
        <w:t xml:space="preserve">      primero, como  en  su  concreción,  luego,  dentro  del  marco  de  la</w:t>
        <w:br/>
        <w:t xml:space="preserve">      verificación in situ por ONUSAL, la Misión de Naciones  Unidas  en  El</w:t>
        <w:br/>
        <w:t xml:space="preserve">      Salvador. Así, en los Acuerdos de México de 27 de  abril  de  1991  se</w:t>
        <w:br/>
        <w:t xml:space="preserve">      hizo expresa referencia a los  efectos  de  la  violencia  durante  el</w:t>
        <w:br/>
        <w:t xml:space="preserve">      conflicto armado y se dispuso, para ese  efecto,  la  creación  de  la</w:t>
        <w:br/>
        <w:t xml:space="preserve">      Comisión  de  la  Verdad,  cuyas   recomendaciones   las   partes   se</w:t>
        <w:br/>
        <w:t xml:space="preserve">      comprometieron a cumplir. En el Acuerdo final de paz del 16  de  enero</w:t>
        <w:br/>
        <w:t xml:space="preserve">      de 1992 se concordó en la “necesidad  de  esclarecer  y  superar  todo</w:t>
        <w:br/>
        <w:t xml:space="preserve">      señalamiento  de  impunidad  de  oficiales  de   la   Fuerza   Armada,</w:t>
        <w:br/>
        <w:t xml:space="preserve">      especialmente en casos  donde  esté  comprometido  el  respeto  a  los</w:t>
        <w:br/>
        <w:t xml:space="preserve">      derechos humanos” y se remitieron, para ese efecto, a la  Comisión  de</w:t>
        <w:br/>
        <w:t xml:space="preserve">      la Verdad, enfatizando que hechos de ese tipo debían “(...) ser objeto</w:t>
        <w:br/>
        <w:t xml:space="preserve">      de la actuación ejemplarizante de los tribunales de justicia”.</w:t>
        <w:br/>
        <w:br/>
        <w:br/>
        <w:t xml:space="preserve">  14. A los pocos días[551] de la firma del Acuerdo de  Paz,  se  adoptó  la</w:t>
        <w:br/>
        <w:t xml:space="preserve">      “Ley de Reconciliación Nacional” del 23 de enero de 1992. A través  de</w:t>
        <w:br/>
        <w:t xml:space="preserve">      ella se concedió amnistía a quienes hubieren “participado como autores</w:t>
        <w:br/>
        <w:t xml:space="preserve">      inmediatos, mediatos o cómplices en la comisión de  delitos  políticos</w:t>
        <w:br/>
        <w:t xml:space="preserve">      comunes conexos con éstos y en delitos comunes cometidos por un número</w:t>
        <w:br/>
        <w:t xml:space="preserve">      de personas que no baje de veinte, antes del  1º  de  enero  de  1992,</w:t>
        <w:br/>
        <w:t xml:space="preserve">      exceptuándose, en todo caso, el delito común de secuestro, contemplado</w:t>
        <w:br/>
        <w:t xml:space="preserve">      en el Art. 220 del Código Penal”[552]. La misma ley  excluía  de  esta</w:t>
        <w:br/>
        <w:t xml:space="preserve">      gracia a quienes “(...) según el informe de la Comisión de la  Verdad,</w:t>
        <w:br/>
        <w:t xml:space="preserve">      hubieren participado en graves hechos de violencia ocurridos desde  el</w:t>
        <w:br/>
        <w:t xml:space="preserve">      1º de enero de 1980, cuya huella sobre la sociedad, reclama con  mayor</w:t>
        <w:br/>
        <w:t xml:space="preserve">      urgencia el conocimiento público de la verdad, independientemente  del</w:t>
        <w:br/>
        <w:t xml:space="preserve">      sector a que pertenecieren en su caso”.</w:t>
        <w:br/>
        <w:br/>
        <w:br/>
        <w:t xml:space="preserve">  15. Posteriormente, la Comisión de la Verdad explicitó[553]  la  necesidad</w:t>
        <w:br/>
        <w:t xml:space="preserve">      de satisfacer los requerimientos de la justicia  en  dos  direcciones:</w:t>
        <w:br/>
        <w:t xml:space="preserve">      “[u]na es la sanción a los responsables. Otra es la reparación  debida</w:t>
        <w:br/>
        <w:t xml:space="preserve">      a las víctimas y a sus familiares”. De acuerdo a lo  concertado  entre</w:t>
        <w:br/>
        <w:t xml:space="preserve">      las partes, pues, el camino planteado por la Comisión  de  la  Verdad,</w:t>
        <w:br/>
        <w:t xml:space="preserve">      cuyas recomendaciones las partes se habían comprometido a cumplir, era</w:t>
        <w:br/>
        <w:t xml:space="preserve">      el de la justicia y la reparación de los casos allí tratados. Ello era</w:t>
        <w:br/>
        <w:t xml:space="preserve">      concordante con el espíritu y la letra de lo  que  las  partes  habían</w:t>
        <w:br/>
        <w:t xml:space="preserve">      negociado y concretado en el Acuerdo de Paz. A los pocos  días  de  la</w:t>
        <w:br/>
        <w:t xml:space="preserve">      publicación del informe de la Comisión de la Verdad, sin  embargo,  se</w:t>
        <w:br/>
        <w:t xml:space="preserve">      dictó la Ley de Amnistía General que apuntaba en otra dirección.</w:t>
        <w:br/>
        <w:br/>
        <w:t xml:space="preserve">  16. Un contexto como el aquí delineado - y que en la sentencia se describe</w:t>
        <w:br/>
        <w:t xml:space="preserve">      con más detalle - es distinto del que precedió a las  demás  leyes  de</w:t>
        <w:br/>
        <w:t xml:space="preserve">      amnistía a las que se ha referido la jurisprudencia de la  Corte.  Por</w:t>
        <w:br/>
        <w:t xml:space="preserve">      ello el análisis y razonamiento del Tribunal tiene, como se ha  dicho,</w:t>
        <w:br/>
        <w:t xml:space="preserve">      particularidades que lo llevaron a incorporar  elementos  del  Derecho</w:t>
        <w:br/>
        <w:t xml:space="preserve">      Internacional Humanitario produciendo una interpretación armónica  con</w:t>
        <w:br/>
        <w:t xml:space="preserve">      las obligaciones establecidas en la Convención Americana  en  orden  a</w:t>
        <w:br/>
        <w:t xml:space="preserve">      evaluar jurídicamente la amnistía en un contexto como ese.</w:t>
        <w:br/>
        <w:br/>
        <w:t xml:space="preserve">  17. No existe en el derecho internacional positivo una norma a  través  de</w:t>
        <w:br/>
        <w:t xml:space="preserve">      la cual se haya proscrito explícitamente todo  tipo  de  amnistía.  La</w:t>
        <w:br/>
        <w:t xml:space="preserve">      única mención explícita a la amnistía en un tratado multilateral  está</w:t>
        <w:br/>
        <w:t xml:space="preserve">      contenida en el artículo  6(5)  del  Protocolo  Adicional  II  de  las</w:t>
        <w:br/>
        <w:t xml:space="preserve">      Convenciones de  Ginebra  del  12  de  agosto  de  1949[554].  En  los</w:t>
        <w:br/>
        <w:t xml:space="preserve">      comentarios a ese artículo, el Comité Internacional de  la  Cruz  Roja</w:t>
        <w:br/>
        <w:t xml:space="preserve">      (CICR)  precisa  que  su  objeto  “(…)  es   alentar   un   gesto   de</w:t>
        <w:br/>
        <w:t xml:space="preserve">      reconciliación que contribuya a restablecer el curso normal de la vida</w:t>
        <w:br/>
        <w:t xml:space="preserve">      en un pueblo que ha estado dividido”[555]. De acuerdo a las  Actas  de</w:t>
        <w:br/>
        <w:t xml:space="preserve">      la Conferencia Diplomática en la que se adoptó el Protocolo  Adicional</w:t>
        <w:br/>
        <w:t xml:space="preserve">      II en 1977[556], el sentido de esa  norma  era  dar  inmunidad  a  los</w:t>
        <w:br/>
        <w:t xml:space="preserve">      detenidos o castigados por haber participado en el conflicto armado.</w:t>
        <w:br/>
        <w:br/>
        <w:br/>
        <w:t xml:space="preserve">  18. Acorde con lo anterior, en esta sentencia la Corte ha señalado que, si</w:t>
        <w:br/>
        <w:t xml:space="preserve">      bien las  amnistías  pueden  ser  permitidas  como  componente  de  la</w:t>
        <w:br/>
        <w:t xml:space="preserve">      finalización de un conflicto armado no internacional, ellas tienen  un</w:t>
        <w:br/>
        <w:t xml:space="preserve">      límite cual  es  los  crímenes  de  guerra  y  los  crímenes  de  lesa</w:t>
        <w:br/>
        <w:t xml:space="preserve">      humanidad, de modo  tal  que  esos  hechos  no  pueden  quedar  en  la</w:t>
        <w:br/>
        <w:t xml:space="preserve">      impunidad o el olvido (ver párrafos 285 y 286 de la sentencia).  Estos</w:t>
        <w:br/>
        <w:t xml:space="preserve">      límites también se  encuentran  en  lo  que  algunos  llaman  “fuentes</w:t>
        <w:br/>
        <w:t xml:space="preserve">      implícitamente relacionadas a la amnistía”[557].</w:t>
        <w:br/>
        <w:br/>
        <w:t xml:space="preserve">  19. Por otro lado, desde la ONU se ha venido planteando “que los  acuerdos</w:t>
        <w:br/>
        <w:t xml:space="preserve">      de paz  aprobados  por  las  Naciones  Unidas  nunca  puedan  prometer</w:t>
        <w:br/>
        <w:t xml:space="preserve">      amnistías por crímenes de genocidio, de guerra, o de lesa humanidad  o</w:t>
        <w:br/>
        <w:t xml:space="preserve">      infracciones graves a los derechos humanos”[558]. El Estatuto de  Roma</w:t>
        <w:br/>
        <w:t xml:space="preserve">      de la Corte Penal Internacional, por su parte,  aún  cuando  aplicable</w:t>
        <w:br/>
        <w:t xml:space="preserve">      solo a los crímenes que sean de su competencia y jurisdicción, implica</w:t>
        <w:br/>
        <w:t xml:space="preserve">      la obligación de los Estados parte de producir juicios creíbles  sobre</w:t>
        <w:br/>
        <w:t xml:space="preserve">      los crímenes allí definidos (genocidio, crímenes de lesa  humanidad  y</w:t>
        <w:br/>
        <w:t xml:space="preserve">      crímenes de guerra).</w:t>
        <w:br/>
        <w:br/>
        <w:br/>
        <w:t xml:space="preserve">  20. El hecho es que en el contexto específico  de  procesos  de  violencia</w:t>
        <w:br/>
        <w:t xml:space="preserve">      generalizada y de conflictos armados no internacionales el recurso  de</w:t>
        <w:br/>
        <w:t xml:space="preserve">      la amnistía puede conducir, al menos teóricamente y según los casos  o</w:t>
        <w:br/>
        <w:t xml:space="preserve">      circunstancias específicas, a  rumbos  en  diversas  direcciones.  Que</w:t>
        <w:br/>
        <w:t xml:space="preserve">      plantean, en consecuencia,  un  abanico  de  posibles  resultados  que</w:t>
        <w:br/>
        <w:t xml:space="preserve">      pueden fijar los márgenes para el ejercicio de la ponderación  de  los</w:t>
        <w:br/>
        <w:t xml:space="preserve">      intereses en el propósito de conjugar los propósitos de investigación,</w:t>
        <w:br/>
        <w:t xml:space="preserve">      sanción y reparación de graves violaciones a los derechos humanos,  de</w:t>
        <w:br/>
        <w:t xml:space="preserve">      un lado, con los de reconciliación nacional y salida negociada  de  un</w:t>
        <w:br/>
        <w:t xml:space="preserve">      conflicto armado no  internacional,  por  el  otro.  No  hay  solución</w:t>
        <w:br/>
        <w:t xml:space="preserve">      universalmente aplicable a los dilemas que plantea esa  tensión,  pues</w:t>
        <w:br/>
        <w:t xml:space="preserve">      ella depende de cada contexto aunque sí hay lineamientos  a  tener  en</w:t>
        <w:br/>
        <w:t xml:space="preserve">      cuenta.</w:t>
        <w:br/>
        <w:br/>
        <w:br/>
        <w:t xml:space="preserve">  21. A  partir  del  derecho  internacional  de  los  derechos  humanos  y,</w:t>
        <w:br/>
        <w:t xml:space="preserve">      particularmente,  de  la  Convención  Americana,  se  pueden  delinear</w:t>
        <w:br/>
        <w:t xml:space="preserve">      algunos criterios fundamentales en la perspectiva  de  procesar  estas</w:t>
        <w:br/>
        <w:t xml:space="preserve">      tensiones,  que  en  el  fondo  es  la  tensión   entre   justicia   y</w:t>
        <w:br/>
        <w:t xml:space="preserve">      reconciliación.</w:t>
        <w:br/>
        <w:br/>
        <w:br/>
        <w:t xml:space="preserve">  22. Un primer y obvio punto de partida  es  que  la  situación  anómala  y</w:t>
        <w:br/>
        <w:t xml:space="preserve">      excepcional de un conflicto armado no internacional genera que  pueden</w:t>
        <w:br/>
        <w:t xml:space="preserve">      contarse por millares los nombres de los victimarios y, especialmente,</w:t>
        <w:br/>
        <w:t xml:space="preserve">      de las víctimas. Esa situación excepcional suele  demandar  mecanismos</w:t>
        <w:br/>
        <w:t xml:space="preserve">      de respuesta también excepcionales. La  clave  está  en  construir  el</w:t>
        <w:br/>
        <w:t xml:space="preserve">      ejercicio de ponderación que procese de la mejor  manera  esa  tensión</w:t>
        <w:br/>
        <w:t xml:space="preserve">      entre justicia y terminación  del  conflicto  para  lo  cual  se  debe</w:t>
        <w:br/>
        <w:t xml:space="preserve">      considerar varios componentes, tanto judiciales  como  no  judiciales.</w:t>
        <w:br/>
        <w:t xml:space="preserve">      Que se  orienten,  simultáneamente,  en  la  búsqueda  de  la  verdad,</w:t>
        <w:br/>
        <w:t xml:space="preserve">      justicia y la reparación. Esto se debe a que las demandas derivadas de</w:t>
        <w:br/>
        <w:t xml:space="preserve">      masivas violaciones, las respuestas a  las  secuelas  dejadas  por  el</w:t>
        <w:br/>
        <w:t xml:space="preserve">      conflicto y la búsqueda de la paz duradera, demandan de los Estados  y</w:t>
        <w:br/>
        <w:t xml:space="preserve">      la sociedad en su conjunto la aplicación de medidas  concurrentes  que</w:t>
        <w:br/>
        <w:t xml:space="preserve">      permitan el mayor grado de atención simultánea a esos tres derechos.</w:t>
        <w:br/>
        <w:br/>
        <w:br/>
        <w:t xml:space="preserve">  23. En este contexto, los  derechos  de  las  víctimas  a  la  verdad,  la</w:t>
        <w:br/>
        <w:t xml:space="preserve">      justicia y la reparación, deben ser entendidos como interdependientes.</w:t>
        <w:br/>
        <w:t xml:space="preserve">      Solo la aplicación integrada de medidas en favor de  las  víctimas  en</w:t>
        <w:br/>
        <w:t xml:space="preserve">      todos esos ámbitos pueden conseguir resultados eficaces y concordantes</w:t>
        <w:br/>
        <w:t xml:space="preserve">      con el ordenamiento interamericano de derechos humanos. Así, la simple</w:t>
        <w:br/>
        <w:t xml:space="preserve">      aplicación de sanciones penales, sin  que  ellas  impliquen  un  serio</w:t>
        <w:br/>
        <w:t xml:space="preserve">      esfuerzo de encontrar  y  decir  la  verdad  en  su  conjunto,  podría</w:t>
        <w:br/>
        <w:t xml:space="preserve">      convertirse en un proceso burocrático que no satisfaga  la  pretensión</w:t>
        <w:br/>
        <w:t xml:space="preserve">      válida de las víctimas de llegar a la mayor verdad posible.  Por  otro</w:t>
        <w:br/>
        <w:t xml:space="preserve">      lado, el otorgamiento de reparaciones sin que se sepa la verdad de las</w:t>
        <w:br/>
        <w:t xml:space="preserve">      violaciones ocurridas, y sin sentar condiciones para una paz duradera,</w:t>
        <w:br/>
        <w:t xml:space="preserve">      sólo produciría un aparente alivio en la situación  de  las  víctimas,</w:t>
        <w:br/>
        <w:t xml:space="preserve">      pero  no  una  transformación  de  las  condiciones  que  permiten  la</w:t>
        <w:br/>
        <w:t xml:space="preserve">      recurrencia de las violaciones.</w:t>
        <w:br/>
        <w:br/>
        <w:br/>
        <w:t xml:space="preserve">  24. Estos  ingredientes  fundamentales  pueden  ser,  de  manera  total  o</w:t>
        <w:br/>
        <w:t xml:space="preserve">      parcial,  materia  de  diseño  de  procedimientos   adecuados   a   la</w:t>
        <w:br/>
        <w:t xml:space="preserve">      especificidad de un proceso de salida negociada a un conflicto  armado</w:t>
        <w:br/>
        <w:t xml:space="preserve">      no internacional. Ello dentro de una perspectiva en la que la mayor  o</w:t>
        <w:br/>
        <w:t xml:space="preserve">      menor gravedad de los hechos puede viabilizar –  o  no  –  determinado</w:t>
        <w:br/>
        <w:t xml:space="preserve">      procesamiento de los hechos. Así,  por  ejemplo,  hechos  calificables</w:t>
        <w:br/>
        <w:t xml:space="preserve">      como  crímenes  de  guerra  o  crímenes  de  lesa  humanidad  en   las</w:t>
        <w:br/>
        <w:t xml:space="preserve">      definiciones del Estatuto de la  Corte  Penal  Internacional  debieran</w:t>
        <w:br/>
        <w:t xml:space="preserve">      merecer   un   procesamiento   prioritario   y   específico   que   no</w:t>
        <w:br/>
        <w:t xml:space="preserve">      necesariamente sea igual al de los demás  crímenes  o  violaciones  de</w:t>
        <w:br/>
        <w:t xml:space="preserve">      derechos humanos.</w:t>
        <w:br/>
        <w:br/>
        <w:br/>
        <w:t xml:space="preserve">  25. En cuanto al componente verdad, además de lo esencial  de  la  “verdad</w:t>
        <w:br/>
        <w:t xml:space="preserve">      judicial” que analizo más adelante a propósito del elemento  justicia,</w:t>
        <w:br/>
        <w:t xml:space="preserve">      ha llevado en muchas oportunidades a la puesta  en  funcionamiento  de</w:t>
        <w:br/>
        <w:t xml:space="preserve">      mecanismos como las Comisiones de la Verdad. El concepto de  “verdad”,</w:t>
        <w:br/>
        <w:t xml:space="preserve">      sin embargo, no es unívoco y da lugar a  diferentes  interpretaciones.</w:t>
        <w:br/>
        <w:t xml:space="preserve">      Alex Boraine[559], quien fuera vicepresidente de la Comisión de Verdad</w:t>
        <w:br/>
        <w:t xml:space="preserve">      y Reconciliación de Sudáfrica conceptualizó la “verdad” en  este  tipo</w:t>
        <w:br/>
        <w:t xml:space="preserve">      de situaciones en tres niveles: la verdad factual, la verdad  personal</w:t>
        <w:br/>
        <w:t xml:space="preserve">      y la verdad social. La  “factual”  le  da  a  la  familia  información</w:t>
        <w:br/>
        <w:t xml:space="preserve">      concreta sobre el paradero de los restos mortales de la víctima o  que</w:t>
        <w:br/>
        <w:t xml:space="preserve">      paso. La “personal” procura un efecto  catártico  en  la  persona  que</w:t>
        <w:br/>
        <w:t xml:space="preserve">      expresa o manifiesta esa verdad. La “social” es  la  que  la  sociedad</w:t>
        <w:br/>
        <w:t xml:space="preserve">      adopta a través del diálogo y  el  debate.  En  la  búsqueda  de  esta</w:t>
        <w:br/>
        <w:t xml:space="preserve">      “verdad social”, juegan un papel importante medidas como  la  apertura</w:t>
        <w:br/>
        <w:t xml:space="preserve">      de la documentación en manos del Estado, la  revisión  de  los  textos</w:t>
        <w:br/>
        <w:t xml:space="preserve">      escolares y la construcción de museos o memoriales de lo ocurrido.</w:t>
        <w:br/>
        <w:br/>
        <w:br/>
        <w:t xml:space="preserve">  26. En cuanto al elemento  justicia,  el  deber  jurídico  del  Estado  de</w:t>
        <w:br/>
        <w:t xml:space="preserve">      investigar y sancionar las más  graves  violaciones  de  los  derechos</w:t>
        <w:br/>
        <w:t xml:space="preserve">      humanos es - como  lo  ha  dicho  reiteradas  veces  la  Corte  -  una</w:t>
        <w:br/>
        <w:t xml:space="preserve">      obligación de medio y forma parte del deber de garantía estipulado  en</w:t>
        <w:br/>
        <w:t xml:space="preserve">      la  Convención.  Por  medio  de  éste,  los  Estados  deben  poner   a</w:t>
        <w:br/>
        <w:t xml:space="preserve">      disposición  de  las  víctimas  los  remedios  adecuados  para   hacer</w:t>
        <w:br/>
        <w:t xml:space="preserve">      efectivos sus derechos. Sin embargo, un conflicto armado y la solución</w:t>
        <w:br/>
        <w:t xml:space="preserve">      negociada del  mismo  abre  varios  interrogantes  y  plantea  enormes</w:t>
        <w:br/>
        <w:t xml:space="preserve">      exigencias jurídicas y éticas en la búsqueda de la armonización  entre</w:t>
        <w:br/>
        <w:t xml:space="preserve">      justicia penal y paz negociada.</w:t>
        <w:br/>
        <w:br/>
        <w:br/>
        <w:t xml:space="preserve">  27. Esta armonización debe hacerse a través de un juicio de ponderación de</w:t>
        <w:br/>
        <w:t xml:space="preserve">      estos derechos en el marco propio de  una  justicia  transicional.  En</w:t>
        <w:br/>
        <w:t xml:space="preserve">      este  sentido  pueden  plantearse,  por  cierto,  particularidades   y</w:t>
        <w:br/>
        <w:t xml:space="preserve">      especificidades de procesamiento de estas obligaciones en el  contexto</w:t>
        <w:br/>
        <w:t xml:space="preserve">      de una paz negociada. Por ello, los Estados  deben  ponderar  en  este</w:t>
        <w:br/>
        <w:t xml:space="preserve">      tipo de circunstancias el efecto de la justicia penal tanto sobre  los</w:t>
        <w:br/>
        <w:t xml:space="preserve">      derechos de las víctimas  como  sobre  la  necesidad  de  terminar  el</w:t>
        <w:br/>
        <w:t xml:space="preserve">      conflicto.  Pero,  para  ser  válidas  en  el  derecho  internacional,</w:t>
        <w:br/>
        <w:t xml:space="preserve">      tendrían que atenerse a ciertos estándares básicos orientados a lo que</w:t>
        <w:br/>
        <w:t xml:space="preserve">      puede procesarse y concretarse de varias formas, incluyendo  el  papel</w:t>
        <w:br/>
        <w:t xml:space="preserve">      de la verdad y la reparación.</w:t>
        <w:br/>
        <w:br/>
        <w:br/>
        <w:t xml:space="preserve">  28. Se puede entender  que  este  deber  estatal  se  descompone  en  tres</w:t>
        <w:br/>
        <w:t xml:space="preserve">      elementos. Primero, la actividad orientada a investigar  y  esclarecer</w:t>
        <w:br/>
        <w:t xml:space="preserve">      los  hechos.  Segundo,  la  identificación  de  las  responsabilidades</w:t>
        <w:br/>
        <w:t xml:space="preserve">      individuales. Tercero, la aplicación de sanciones proporcionales a  la</w:t>
        <w:br/>
        <w:t xml:space="preserve">      gravedad de las violaciones. Aún cuando la aspiración de  la  justicia</w:t>
        <w:br/>
        <w:t xml:space="preserve">      penal debe ser efectivizar satisfactoriamente estos tres  ámbitos,  si</w:t>
        <w:br/>
        <w:t xml:space="preserve">      se dificulta la concreción de la sanción penal, los otros  componentes</w:t>
        <w:br/>
        <w:t xml:space="preserve">      no deberían verse afectados o diferidos.</w:t>
        <w:br/>
        <w:br/>
        <w:br/>
        <w:t xml:space="preserve">  29. El derecho de las víctimas y de las sociedades de acceder a la  verdad</w:t>
        <w:br/>
        <w:t xml:space="preserve">      de lo ocurrido adquiere un peso especial que debe considerarse  en  un</w:t>
        <w:br/>
        <w:t xml:space="preserve">      adecuado ejercicio de ponderación para delinear las especificidades de</w:t>
        <w:br/>
        <w:t xml:space="preserve">      la justicia de tal  forma  que  no  sea  antagónica  con  la  justicia</w:t>
        <w:br/>
        <w:t xml:space="preserve">      transicional requerida en procesos de pacificación  y  reconciliación.</w:t>
        <w:br/>
        <w:t xml:space="preserve">      En  ese  contexto,  se  pueden  diseñar  pautas  específicas  para  el</w:t>
        <w:br/>
        <w:t xml:space="preserve">      tratamiento de los responsables de las más graves violaciones abriendo</w:t>
        <w:br/>
        <w:t xml:space="preserve">      el camino, por ejemplo, de priorizar los casos más graves como ruta de</w:t>
        <w:br/>
        <w:t xml:space="preserve">      manejo de una problemática en la que podrían ser,  en  teoría,  muchos</w:t>
        <w:br/>
        <w:t xml:space="preserve">      miles los procesados y atender los casos de menor gravedad a través de</w:t>
        <w:br/>
        <w:t xml:space="preserve">      otros mecanismos.</w:t>
        <w:br/>
        <w:br/>
        <w:br/>
        <w:t xml:space="preserve">  30. Dentro de ello, resulta necesario  diseñar  formas  a  través  de  las</w:t>
        <w:br/>
        <w:t xml:space="preserve">      cuales deben ser tratadas las personas sindicadas  de  haber  cometido</w:t>
        <w:br/>
        <w:t xml:space="preserve">      graves crímenes como los  mencionados,  en  el  entendido  de  que  un</w:t>
        <w:br/>
        <w:t xml:space="preserve">      proceso de paz negociada procura que los actores armados opten por  la</w:t>
        <w:br/>
        <w:t xml:space="preserve">      paz y se sometan a la  justicia.  Así,  por  ejemplo,  en  el  difícil</w:t>
        <w:br/>
        <w:t xml:space="preserve">      ejercicio de ponderación y la compleja búsqueda de  estos  equilibrios</w:t>
        <w:br/>
        <w:t xml:space="preserve">      podrían diseñarse  y  encontrarse  rutas  para  penas  alternativas  o</w:t>
        <w:br/>
        <w:t xml:space="preserve">      suspendidas pero, sin perder de vista que ello puede variar de  manera</w:t>
        <w:br/>
        <w:t xml:space="preserve">      sustancial de acuerdo tanto al  grado  de  responsabilidad  en  graves</w:t>
        <w:br/>
        <w:t xml:space="preserve">      crímenes  como   al   grado   de   reconocimiento   de   las   propias</w:t>
        <w:br/>
        <w:t xml:space="preserve">      responsabilidades y aporte de información de lo ocurrido. De  allí  se</w:t>
        <w:br/>
        <w:t xml:space="preserve">      pueden  derivar  diferencias  importantes  entre  los  “ejecutores”  y</w:t>
        <w:br/>
        <w:t xml:space="preserve">      quienes desempeñaron funciones de alto mando y dirección.</w:t>
        <w:br/>
        <w:br/>
        <w:br/>
        <w:t xml:space="preserve">  31. Es relevante considerar  las  responsabilidades  compartidas  que  los</w:t>
        <w:br/>
        <w:t xml:space="preserve">      actores  de  un  conflicto  armado  tienen  en  graves  crímenes.   El</w:t>
        <w:br/>
        <w:t xml:space="preserve">      reconocimiento de responsabilidades por parte de los  máximos  líderes</w:t>
        <w:br/>
        <w:t xml:space="preserve">      puede contribuir a promover un proceso de esclarecimiento tanto de los</w:t>
        <w:br/>
        <w:t xml:space="preserve">      hechos como de las estructuras que hicieron posible esas  violaciones.</w:t>
        <w:br/>
        <w:t xml:space="preserve">      La  reducción  de  penas,  la  concesión  de  penas  alternativas,  la</w:t>
        <w:br/>
        <w:t xml:space="preserve">      reparación directa del perpetrador a  la  víctima,  el  reconocimiento</w:t>
        <w:br/>
        <w:t xml:space="preserve">      público de responsabilidad, son otras vías que se pueden considerar.</w:t>
        <w:br/>
        <w:br/>
        <w:br/>
        <w:t xml:space="preserve">  32. La reparación integral es el tercer elemento esencial de  la  justicia</w:t>
        <w:br/>
        <w:t xml:space="preserve">      transicional en un contexto así. Apunta a restablecer  las  relaciones</w:t>
        <w:br/>
        <w:t xml:space="preserve">      de confianza en la sociedad y busca cimentar procesos que  impidan  la</w:t>
        <w:br/>
        <w:t xml:space="preserve">      repetición del  drama  que  la  afectó  con  el  conflicto  armado  no</w:t>
        <w:br/>
        <w:t xml:space="preserve">      internacional. En este punto se parte, por cierto,  del  principio  de</w:t>
        <w:br/>
        <w:t xml:space="preserve">      que todas  las  violaciones  al  derecho  internacional  entrañan  una</w:t>
        <w:br/>
        <w:t xml:space="preserve">      obligación que debe ser reparada y en este sentido  la  jurisprudencia</w:t>
        <w:br/>
        <w:t xml:space="preserve">      de la Corte Interamericana de Derechos Humanos ha contribuido mucho al</w:t>
        <w:br/>
        <w:t xml:space="preserve">      respecto[560]. En materia de reparaciones el abanico  de  opciones  es</w:t>
        <w:br/>
        <w:t xml:space="preserve">      amplio  y  va  desde  las  compensaciones   materiales,   medidas   de</w:t>
        <w:br/>
        <w:t xml:space="preserve">      rehabilitación y satisfacción, entre otras.</w:t>
        <w:br/>
        <w:br/>
        <w:br/>
        <w:t xml:space="preserve">  33. Como ha sido señalado en ciertos análisis, el  componente  reparatorio</w:t>
        <w:br/>
        <w:t xml:space="preserve">      tiene sus propias dificultades - y hasta imposibilidades -  cuando  se</w:t>
        <w:br/>
        <w:t xml:space="preserve">      trata de casos masivos y extendidos de atropellos a  los  derechos  de</w:t>
        <w:br/>
        <w:t xml:space="preserve">      las personas[561]. En este tipo de situaciones parecería que entre los</w:t>
        <w:br/>
        <w:t xml:space="preserve">      objetivos de estos programas masivos de reparaciones no está tanto  la</w:t>
        <w:br/>
        <w:t xml:space="preserve">      restitución a las víctimas al status quo ante sino dar señales  claras</w:t>
        <w:br/>
        <w:t xml:space="preserve">      de que se respetará plenamente los  derechos  y  la  dignidad  de  las</w:t>
        <w:br/>
        <w:t xml:space="preserve">      personas[562]. En cualquier caso, la legitimidad  y  eficacia  de  los</w:t>
        <w:br/>
        <w:t xml:space="preserve">      programas de reparaciones en este  tipo  de  circunstancias  requiere,</w:t>
        <w:br/>
        <w:t xml:space="preserve">      como ingrediente fundamental, el diseño y puesta en funcionamiento  de</w:t>
        <w:br/>
        <w:t xml:space="preserve">      mecanismos efectivos de participación de las personas  a  quienes  los</w:t>
        <w:br/>
        <w:t xml:space="preserve">      programas están dirigidos[563].</w:t>
        <w:br/>
        <w:br/>
        <w:br/>
        <w:t xml:space="preserve">  34. Finalmente, un ingrediente reparatorio fundamental, no sólo  para  las</w:t>
        <w:br/>
        <w:t xml:space="preserve">      víctimas sino para la sociedad en su conjunto,  son  los  recuentos  y</w:t>
        <w:br/>
        <w:t xml:space="preserve">      pedidos de perdón por  los  perpetradores  y  los  reconocimientos  de</w:t>
        <w:br/>
        <w:t xml:space="preserve">      responsabilidad. La plena confesión de los hechos en los que se podría</w:t>
        <w:br/>
        <w:t xml:space="preserve">      haber tenido responsabilidad es un ingrediente ineludible  –  pero  no</w:t>
        <w:br/>
        <w:t xml:space="preserve">      único - de la reparación. Además, es un mensaje hacia la  sociedad  de</w:t>
        <w:br/>
        <w:t xml:space="preserve">      cara  a  cerrar  el  camino  de  la  violencia  como  ruta   para   el</w:t>
        <w:br/>
        <w:t xml:space="preserve">      procesamiento  de  las  diferencias  políticas   o   sociales.   Estos</w:t>
        <w:br/>
        <w:t xml:space="preserve">      “monumentos didácticos”[564], al ser un  recuento  de  atrocidades  le</w:t>
        <w:br/>
        <w:t xml:space="preserve">      recuerdan a la sociedad lo que  puede  ocurrir  cuando  se  desata  un</w:t>
        <w:br/>
        <w:t xml:space="preserve">      conflicto armado y refuerzan las capacidades de la sociedad  frente  a</w:t>
        <w:br/>
        <w:t xml:space="preserve">      las amenazas futuras de que algo así pudiera repetirse.</w:t>
        <w:br/>
        <w:br/>
        <w:br/>
        <w:t xml:space="preserve">  35. Los reconocimientos  de  responsabilidad  por  altas  autoridades  del</w:t>
        <w:br/>
        <w:t xml:space="preserve">      Estado han estado planteados de manera constante en la  jurisprudencia</w:t>
        <w:br/>
        <w:t xml:space="preserve">      de la Corte Interamericana. Este es un  ingrediente  esencial  de  una</w:t>
        <w:br/>
        <w:t xml:space="preserve">      justicia transicional que busca reconstruir condiciones de  viabilidad</w:t>
        <w:br/>
        <w:t xml:space="preserve">      institucional  democrática  en  una  sociedad.  Si  bien  hay   muchos</w:t>
        <w:br/>
        <w:t xml:space="preserve">      antecedentes de este tipo de actos, se multiplicaron en ciertas partes</w:t>
        <w:br/>
        <w:t xml:space="preserve">      del mundo luego del fin de la guerra fría[565].  Tony  Blair  en  Gran</w:t>
        <w:br/>
        <w:t xml:space="preserve">      Bretaña  pidió  disculpas  por  la  responsabilidad  británica  en  la</w:t>
        <w:br/>
        <w:t xml:space="preserve">      hambruna irlandesa del siglo XIX, Jaques Chirac por las  deportaciones</w:t>
        <w:br/>
        <w:t xml:space="preserve">      por franceses de judíos a los campos de concentración nazis durante la</w:t>
        <w:br/>
        <w:t xml:space="preserve">      segunda guerra mundial o Bill Clinton por  la  inacción  del  gobierno</w:t>
        <w:br/>
        <w:t xml:space="preserve">      norteamericano durante el  genocidio  en  Rwanda  o  por  el  apoyo  a</w:t>
        <w:br/>
        <w:t xml:space="preserve">      gobiernos dictatoriales en América  Latina[566].  En  el  contexto  de</w:t>
        <w:br/>
        <w:t xml:space="preserve">      procesos de transición del conflicto  armado  interno  hacia  la  paz,</w:t>
        <w:br/>
        <w:t xml:space="preserve">      estos reconocimientos adquieren particular  relevancia  y  significado</w:t>
        <w:br/>
        <w:t xml:space="preserve">      como un ingrediente que se fortalece y retroalimenta con los demás.</w:t>
        <w:br/>
        <w:br/>
        <w:br/>
        <w:t xml:space="preserve">  36. De acuerdo al contexto derivado de la resolución del conflicto  armado</w:t>
        <w:br/>
        <w:t xml:space="preserve">      interno, pues, las sociedades pueden demandar que  existan  mecanismos</w:t>
        <w:br/>
        <w:t xml:space="preserve">      complementarios al deber de justicia penal que satisfagan en  mejor  y</w:t>
        <w:br/>
        <w:t xml:space="preserve">      mayor medida las aspiraciones de las víctimas. Las  comisiones  de  la</w:t>
        <w:br/>
        <w:t xml:space="preserve">      verdad, los instrumentos de reparación  integral,  los  mecanismos  de</w:t>
        <w:br/>
        <w:t xml:space="preserve">      atención, la protección de las poblaciones  vulnerables,  depuraciones</w:t>
        <w:br/>
        <w:t xml:space="preserve">      en el sector público y las reformas institucionales, son, entre otros,</w:t>
        <w:br/>
        <w:t xml:space="preserve">      opciones que el legislador y el gobernante tienen sobre  el  curso  de</w:t>
        <w:br/>
        <w:t xml:space="preserve">      las políticas del Estado, en  combinación  con  la  aplicación  de  la</w:t>
        <w:br/>
        <w:t xml:space="preserve">      justicia penal desarrollada en un marco de ponderación.</w:t>
        <w:br/>
        <w:br/>
        <w:br/>
        <w:t xml:space="preserve">  37. La solución negociada de  un  conflicto  armado  interno  abre  varios</w:t>
        <w:br/>
        <w:t xml:space="preserve">      interrogantes sobre el juicio de ponderación de estos derechos, en  la</w:t>
        <w:br/>
        <w:t xml:space="preserve">      legítima discusión sobre la necesidad de cerrar el conflicto  y  poner</w:t>
        <w:br/>
        <w:t xml:space="preserve">      fin a futuras graves violaciones de los derechos humanos. Los  Estados</w:t>
        <w:br/>
        <w:t xml:space="preserve">      tienen el deber jurídico de atender los derechos de  las  víctimas,  y</w:t>
        <w:br/>
        <w:t xml:space="preserve">      con la misma intensidad, la obligación de prevenir  nuevos  hechos  de</w:t>
        <w:br/>
        <w:t xml:space="preserve">      violencia y alcanzar la paz en un conflicto armado por los medios  que</w:t>
        <w:br/>
        <w:t xml:space="preserve">      estén a su alcance. La paz como producto de una negociación se  ofrece</w:t>
        <w:br/>
        <w:t xml:space="preserve">      como una alternativa moral y políticamente  superior  a  la  paz  como</w:t>
        <w:br/>
        <w:t xml:space="preserve">      producto del  aniquilamiento  del  contrario.  Por  ello,  el  derecho</w:t>
        <w:br/>
        <w:t xml:space="preserve">      internacional de los derechos humanos debe considerar a la paz como un</w:t>
        <w:br/>
        <w:t xml:space="preserve">      derecho y al Estado como obligado a alcanzarla.</w:t>
        <w:br/>
        <w:br/>
        <w:br/>
        <w:t xml:space="preserve">  38. De este modo, en ciertas  situaciones  de  tránsito  de  un  conflicto</w:t>
        <w:br/>
        <w:t xml:space="preserve">      armado a la paz, puede ocurrir  que  un  Estado  no  se  encuentre  en</w:t>
        <w:br/>
        <w:t xml:space="preserve">      posibilidad de  materializar  plenamente,  en  forma  simultánea,  los</w:t>
        <w:br/>
        <w:t xml:space="preserve">      distintos derechos y obligaciones  contraídas  internacionalmente.  En</w:t>
        <w:br/>
        <w:t xml:space="preserve">      esas circunstancias, tomando en  consideración  que  no  se  le  puede</w:t>
        <w:br/>
        <w:t xml:space="preserve">      conferir a  ninguno  de  esos  derechos  y  obligaciones  un  carácter</w:t>
        <w:br/>
        <w:t xml:space="preserve">      absoluto, es legítimo que se ponderen  de  manera  tal  que  la  plena</w:t>
        <w:br/>
        <w:t xml:space="preserve">      satisfacción de unos no afecten de forma desproporcionada la  vigencia</w:t>
        <w:br/>
        <w:t xml:space="preserve">      de los demás. Así, el grado de justicia al que se pueda llegar  no  es</w:t>
        <w:br/>
        <w:t xml:space="preserve">      un  componente  aislado,  del  cual  se  podrían   derivar   legítimas</w:t>
        <w:br/>
        <w:t xml:space="preserve">      frustraciones e insatisfacciones, sino parte de un  ambicioso  proceso</w:t>
        <w:br/>
        <w:t xml:space="preserve">      de transición hacia la tolerancia recíproca y paz.</w:t>
        <w:br/>
        <w:br/>
        <w:br/>
        <w:br/>
        <w:br/>
        <w:br/>
        <w:br/>
        <w:br/>
        <w:t xml:space="preserve">                                                   Diego García-Sayán</w:t>
        <w:br/>
        <w:t xml:space="preserve">                                                        Juez</w:t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t>Los Jueces y Juezas Leonardo A.  Franco,  Margarette  May  Macaulay,  Rhadys</w:t>
        <w:br/>
        <w:t>Abreu Blondet y Alberto Pérez Pérez se adhirieron al presente Voto del  Juez</w:t>
        <w:br/>
        <w:t>Diego García-Sayán.</w:t>
        <w:br/>
        <w:br/>
        <w:br/>
        <w:br/>
        <w:br/>
        <w:br/>
        <w:br/>
        <w:t xml:space="preserve">      Leonardo  A.  Franco                                  Margarette   May</w:t>
        <w:br/>
        <w:t>Macaulay</w:t>
        <w:br/>
        <w:t xml:space="preserve">                       Juez                                        Jueza</w:t>
        <w:br/>
        <w:br/>
        <w:br/>
        <w:br/>
        <w:br/>
        <w:br/>
        <w:t xml:space="preserve">      Rhadys Abreu Blondet                         Alberto Pérez Pérez</w:t>
        <w:br/>
        <w:t xml:space="preserve">                     Jueza                                         Juez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 xml:space="preserve">                VOTO CONCURRENTE DEL JUEZ EDUARDO VIO GROSSI</w:t>
        <w:br/>
        <w:t xml:space="preserve">                CASO MASACRES DE EL MOZOTE Y LUGARES ALEDAÑOS</w:t>
        <w:br/>
        <w:t xml:space="preserve">                               VS. EL SALVADOR</w:t>
        <w:br/>
        <w:t xml:space="preserve">                     SENTENCIA DE 25 DE OCTUBRE DE 2012</w:t>
        <w:br/>
        <w:t xml:space="preserve">                       (Fondo, Reparaciones y Costas)</w:t>
        <w:br/>
        <w:t xml:space="preserve">                  CORTE INTERAMERICANA DE DERECHOS HUMANOS</w:t>
        <w:br/>
        <w:br/>
        <w:br/>
        <w:t>Se emite el presente voto concurrente con respecto de la Sentencia  indicada</w:t>
        <w:br/>
        <w:t>en el título, a los efectos de dejar constancia de que, en  atención  a  que</w:t>
        <w:br/>
        <w:t>en ella se da  por  probado  que  en  las  masacres  a  que  se  refiere  se</w:t>
        <w:br/>
        <w:t>ejecutaron mujeres  embarazadas[567]  y  que  incluso  en  las  exhumaciones</w:t>
        <w:br/>
        <w:t>correspondientes se recuperaron restos de un feto[568], el suscrito  propuso</w:t>
        <w:br/>
        <w:t>que se precisara si se consideraba a éste y a los demás  concebidos  que  se</w:t>
        <w:br/>
        <w:t>encontraban en los vientres de aquellas, como víctimas en este caso.</w:t>
        <w:br/>
        <w:br/>
        <w:t>El presente voto también se expide para expresar  que,  en  consideración  a</w:t>
        <w:br/>
        <w:t>que la controversia principal de autos ha versado sobre  la  responsabilidad</w:t>
        <w:br/>
        <w:t>internacional de la República de El Salvador por las  referidas  masacres  y</w:t>
        <w:br/>
        <w:t>no sobre lo que debe entenderse por persona o ser humano  al  amparo  de  lo</w:t>
        <w:br/>
        <w:t>dispuesto en el artículo 4.1  de  la  Convención  Americana  sobre  Derechos</w:t>
        <w:br/>
        <w:t>Humanos[569], el suscrito espera que esta última materia  sea  abordada  por</w:t>
        <w:br/>
        <w:t>la Corte Interamericana de Derechos Humanos con ocasión del conocimiento  de</w:t>
        <w:br/>
        <w:t>un caso más específica o directamente relacionado con la misma  y  expresar,</w:t>
        <w:br/>
        <w:t>en esa oportunidad, su parecer sobre el particular.</w:t>
        <w:br/>
        <w:br/>
        <w:t>EVG.</w:t>
        <w:br/>
        <w:br/>
        <w:br/>
        <w:br/>
        <w:br/>
        <w:t xml:space="preserve">                             Eduardo Vio Grossi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Secretario</w:t>
        <w:br/>
        <w:t xml:space="preserve">                                  ANEXO “A”</w:t>
        <w:br/>
        <w:br/>
        <w:t xml:space="preserve">                     Listado de las víctimas ejecutadas</w:t>
        <w:br/>
        <w:t>|Abelino Rodríguez Márquez                         |</w:t>
        <w:br/>
        <w:t>|Adolfo Arturo Márquez                             |</w:t>
        <w:br/>
        <w:t>|Agustina Argueta Márquez                          |</w:t>
        <w:br/>
        <w:t>|Agustina Martínez                                 |</w:t>
        <w:br/>
        <w:t>|Alejandra Romero                                  |</w:t>
        <w:br/>
        <w:t>|Alexis Mejía Romero                               |</w:t>
        <w:br/>
        <w:t>|Álvaro Claros Márquez o Guevara Díaz              |</w:t>
        <w:br/>
        <w:t>|Ambrosio Guevara                                  |</w:t>
        <w:br/>
        <w:t>|Amelia Sánchez                                    |</w:t>
        <w:br/>
        <w:t>|Aminta Vigil Argueta                              |</w:t>
        <w:br/>
        <w:t>|Amparo Márquez                                    |</w:t>
        <w:br/>
        <w:t>|Ana Eva Claros Romero                             |</w:t>
        <w:br/>
        <w:t>|Ana María Romero Pereira                          |</w:t>
        <w:br/>
        <w:t>|Ana Vilma o Francisca Vilma Márquez Márquez       |</w:t>
        <w:br/>
        <w:t>|Anastacia o María Anastacia Márquez               |</w:t>
        <w:br/>
        <w:t>|Anastacia Vigil Márquez                           |</w:t>
        <w:br/>
        <w:t>|Anastasio o Anastacio Chicas Romero               |</w:t>
        <w:br/>
        <w:t>|Andrés Argueta Ramos                              |</w:t>
        <w:br/>
        <w:t>|Ángel Vigil Márquez                               |</w:t>
        <w:br/>
        <w:t>|Ángela Argueta                                    |</w:t>
        <w:br/>
        <w:t>|Ángela del Cid                                    |</w:t>
        <w:br/>
        <w:t>|Angélica Márquez                                  |</w:t>
        <w:br/>
        <w:t>|Antolín Díaz Portillo                             |</w:t>
        <w:br/>
        <w:t>|Antolina Claros                                   |</w:t>
        <w:br/>
        <w:t>|Antonia Márquez del Cid                           |</w:t>
        <w:br/>
        <w:t>|Aquilino Díaz Martínez o Sáenz                    |</w:t>
        <w:br/>
        <w:t>|Arístides Chicas Argueta                          |</w:t>
        <w:br/>
        <w:t>|Arístides Díaz Argueta                            |</w:t>
        <w:br/>
        <w:t>|Arnoldo López Martínez                            |</w:t>
        <w:br/>
        <w:t>|Arnoldo Márquez Chicas                            |</w:t>
        <w:br/>
        <w:t>|Aurelia Ramírez                                   |</w:t>
        <w:br/>
        <w:t>|Basilio Alexí Márquez                             |</w:t>
        <w:br/>
        <w:t>|Basillio Argueta Ramos                            |</w:t>
        <w:br/>
        <w:t>|Benedicto Márquez                                 |</w:t>
        <w:br/>
        <w:t>|Benedicto Márquez Márquez                         |</w:t>
        <w:br/>
        <w:t>|Benito Claros Romero                              |</w:t>
        <w:br/>
        <w:t>|Benito Romero                                     |</w:t>
        <w:br/>
        <w:t>|Benjamín Claros                                   |</w:t>
        <w:br/>
        <w:t>|Benjamín Vigil                                    |</w:t>
        <w:br/>
        <w:t>|Bernabé Guevara Chicas                            |</w:t>
        <w:br/>
        <w:t>|Bernarda Martínez o López Martínez                |</w:t>
        <w:br/>
        <w:t>|Bernardina o Bernarda Márquez                     |</w:t>
        <w:br/>
        <w:t>|Bertoldino Pereira                                |</w:t>
        <w:br/>
        <w:t>|Beti Claros Márquez o Betty Guevara Díaz          |</w:t>
        <w:br/>
        <w:t>|Bonifacia Rodríguez o Anastasia Argueta           |</w:t>
        <w:br/>
        <w:t>|Bruno Alfredo Argueta                             |</w:t>
        <w:br/>
        <w:t>|Bruno Antonio Claros                              |</w:t>
        <w:br/>
        <w:t>|Bruno Elmer Romero Claros                         |</w:t>
        <w:br/>
        <w:t>|Carmen Márquez Chicas                             |</w:t>
        <w:br/>
        <w:t>|Catalina Guevara Chicas                           |</w:t>
        <w:br/>
        <w:t>|Catarino o Catalino Argueta                       |</w:t>
        <w:br/>
        <w:t>|Catarino o Catalino Rodríguez                     |</w:t>
        <w:br/>
        <w:t>|Cecilia Martínez o López Martínez                 |</w:t>
        <w:br/>
        <w:t>|Cecilia Ramírez                                   |</w:t>
        <w:br/>
        <w:t>|Cesario Márquez                                   |</w:t>
        <w:br/>
        <w:t>|Ciriaca Argueta                                   |</w:t>
        <w:br/>
        <w:t>|Ciro López                                        |</w:t>
        <w:br/>
        <w:t>|Claudio del Cid                                   |</w:t>
        <w:br/>
        <w:t>|Clementina Argueta de Márquez                     |</w:t>
        <w:br/>
        <w:t>|Cleotilde Márquez                                 |</w:t>
        <w:br/>
        <w:t>|Concepción Márquez                                |</w:t>
        <w:br/>
        <w:t>|Concepción Vigil                                  |</w:t>
        <w:br/>
        <w:t>|Crescencio Argueta                                |</w:t>
        <w:br/>
        <w:t>|Cristina Martínez Romero                          |</w:t>
        <w:br/>
        <w:t>|Cristina Vigil                                    |</w:t>
        <w:br/>
        <w:t>|Cristino Amaya Claros                             |</w:t>
        <w:br/>
        <w:t>|Daniel Romero                                     |</w:t>
        <w:br/>
        <w:t>|David Chicas Martínez                             |</w:t>
        <w:br/>
        <w:t>|Desiderio Claros                                  |</w:t>
        <w:br/>
        <w:t>|Dinora Márquez                                    |</w:t>
        <w:br/>
        <w:t>|Dionisia o Leonisia Mejía Argueta                 |</w:t>
        <w:br/>
        <w:t>|Dionisio Argueta Martínez                         |</w:t>
        <w:br/>
        <w:t>|Dolores Márquez                                   |</w:t>
        <w:br/>
        <w:t>|Dolores Martínez                                  |</w:t>
        <w:br/>
        <w:t>|Dolores Rodríguez Pereira                         |</w:t>
        <w:br/>
        <w:t>|Dominga Argueta                                   |</w:t>
        <w:br/>
        <w:t>|Dominga Chavarría                                 |</w:t>
        <w:br/>
        <w:t>|Dominga Sánchez                                   |</w:t>
        <w:br/>
        <w:t>|Domingo o José Domingo Claros                     |</w:t>
        <w:br/>
        <w:t>|Domitila Orellana                                 |</w:t>
        <w:br/>
        <w:t>|Donatila Pereira                                  |</w:t>
        <w:br/>
        <w:t>|Dora Márquez Chicas                               |</w:t>
        <w:br/>
        <w:t>|Doré Chicas Martínez                              |</w:t>
        <w:br/>
        <w:t>|Doré López Martínez                               |</w:t>
        <w:br/>
        <w:t>|Dorila Márquez Chicas                             |</w:t>
        <w:br/>
        <w:t>|Doris Claros Márquez o María Doris Guevara Díaz   |</w:t>
        <w:br/>
        <w:t>|Doris Ilda o Doris Hilda Argueta                  |</w:t>
        <w:br/>
        <w:t>|Edgar Marín López Martínez                        |</w:t>
        <w:br/>
        <w:t>|Edilfonso Argueta                                 |</w:t>
        <w:br/>
        <w:t>|Edis del Carmen Pereira Márquez                   |</w:t>
        <w:br/>
        <w:t>|Eduardo Díaz Claros                               |</w:t>
        <w:br/>
        <w:t>|Efraín Romero Romero                              |</w:t>
        <w:br/>
        <w:t>|Eladio Claros                                     |</w:t>
        <w:br/>
        <w:t>|Elgar Martínez                                    |</w:t>
        <w:br/>
        <w:t>|Elmer Nicolás Márquez                             |</w:t>
        <w:br/>
        <w:t>|Eloisa Portillo                                   |</w:t>
        <w:br/>
        <w:t>|Elsa Marisol Pereira                              |</w:t>
        <w:br/>
        <w:t>|Elsa Márquez                                      |</w:t>
        <w:br/>
        <w:t>|Elsa Márquez Chicas                               |</w:t>
        <w:br/>
        <w:t>|Elsi Concepción Claros Márquez o Elsy Guevara Díaz|</w:t>
        <w:br/>
        <w:t>|Elvira Hernández Argueta                          |</w:t>
        <w:br/>
        <w:t>|Emilesio Claros                                   |</w:t>
        <w:br/>
        <w:t>|Emilia Claros                                     |</w:t>
        <w:br/>
        <w:t>|Enemesia Luna                                     |</w:t>
        <w:br/>
        <w:t>|Enemesio Mártir Rodríguez                         |</w:t>
        <w:br/>
        <w:t>|Ernesto Argueta Ramos                             |</w:t>
        <w:br/>
        <w:t>|Estanislao Argueta Alvarenga                      |</w:t>
        <w:br/>
        <w:t>|Estanislao Díaz (Sáenz)                           |</w:t>
        <w:br/>
        <w:t>|Esteban Martínez Argueta                          |</w:t>
        <w:br/>
        <w:t>|Estela Díaz                                       |</w:t>
        <w:br/>
        <w:t>|Estela Márquez Chicas                             |</w:t>
        <w:br/>
        <w:t>|Etelvina Mejía Ramírez                            |</w:t>
        <w:br/>
        <w:t>|Eufemia Márquez Márquez                           |</w:t>
        <w:br/>
        <w:t>|Eugenia Díaz                                      |</w:t>
        <w:br/>
        <w:t>|Eusebia Díaz                                      |</w:t>
        <w:br/>
        <w:t>|Evelio Rodríguez Pereira                          |</w:t>
        <w:br/>
        <w:t>|Fabio López                                       |</w:t>
        <w:br/>
        <w:t>|Facunda Martínez Romero                           |</w:t>
        <w:br/>
        <w:t>|Federico Martínez                                 |</w:t>
        <w:br/>
        <w:t>|Felicita Díaz                                     |</w:t>
        <w:br/>
        <w:t>|Felipa Claros Amaya                               |</w:t>
        <w:br/>
        <w:t>|Felipa Martínez                                   |</w:t>
        <w:br/>
        <w:t>|Félix del Cid Vigil                               |</w:t>
        <w:br/>
        <w:t>|Félix Díaz Portillo                               |</w:t>
        <w:br/>
        <w:t>|Félix Rodríguez                                   |</w:t>
        <w:br/>
        <w:t>|Fernando Guevara                                  |</w:t>
        <w:br/>
        <w:t>|Fernando Hernández                                |</w:t>
        <w:br/>
        <w:t>|Fidel Romero Márquez                              |</w:t>
        <w:br/>
        <w:t>|Fidencio o Cedencio Argueta Ramos                 |</w:t>
        <w:br/>
        <w:t>|Filma Imelda o María Milma Claros Romero          |</w:t>
        <w:br/>
        <w:t>|Florencio Márquez Márquez                         |</w:t>
        <w:br/>
        <w:t>|Florentina Pereira[570]                           |</w:t>
        <w:br/>
        <w:t>|Florentina Pereira[571]                           |</w:t>
        <w:br/>
        <w:t>|Florentina Vigil                                  |</w:t>
        <w:br/>
        <w:t>|Florinda del Cid de Guevara                       |</w:t>
        <w:br/>
        <w:t>|Francisca Chavarría                               |</w:t>
        <w:br/>
        <w:t>|Francisca del Cid                                 |</w:t>
        <w:br/>
        <w:t>|Francisca Reyes Argueta                           |</w:t>
        <w:br/>
        <w:t>|Francisca Sánchez                                 |</w:t>
        <w:br/>
        <w:t>|Francisco Claros                                  |</w:t>
        <w:br/>
        <w:t>|Francisco Díaz Argueta                            |</w:t>
        <w:br/>
        <w:t>|Francisco Ramírez                                 |</w:t>
        <w:br/>
        <w:t>|Francisco Vigil Argueta                           |</w:t>
        <w:br/>
        <w:t>|Gaspar Claros Márquez o Gaspar Fredi Guevara Díaz |</w:t>
        <w:br/>
        <w:t>|Genoveva Díaz                                     |</w:t>
        <w:br/>
        <w:t>|Gerardo Argueta                                   |</w:t>
        <w:br/>
        <w:t>|Gervasio Chicas Argueta                           |</w:t>
        <w:br/>
        <w:t>|Gil Humberto Pereira                              |</w:t>
        <w:br/>
        <w:t>|Gilberto Hernández Argueta                        |</w:t>
        <w:br/>
        <w:t>|Gregorio Sánchez                                  |</w:t>
        <w:br/>
        <w:t>|Guillerma Márquez                                 |</w:t>
        <w:br/>
        <w:t>|Heriberto Martínez López                          |</w:t>
        <w:br/>
        <w:t>|Hermenegilda Márquez                              |</w:t>
        <w:br/>
        <w:t>|Herminio Márquez                                  |</w:t>
        <w:br/>
        <w:t>|Hernán Rodríguez Pereira                          |</w:t>
        <w:br/>
        <w:t>|Hilaria Hernández                                 |</w:t>
        <w:br/>
        <w:t>|Hilda Hortensia Márquez Argueta                   |</w:t>
        <w:br/>
        <w:t>|Hipólita Claros Romero                            |</w:t>
        <w:br/>
        <w:t>|Hortensia o María Hortensia Romero                |</w:t>
        <w:br/>
        <w:t>|Inés Pereira Márquez                              |</w:t>
        <w:br/>
        <w:t>|Irma Janet Díaz Pereira                           |</w:t>
        <w:br/>
        <w:t>|Isabel Argueta                                    |</w:t>
        <w:br/>
        <w:t>|Isidoro Chicas Argueta                            |</w:t>
        <w:br/>
        <w:t>|Isidra Claros                                     |</w:t>
        <w:br/>
        <w:t>|Ismael López                                      |</w:t>
        <w:br/>
        <w:t>|Israel Márquez                                    |</w:t>
        <w:br/>
        <w:t>|Jacinta Guevara o Díaz                            |</w:t>
        <w:br/>
        <w:t>|Jacinto Sánchez[572]                              |</w:t>
        <w:br/>
        <w:t>|Jacinto Sánchez[573]                              |</w:t>
        <w:br/>
        <w:t>|Jeremías Díaz Argueta                             |</w:t>
        <w:br/>
        <w:t>|Jesús Chicas Argueta                              |</w:t>
        <w:br/>
        <w:t>|Jesús Salvador Romero Pereira                     |</w:t>
        <w:br/>
        <w:t>|Joaquín López Martínez                            |</w:t>
        <w:br/>
        <w:t>|Jorge Márquez Márquez                             |</w:t>
        <w:br/>
        <w:t>|Jorgen Martínez                                   |</w:t>
        <w:br/>
        <w:t>|José Abilio Vigil                                 |</w:t>
        <w:br/>
        <w:t>|José Adán Márquez                                 |</w:t>
        <w:br/>
        <w:t>|José Alejandro Antonio Díaz                       |</w:t>
        <w:br/>
        <w:t>|José Aníbal Pereira Márquez                       |</w:t>
        <w:br/>
        <w:t>|José Anunciación Chicas Martínez                  |</w:t>
        <w:br/>
        <w:t>|José Aristides Pereira Márquez                    |</w:t>
        <w:br/>
        <w:t>|José Armando Pereira                              |</w:t>
        <w:br/>
        <w:t>|José Atilio Pereira Márquez                       |</w:t>
        <w:br/>
        <w:t>|José Benjamín Márquez Chicas                      |</w:t>
        <w:br/>
        <w:t>|José Carlos Díaz                                  |</w:t>
        <w:br/>
        <w:t>|José Cayetano Argueta                             |</w:t>
        <w:br/>
        <w:t>|José Cleofás López Martínez                       |</w:t>
        <w:br/>
        <w:t>|José Concepción Márquez Chicas                    |</w:t>
        <w:br/>
        <w:t>|José Daniel Claros                                |</w:t>
        <w:br/>
        <w:t>|José Díaz Chavarría                               |</w:t>
        <w:br/>
        <w:t>|José Efraim Márquez                               |</w:t>
        <w:br/>
        <w:t>|José Evangelista Márquez Gutiérrez                |</w:t>
        <w:br/>
        <w:t>|José Germán Díaz Chica                            |</w:t>
        <w:br/>
        <w:t>|José Horacio Márquez Márquez                      |</w:t>
        <w:br/>
        <w:t>|José Humberto Claros Márquez o José Edilberto     |</w:t>
        <w:br/>
        <w:t>|Claros                                            |</w:t>
        <w:br/>
        <w:t>|José Ignacio Pereira                              |</w:t>
        <w:br/>
        <w:t>|José Jesús Pereira Márquez                        |</w:t>
        <w:br/>
        <w:t>|José Marcos Díaz Márquez                          |</w:t>
        <w:br/>
        <w:t>|José María Hernández Argueta                      |</w:t>
        <w:br/>
        <w:t>|José María Márquez                                |</w:t>
        <w:br/>
        <w:t>|José María Márquez Argueta[574]                   |</w:t>
        <w:br/>
        <w:t>|José Mario o Mario Márquez Márquez                |</w:t>
        <w:br/>
        <w:t>|José Mario Pereira Guevara                        |</w:t>
        <w:br/>
        <w:t>|José Maximiliano o Maximiliano Argueta            |</w:t>
        <w:br/>
        <w:t>|José Nilo Márquez Vigil                           |</w:t>
        <w:br/>
        <w:t>|José Orlando Márquez Chicas                       |</w:t>
        <w:br/>
        <w:t>|José Rafael o Rafael Martínez                     |</w:t>
        <w:br/>
        <w:t>|José Raymundo Claros                              |</w:t>
        <w:br/>
        <w:t>|José René o René Díaz                             |</w:t>
        <w:br/>
        <w:t>|José Romero Márquez                               |</w:t>
        <w:br/>
        <w:t>|José Rumaldo Márquez                              |</w:t>
        <w:br/>
        <w:t>|José Santos Argueta Márquez                       |</w:t>
        <w:br/>
        <w:t>|José Santos Mejía Márquez                         |</w:t>
        <w:br/>
        <w:t>|José Vicitación Mejía Márquez                     |</w:t>
        <w:br/>
        <w:t>|José Vigil                                        |</w:t>
        <w:br/>
        <w:t>|José Virjino o José Virginio Mejía Márquez        |</w:t>
        <w:br/>
        <w:t>|José Wilfredo Vigil                               |</w:t>
        <w:br/>
        <w:t>|Josefina Hernández o Guevara Hernández            |</w:t>
        <w:br/>
        <w:t>|Juan Ángel o Juan de los Ángeles Claros           |</w:t>
        <w:br/>
        <w:t>|Juan Ángel Pereira                                |</w:t>
        <w:br/>
        <w:t>|Juan Bautista Claros Márquez                      |</w:t>
        <w:br/>
        <w:t>|Juan Chicas                                       |</w:t>
        <w:br/>
        <w:t>|Juan Evangelista Sánchez                          |</w:t>
        <w:br/>
        <w:t>|Juan Francisco Márquez Chicas                     |</w:t>
        <w:br/>
        <w:t>|Juan Martínez                                     |</w:t>
        <w:br/>
        <w:t>|Juana Argueta Ramos                               |</w:t>
        <w:br/>
        <w:t>|Juana Díaz del Cid                                |</w:t>
        <w:br/>
        <w:t>|Juana Elvira Márquez Chicas                       |</w:t>
        <w:br/>
        <w:t>|Julgencia Argueta                                 |</w:t>
        <w:br/>
        <w:t>|Julia Claros                                      |</w:t>
        <w:br/>
        <w:t>|Julia del Cid                                     |</w:t>
        <w:br/>
        <w:t>|Julio Cesar Argueta                               |</w:t>
        <w:br/>
        <w:t>|Justina Guevara o María Justa Rufina Guevara      |</w:t>
        <w:br/>
        <w:t>|Justiniana N. de Argueta                          |</w:t>
        <w:br/>
        <w:t>|Justiniano Chicas Martínez                        |</w:t>
        <w:br/>
        <w:t>|Justo Martínez                                    |</w:t>
        <w:br/>
        <w:t>|Leonarda Márquez                                  |</w:t>
        <w:br/>
        <w:t>|Leonarda Martínez o Martínez Membreño             |</w:t>
        <w:br/>
        <w:t>|Leonardo Márquez del Cid                          |</w:t>
        <w:br/>
        <w:t>|Leonilda Díaz o Leonisia Claros                   |</w:t>
        <w:br/>
        <w:t>|Leonisia Romero                                   |</w:t>
        <w:br/>
        <w:t>|Lidia Márquez                                     |</w:t>
        <w:br/>
        <w:t>|Lilian Rodríguez Pereira                          |</w:t>
        <w:br/>
        <w:t>|Lino José Rodríguez Márquez                       |</w:t>
        <w:br/>
        <w:t>|Lorenza Márquez                                   |</w:t>
        <w:br/>
        <w:t>|Lorenzo Argueta                                   |</w:t>
        <w:br/>
        <w:t>|Lorenzo Argueta Argueta                           |</w:t>
        <w:br/>
        <w:t>|Lorenzo Vigil                                     |</w:t>
        <w:br/>
        <w:t>|Lucas Guevara                                     |</w:t>
        <w:br/>
        <w:t>|Lucía Mártil Chicas de Márquez                    |</w:t>
        <w:br/>
        <w:t>|Luciano Chicas Argueta                            |</w:t>
        <w:br/>
        <w:t>|Luciano Díaz Argueta                              |</w:t>
        <w:br/>
        <w:t>|Lucino Romero                                     |</w:t>
        <w:br/>
        <w:t>|Lucio Argueta Reyes                               |</w:t>
        <w:br/>
        <w:t>|Lucrecia Chicas                                   |</w:t>
        <w:br/>
        <w:t>|Lucrecia Chicas Chicas                            |</w:t>
        <w:br/>
        <w:t>|Luis Vigil                                        |</w:t>
        <w:br/>
        <w:t>|Macario Díaz o Díaz Márquez                       |</w:t>
        <w:br/>
        <w:t>|Manuel Santos Pereira Argueta                     |</w:t>
        <w:br/>
        <w:t>|Marcos Amílcar Díaz Pereira                       |</w:t>
        <w:br/>
        <w:t>|Margarita Márquez                                 |</w:t>
        <w:br/>
        <w:t>|Margarita Márquez Claros                          |</w:t>
        <w:br/>
        <w:t>|Margarita Martínez Romero                         |</w:t>
        <w:br/>
        <w:t>|María Amelia Chicas                               |</w:t>
        <w:br/>
        <w:t>|María Andrea Márquez                              |</w:t>
        <w:br/>
        <w:t>|María Angélica Sánchez                            |</w:t>
        <w:br/>
        <w:t>|María Antonia Amaya                               |</w:t>
        <w:br/>
        <w:t>|María Antonia Vigil Argueta                       |</w:t>
        <w:br/>
        <w:t>|María Argueta[575]                                |</w:t>
        <w:br/>
        <w:t>|María Argueta[576]                                |</w:t>
        <w:br/>
        <w:t>|María Bernarda Márquez                            |</w:t>
        <w:br/>
        <w:t>|María Candelaria Márquez                          |</w:t>
        <w:br/>
        <w:t>|María Clementina Márquez Márquez                  |</w:t>
        <w:br/>
        <w:t>|María Concepción Claros del Cid                   |</w:t>
        <w:br/>
        <w:t>|María Concepción Romero                           |</w:t>
        <w:br/>
        <w:t>|María de Jesús Martínez                           |</w:t>
        <w:br/>
        <w:t>|María de la Paz Pereira Márquez                   |</w:t>
        <w:br/>
        <w:t>|María de los Ángeles Guevara                      |</w:t>
        <w:br/>
        <w:t>|María de los Ángeles Romero                       |</w:t>
        <w:br/>
        <w:t>|María del Rosario Claros Márquez                  |</w:t>
        <w:br/>
        <w:t>|María Dolores Amaya Claros                        |</w:t>
        <w:br/>
        <w:t>|María Dominga Vigil                               |</w:t>
        <w:br/>
        <w:t>|María Eliberta o Heriberta Ramos de Argueta       |</w:t>
        <w:br/>
        <w:t>|María Elvira Márquez                              |</w:t>
        <w:br/>
        <w:t>|María Ernestina o María Enermila Romero Claros    |</w:t>
        <w:br/>
        <w:t>|María Estela Chica Argueta                        |</w:t>
        <w:br/>
        <w:t>|María Esther Martínez                             |</w:t>
        <w:br/>
        <w:t>|María Eugenia Claros                              |</w:t>
        <w:br/>
        <w:t>|María Eugenia Martínez                            |</w:t>
        <w:br/>
        <w:t>|María Eugenia Sánchez                             |</w:t>
        <w:br/>
        <w:t>|María Faustina del Cid Membreño                   |</w:t>
        <w:br/>
        <w:t>|María Francisca Márquez de Pereira                |</w:t>
        <w:br/>
        <w:t>|María Gloria Pereira Márquez                      |</w:t>
        <w:br/>
        <w:t>|María Gregoria Maradiaga o Martínez               |</w:t>
        <w:br/>
        <w:t>|María Guevara                                     |</w:t>
        <w:br/>
        <w:t>|María Heriberta Martínez Torres                   |</w:t>
        <w:br/>
        <w:t>|María Inés Martínez o Martínez Vigil              |</w:t>
        <w:br/>
        <w:t>|María Irma Sánchez                                |</w:t>
        <w:br/>
        <w:t>|María Isabel Amaya Claros                         |</w:t>
        <w:br/>
        <w:t>|María Juana Claros Amaya                          |</w:t>
        <w:br/>
        <w:t>|María Luna Ramírez                                |</w:t>
        <w:br/>
        <w:t>|María Marcelina Díaz Barrera                      |</w:t>
        <w:br/>
        <w:t>|María Marta Chicas                                |</w:t>
        <w:br/>
        <w:t>|María Marta Martínez                              |</w:t>
        <w:br/>
        <w:t>|María Martha Márquez                              |</w:t>
        <w:br/>
        <w:t>|María Mártir Claros Márquez                       |</w:t>
        <w:br/>
        <w:t>|María Mártir Márquez                              |</w:t>
        <w:br/>
        <w:t>|María Mejía Argueta                               |</w:t>
        <w:br/>
        <w:t>|María Modesta Argueta                             |</w:t>
        <w:br/>
        <w:t>|María Nelly Romero Pereira                        |</w:t>
        <w:br/>
        <w:t>|María Onofre Márquez de Mejía                     |</w:t>
        <w:br/>
        <w:t>|María Petronila Barrera del Cid                   |</w:t>
        <w:br/>
        <w:t>|María Reyes Ramos                                 |</w:t>
        <w:br/>
        <w:t>|María Rosa Márquez Chicas                         |</w:t>
        <w:br/>
        <w:t>|María Rosana Márquez                              |</w:t>
        <w:br/>
        <w:t>|María Santos Argueta Vigil                        |</w:t>
        <w:br/>
        <w:t>|María Santos Claros Márquez                       |</w:t>
        <w:br/>
        <w:t>|María Santos Márquez o Guevara                    |</w:t>
        <w:br/>
        <w:t>|María Santos Pereira de Rodríguez                 |</w:t>
        <w:br/>
        <w:t>|María Saturnina Argueta                           |</w:t>
        <w:br/>
        <w:t>|María Silvia Márquez Chicas                       |</w:t>
        <w:br/>
        <w:t>|María Vicenta Romero                              |</w:t>
        <w:br/>
        <w:t>|María Wendy Rivera López                          |</w:t>
        <w:br/>
        <w:t>|Mariana Sánchez                                   |</w:t>
        <w:br/>
        <w:t>|Marina Argueta                                    |</w:t>
        <w:br/>
        <w:t>|Marino Chicas Martínez                            |</w:t>
        <w:br/>
        <w:t>|Marta Lilian Amaya Claros                         |</w:t>
        <w:br/>
        <w:t>|Marta Martínez                                    |</w:t>
        <w:br/>
        <w:t>|Mártil Vigil Argueta                              |</w:t>
        <w:br/>
        <w:t>|Martina Argueta[577]                              |</w:t>
        <w:br/>
        <w:t>|Martina Chicas                                    |</w:t>
        <w:br/>
        <w:t>|Martina Romero Claros                             |</w:t>
        <w:br/>
        <w:t>|Mártir Portillo                                   |</w:t>
        <w:br/>
        <w:t>|Marto Vigil                                       |</w:t>
        <w:br/>
        <w:t>|Marto Vigil Argueta                               |</w:t>
        <w:br/>
        <w:t>|Matea Vigil                                       |</w:t>
        <w:br/>
        <w:t>|Mateo López                                       |</w:t>
        <w:br/>
        <w:t>|Matías Márquez                                    |</w:t>
        <w:br/>
        <w:t>|Maura Claros                                      |</w:t>
        <w:br/>
        <w:t>|Mauricio o Domingo del Cid                        |</w:t>
        <w:br/>
        <w:t>|Maximiliano Márquez Márquez                       |</w:t>
        <w:br/>
        <w:t>|Máximo Argueta Reyes                              |</w:t>
        <w:br/>
        <w:t>|Máximo Márquez Vigil                              |</w:t>
        <w:br/>
        <w:t>|Máximo Rodríguez                                  |</w:t>
        <w:br/>
        <w:t>|Melecio Claros                                    |</w:t>
        <w:br/>
        <w:t>|Melesio Argueta Alvarenga                         |</w:t>
        <w:br/>
        <w:t>|Mercedes Argueta Vigil                            |</w:t>
        <w:br/>
        <w:t>|Mercedes Pereira Márquez                          |</w:t>
        <w:br/>
        <w:t>|Miguel Argueta                                    |</w:t>
        <w:br/>
        <w:t>|Milton Vigil Guevara                              |</w:t>
        <w:br/>
        <w:t>|Miriam Márquez                                    |</w:t>
        <w:br/>
        <w:t>|Modesto Márquez                                   |</w:t>
        <w:br/>
        <w:t>|Moisés Claros                                     |</w:t>
        <w:br/>
        <w:t>|Moncho Márquez                                    |</w:t>
        <w:br/>
        <w:t>|Narcisa Márquez[578]                              |</w:t>
        <w:br/>
        <w:t>|Narcisa Márquez Márquez[579]                      |</w:t>
        <w:br/>
        <w:t>|Natalia Guevara                                   |</w:t>
        <w:br/>
        <w:t>|Natividad Argueta                                 |</w:t>
        <w:br/>
        <w:t>|Natividad Luna o Luna de de Pérez                 |</w:t>
        <w:br/>
        <w:t>|Nazaria Argueta                                   |</w:t>
        <w:br/>
        <w:t>|Neli Argueta Ramos                                |</w:t>
        <w:br/>
        <w:t>|Nicolasa Chicas Argueta                           |</w:t>
        <w:br/>
        <w:t>|Norberta Márquez                                  |</w:t>
        <w:br/>
        <w:t>|Octaviana Luna u Octavia Luna Pérez               |</w:t>
        <w:br/>
        <w:t>|Orbelina Márquez                                  |</w:t>
        <w:br/>
        <w:t>|Pablo Chicas Martínez                             |</w:t>
        <w:br/>
        <w:t>|Pedro Advíncula o Adavíntola Chica                |</w:t>
        <w:br/>
        <w:t>|Pedro Argueta Claros                              |</w:t>
        <w:br/>
        <w:t>|Pedro Vigil Argueta                               |</w:t>
        <w:br/>
        <w:t>|Perfecto Sánchez                                  |</w:t>
        <w:br/>
        <w:t>|Petrona Chavarría                                 |</w:t>
        <w:br/>
        <w:t>|Petrona Chicas Romero                             |</w:t>
        <w:br/>
        <w:t>|Presentación Márquez Gutiérrez                    |</w:t>
        <w:br/>
        <w:t>|Priscila López Sánchez                            |</w:t>
        <w:br/>
        <w:t>|Rafael Mejía Argueta                              |</w:t>
        <w:br/>
        <w:t>|Ramón Romero Márquez                              |</w:t>
        <w:br/>
        <w:t>|Raymunda Esperanza Mejía Márquez                  |</w:t>
        <w:br/>
        <w:t>|Raymundo Romero Márquez                           |</w:t>
        <w:br/>
        <w:t>|Regino Argueta Martínez                           |</w:t>
        <w:br/>
        <w:t>|Reynalda López Sánchez                            |</w:t>
        <w:br/>
        <w:t>|Rogelia Orellana Díaz                             |</w:t>
        <w:br/>
        <w:t>|Romana Pereira                                    |</w:t>
        <w:br/>
        <w:t>|Roque Guevara                                     |</w:t>
        <w:br/>
        <w:t>|Rosa Argueta Ramos                                |</w:t>
        <w:br/>
        <w:t>|Rosa Cándida Pereira Guevara                      |</w:t>
        <w:br/>
        <w:t>|Rosa del Cid Vigil                                |</w:t>
        <w:br/>
        <w:t>|Rosa Elia Pereira                                 |</w:t>
        <w:br/>
        <w:t>|Rosa Elvira del Cid                               |</w:t>
        <w:br/>
        <w:t>|Rosa María Díaz                                   |</w:t>
        <w:br/>
        <w:t>|Rosa Márquez Chicas                               |</w:t>
        <w:br/>
        <w:t>|Rosa Nidia Márquez Chicas                         |</w:t>
        <w:br/>
        <w:t>|Rosa Nohemí Claros                                |</w:t>
        <w:br/>
        <w:t>|Rosalina Mejía Márquez                            |</w:t>
        <w:br/>
        <w:t>|Rosario Argueta Ramos                             |</w:t>
        <w:br/>
        <w:t>|Rosita Márquez                                    |</w:t>
        <w:br/>
        <w:t>|Rufina Romero                                     |</w:t>
        <w:br/>
        <w:t>|Ruperto Dolores Argueta Chicas                    |</w:t>
        <w:br/>
        <w:t>|Salvador Márquez                                  |</w:t>
        <w:br/>
        <w:t>|Santos Aníbal Argueta                             |</w:t>
        <w:br/>
        <w:t>|Santos Barrera Romero                             |</w:t>
        <w:br/>
        <w:t>|Santos Chavarría                                  |</w:t>
        <w:br/>
        <w:t>|Santos Díaz Chavarría                             |</w:t>
        <w:br/>
        <w:t>|Santos Emely del Cid                              |</w:t>
        <w:br/>
        <w:t>|Santos Evenor Vigil Márquez                       |</w:t>
        <w:br/>
        <w:t>|Santos Hernández Argueta                          |</w:t>
        <w:br/>
        <w:t>|Santos Márquez Márquez                            |</w:t>
        <w:br/>
        <w:t>|Santos Obidio Pereira Márquez                     |</w:t>
        <w:br/>
        <w:t>|Santos Socorro Márquez                            |</w:t>
        <w:br/>
        <w:t>|Sara Díaz Argueta                                 |</w:t>
        <w:br/>
        <w:t>|Saturnina Díaz                                    |</w:t>
        <w:br/>
        <w:t>|Seferina Márquez                                  |</w:t>
        <w:br/>
        <w:t>|Seferina Vigil Argueta                            |</w:t>
        <w:br/>
        <w:t>|Segundo Márquez Chicas                            |</w:t>
        <w:br/>
        <w:t>|Sergio Márquez                                    |</w:t>
        <w:br/>
        <w:t>|Servanda Márquez                                  |</w:t>
        <w:br/>
        <w:t>|Simeona Vigil                                     |</w:t>
        <w:br/>
        <w:t>|Sinforoso Pereira o Reyes                         |</w:t>
        <w:br/>
        <w:t>|Sofía de la Paz Chicas                            |</w:t>
        <w:br/>
        <w:t>|Sofía Márquez Pereira                             |</w:t>
        <w:br/>
        <w:t>|Sonia Dinora Argueta Márquez                      |</w:t>
        <w:br/>
        <w:t>|Sonia Elizabeth Romero                            |</w:t>
        <w:br/>
        <w:t>|Sonia Gladis Díaz Pereira                         |</w:t>
        <w:br/>
        <w:t>|Sonia Marlene Márquez Márquez                     |</w:t>
        <w:br/>
        <w:t>|Susana Ramírez                                    |</w:t>
        <w:br/>
        <w:t>|Teodora Ramírez                                   |</w:t>
        <w:br/>
        <w:t>|Teodoro Martínez                                  |</w:t>
        <w:br/>
        <w:t>|Teodoso Mejía Romero                              |</w:t>
        <w:br/>
        <w:t>|Teresa de Jesús Mejía Márquez                     |</w:t>
        <w:br/>
        <w:t>|Teresa o Teresa Amelia de Jesús Argueta           |</w:t>
        <w:br/>
        <w:t>|Tiburcio Mejía Argueta                            |</w:t>
        <w:br/>
        <w:t>|Timotea Claros                                    |</w:t>
        <w:br/>
        <w:t>|Timoteo Argueta                                   |</w:t>
        <w:br/>
        <w:t>|Timoteo Márquez Argueta                           |</w:t>
        <w:br/>
        <w:t>|Tomás Martínez Argueta                            |</w:t>
        <w:br/>
        <w:t>|Tomasa Argueta Chicas                             |</w:t>
        <w:br/>
        <w:t>|Tomasa Martínez                                   |</w:t>
        <w:br/>
        <w:t>|Tránsito Chicas Argueta                           |</w:t>
        <w:br/>
        <w:t>|Vicenta del Cid                                   |</w:t>
        <w:br/>
        <w:t>|Vicente Márquez                                   |</w:t>
        <w:br/>
        <w:t>|Victorina Chicas                                  |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ANEXO “B”</w:t>
        <w:br/>
        <w:t xml:space="preserve">                   Listado de las víctimas sobrevivientes</w:t>
        <w:br/>
        <w:t>|Alejandro Hernández Argueta                 |</w:t>
        <w:br/>
        <w:t>|Anastacio Guevara                           |</w:t>
        <w:br/>
        <w:t>|Antolín Ramírez                             |</w:t>
        <w:br/>
        <w:t>|Antonia Guevara Díaz                        |</w:t>
        <w:br/>
        <w:t>|Bernardino o Bernaldino Guevara Chicas      |</w:t>
        <w:br/>
        <w:t>|Bertila Márquez Sánchez                     |</w:t>
        <w:br/>
        <w:t>|César Martínez Hernández                    |</w:t>
        <w:br/>
        <w:t>|Claudia Ramos                               |</w:t>
        <w:br/>
        <w:t>|Domingo Vigil Amaya                         |</w:t>
        <w:br/>
        <w:t>|Elsa Ercilia Márquez Sánchez                |</w:t>
        <w:br/>
        <w:t>|Eugenia Luna Luna                           |</w:t>
        <w:br/>
        <w:t>|Eustaquio Martínez Vigil                    |</w:t>
        <w:br/>
        <w:t>|Genaro Sánchez                              |</w:t>
        <w:br/>
        <w:t>|Gregorio Chicas                             |</w:t>
        <w:br/>
        <w:t>|Griscelda Ramírez                           |</w:t>
        <w:br/>
        <w:t>|Hilario Sánchez Gómez                       |</w:t>
        <w:br/>
        <w:t>|Irma Ramos Márquez                          |</w:t>
        <w:br/>
        <w:t>|José Noé Márquez Sánchez                    |</w:t>
        <w:br/>
        <w:t>|José René Márquez Sánchez                   |</w:t>
        <w:br/>
        <w:t>|Juan Antonio Pereira Vigil                  |</w:t>
        <w:br/>
        <w:t>|Juan Bautista Márquez Argueta               |</w:t>
        <w:br/>
        <w:t>|Lucila Ramos                                |</w:t>
        <w:br/>
        <w:t>|Lucila Romero Martínez                      |</w:t>
        <w:br/>
        <w:t>|Lucio Ramos                                 |</w:t>
        <w:br/>
        <w:t>|Luis Ramos                                  |</w:t>
        <w:br/>
        <w:t>|María Amanda Martínez o Martínez Vigil      |</w:t>
        <w:br/>
        <w:t>|María del Rosario López Sánchez             |</w:t>
        <w:br/>
        <w:t>|María Dorila Márquez de Márquez             |</w:t>
        <w:br/>
        <w:t>|María Erlinda Amaya Márquez                 |</w:t>
        <w:br/>
        <w:t>|María Florinda Sánchez                      |</w:t>
        <w:br/>
        <w:t>|María Inés Ramírez                          |</w:t>
        <w:br/>
        <w:t>|María Magdalena Chicas Díaz                 |</w:t>
        <w:br/>
        <w:t>|María Teófila Pereira Argueta               |</w:t>
        <w:br/>
        <w:t>|Matilde del Cid Membreño                    |</w:t>
        <w:br/>
        <w:t>|Nicolás Díaz Chicas                         |</w:t>
        <w:br/>
        <w:t>|Pastora Ramírez                             |</w:t>
        <w:br/>
        <w:t>|Patricio Díaz                               |</w:t>
        <w:br/>
        <w:t>|Pedro Chicas Romero                         |</w:t>
        <w:br/>
        <w:t>|Remigio Márquez                             |</w:t>
        <w:br/>
        <w:t>|Rosa Ramírez Hernández                      |</w:t>
        <w:br/>
        <w:t>|Rosendo Hernández Amaya                     |</w:t>
        <w:br/>
        <w:t>|Rufina Amaya Vda. de Márquez                |</w:t>
        <w:br/>
        <w:t>|Santos Jacobo Chicas Guevara                |</w:t>
        <w:br/>
        <w:t>|Santos Ramírez                              |</w:t>
        <w:br/>
        <w:t>|Santos Ramos                                |</w:t>
        <w:br/>
        <w:t>|Sofía Márquez Sánchez                       |</w:t>
        <w:br/>
        <w:t>|Sotero Guevara Martínez                     |</w:t>
        <w:br/>
        <w:t>|Valeriano Ramírez                           |</w:t>
        <w:br/>
        <w:br/>
        <w:br/>
        <w:br/>
        <w:br/>
        <w:t xml:space="preserve">                                  ANEXO “C”</w:t>
        <w:br/>
        <w:t xml:space="preserve">              Listado de familiares de las víctimas ejecutadas</w:t>
        <w:br/>
        <w:t>|Alba Ignacia del Cid                       |</w:t>
        <w:br/>
        <w:t>|Alejandra Márquez de Pereira               |</w:t>
        <w:br/>
        <w:t>|Alfredo Márquez                            |</w:t>
        <w:br/>
        <w:t>|Alicia Fermina Sánchez                     |</w:t>
        <w:br/>
        <w:t>|Alonzo Márquez Claros                      |</w:t>
        <w:br/>
        <w:t>|Ana Francisca Pereira Vda. de Pereira      |</w:t>
        <w:br/>
        <w:t>|Ana Leonila Pereira Márquez                |</w:t>
        <w:br/>
        <w:t>|Arcadia Ramírez Portillo                   |</w:t>
        <w:br/>
        <w:t>|Benita Claros                              |</w:t>
        <w:br/>
        <w:t>|Benito Argueta Claros                      |</w:t>
        <w:br/>
        <w:t>|Benito Márquez Chica                       |</w:t>
        <w:br/>
        <w:t>|Bruna García de Márquez                    |</w:t>
        <w:br/>
        <w:t>|Catalina Claros Tovar                      |</w:t>
        <w:br/>
        <w:t>|Cerapia Chica Chica                        |</w:t>
        <w:br/>
        <w:t>|Cristóbal Sánchez Mejía                    |</w:t>
        <w:br/>
        <w:t>|Deisy Nohemí Márquez Rodríguez             |</w:t>
        <w:br/>
        <w:t>|Dionicio Díaz Barrera                      |</w:t>
        <w:br/>
        <w:t>|Domingo Díaz Barrera                       |</w:t>
        <w:br/>
        <w:t>|Dore Rutilio Argueta Ramos                 |</w:t>
        <w:br/>
        <w:t>|Eduardo Concepción Argueta Márquez         |</w:t>
        <w:br/>
        <w:t>|Efigenia Romero Márquez                    |</w:t>
        <w:br/>
        <w:t>|Elsa Marina Argueta Argueta                |</w:t>
        <w:br/>
        <w:t>|Esteban Saenz Díaz                         |</w:t>
        <w:br/>
        <w:t>|Eugenia Márquez Márquez                    |</w:t>
        <w:br/>
        <w:t>|Fidelia Márquez Amaya                      |</w:t>
        <w:br/>
        <w:t>|Flora Isabel Romero Pereira                |</w:t>
        <w:br/>
        <w:t>|Florencia Claros de Argueta                |</w:t>
        <w:br/>
        <w:t>|Francisca Chica Chica                      |</w:t>
        <w:br/>
        <w:t>|Francisca Díaz de Guevara                  |</w:t>
        <w:br/>
        <w:t>|Francisca Enma Nolasco de Pereira          |</w:t>
        <w:br/>
        <w:t>|Gerarda Luna Ramírez                       |</w:t>
        <w:br/>
        <w:t>|Glenda Yesenia Argueta Orellana            |</w:t>
        <w:br/>
        <w:t>|Gonzalo Mejía Sánchez                      |</w:t>
        <w:br/>
        <w:t>|Hilaria Chicas Guevara                     |</w:t>
        <w:br/>
        <w:t>|Ignacia Claros Díaz                        |</w:t>
        <w:br/>
        <w:t>|Ignacio Chica                              |</w:t>
        <w:br/>
        <w:t>|Inés Díaz Portillo                         |</w:t>
        <w:br/>
        <w:t>|Isabel Gutiérrez Chica                     |</w:t>
        <w:br/>
        <w:t>|Ismael Márquez                             |</w:t>
        <w:br/>
        <w:t>|Jacoba Mejía Sánchez                       |</w:t>
        <w:br/>
        <w:t>|José Amparo Martínez García                |</w:t>
        <w:br/>
        <w:t>|José Antonio Márquez Claros                |</w:t>
        <w:br/>
        <w:t>|José Castillo Guevara Claros               |</w:t>
        <w:br/>
        <w:t>|José Cruz Vigil del Cid                    |</w:t>
        <w:br/>
        <w:t>|José Domingo Chica Márquez                 |</w:t>
        <w:br/>
        <w:t>|José Domingo Márquez Membreño              |</w:t>
        <w:br/>
        <w:t>|José Elías Romero Pereira                  |</w:t>
        <w:br/>
        <w:t>|José Eliseo Claros Romero                  |</w:t>
        <w:br/>
        <w:t>|José Gervacio Díaz                         |</w:t>
        <w:br/>
        <w:t>|José Héctor Márquez                        |</w:t>
        <w:br/>
        <w:t>|José Manuel Claros Márquez                 |</w:t>
        <w:br/>
        <w:t>|José Mario Díaz Guevara                    |</w:t>
        <w:br/>
        <w:t>|José Moisés Claros Márquez                 |</w:t>
        <w:br/>
        <w:t>|José Orlando Márquez García                |</w:t>
        <w:br/>
        <w:t>|José Pablo Díaz Portillo                   |</w:t>
        <w:br/>
        <w:t>|José Prudencio Díaz                        |</w:t>
        <w:br/>
        <w:t>|José Rigoberto Claros Díaz                 |</w:t>
        <w:br/>
        <w:t>|José Saturnino Guevara Romero              |</w:t>
        <w:br/>
        <w:t>|José Socorro Chica                         |</w:t>
        <w:br/>
        <w:t>|Juan Bautista Hernández Argueta            |</w:t>
        <w:br/>
        <w:t>|Juan de Mata Argueta Argueta               |</w:t>
        <w:br/>
        <w:t>|Juan Francisco Claros Claros               |</w:t>
        <w:br/>
        <w:t>|Juana Bautista Guevara de Martínez         |</w:t>
        <w:br/>
        <w:t>|Juana Inocente Claros                      |</w:t>
        <w:br/>
        <w:t>|Julian Romero                              |</w:t>
        <w:br/>
        <w:t>|Juvencio Márquez Vigil                     |</w:t>
        <w:br/>
        <w:t>|Leocadio Díaz Argueta                      |</w:t>
        <w:br/>
        <w:t>|Magdaleno Martínez Argueta                 |</w:t>
        <w:br/>
        <w:t>|Margarito Claros                           |</w:t>
        <w:br/>
        <w:t>|María Adelinda Claros Pereira              |</w:t>
        <w:br/>
        <w:t>|María Alejandra Díaz                       |</w:t>
        <w:br/>
        <w:t>|María Ángel Díaz de Barahona               |</w:t>
        <w:br/>
        <w:t>|María Avigail Amaya de Martínez            |</w:t>
        <w:br/>
        <w:t>|María Catalina Gutierres de Márquez        |</w:t>
        <w:br/>
        <w:t>|María Catarina Claros Romero               |</w:t>
        <w:br/>
        <w:t>|María de Jesús Márquez Claros              |</w:t>
        <w:br/>
        <w:t>|María de la Cruz Argueta Guevara           |</w:t>
        <w:br/>
        <w:t>|María de la Paz Chicas de Amaya            |</w:t>
        <w:br/>
        <w:t>|María del Carmen Márquez Díaz              |</w:t>
        <w:br/>
        <w:t>|María Elena Vigil                          |</w:t>
        <w:br/>
        <w:t>|María Ester González Márquez Argueta       |</w:t>
        <w:br/>
        <w:t>|María Ester Márquez Vda. de Díaz           |</w:t>
        <w:br/>
        <w:t>|María Fabia Claros Orellana                |</w:t>
        <w:br/>
        <w:t>|María Fausta Gutiérrez de Argueta          |</w:t>
        <w:br/>
        <w:t>|María Félix Claros                         |</w:t>
        <w:br/>
        <w:t>|María Fernanda Barrera Viuda de Márquez    |</w:t>
        <w:br/>
        <w:t>|María Gabina Hernández Vda. de Díaz        |</w:t>
        <w:br/>
        <w:t>|María Hilda Claros de García               |</w:t>
        <w:br/>
        <w:t>|María Julia Pereira de Argueta             |</w:t>
        <w:br/>
        <w:t>|María Leonilda Claros de Cruz              |</w:t>
        <w:br/>
        <w:t>|María Luisa del Cid Vigil                  |</w:t>
        <w:br/>
        <w:t>|María Luisa Guevara Claros                 |</w:t>
        <w:br/>
        <w:t>|María Luz Claros Díaz                      |</w:t>
        <w:br/>
        <w:t>|María Magdalena Chicas Márquez             |</w:t>
        <w:br/>
        <w:t>|María Otilia Chicas de Ramos               |</w:t>
        <w:br/>
        <w:t>|María Ramona Márquez de Chicas             |</w:t>
        <w:br/>
        <w:t>|María Regina Márquez Argueta               |</w:t>
        <w:br/>
        <w:t>|María Reyes Gutiérrez Vda. de Chicas       |</w:t>
        <w:br/>
        <w:t>|María Rosalina Claros                      |</w:t>
        <w:br/>
        <w:t>|María Santana Guevara Amaya                |</w:t>
        <w:br/>
        <w:t>|María Santos Argueta de Tobar              |</w:t>
        <w:br/>
        <w:t>|María Santos Claros de Díaz                |</w:t>
        <w:br/>
        <w:t>|María Santos Márquez de Márquez            |</w:t>
        <w:br/>
        <w:t>|María Segunda Claros Márquez               |</w:t>
        <w:br/>
        <w:t>|Marta Alicia Mejía Márquez                 |</w:t>
        <w:br/>
        <w:t>|Martina Argueta[580]                       |</w:t>
        <w:br/>
        <w:t>|Martina Claros Márquez                     |</w:t>
        <w:br/>
        <w:t>|Mercedes Chicas                            |</w:t>
        <w:br/>
        <w:t>|Miguel del Cid Márquez                     |</w:t>
        <w:br/>
        <w:t>|Modesta Mabel Benítez Ramos                |</w:t>
        <w:br/>
        <w:t>|Pedro Martínez                             |</w:t>
        <w:br/>
        <w:t>|Pedro Ramos Hernández                      |</w:t>
        <w:br/>
        <w:t>|Reina Dionila Portillo de Silva            |</w:t>
        <w:br/>
        <w:t>|Rina Maribel Claros                        |</w:t>
        <w:br/>
        <w:t>|Rosa Celia Argueta Argueta                 |</w:t>
        <w:br/>
        <w:t>|Rosa Mery Ramírez Mejía                    |</w:t>
        <w:br/>
        <w:t>|Santos Alvaro Pereira Márquez              |</w:t>
        <w:br/>
        <w:t>|Santos Argueta Guevara                     |</w:t>
        <w:br/>
        <w:t>|Santos Vito Mejía                          |</w:t>
        <w:br/>
        <w:t>|Sebastián Vigil Romero                     |</w:t>
        <w:br/>
        <w:t>|Sofía Romero Pereira                       |</w:t>
        <w:br/>
        <w:t>|Teresa Márquez de Argueta                  |</w:t>
        <w:br/>
        <w:t>|Virgilio del Cid                           |</w:t>
        <w:br/>
        <w:t>|Virginia Luna de Argueta                   |</w:t>
        <w:br/>
        <w:br/>
        <w:br/>
        <w:t xml:space="preserve">                                  ANEXO “D”</w:t>
        <w:br/>
        <w:t xml:space="preserve">              Listado de las víctimas desplazadas forzadamente</w:t>
        <w:br/>
        <w:t>|Alejandro Hernández Argueta             |</w:t>
        <w:br/>
        <w:t>|Antonia Guevara Díaz                    |</w:t>
        <w:br/>
        <w:t>|Bernardino o Bernaldino Guevara Chicas  |</w:t>
        <w:br/>
        <w:t>|Bertila Márquez Sánchez                 |</w:t>
        <w:br/>
        <w:t>|Claudia Ramos                           |</w:t>
        <w:br/>
        <w:t>|Domingo Vigil Amaya                     |</w:t>
        <w:br/>
        <w:t>|Elsa Ercilia Márquez Sánchez            |</w:t>
        <w:br/>
        <w:t>|Eugenia Luna Luna                       |</w:t>
        <w:br/>
        <w:t>|Genaro Sánchez                          |</w:t>
        <w:br/>
        <w:t>|Hilario Sánchez Gómez                   |</w:t>
        <w:br/>
        <w:t>|José Noé Márquez Sánchez                |</w:t>
        <w:br/>
        <w:t>|José René Márquez Sánchez               |</w:t>
        <w:br/>
        <w:t>|Juan Antonio Pereira Vigil              |</w:t>
        <w:br/>
        <w:t>|Juan Bautista Márquez Argueta           |</w:t>
        <w:br/>
        <w:t>|Lucila Ramos                            |</w:t>
        <w:br/>
        <w:t>|Lucila Romero Martínez                  |</w:t>
        <w:br/>
        <w:t>|Lucio Ramos                             |</w:t>
        <w:br/>
        <w:t>|Luis Ramos                              |</w:t>
        <w:br/>
        <w:t>|María del Rosario López Sánchez         |</w:t>
        <w:br/>
        <w:t>|María Erlinda Amaya Márquez             |</w:t>
        <w:br/>
        <w:t>|María Florinda Sánchez                  |</w:t>
        <w:br/>
        <w:t>|María Magdalena Chicas Díaz             |</w:t>
        <w:br/>
        <w:t>|María Teófila Pereira Argueta           |</w:t>
        <w:br/>
        <w:t>|Matilde del Cid Membreño                |</w:t>
        <w:br/>
        <w:t>|Rosendo Hernández Amaya                 |</w:t>
        <w:br/>
        <w:t>|Rufina Amaya Vda. de Márquez            |</w:t>
        <w:br/>
        <w:t>|Santos Jacobo Chicas Guevara            |</w:t>
        <w:br/>
        <w:t>|Santos Ramos                            |</w:t>
        <w:br/>
        <w:t>|Sofía Márquez Sánchez                   |</w:t>
        <w:br/>
        <w:br/>
        <w:br/>
        <w:t xml:space="preserve">                                  ANEXO “E”</w:t>
        <w:br/>
        <w:t xml:space="preserve"> Listado de personas respecto de quienes hay indicios sobre su condición de</w:t>
        <w:br/>
        <w:t xml:space="preserve">       posible víctima pero no constan en ningún listado de presuntas</w:t>
        <w:br/>
        <w:t xml:space="preserve">                                víctimas[581]</w:t>
        <w:br/>
        <w:t>|Abelino Ramírez                      |</w:t>
        <w:br/>
        <w:t>|Agustina Chicas Mejía                |</w:t>
        <w:br/>
        <w:t>|Amadeo Martínez                      |</w:t>
        <w:br/>
        <w:t>|Ana Ramírez                          |</w:t>
        <w:br/>
        <w:t>|Anastacio Pereira Vigil              |</w:t>
        <w:br/>
        <w:t>|Andrés Mejía                         |</w:t>
        <w:br/>
        <w:t>|Aurelio Sánchez                      |</w:t>
        <w:br/>
        <w:t>|Bruna Martínez                       |</w:t>
        <w:br/>
        <w:t>|Carlos Sánchez                       |</w:t>
        <w:br/>
        <w:t>|Catalina Argueta                     |</w:t>
        <w:br/>
        <w:t>|Cirilo Luna                          |</w:t>
        <w:br/>
        <w:t>|Cruz Díaz                            |</w:t>
        <w:br/>
        <w:t>|Cruz Peraza                          |</w:t>
        <w:br/>
        <w:t>|Delio o Evelio Díaz                  |</w:t>
        <w:br/>
        <w:t>|Dinora Ramírez                       |</w:t>
        <w:br/>
        <w:t>|Donatila Mejía                       |</w:t>
        <w:br/>
        <w:t>|Eraldo Argueta                       |</w:t>
        <w:br/>
        <w:t>|Flaminio Chicas Mejía                |</w:t>
        <w:br/>
        <w:t>|Gabriel Ramírez                      |</w:t>
        <w:br/>
        <w:t>|Hermula López Sánchez                |</w:t>
        <w:br/>
        <w:t>|Higinio del Cid                      |</w:t>
        <w:br/>
        <w:t>|Ildefonso o Alfonso Guevara          |</w:t>
        <w:br/>
        <w:t>|Jorge Sánchez                        |</w:t>
        <w:br/>
        <w:t>|José Atilio Romero Pereira           |</w:t>
        <w:br/>
        <w:t>|José de los Ángeles Mejía            |</w:t>
        <w:br/>
        <w:t>|José Santos Pereira                  |</w:t>
        <w:br/>
        <w:t>|Josefa Ramírez                       |</w:t>
        <w:br/>
        <w:t>|Juan Ramírez                         |</w:t>
        <w:br/>
        <w:t>|Lidia Chicas Mejía                   |</w:t>
        <w:br/>
        <w:t>|Luciana Márquez                      |</w:t>
        <w:br/>
        <w:t>|Luis Guevara                         |</w:t>
        <w:br/>
        <w:t>|Macario Guevara                      |</w:t>
        <w:br/>
        <w:t>|María Lucinda Márquez Claros         |</w:t>
        <w:br/>
        <w:t>|María Márquez Claros                 |</w:t>
        <w:br/>
        <w:t>|Martina Díaz                         |</w:t>
        <w:br/>
        <w:t>|Matilde Portillo                     |</w:t>
        <w:br/>
        <w:t>|Melecio Martínez                     |</w:t>
        <w:br/>
        <w:t>|Melida López                         |</w:t>
        <w:br/>
        <w:t>|Nelson Guevara Díaz                  |</w:t>
        <w:br/>
        <w:t>|Remigio Chicas Mejía                 |</w:t>
        <w:br/>
        <w:t>|Roberto Argueta                      |</w:t>
        <w:br/>
        <w:t>|Rosalina López                       |</w:t>
        <w:br/>
        <w:t>|Santos Ceferina Sánchez Díaz         |</w:t>
        <w:br/>
        <w:t>|Santos del Cid                       |</w:t>
        <w:br/>
        <w:t>|Santos Inocente Pereira              |</w:t>
        <w:br/>
        <w:t>|Santos López                         |</w:t>
        <w:br/>
        <w:t>|Saturnino Hernández                  |</w:t>
        <w:br/>
        <w:t>|Sebastiana Márquez                   |</w:t>
        <w:br/>
        <w:t>|Silvina Romero                       |</w:t>
        <w:br/>
        <w:t>|Tomás Benítez Ramos                  |</w:t>
        <w:br/>
        <w:t>|Tránsito Luna                        |</w:t>
        <w:br/>
        <w:t>|Valentín Luna                        |</w:t>
        <w:br/>
        <w:t>|Visitación Argueta                   |</w:t>
        <w:br/>
        <w:t>|Wilson Valeriano Guevara             |</w:t>
        <w:br/>
        <w:br/>
        <w:br/>
        <w:t>-----------------------</w:t>
        <w:br/>
        <w:t>(     Reglamento de la Corte aprobado por el Tribunal en  su  LXXXV  Período</w:t>
        <w:br/>
        <w:t>Ordinario de Sesiones, celebrado del 16 al 28 de noviembre de 2009.</w:t>
        <w:br/>
        <w:br/>
        <w:t>[1]   En dicho informe, la  Comisión  declaró  que  el  caso  era  admisible</w:t>
        <w:br/>
        <w:t>respecto a la presunta violación de los artículos 4, 5, 7, 8, 11, 19,  21  y</w:t>
        <w:br/>
        <w:t>25  de  la  Convención  Americana,  en   relación   con   las   obligaciones</w:t>
        <w:br/>
        <w:t>establecidas en los artículos 1.1 y 2 del mismo tratado.</w:t>
        <w:br/>
        <w:br/>
        <w:t>[2]   De conformidad con el artículo 35.3 del Reglamento de la Corte,  “[l]a</w:t>
        <w:br/>
        <w:t>Comisión deberá indicar cuáles de los hechos contenidos  en  el  informe  al</w:t>
        <w:br/>
        <w:t>que se refiere el artículo 50 de la Convención somete a la consideración  de</w:t>
        <w:br/>
        <w:t>la Corte”.</w:t>
        <w:br/>
        <w:br/>
        <w:t>[3]   Mediante comunicaciones de 23 y 30 de mayo de 2011 las  organizaciones</w:t>
        <w:br/>
        <w:t>Oficina de Tutela Legal del Arzobispado (OTLA) y Centro por  la  Justicia  y</w:t>
        <w:br/>
        <w:t>el Derecho  Internacional  (CEJIL)  manifestaron  que,  “efectivamente,  […]</w:t>
        <w:br/>
        <w:t>representa[ba]n a las [presuntas] víctimas del presente caso”, y  remitieron</w:t>
        <w:br/>
        <w:t>mandatos de representación en respuesta a lo solicitado mediante nota de  la</w:t>
        <w:br/>
        <w:t>Secretaría de la Corte de 3 de  mayo  de  2011,  mediante  la  cual  se  les</w:t>
        <w:br/>
        <w:t>solicitó que confirmaran si  efectivamente  representaban  a  las  presuntas</w:t>
        <w:br/>
        <w:t>víctimas de este caso, en cuyo supuesto debían acreditar tal  representación</w:t>
        <w:br/>
        <w:t>a través de poderes de representación o por medio  de  otros  documentos  de</w:t>
        <w:br/>
        <w:t>los que se derivara una manifestación clara de la voluntad de las  presuntas</w:t>
        <w:br/>
        <w:t>víctimas para ser  representadas  por  miembros  de  dichas  organizaciones.</w:t>
        <w:br/>
        <w:t>Debido a que  las  referidas  organizaciones  expresaron  “que  desde  algún</w:t>
        <w:br/>
        <w:t>tiempo [se] encontra[ban] en  un  proceso  continuo  de  depuración  de  los</w:t>
        <w:br/>
        <w:t>listados de las [presuntas] víctimas desplazadas y de los familiares de  las</w:t>
        <w:br/>
        <w:t>[presuntas] víctimas asesinadas”, el Presidente de la  Corte  solicitó,  por</w:t>
        <w:br/>
        <w:t>ende, a los representantes que informaran oportunamente si representarían  a</w:t>
        <w:br/>
        <w:t>otras  personas  durante  este   proceso.   Asimismo,   los   representantes</w:t>
        <w:br/>
        <w:t>remitieron “listados actualizados” de presuntas víctimas. En  cuanto  a  los</w:t>
        <w:br/>
        <w:t>“listados  actualizados”  de  presuntas   víctimas   presentados   por   los</w:t>
        <w:br/>
        <w:t>representantes, sin que esto les fuera solicitado, en razón de lo  dispuesto</w:t>
        <w:br/>
        <w:t>en el  artículo  35,  inciso  2,  del  Reglamento,  se  comunicó  que  dicha</w:t>
        <w:br/>
        <w:t>información sería puesta en  conocimiento  de  la  Corte  para  los  efectos</w:t>
        <w:br/>
        <w:t>pertinentes.</w:t>
        <w:br/>
        <w:br/>
        <w:t>[4]   Ver Caso Masacres de El Mozote y lugares  aledaños  Vs.  El  Salvador.</w:t>
        <w:br/>
        <w:t>Fondo de Asistencia Legal de  Víctimas.  Resolución  del  Presidente  de  la</w:t>
        <w:br/>
        <w:t>Corte Interamericana de Derechos Humanos de 1 de diciembre  de  2011,  párr.</w:t>
        <w:br/>
        <w:t>34.                              Disponible                              en:</w:t>
        <w:br/>
        <w:t>http://corteidh.or.cr/docs/fondo_victimas/mozote_fv_11.pdf</w:t>
        <w:br/>
        <w:br/>
        <w:t>[5]   Reglamento de la Corte Interamericana de  Derechos  Humanos  sobre  el</w:t>
        <w:br/>
        <w:t>Funcionamiento del Fondo de Asistencia Legal de Víctimas,  aprobado  por  el</w:t>
        <w:br/>
        <w:t>Tribunal el 4 de febrero de 2010, y en vigor a partir  del  1  de  junio  de</w:t>
        <w:br/>
        <w:t>2010.</w:t>
        <w:br/>
        <w:br/>
        <w:t>[6]   Cfr. Caso Masacres de El Mozote y lugares aledaños  Vs.  El  Salvador.</w:t>
        <w:br/>
        <w:t>Convocatoria a Audiencia Pública. Resolución  del  Presidente  de  la  Corte</w:t>
        <w:br/>
        <w:t>Interamericana de Derechos Humanos de 22 de marzo de  2012.  Disponible  en:</w:t>
        <w:br/>
        <w:t>http://www.corteidh.or.cr/docs/asuntos/elmozote_%2022_03_12.pdf</w:t>
        <w:br/>
        <w:br/>
        <w:t>[7]   En aplicación de lo previsto en el artículo 50.5 del Reglamento de  la</w:t>
        <w:br/>
        <w:t>Corte, y de conformidad con la Resolución del Presidente de 22 de  marzo  de</w:t>
        <w:br/>
        <w:t>2012 (Considerandos 27 a 31 y Punto Resolutivo segundo), el 30 de  marzo  de</w:t>
        <w:br/>
        <w:t>2012 la Comisión presentó un listado de  preguntas  para  los  peritos  Luis</w:t>
        <w:br/>
        <w:t>Fondebrider, Silvana Turner  y  Mercedes  C.  Doretti.  Por  su  parte,  los</w:t>
        <w:br/>
        <w:t>representantes y el Estado indicaron que no tenían preguntas que formular.</w:t>
        <w:br/>
        <w:br/>
        <w:t>[8]   A esta audiencia comparecieron: a)  por  la  Comisión  Interamericana:</w:t>
        <w:br/>
        <w:t>las  señoras  Rosa  María   Ortiz,   Comisionada,   Elizabeth   Abi-Mershed,</w:t>
        <w:br/>
        <w:t>Secretaria  Ejecutiva  Adjunta,  así  como  Silvia  Serrano  Guzmán,  Isabel</w:t>
        <w:br/>
        <w:t>Madariaga  y  Karla  I.  Quintana  Osuna,  Abogadas  Especialistas   de   la</w:t>
        <w:br/>
        <w:t>Secretaría Ejecutiva;  b)  por  los  representantes:  los  señores  Wilfredo</w:t>
        <w:br/>
        <w:t>Medrano y Ovidio Mauricio González, de OTLA, así como las señoras Gisela  De</w:t>
        <w:br/>
        <w:t>León y Marcela Martino, de CEJIL, y c) por el Estado: los señores  Embajador</w:t>
        <w:br/>
        <w:t>Sebastián Vaquerano López,  Agente  alterno;  David  Ernesto  Morales  Cruz,</w:t>
        <w:br/>
        <w:t>Director General de Derechos Humanos de la Cancillería; David  Amilcar  Mena</w:t>
        <w:br/>
        <w:t>Rodríguez, Coordinador de la Unidad  de  Diálogo  Social  de  la  Secretaría</w:t>
        <w:br/>
        <w:t>Técnica de la Presidencia; Josué Samuel Hernández,  Subdirector  General  de</w:t>
        <w:br/>
        <w:t>Estadísticas y Censos,  y  Gloria  Evelyn  Martínez  Ramos,  Técnica  de  la</w:t>
        <w:br/>
        <w:t>Dirección General de Derechos Humanos de la Cancillería.</w:t>
        <w:br/>
        <w:br/>
        <w:t>[9]   Escrito de 20 de abril de 2012, presentado el 4 de mayo de 2012.</w:t>
        <w:br/>
        <w:br/>
        <w:t>[10]  Escrito sin fecha, presentado el 7 de mayo de 2012.</w:t>
        <w:br/>
        <w:br/>
        <w:t>[11]  Los artículos 62 y 64 del Reglamento de la Corte establecen:</w:t>
        <w:br/>
        <w:br/>
        <w:t>Artículo 62. Reconocimiento</w:t>
        <w:br/>
        <w:br/>
        <w:t xml:space="preserve">      Si el demandado comunicare a la Corte su aceptación de los hechos o su</w:t>
        <w:br/>
        <w:t xml:space="preserve">      allanamiento total o parcial a las  pretensiones  que  constan  en  el</w:t>
        <w:br/>
        <w:t xml:space="preserve">      sometimiento del caso o en el escrito de las presuntas víctimas o  sus</w:t>
        <w:br/>
        <w:t xml:space="preserve">      representantes, la Corte, oído el parecer de los demás  intervinientes</w:t>
        <w:br/>
        <w:t xml:space="preserve">      en el proceso, resolverá, en el momento procesal  oportuno,  sobre  su</w:t>
        <w:br/>
        <w:t xml:space="preserve">      procedencia y sus efectos jurídicos.</w:t>
        <w:br/>
        <w:br/>
        <w:t>Artículo 64. Prosecución del examen del caso</w:t>
        <w:br/>
        <w:br/>
        <w:t xml:space="preserve">      La Corte, teniendo en cuenta las responsabilidades que le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br/>
        <w:t>[12]   Cfr.  Caso  Kimel  Vs.  Argentina.  Fondo,  Reparaciones  y   Costas.</w:t>
        <w:br/>
        <w:t>Sentencia de 2 de mayo de 2008. Serie C No. 177, párr. 24, y  Caso  Masacres</w:t>
        <w:br/>
        <w:t>de Río Negro Vs. Guatemala.  Excepción  Preliminar,  Fondo,  Reparaciones  y</w:t>
        <w:br/>
        <w:t>Costas. Sentencia de 4 de septiembre de 2012. Serie C No. 250, párr. 22.</w:t>
        <w:br/>
        <w:br/>
        <w:t>[13]   Cfr.  Caso   Manuel   Cepeda   Vargas   Vs.   Colombia.   Excepciones</w:t>
        <w:br/>
        <w:t>Preliminares, Fondo, Reparaciones y Costas.  Sentencia  de  26  de  mayo  de</w:t>
        <w:br/>
        <w:t>2010. Serie C  No.  213,  párr.  17,  y  Caso  Masacres  de  Río  Negro  Vs.</w:t>
        <w:br/>
        <w:t>Guatemala, párr. 20.</w:t>
        <w:br/>
        <w:br/>
        <w:t>[14]  Cfr.  Caso  Familia  Barrios  Vs.  Venezuela.  Fondo,  Reparaciones  y</w:t>
        <w:br/>
        <w:t>Costas. Sentencia de 24 de noviembre de 2011. Serie C No. 237, párr.  33,  y</w:t>
        <w:br/>
        <w:t>Caso Díaz Peña Vs. Venezuela. Excepción Preliminar,  Fondo,  Reparaciones  y</w:t>
        <w:br/>
        <w:t>Costas. Sentencia de 26 de junio de 2012. Serie C No. 244, párr. 34.</w:t>
        <w:br/>
        <w:br/>
        <w:t>[15]  Cfr. Caso Tiu Tojín  Vs.  Guatemala.  Fondo,  Reparaciones  y  Costas.</w:t>
        <w:br/>
        <w:t>Sentencia de 26 de noviembre de 2008. Serie C No.  190,  párr.  26,  y  Caso</w:t>
        <w:br/>
        <w:t>Masacres de Río Negro Vs. Guatemala, párr. 28.</w:t>
        <w:br/>
        <w:br/>
        <w:t>[16]  Cfr. Caso del Caracazo  Vs.  Venezuela.  Fondo.  Sentencia  de  11  de</w:t>
        <w:br/>
        <w:t>noviembre de 1999. Serie C No. 58, párr. 43, y Caso Contreras  y  otros  Vs.</w:t>
        <w:br/>
        <w:t>El Salvador. Fondo, Reparaciones y Costas. Sentencia  de  31  de  agosto  de</w:t>
        <w:br/>
        <w:t>2011. Serie C No. 232, párr. 26.</w:t>
        <w:br/>
        <w:br/>
        <w:t>[17]  Cfr. Caso  Manuel  Cepeda  Vargas  Vs.  Colombia,  párr.  18,  y  Caso</w:t>
        <w:br/>
        <w:t>Masacres de Río Negro Vs. Guatemala, párr. 28.</w:t>
        <w:br/>
        <w:br/>
        <w:t>[18]   El  instrumento  por  medio  del  cual  El  Salvador   reconoció   la</w:t>
        <w:br/>
        <w:t>competencia  contenciosa  de  la  Corte  incluye  una  limitación   temporal</w:t>
        <w:br/>
        <w:t>respecto de los casos que podrían someterse al  conocimiento  del  Tribunal,</w:t>
        <w:br/>
        <w:t>en los siguientes términos:</w:t>
        <w:br/>
        <w:br/>
        <w:t xml:space="preserve">      El Gobierno de El Salvador reconoce como obligatoria de pleno  derecho</w:t>
        <w:br/>
        <w:t xml:space="preserve">      y sin Convención especial, la competencia de la  Corte  Interamericana</w:t>
        <w:br/>
        <w:t xml:space="preserve">      de Derechos Humanos, de conformidad con lo dispuesto en el Artículo 62</w:t>
        <w:br/>
        <w:t xml:space="preserve">      de la Convención American [sobre] Derechos Humanos  o  “Pacto  de  San</w:t>
        <w:br/>
        <w:t xml:space="preserve">      José”.</w:t>
        <w:br/>
        <w:br/>
        <w:t xml:space="preserve">      El Gobierno  de  El  Salvador,  al  reconocer  tal  competencia,  deja</w:t>
        <w:br/>
        <w:t xml:space="preserve">      constancia que su  aceptación  se  hace  por  plazo  indefinido,  bajo</w:t>
        <w:br/>
        <w:t xml:space="preserve">      condición de reciprocidad y con la reserva de que los casos en que  se</w:t>
        <w:br/>
        <w:t xml:space="preserve">      reconoce la competencia, comprende  sola  u  exclusivamente  hechos  o</w:t>
        <w:br/>
        <w:t xml:space="preserve">      actos jurídicos posteriores o hechos o actos jurídicos cuyo  principio</w:t>
        <w:br/>
        <w:t xml:space="preserve">      de ejecución  sean  posteriores  a  la  fecha  del  depósito  de  esta</w:t>
        <w:br/>
        <w:t xml:space="preserve">      Declaración de Aceptación, […].</w:t>
        <w:br/>
        <w:br/>
        <w:t>Cfr.  Texto  de  la  declaración  de  reconocimiento   de   la   competencia</w:t>
        <w:br/>
        <w:t>contenciosa de la Corte Interamericana de Derechos  Humanos,  presentada  al</w:t>
        <w:br/>
        <w:t>Secretario General de la OEA el 6 de junio de 1995.</w:t>
        <w:br/>
        <w:br/>
        <w:t>[19]  Cfr. Caso  de  la  “Panel  Blanca”  (Paniagua  Morales  y  otros)  Vs.</w:t>
        <w:br/>
        <w:t>Guatemala. Reparaciones y Costas. Sentencia de 25 de mayo de 2001.  Serie  C</w:t>
        <w:br/>
        <w:t>No. 76, párr. 51, y Caso Masacres de Río Negro Vs. Guatemala, párr. 40.</w:t>
        <w:br/>
        <w:br/>
        <w:t>[20]  Cfr. Caso  de  la  “Panel  Blanca”  (Paniagua  Morales  y  otros)  Vs.</w:t>
        <w:br/>
        <w:t>Guatemala. Fondo. Sentencia de 8 de marzo de 1998. Serie  C  No.  37,  párr.</w:t>
        <w:br/>
        <w:t>76, y Caso Masacres de Río Negro Vs. Guatemala, párr. 40.</w:t>
        <w:br/>
        <w:br/>
        <w:t>[21]  De conformidad con la certificación notarial de 19 de  abril  de  2012</w:t>
        <w:br/>
        <w:t>se constató que dichas declaraciones se otorgaron el  1  y  2  de  abril  de</w:t>
        <w:br/>
        <w:t>2012. Cfr. Expediente de fondo, tomo III, folio 1184.</w:t>
        <w:br/>
        <w:br/>
        <w:t>[22]  En su pasaporte figura como María Margarita  Chica  de  Argueta.  Cfr.</w:t>
        <w:br/>
        <w:t>expediente de fondo, tomo II, folio 1112.</w:t>
        <w:br/>
        <w:br/>
        <w:t>[23]  Cfr. Caso Velásquez Rodríguez Vs. Honduras. Fondo. Sentencia de 29  de</w:t>
        <w:br/>
        <w:t>julio de 1988. Serie C No. 4, párr.140, y Caso Palma  Mendoza  y  otros  Vs.</w:t>
        <w:br/>
        <w:t>Ecuador. Excepción Preliminar y Fondo.  Sentencia  de  3  de  septiembre  de</w:t>
        <w:br/>
        <w:t>2012. Serie C No. 247, párr. 23.</w:t>
        <w:br/>
        <w:br/>
        <w:t>[24]  Cfr. Caso Velásquez Rodríguez Vs. Honduras. Fondo, párr. 146,  y  Caso</w:t>
        <w:br/>
        <w:t>Vélez Restrepo y  Familiares  Vs.  Colombia.  Excepción  Preliminar,  Fondo,</w:t>
        <w:br/>
        <w:t>Reparaciones y Costas. Sentencia de 3 de septiembre de  2012.  Serie  C  No.</w:t>
        <w:br/>
        <w:t>248, párr. 62.</w:t>
        <w:br/>
        <w:br/>
        <w:t>[25]  Cfr.  Caso  Radilla  Pacheco  Vs.  México.  Excepciones  Preliminares,</w:t>
        <w:br/>
        <w:t>Fondo, Reparaciones y Costas. Sentencia de 23 de noviembre de 2009. Serie  C</w:t>
        <w:br/>
        <w:t>No. 209, párr. 77, y Caso Vélez Restrepo y Familiares  Vs.  Colombia,  párr.</w:t>
        <w:br/>
        <w:t>62.</w:t>
        <w:br/>
        <w:br/>
        <w:t>[26]  Cfr. Caso Escué Zapata Vs. Colombia. Fondo,  Reparaciones  y  Costas.</w:t>
        <w:br/>
        <w:t>Sentencia de 4 de julio de 2007. Serie C No. 165, párr. 26,  y  Caso  Vélez</w:t>
        <w:br/>
        <w:t>Restrepo y Familiares Vs. Colombia, párr. 63.</w:t>
        <w:br/>
        <w:br/>
        <w:t>[27]  Cfr. Caso Radilla Pacheco Vs. México, párr. 72, y Caso  Gomes  Lund  y</w:t>
        <w:br/>
        <w:t>otros (Guerrilha do Araguaia) Vs. Brasil. Excepciones  Preliminares,  Fondo,</w:t>
        <w:br/>
        <w:t>Reparaciones y Costas. Sentencia de 24 de noviembre de  2010.  Serie  C  No.</w:t>
        <w:br/>
        <w:t>219, párr. 55.</w:t>
        <w:br/>
        <w:br/>
        <w:t>[28]  Los objetos de todas estas declaraciones  se  encuentran  establecidos</w:t>
        <w:br/>
        <w:t>en la Resolución del Presidente de la Corte de 22 de marzo de  2012,  puntos</w:t>
        <w:br/>
        <w:t>resolutivos primero y quinto, la cual puede ser consultada en la página  web</w:t>
        <w:br/>
        <w:t>de       la        Corte        en        el        siguiente        enlace:</w:t>
        <w:br/>
        <w:t>http://www.corteidh.or.cr/docs/asuntos/elmozote_%2022_03_12.pdf</w:t>
        <w:br/>
        <w:br/>
        <w:t>[29]   Cfr.  Caso  Loayza  Tamayo  Vs.  Perú.  Fondo.  Sentencia  de  17  de</w:t>
        <w:br/>
        <w:t>septiembre de 1997. Serie C No. 33, párr. 43, y Caso Masacres de  Río  Negro</w:t>
        <w:br/>
        <w:t>Vs. Guatemala, párr. 43.</w:t>
        <w:br/>
        <w:br/>
        <w:t>[30]  Cfr. Caso Contreras y otros Vs. El  Salvador.  Fondo,  Reparaciones  y</w:t>
        <w:br/>
        <w:t>Costas. Sentencia de 31 de agosto de 2011. Serie C No. 232.</w:t>
        <w:br/>
        <w:br/>
        <w:t>[31]  Cfr. Certificación de la Alcaldía Municipal  de  Villa  de  Meanguera,</w:t>
        <w:br/>
        <w:t>Departamento de Morazán, El Salvador,  emitida  el  10  de  agosto  de  2011</w:t>
        <w:br/>
        <w:t>(expediente de  prueba,  tomo  XI,  anexo  18  al  escrito  de  solicitudes,</w:t>
        <w:br/>
        <w:t>argumentos y pruebas, folio 7026), y Certificación de la Alcaldía  Municipal</w:t>
        <w:br/>
        <w:t>de Arambala, Departamento de Morazán, El Salvador, emitida el 10  de  agosto</w:t>
        <w:br/>
        <w:t>de 2011 (expediente de prueba, tomo XI, anexo 18 al escrito de  solicitudes,</w:t>
        <w:br/>
        <w:t>argumentos y pruebas, folio 7027).</w:t>
        <w:br/>
        <w:br/>
        <w:t>[32]   Cfr.  Disco  compacto  que  contiene  documentos  que  demuestran  el</w:t>
        <w:br/>
        <w:t>parentesco entre las víctimas ejecutadas y  las  sobrevivientes  (expediente</w:t>
        <w:br/>
        <w:t>de prueba, tomo XVI, anexo  36  al  escrito  de  solicitudes,  argumentos  y</w:t>
        <w:br/>
        <w:t>pruebas, folio 9898).</w:t>
        <w:br/>
        <w:br/>
        <w:t>[33]  Cfr. Caso Masacres de Río Negro Vs. Guatemala, párr. 49.</w:t>
        <w:br/>
        <w:br/>
        <w:t>[34]  Caso Masacres de Río Negro Vs. Guatemala, párr. 49.</w:t>
        <w:br/>
        <w:br/>
        <w:t>[35]   Cfr.  Caso  de  la  Masacre  de  Mapiripán   Vs.   Colombia.   Fondo,</w:t>
        <w:br/>
        <w:t>Reparaciones y Costas. Sentencia de 15 de septiembre de 2005.  Serie  C  No.</w:t>
        <w:br/>
        <w:t>134, párr. 69, y Caso Contreras y otros Vs. El Salvador, párr. 56.</w:t>
        <w:br/>
        <w:br/>
        <w:t>[36]  Cfr. Caso Tiu Tojín Vs. Guatemala, párr. 39, y Caso Contreras y  otros</w:t>
        <w:br/>
        <w:t>Vs. El Salvador, párr. 56.</w:t>
        <w:br/>
        <w:br/>
        <w:t>[37]  Cfr. Caso de  las  Hermanas  Serrano  Cruz  Vs.  El  Salvador.  Fondo,</w:t>
        <w:br/>
        <w:t>Reparaciones y Costas. Sentencia de 1 de marzo de 2005.  Serie  C  No.  120,</w:t>
        <w:br/>
        <w:t>párr. 48.1, y Caso Contreras y otros Vs. El Salvador, párr. 41.</w:t>
        <w:br/>
        <w:br/>
        <w:t>[38]  Cfr. Naciones Unidas. Acuerdos de El Salvador:  en  el  camino  de  la</w:t>
        <w:br/>
        <w:t>paz,  1992  (expediente  de  prueba,  tomo  IX,  anexo  6  al   escrito   de</w:t>
        <w:br/>
        <w:t>solicitudes, argumentos y pruebas, folio 5805).</w:t>
        <w:br/>
        <w:br/>
        <w:t>[39]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1096).</w:t>
        <w:br/>
        <w:br/>
        <w:t>[40]  Informe de la Comisión de la Verdad para El Salvador, De la  locura  a</w:t>
        <w:br/>
        <w:t>la esperanza, La guerra de 12 años en El Salvador, 1992-1993 (expediente  de</w:t>
        <w:br/>
        <w:t>prueba, tomo II, anexo 1 al sometimiento del caso, folio 1119).</w:t>
        <w:br/>
        <w:br/>
        <w:t>[41]  Cfr. Informe del Grupo de  Trabajo  sobre  Desapariciones  Forzadas  o</w:t>
        <w:br/>
        <w:t>Involuntarias, Misión a  El  Salvador.  U.N.  Doc.  A/HRC/7/2/Add.2,  26  de</w:t>
        <w:br/>
        <w:t>octubre de 2007, párr. 12  (expediente  de  prueba,  tomo  X,  anexo  11  al</w:t>
        <w:br/>
        <w:t>escrito de solicitudes, argumentos y pruebas, folio 6708), e Informe  de  la</w:t>
        <w:br/>
        <w:t>Comisión de la Verdad para El Salvador, De la  locura  a  la  esperanza,  La</w:t>
        <w:br/>
        <w:t>guerra de 12 años en El Salvador, 1992-1993 (expediente de prueba, tomo  II,</w:t>
        <w:br/>
        <w:t>anexo 1 al sometimiento del caso, folio 1100).</w:t>
        <w:br/>
        <w:br/>
        <w:t>[42]  Cfr. Informe del Grupo de  Trabajo  sobre  Desapariciones  Forzadas  o</w:t>
        <w:br/>
        <w:t>Involuntarias, Misión a  El  Salvador.  U.N.  Doc.  A/HRC/7/2/Add.2,  26  de</w:t>
        <w:br/>
        <w:t>octubre de 2007, párr. 12  (expediente  de  prueba,  tomo  X,  anexo  11  al</w:t>
        <w:br/>
        <w:t>escrito de solicitudes, argumentos y pruebas, folio 6708).</w:t>
        <w:br/>
        <w:br/>
        <w:t>[43]  Cfr. Naciones Unidas. Acuerdos de El Salvador:  en  el  camino  de  la</w:t>
        <w:br/>
        <w:t>paz,  1992  (expediente  de  prueba,  tomo  IX,  anexo  6  al   escrito   de</w:t>
        <w:br/>
        <w:t>solicitudes, argumentos y pruebas, folio 5810)</w:t>
        <w:br/>
        <w:br/>
        <w:t>[44]  Cfr. Informe de la Comisión de la  Verdad  para  El  Salvador,  De  la</w:t>
        <w:br/>
        <w:t>locura a la esperanza, La guerra  de  12  años  en  El  Salvador,  1992-1993</w:t>
        <w:br/>
        <w:t>(expediente de prueba, tomo II, anexo 1 al  sometimiento  del  caso,  folios</w:t>
        <w:br/>
        <w:t>1087 a 1088).</w:t>
        <w:br/>
        <w:br/>
        <w:t>[45]  Informe de la Comisión de la Verdad para El Salvador, De la  locura  a</w:t>
        <w:br/>
        <w:t>la esperanza, La guerra de 12 años en El Salvador, 1992-1993 (expediente  de</w:t>
        <w:br/>
        <w:t>prueba, tomo II, anexo 1 al sometimiento del caso, folio 1096).</w:t>
        <w:br/>
        <w:br/>
        <w:t>[46]  Informe de la Comisión de la Verdad para El Salvador, De la  locura  a</w:t>
        <w:br/>
        <w:t>la esperanza, La guerra de 12 años en El Salvador, 1992-1993 (expediente  de</w:t>
        <w:br/>
        <w:t>prueba, tomo II, anexo 1 al sometimiento del caso, folio 1097).</w:t>
        <w:br/>
        <w:br/>
        <w:t>[47]  Informe de la Comisión de la Verdad para El Salvador, De la  locura  a</w:t>
        <w:br/>
        <w:t>la esperanza, La guerra de 12 años en El Salvador, 1992-1993 (expediente  de</w:t>
        <w:br/>
        <w:t>prueba, tomo II, anexo 1 al sometimiento del caso, folios 1100 a 1101).</w:t>
        <w:br/>
        <w:br/>
        <w:t>[48]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1196).</w:t>
        <w:br/>
        <w:br/>
        <w:t>[49]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1196); Reporte del IDHUCA, Consideraciones sobre la  impunidad  a  propósito</w:t>
        <w:br/>
        <w:t>de la masacre de El Mozote, Proceso: número 451,  7  de  noviembre  de  1990</w:t>
        <w:br/>
        <w:t>(expediente de prueba, tomo III, anexo 2 al  sometimiento  del  caso,  folio</w:t>
        <w:br/>
        <w:t>1290); Americas Watch, The Massacre at el  Mozote:  The  need  to  remember,</w:t>
        <w:br/>
        <w:t>Volume No. IV, Issue No.2, 4 de marzo de 1992 (expediente  de  prueba,  tomo</w:t>
        <w:br/>
        <w:t>II, anexo 3 al sometimiento del caso, folios 1299 a 1300),  y  Tutela  Legal</w:t>
        <w:br/>
        <w:t>del Arzobispado de San Salvador,  El  Mozote.  Lucha  por  la  verdad  y  la</w:t>
        <w:br/>
        <w:t>justicia: Masacre a la Inocencia, San Salvador, El Salvador, 2008,  pág.  39</w:t>
        <w:br/>
        <w:t>(expediente de prueba,  tomo  VIII,  anexo  2  al  escrito  de  solicitudes,</w:t>
        <w:br/>
        <w:t>argumentos y pruebas, folio 5293).</w:t>
        <w:br/>
        <w:br/>
        <w:t>[50]  Informe de la Comisión de la Verdad para El Salvador, De la  locura  a</w:t>
        <w:br/>
        <w:t>la esperanza, La guerra de 12 años en El Salvador, 1992-1993 (expediente  de</w:t>
        <w:br/>
        <w:t>prueba, tomo II, anexo 1 al sometimiento del caso, folio 1119).</w:t>
        <w:br/>
        <w:br/>
        <w:t>[51]  Informe de la Comisión de la Verdad para El Salvador, De la  locura  a</w:t>
        <w:br/>
        <w:t>la esperanza, La guerra de 12 años en El Salvador, 1992-1993 (expediente  de</w:t>
        <w:br/>
        <w:t>prueba, tomo II,  anexo  1  al  sometimiento  del  caso,  folio  1119).  Ver</w:t>
        <w:br/>
        <w:t>también, Peritaje rendido ante fedatario público (affidávit)  por  el  Padre</w:t>
        <w:br/>
        <w:t>David Blanchard el 15 de abril de 2012 (expediente  de  prueba,  tomo  XVII,</w:t>
        <w:br/>
        <w:t>affidávits, folio 10345).</w:t>
        <w:br/>
        <w:br/>
        <w:t>[52]  Informe de la Comisión de la Verdad para El Salvador, De la  locura  a</w:t>
        <w:br/>
        <w:t>la esperanza, La guerra de 12 años en El Salvador, 1992-1993 (expediente  de</w:t>
        <w:br/>
        <w:t>prueba, tomo II, anexo 1 al sometimiento del caso, folio 1208).</w:t>
        <w:br/>
        <w:br/>
        <w:t>[53]  Informe de la Comisión de la Verdad para El Salvador, De la  locura  a</w:t>
        <w:br/>
        <w:t>la esperanza, La guerra de 12 años en El Salvador, 1992-1993 (expediente  de</w:t>
        <w:br/>
        <w:t>prueba, tomo II, anexo 1 al sometimiento del caso, folio 1208).</w:t>
        <w:br/>
        <w:br/>
        <w:t>[54]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1208).</w:t>
        <w:br/>
        <w:br/>
        <w:t>[55]  Cfr. Informe Especial de la señora Procuradora para la Defensa de  los</w:t>
        <w:br/>
        <w:t>Derechos Humanos sobre masacres de población civil  ejecutadas  por  agentes</w:t>
        <w:br/>
        <w:t>del Estado en el contexto  del  conflicto  armado  interno  ocurrido  en  El</w:t>
        <w:br/>
        <w:t>Salvador entre 1980 y 1992 emitido el 7 de  marzo  de  2005  (expediente  de</w:t>
        <w:br/>
        <w:t>prueba, tomo II, anexo 4 al sometimiento del caso, folio 1319).</w:t>
        <w:br/>
        <w:br/>
        <w:t>[56]  Cfr. Informe Especial de la señora Procuradora para la Defensa de  los</w:t>
        <w:br/>
        <w:t>Derechos Humanos sobre masacres de población civil  ejecutadas  por  agentes</w:t>
        <w:br/>
        <w:t>del Estado en el contexto  del  conflicto  armado  interno  ocurrido  en  El</w:t>
        <w:br/>
        <w:t>Salvador entre 1980 y 1992 emitido el 7 de  marzo  de  2005  (expediente  de</w:t>
        <w:br/>
        <w:t>prueba, tomo II, anexo 4 al sometimiento del caso, folio 1358).</w:t>
        <w:br/>
        <w:br/>
        <w:t>[57]  Informe Especial de la señora  Procuradora  para  la  Defensa  de  los</w:t>
        <w:br/>
        <w:t>Derechos Humanos sobre masacres de población civil  ejecutadas  por  agentes</w:t>
        <w:br/>
        <w:t>del Estado en el contexto  del  conflicto  armado  interno  ocurrido  en  El</w:t>
        <w:br/>
        <w:t>Salvador entre 1980 y 1992 emitido el 7 de  marzo  de  2005  (expediente  de</w:t>
        <w:br/>
        <w:t>prueba, tomo II, anexo 4 al sometimiento del caso, folio 1361).</w:t>
        <w:br/>
        <w:br/>
        <w:t>[58]  Informe Especial de la señora  Procuradora  para  la  Defensa  de  los</w:t>
        <w:br/>
        <w:t>Derechos Humanos sobre masacres de población civil  ejecutadas  por  agentes</w:t>
        <w:br/>
        <w:t>del Estado en el contexto  del  conflicto  armado  interno  ocurrido  en  El</w:t>
        <w:br/>
        <w:t>Salvador entre 1980 y 1992 emitido el 7 de  marzo  de  2005  (expediente  de</w:t>
        <w:br/>
        <w:t>prueba, tomo II, anexo 4 al sometimiento del caso, folio 1358).</w:t>
        <w:br/>
        <w:br/>
        <w:t>[59]  Informe Especial de la señora  Procuradora  para  la  Defensa  de  los</w:t>
        <w:br/>
        <w:t>Derechos Humanos sobre masacres de población civil  ejecutadas  por  agentes</w:t>
        <w:br/>
        <w:t>del Estado en el contexto  del  conflicto  armado  interno  ocurrido  en  El</w:t>
        <w:br/>
        <w:t>Salvador entre 1980 y 1992 emitido el 7 de  marzo  de  2005  (expediente  de</w:t>
        <w:br/>
        <w:t>prueba, tomo II, anexo 4 al sometimiento del caso, folio 1358).</w:t>
        <w:br/>
        <w:br/>
        <w:t>[60]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1101). Ver también, Informe  Especial  de  la  señora  Procuradora  para  la</w:t>
        <w:br/>
        <w:t>Defensa  de  los  Derechos  Humanos  sobre  masacres  de   población   civil</w:t>
        <w:br/>
        <w:t>ejecutadas por agentes del  Estado  en  el  contexto  del  conflicto  armado</w:t>
        <w:br/>
        <w:t>interno ocurrido en El Salvador entre 1980 y 1992 emitido el 7 de  marzo  de</w:t>
        <w:br/>
        <w:t>2005 (expediente de prueba, tomo II,  anexo  4  al  sometimiento  del  caso,</w:t>
        <w:br/>
        <w:t>folio 1360).</w:t>
        <w:br/>
        <w:br/>
        <w:t>[61]   Establecida  en  1985  para  desarrollar  políticas  y   planear   la</w:t>
        <w:br/>
        <w:t>organización, dirección y ejecución de programas diseñados  para  asistir  a</w:t>
        <w:br/>
        <w:t>las poblaciones desplazadas.  Cfr.  International  Center  for  Research  on</w:t>
        <w:br/>
        <w:t>Women. Working paper  No.  25:  Conflict,  displacement  and  reintegration:</w:t>
        <w:br/>
        <w:t>household survey evidence from El Salvador, julio  de  2000  (expediente  de</w:t>
        <w:br/>
        <w:t>prueba, tomo X, anexo 9 al escrito de  solicitudes,  argumentos  y  pruebas,</w:t>
        <w:br/>
        <w:t>folio 6476), y Peritaje rendido ante fedatario público  (affidávit)  por  el</w:t>
        <w:br/>
        <w:t>Padre David Blanchard el 15 de abril de 2012  (expediente  de  prueba,  tomo</w:t>
        <w:br/>
        <w:t>XVII, affidávits, folio 10346).</w:t>
        <w:br/>
        <w:br/>
        <w:t>[62]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1103).</w:t>
        <w:br/>
        <w:br/>
        <w:t>[63]  Informe de la Comisión de la Verdad para El Salvador, De la  locura  a</w:t>
        <w:br/>
        <w:t>la esperanza, La guerra de 12 años en El Salvador, 1992-1993 (expediente  de</w:t>
        <w:br/>
        <w:t>prueba, tomo II, anexo 1 al sometimiento del caso, folio 1195).</w:t>
        <w:br/>
        <w:br/>
        <w:t>[64]  Cfr. Nota de prensa aparecida en Diario Latino el 9  de  diciembre  de</w:t>
        <w:br/>
        <w:t>1981 titulada “Mueren 4 terroristas al atacar base militar”  (expediente  de</w:t>
        <w:br/>
        <w:t>trámite ante la Comisión, tomo II, folio 877); Nota de prensa  aparecida  en</w:t>
        <w:br/>
        <w:t>La Prensa Gráfica el 9 de diciembre de 1981 titulada “Inició ayer  operación</w:t>
        <w:br/>
        <w:t>de contrainsurgencia la F.A.” (expediente de trámite ante la Comisión,  tomo</w:t>
        <w:br/>
        <w:t>II, folios 879 a 881); Nota de prensa aparecida en La Prensa Gráfica  el  10</w:t>
        <w:br/>
        <w:t>de diciembre  de  1981  titulada  “Avanza  ejército  en  zonas  de  Morazán”</w:t>
        <w:br/>
        <w:t>(expediente de trámite ante la  Comisión,  tomo  II,  folio  878);  Nota  de</w:t>
        <w:br/>
        <w:t>prensa aparecida en El Diario de Hoy el 11 de  diciembre  de  1981  titulada</w:t>
        <w:br/>
        <w:t>“‘Yunque y Martillo’ se Llama Operación de  Tropa”  (expediente  de  trámite</w:t>
        <w:br/>
        <w:t>ante la Comisión, tomo II, folio  885);  Nota  de  prensa  aparecida  en  La</w:t>
        <w:br/>
        <w:t>Prensa Gráfica el 14 de  diciembre  de  1981  titulada  “Continúan  acciones</w:t>
        <w:br/>
        <w:t>militares en Morazán” (expediente de trámite  ante  la  Comisión,  tomo  II,</w:t>
        <w:br/>
        <w:t>folio 882), y Nota de prensa  aparecida  en  La  Prensa  Gráfica  el  19  de</w:t>
        <w:br/>
        <w:t>diciembre de 1981 titulada “Recuperan  Morazán  al  terminar  operación  FA”</w:t>
        <w:br/>
        <w:t>(expediente de trámite ante la Comisión, tomo II, folio 886).</w:t>
        <w:br/>
        <w:br/>
        <w:t>[65]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1197); Nota de prensa aparecida en The New York Times  el  27  de  enero  de</w:t>
        <w:br/>
        <w:t>1982 titulada “Massacre of Hundreds Reported in Salvador Village”  –“Masacre</w:t>
        <w:br/>
        <w:t>de cientos reportada en pueblo de Salvador”- (expediente de trámite ante  la</w:t>
        <w:br/>
        <w:t>Comisión, tomo II, folio 874), y Nota de prensa aparecida en The  Washington</w:t>
        <w:br/>
        <w:t>Post el 27 de enero de 1982 titulada “Salvadoran Peasants  Say  Army  Killed</w:t>
        <w:br/>
        <w:t>Hundreds in Community”  –“Campesinos  salvadoreños  dicen  ejército  mató  a</w:t>
        <w:br/>
        <w:t>cientos en comunidad”- (expediente de trámite ante  la  Comisión,  tomo  II,</w:t>
        <w:br/>
        <w:t>folios 873 y 875).</w:t>
        <w:br/>
        <w:br/>
        <w:t>[66]  Cfr. Nota de prensa aparecida en The Washington Post el 22 de  octubre</w:t>
        <w:br/>
        <w:t>de 1992 titulada “Skeletons Verify  Killing  of  Salvadoran  Children:  Army</w:t>
        <w:br/>
        <w:t>Battalion Acussed in 1981 Massacre” –“Restos mortales  verifican  la  muerte</w:t>
        <w:br/>
        <w:t>de niños salvadoreños: batallón militar acusado  en  la  masacre  de  1981”-</w:t>
        <w:br/>
        <w:t>(expediente de prueba, tomo II, anexo 13 al sometimiento  del  caso,  folios</w:t>
        <w:br/>
        <w:t>1555 a 1557), y Prólogo por  Aryeh  Neier  en:  Pedro  Linger  Gasiglia,  El</w:t>
        <w:br/>
        <w:t>Mozote.  La  Masacre  25  años  después.  1ra.  Ed.,  Buenos   Aires,   2007</w:t>
        <w:br/>
        <w:t>(expediente de prueba,  tomo  VIII,  anexo  4  al  escrito  de  solicitudes,</w:t>
        <w:br/>
        <w:t>argumentos y pruebas, folios 5609 y 5615).</w:t>
        <w:br/>
        <w:br/>
        <w:t>[67]  En el  mismo  sentido,  ver  Disco  compacto  que  contiene  el  video</w:t>
        <w:br/>
        <w:t>“Denial”, titulado en español “La  fiera  está  con  todas  sus  garras,  La</w:t>
        <w:br/>
        <w:t>Masacre de El mozote y lugares aledaños”  (expediente  de  prueba,  tomo  X,</w:t>
        <w:br/>
        <w:t>anexo 10.3 al escrito de solicitudes, argumentos y pruebas, folio 6698).</w:t>
        <w:br/>
        <w:br/>
        <w:t>[68]  Reporte del IDHUCA, Consideraciones sobre la impunidad a propósito  de</w:t>
        <w:br/>
        <w:t>la masacre de El Mozote,  Proceso:  número  451,  7  de  noviembre  de  1990</w:t>
        <w:br/>
        <w:t>(expediente de prueba, tomo II, anexo 2  al  sometimiento  del  caso,  folio</w:t>
        <w:br/>
        <w:t>1290).</w:t>
        <w:br/>
        <w:br/>
        <w:t>[69]   Cfr.  Informe  de  la  Secretaría  del  Juzgado  Segundo  de  Primera</w:t>
        <w:br/>
        <w:t>Instancia de San Francisco Gotera, Departamento de Morazán, de 19  de  abril</w:t>
        <w:br/>
        <w:t>de 1991 (expediente de prueba, tomo III, anexo 23 al sometimiento del  caso,</w:t>
        <w:br/>
        <w:t>folio 1772).</w:t>
        <w:br/>
        <w:br/>
        <w:t>[70]  Cfr. Peritaje conjunto rendido ante fedatario público (affidávit)  por</w:t>
        <w:br/>
        <w:t>Luis Fondebrider, Mercedes C. Doretti y Silvana Turner el  18  de  abril  de</w:t>
        <w:br/>
        <w:t>2012 (expediente de prueba, tomo XVII, affidávits, folios  10306  a  10312).</w:t>
        <w:br/>
        <w:t>Ver también, Informe interno de la Oficina de Tutela Legal  del  Arzobispado</w:t>
        <w:br/>
        <w:t>de 27 de marzo  de  1992  (expediente  de  prueba,  tomo  II,  anexo  10  al</w:t>
        <w:br/>
        <w:t>sometimiento del caso, folios 1537 a 1539), y Comunicado de  la  Oficina  de</w:t>
        <w:br/>
        <w:t>Tutela Legal del Arzobispado de San Salvador emitido el 8 de abril  de  1992</w:t>
        <w:br/>
        <w:t>(expediente de prueba, tomo II, anexo 11 al sometimiento  del  caso,  folios</w:t>
        <w:br/>
        <w:t>1545 a 1549).</w:t>
        <w:br/>
        <w:br/>
        <w:t>[71]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1197); Informe de AFP escrito por Carlos Mario Márquez el  13  de  noviembre</w:t>
        <w:br/>
        <w:t>de 1991 titulado “Iglesia exige  investigar  brutal  matanza  de  campesinos</w:t>
        <w:br/>
        <w:t>ocurrida en 1981” (expediente de prueba, tomo II, anexo 14, al  sometimiento</w:t>
        <w:br/>
        <w:t>del caso, folios 1559 a 1560); Nota de prensa aparecida  en  The  Washington</w:t>
        <w:br/>
        <w:t>Post el 22  de  octubre  de  1992  titulada  “Skeletons  Verify  Killing  of</w:t>
        <w:br/>
        <w:t>Salvadoran Children: Army  Battalion  Acussed  in  1981  Massacre”  –“Restos</w:t>
        <w:br/>
        <w:t>mortales  verifican  la  muerte  de  niños  salvadoreños:  batallón  militar</w:t>
        <w:br/>
        <w:t>acusado en la masacre de 1981”- (expediente de prueba, tomo II, anexo 13  al</w:t>
        <w:br/>
        <w:t>sometimiento del caso, folios 1555 a 1557), y Nota de  prensa  aparecida  en</w:t>
        <w:br/>
        <w:t>The New York Times el 22 de octubre de  1992  titulada  “Salvador  Skeletons</w:t>
        <w:br/>
        <w:t>Confirm Reports of Massacre in 1981” –“Esqueletos en El  Salvador  confirman</w:t>
        <w:br/>
        <w:t>informes de masacre en 1981”- (expediente de prueba, tomo VIII, anexo  4  al</w:t>
        <w:br/>
        <w:t>escrito de solicitudes, argumentos y pruebas, folios 5603 a 5604).</w:t>
        <w:br/>
        <w:br/>
        <w:t>[72]  Cfr. Declaración de testigo rendida por María Teófila Pereira  Argueta</w:t>
        <w:br/>
        <w:t>ante el Juzgado Segundo de Primera Instancia de San Francisco Gotera  el  23</w:t>
        <w:br/>
        <w:t>de enero de 1991 (expediente de prueba, tomo III, anexo 23  al  sometimiento</w:t>
        <w:br/>
        <w:t>del caso, folio 1701); Declaración de ofendida  rendida  por  María  Teófila</w:t>
        <w:br/>
        <w:t>Pereira Argueta  ante  el  Juzgado  Segundo  de  Primera  Instancia  de  San</w:t>
        <w:br/>
        <w:t>Francisco Gotera el 18 de febrero de 1991 (expediente de prueba,  tomo  III,</w:t>
        <w:br/>
        <w:t>anexo 23 al sometimiento del caso,  folio  1731);  Declaración  de  ofendida</w:t>
        <w:br/>
        <w:t>rendida por Lidia Chicas Mejía ante el Juzgado Segundo de Primera  Instancia</w:t>
        <w:br/>
        <w:t>de San Francisco Gotera el 21 de agosto de 1992 (expediente de prueba,  tomo</w:t>
        <w:br/>
        <w:t>III, anexo 23 al sometimiento del  caso,  folio  2351);  Declaración  jurada</w:t>
        <w:br/>
        <w:t>rendida por María del Rosario López Sánchez ante la Oficina de Tutela  Legal</w:t>
        <w:br/>
        <w:t>del Arzobispado el 19 de junio de 2011 (expediente  de  prueba,  tomo  VIII,</w:t>
        <w:br/>
        <w:t>anexo 3 al escrito de solicitudes,  argumentos  y  pruebas,  folios  5522  a</w:t>
        <w:br/>
        <w:t>5523); Declaración rendida  ante  fedatario  público  (affidávit)  por  Juan</w:t>
        <w:br/>
        <w:t>Bautista Márquez Argueta el 1 de abril de 2012 (expediente de  prueba,  tomo</w:t>
        <w:br/>
        <w:t>XVII,  affidávits,  folio  10276),  y  Declaración  rendida  ante  fedatario</w:t>
        <w:br/>
        <w:t>público (affidávit) por Juan Antonio Pereira Vigil el 2  de  abril  de  2012</w:t>
        <w:br/>
        <w:t>(expediente de prueba, tomo XVII, affidávits, folio 10289).</w:t>
        <w:br/>
        <w:br/>
        <w:t>[73]  Cfr. Declaración rendida ante fedatario público (affidávit)  por  Juan</w:t>
        <w:br/>
        <w:t>Bautista Márquez Argueta el 1 de abril de 2012 (expediente de  prueba,  tomo</w:t>
        <w:br/>
        <w:t>XVII, affidávits, folio 10278); Declaración de testigo rendida  por  Domingo</w:t>
        <w:br/>
        <w:t>Vigil Amaya ante el Juzgado Segundo de Primera Instancia  de  San  Francisco</w:t>
        <w:br/>
        <w:t>Gotera el 30 de enero de 1991 (expediente de prueba, tomo III, anexo  23  al</w:t>
        <w:br/>
        <w:t>sometimiento del caso, folio 1715);  Declaración  de  ofendido  rendida  por</w:t>
        <w:br/>
        <w:t>Domingo Vigil Amaya ante el Juzgado Segundo  de  Primera  Instancia  de  San</w:t>
        <w:br/>
        <w:t>Francisco Gotera el 5 de marzo de 1991  (expediente  de  prueba,  tomo  III,</w:t>
        <w:br/>
        <w:t>anexo 23 al sometimiento del caso, folio 1741); Declaración  jurada  rendida</w:t>
        <w:br/>
        <w:t>por María Erlinda  Amaya  Márquez  ante  la  Oficina  de  Tutela  Legal  del</w:t>
        <w:br/>
        <w:t>Arzobispado el 25 de junio de 2011 (expediente de prueba, tomo  VIII,  anexo</w:t>
        <w:br/>
        <w:t>3 al escrito de solicitudes, argumentos y pruebas, folio 5590);  Declaración</w:t>
        <w:br/>
        <w:t>rendida ante fedatario público (affidávit) por Antonia Guevara Díaz el 1  de</w:t>
        <w:br/>
        <w:t>abril de 2012 (expediente de prueba, tomo XVII, affidávits, folio 10286),  y</w:t>
        <w:br/>
        <w:t>Peritaje rendido ante fedatario  público  (affidávit)  por  el  Padre  David</w:t>
        <w:br/>
        <w:t>Blanchard el  15  de  abril  de  2012  (expediente  de  prueba,  tomo  XVII,</w:t>
        <w:br/>
        <w:t>affidávits, folio 10358).</w:t>
        <w:br/>
        <w:br/>
        <w:t>[74]  Cfr. Peritaje rendido ante fedatario público (affidávit) por el  Padre</w:t>
        <w:br/>
        <w:t>David Blanchard el 15 de abril de 2012 (expediente  de  prueba,  tomo  XVII,</w:t>
        <w:br/>
        <w:t>affidávits, folio 10358).</w:t>
        <w:br/>
        <w:br/>
        <w:t>[75]  Cfr. Declaración rendida ante fedatario público (affidávit)  por  Juan</w:t>
        <w:br/>
        <w:t>Bautista Márquez Argueta el 1 de abril de 2012 (expediente de  prueba,  tomo</w:t>
        <w:br/>
        <w:t>XVII, affidávits, folio 10278); Declaración rendida ante  fedatario  público</w:t>
        <w:br/>
        <w:t>(affidávit) por Sofía Romero Pereira el 2 de abril de  2012  (expediente  de</w:t>
        <w:br/>
        <w:t>prueba, tomo  XVII,  affidávits,  folio  10281);  Declaración  rendida  ante</w:t>
        <w:br/>
        <w:t>fedatario público (affidávit) por Antonia Guevara Díaz  el  1  de  abril  de</w:t>
        <w:br/>
        <w:t>2012  (expediente  de  prueba,  tomo   XVII,   affidávits,   folio   10286);</w:t>
        <w:br/>
        <w:t>Declaración rendida ante fedatario  público  (affidávit)  por  Juan  Antonio</w:t>
        <w:br/>
        <w:t>Pereira Vigil el 2 de abril  de  2012  (expediente  de  prueba,  tomo  XVII,</w:t>
        <w:br/>
        <w:t>affidávits, folio 10289); Declaración de ofendido rendida por  Pedro  Chicas</w:t>
        <w:br/>
        <w:t>Romero ante el Juzgado Segundo de Primera Instancia de San Francisco  Gotera</w:t>
        <w:br/>
        <w:t>el 31 de octubre de 1990 (expediente  de  prueba,  tomo  III,  anexo  23  al</w:t>
        <w:br/>
        <w:t>sometimiento del caso, folio  1671);  Declaración  de  testigo  rendida  por</w:t>
        <w:br/>
        <w:t>María Amanda Martínez ante el Juzgado Segundo de Primera  Instancia  de  San</w:t>
        <w:br/>
        <w:t>Francisco Gotera el 23 de enero de 1991 (expediente  de  prueba,  tomo  III,</w:t>
        <w:br/>
        <w:t>anexo 23 al sometimiento del caso, folio 1704), y  Peritaje  sobre  impactos</w:t>
        <w:br/>
        <w:t>psicosociales y recomendaciones en materia de reparación en el caso de  “Las</w:t>
        <w:br/>
        <w:t>Masacres de El Mozote y lugares aledaños” rendido por María Sol Yáñez De  La</w:t>
        <w:br/>
        <w:t>Cruz, sin fecha (expediente de prueba, tomo XVIII, anexo 2  a  los  alegatos</w:t>
        <w:br/>
        <w:t>finales escritos de los representantes, folios 10521 a 10525).</w:t>
        <w:br/>
        <w:br/>
        <w:t>[76]  Cfr. Declaración de testigo rendida por María Teófila Pereira  Argueta</w:t>
        <w:br/>
        <w:t>ante el Juzgado Segundo de Primera Instancia de San Francisco Gotera  el  23</w:t>
        <w:br/>
        <w:t>de enero de 1991 (expediente de prueba, tomo III, anexo 23  al  sometimiento</w:t>
        <w:br/>
        <w:t>del caso, folio 1701), y Declaración de ofendida rendida por  María  Teófila</w:t>
        <w:br/>
        <w:t>Pereira Argueta  ante  el  Juzgado  Segundo  de  Primera  Instancia  de  San</w:t>
        <w:br/>
        <w:t>Francisco Gotera el 18 de febrero de 1991 (expediente de prueba,  tomo  III,</w:t>
        <w:br/>
        <w:t>anexo 23 al sometimiento del caso, folio 1731).</w:t>
        <w:br/>
        <w:br/>
        <w:t>[77]  Cfr. Declaración de testigo rendida por Hilario Sánchez Gómez ante  el</w:t>
        <w:br/>
        <w:t>Juzgado Segundo de Primera Instancia  de  San  Francisco  Gotera  el  28  de</w:t>
        <w:br/>
        <w:t>noviembre de 1990 (expediente de prueba, tomo III, anexo 23 al  sometimiento</w:t>
        <w:br/>
        <w:t>del caso, folio 1695); Declaración de ofendido rendida por  Hilario  Sánchez</w:t>
        <w:br/>
        <w:t>Gómez ante el Juzgado Segundo de Primera Instancia de San  Francisco  Gotera</w:t>
        <w:br/>
        <w:t>el 14 de febrero de 1991 (expediente  de  prueba,  tomo  III,  anexo  23  al</w:t>
        <w:br/>
        <w:t>sometimiento del caso,  folio  1724);  Declaración  rendida  ante  fedatario</w:t>
        <w:br/>
        <w:t>público (affidávit) por Juan Bautista Márquez Argueta el 1 de abril de  2012</w:t>
        <w:br/>
        <w:t>(expediente de prueba, tomo XVII, affidávits, folio  10278),  y  Declaración</w:t>
        <w:br/>
        <w:t>de testigo rendida  por  María  Teófila  Pereira  Argueta  ante  el  Juzgado</w:t>
        <w:br/>
        <w:t>Segundo de Primera Instancia de San Francisco Gotera el 23 de enero de  1991</w:t>
        <w:br/>
        <w:t>(expediente de prueba, tomo III, anexo 23 al sometimiento  del  caso,  folio</w:t>
        <w:br/>
        <w:t>1701).</w:t>
        <w:br/>
        <w:br/>
        <w:t>[78]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1195); Informe Especial de la señora Procuradora  para  la  Defensa  de  los</w:t>
        <w:br/>
        <w:t>Derechos Humanos sobre masacres de población civil  ejecutadas  por  agentes</w:t>
        <w:br/>
        <w:t>del Estado en el contexto  del  conflicto  armado  interno  ocurrido  en  El</w:t>
        <w:br/>
        <w:t>Salvador entre 1980 y 1992 emitido el 7 de  marzo  de  2005  (expediente  de</w:t>
        <w:br/>
        <w:t>prueba, tomo II, anexo 4 al sometimiento del caso, folios 1324  a  1325),  y</w:t>
        <w:br/>
        <w:t>Tutela Legal del Arzobispado de  San  Salvador,  El  Mozote.  Lucha  por  la</w:t>
        <w:br/>
        <w:t>verdad y la justicia: Masacre a la Inocencia,  San  Salvador,  El  Salvador,</w:t>
        <w:br/>
        <w:t>2008, pág. 39 (expediente de prueba,  tomo  VIII,  anexo  2  al  escrito  de</w:t>
        <w:br/>
        <w:t>solicitudes, argumentos y pruebas, folio 5452).</w:t>
        <w:br/>
        <w:br/>
        <w:t>[79]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1196); Informe Especial de la señora Procuradora  para  la  Defensa  de  los</w:t>
        <w:br/>
        <w:t>Derechos Humanos sobre masacres de población civil  ejecutadas  por  agentes</w:t>
        <w:br/>
        <w:t>del Estado en el contexto  del  conflicto  armado  interno  ocurrido  en  El</w:t>
        <w:br/>
        <w:t>Salvador entre 1980 y 1992 emitido el 7 de  marzo  de  2005  (expediente  de</w:t>
        <w:br/>
        <w:t>prueba, tomo II, anexo 4 al sometimiento del caso,  folio  1325),  y  Tutela</w:t>
        <w:br/>
        <w:t>Legal del Arzobispado de San Salvador, El Mozote. Lucha por la verdad  y  la</w:t>
        <w:br/>
        <w:t>justicia: Masacre a la Inocencia, San Salvador,  El  Salvador,  2008,  págs.</w:t>
        <w:br/>
        <w:t>322 y  323  (expediente  de  prueba,  tomo  VIII,  anexo  2  al  escrito  de</w:t>
        <w:br/>
        <w:t>solicitudes, argumentos y pruebas, folio 5451).</w:t>
        <w:br/>
        <w:br/>
        <w:t>[80]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1196); Informe Especial de la señora Procuradora  para  la  Defensa  de  los</w:t>
        <w:br/>
        <w:t>Derechos Humanos sobre masacres de población civil  ejecutadas  por  agentes</w:t>
        <w:br/>
        <w:t>del Estado en el contexto  del  conflicto  armado  interno  ocurrido  en  El</w:t>
        <w:br/>
        <w:t>Salvador entre 1980 y 1992 emitido el 7 de  marzo  de  2005  (expediente  de</w:t>
        <w:br/>
        <w:t>prueba, tomo II, anexo 4 al sometimiento del caso,  folio  1325),  y  Tutela</w:t>
        <w:br/>
        <w:t>Legal del Arzobispado de San Salvador, El Mozote. Lucha por la verdad  y  la</w:t>
        <w:br/>
        <w:t>justicia: Masacre a la Inocencia, San Salvador,  El  Salvador,  2008,  págs.</w:t>
        <w:br/>
        <w:t>322 y  323  (expediente  de  prueba,  tomo  VIII,  anexo  2  al  escrito  de</w:t>
        <w:br/>
        <w:t>solicitudes, argumentos y pruebas, folio 5452).</w:t>
        <w:br/>
        <w:br/>
        <w:t>[81]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1201); Informe Especial de la señora Procuradora  para  la  Defensa  de  los</w:t>
        <w:br/>
        <w:t>Derechos Humanos sobre masacres de población civil  ejecutadas  por  agentes</w:t>
        <w:br/>
        <w:t>del Estado en el contexto  del  conflicto  armado  interno  ocurrido  en  El</w:t>
        <w:br/>
        <w:t>Salvador entre 1980 y 1992 emitido el 7 de  marzo  de  2005  (expediente  de</w:t>
        <w:br/>
        <w:t>prueba, tomo II, anexo 4 al sometimiento del caso,  folio  1330),  y  Tutela</w:t>
        <w:br/>
        <w:t>Legal del Arzobispado de San Salvador, El Mozote. Lucha por la verdad  y  la</w:t>
        <w:br/>
        <w:t>justicia: Masacre a la Inocencia, San Salvador,  El  Salvador,  2008,  págs.</w:t>
        <w:br/>
        <w:t>322 y  323  (expediente  de  prueba,  tomo  VIII,  anexo  2  al  escrito  de</w:t>
        <w:br/>
        <w:t>solicitudes, argumentos y pruebas, folios 5452 a 5454).</w:t>
        <w:br/>
        <w:br/>
        <w:t>[82]  Cfr. Tutela Legal del Arzobispado de San Salvador,  El  Mozote.  Lucha</w:t>
        <w:br/>
        <w:t>por la verdad y la justicia:  Masacre  a  la  Inocencia,  San  Salvador,  El</w:t>
        <w:br/>
        <w:t>Salvador, 2008, págs. 50 y 326 (expediente de prueba, tomo VIII, anexo 2  al</w:t>
        <w:br/>
        <w:t>escrito de solicitudes, argumentos y pruebas, folios 5294 y 5453).</w:t>
        <w:br/>
        <w:br/>
        <w:t>[83]  Cfr. Tutela Legal del Arzobispado de San Salvador,  El  Mozote.  Lucha</w:t>
        <w:br/>
        <w:t>por la verdad y la justicia:  Masacre  a  la  Inocencia,  San  Salvador,  El</w:t>
        <w:br/>
        <w:t>Salvador, 2008, pág. 66  (expediente  de  prueba,  tomo  VIII,  anexo  2  al</w:t>
        <w:br/>
        <w:t>escrito de solicitudes, argumentos y pruebas, folio 5307).</w:t>
        <w:br/>
        <w:br/>
        <w:t>[84]  Cfr. Informe de la Comisión de la  Verdad  para  El  Salvador,  De  la</w:t>
        <w:br/>
        <w:t>locura a la esperanza, La guerra  de  12  años  en  El  Salvador,  1992-1993</w:t>
        <w:br/>
        <w:t>(expediente de prueba, tomo II, anexo 1 al  sometimiento  del  caso,  folios</w:t>
        <w:br/>
        <w:t>1195 a 1196); Informe Especial de la señora Procuradora para la  Defensa  de</w:t>
        <w:br/>
        <w:t>los Derechos Humanos  sobre  masacres  de  población  civil  ejecutadas  por</w:t>
        <w:br/>
        <w:t>agentes del Estado en el contexto del conflicto armado interno  ocurrido  en</w:t>
        <w:br/>
        <w:t>El Salvador entre 1980 y 1992 emitido el 7 de marzo de 2005  (expediente  de</w:t>
        <w:br/>
        <w:t>prueba, tomo II, anexo 4 al sometimiento  del  caso,  folio  1324);  Informe</w:t>
        <w:br/>
        <w:t>arqueológico, Caserío El Mozote, Sitio 1, realizado por el Equipo  Argentino</w:t>
        <w:br/>
        <w:t>de Antropología Forense (EAAF), diciembre de  1992  (expediente  de  prueba,</w:t>
        <w:br/>
        <w:t>tomo IV, anexo 23 al sometimiento del caso, folio 2927), y Peritaje  rendido</w:t>
        <w:br/>
        <w:t>ante fedatario público (affidávit) por el Padre David  Blanchard  el  15  de</w:t>
        <w:br/>
        <w:t>abril de 2012 (expediente de prueba, tomo XVII, affidávits, folio 10358).</w:t>
        <w:br/>
        <w:br/>
        <w:t>[85]  Cfr. Informe arqueológico, Caserío El Mozote, Sitio 1,  realizado  por</w:t>
        <w:br/>
        <w:t>el Equipo Argentino  de  Antropología  Forense  (EAAF),  diciembre  de  1992</w:t>
        <w:br/>
        <w:t>(expediente de prueba, tomo IV, anexo 23 al  sometimiento  del  caso,  folio</w:t>
        <w:br/>
        <w:t>2927).</w:t>
        <w:br/>
        <w:br/>
        <w:t>[86]  Cfr. Informe de la Comisión de la 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1196).</w:t>
        <w:br/>
        <w:br/>
        <w:t>[87]  Cfr. Acta de inspección judicial realizada en el  caserío  El  Mozote,</w:t>
        <w:br/>
        <w:t>jurisdicción de Meanguera, Departamento de Morazán, el 27 de  mayo  de  1992</w:t>
        <w:br/>
        <w:t>(expediente de prueba, tomo III, anexo 23 al sometimiento  del  caso,  folio</w:t>
        <w:br/>
        <w:t>1961), e Informe arqueológico, Caserío El Mozote, Sitio 1, realizado por  el</w:t>
        <w:br/>
        <w:t>Equipo  Argentino  de  Antropología  Forense  (EAAF),  diciembre   de   1992</w:t>
        <w:br/>
        <w:t>(expediente de prueba, tomo IV, anexo 23 al  sometimiento  del  caso,  folio</w:t>
        <w:br/>
        <w:t>2927).</w:t>
        <w:br/>
        <w:br/>
        <w:t>[88]  Cfr. Declaración jurada rendida por Rufina Amaya Vda. de Márquez  ante</w:t>
        <w:br/>
        <w:t>la Oficina de Tutela  Legal  del  Arzobispado  el  10  de  octubre  de  1990</w:t>
        <w:br/>
        <w:t>(expediente de prueba, tomo II, anexo 20 al  sometimiento  del  caso,  folio</w:t>
        <w:br/>
        <w:t>1573), y Declaración de ofendida rendida por Rufina Amaya  ante  el  Juzgado</w:t>
        <w:br/>
        <w:t>Segundo de Primera Instancia de San Francisco Gotera el 11 de marzo de  1991</w:t>
        <w:br/>
        <w:t>(expediente de prueba, tomo III, anexo 23 al sometimiento  del  caso,  folio</w:t>
        <w:br/>
        <w:t>1747).</w:t>
        <w:br/>
        <w:br/>
        <w:t>[89]  Cfr. Declaración jurada rendida por Rufina Amaya Vda. de Márquez  ante</w:t>
        <w:br/>
        <w:t>la Oficina de Tutela  Legal  del  Arzobispado  el  10  de  octubre  de  1990</w:t>
        <w:br/>
        <w:t>(expediente de prueba, tomo II, anexo 20 al  sometimiento  del  caso,  folio</w:t>
        <w:br/>
        <w:t>1573); Declaración de ofendida rendida por  Rufina  Amaya  ante  el  Juzgado</w:t>
        <w:br/>
        <w:t>Segundo de Primera Instancia de San Francisco Gotera el 11 de marzo de  1991</w:t>
        <w:br/>
        <w:t>(expediente de prueba, tomo III, anexo 23 al sometimiento  del  caso,  folio</w:t>
        <w:br/>
        <w:t>1747); Declaración de ofendida rendida por María  Teófila  Pereira  ante  el</w:t>
        <w:br/>
        <w:t>Juzgado Segundo de Primera Instancia  de  San  Francisco  Gotera  el  18  de</w:t>
        <w:br/>
        <w:t>febrero de 1991 (expediente de prueba, tomo III, anexo  23  al  sometimiento</w:t>
        <w:br/>
        <w:t>del caso, folio 1731), y Declaración rendida por  María  Dorila  Márquez  de</w:t>
        <w:br/>
        <w:t>Márquez ante la Corte Interamericana en la audiencia  pública  celebrada  el</w:t>
        <w:br/>
        <w:t>23 de abril de 2012.</w:t>
        <w:br/>
        <w:br/>
        <w:t>[90]  Cfr. Declaración jurada rendida por Rufina Amaya Vda. de Márquez  ante</w:t>
        <w:br/>
        <w:t>la Oficina de Tutela  Legal  del  Arzobispado  el  10  de  octubre  de  1990</w:t>
        <w:br/>
        <w:t>(expediente de prueba, tomo II, anexo 20 al  sometimiento  del  caso,  folio</w:t>
        <w:br/>
        <w:t>1573).</w:t>
        <w:br/>
        <w:br/>
        <w:t>[91]  Cfr. Declaración jurada rendida por Rufina Amaya Vda. de Márquez  ante</w:t>
        <w:br/>
        <w:t>la Oficina de Tutela  Legal  del  Arzobispado  el  10  de  octubre  de  1990</w:t>
        <w:br/>
        <w:t>(expediente de prueba, tomo II, anexo 20 al  sometimiento  del  caso,  folio</w:t>
        <w:br/>
        <w:t>1574), y Declaración de ofendida rendida por Rufina Amaya  ante  el  Juzgado</w:t>
        <w:br/>
        <w:t>Segundo de Primera Instancia de San Francisco Gotera el 11 de marzo de  1991</w:t>
        <w:br/>
        <w:t>(expediente de prueba, tomo III, anexo 23 al sometimiento  del  caso,  folio</w:t>
        <w:br/>
        <w:t>1745).</w:t>
        <w:br/>
        <w:br/>
        <w:t>[92]  Cfr. Declaración jurada rendida por Rufina Amaya Vda. de Márquez  ante</w:t>
        <w:br/>
        <w:t>la Oficina de Tutela  Legal  del  Arzobispado  el  10  de  octubre  de  1990</w:t>
        <w:br/>
        <w:t>(expediente de prueba, tomo II, anexo 20 al  sometimiento  del  caso,  folio</w:t>
        <w:br/>
        <w:t>1574); Declaración de testigo rendida  por  Rufina  Amaya  ante  el  Juzgado</w:t>
        <w:br/>
        <w:t>Segundo de Primera Instancia de San Francisco Gotera el  30  de  octubre  de</w:t>
        <w:br/>
        <w:t>1990 (expediente de prueba, tomo III, anexo 23  al  sometimiento  del  caso,</w:t>
        <w:br/>
        <w:t>folio 1660); Declaración de  ofendida  rendida  por  Rufina  Amaya  ante  el</w:t>
        <w:br/>
        <w:t>Juzgado Segundo de Primera Instancia de San Francisco Gotera el 11 de  marzo</w:t>
        <w:br/>
        <w:t>de 1991 (expediente de prueba, tomo III, anexo 23 al sometimiento del  caso,</w:t>
        <w:br/>
        <w:t>folio 1745), e Informe de la Comisión de la Verdad para El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1196).</w:t>
        <w:br/>
        <w:br/>
        <w:t>[93]  Cfr. Declaración jurada rendida por Rufina Amaya Vda. de Márquez  ante</w:t>
        <w:br/>
        <w:t>la Oficina de Tutela  Legal  del  Arzobispado  el  10  de  octubre  de  1990</w:t>
        <w:br/>
        <w:t>(expediente de prueba, tomo II, anexo 20 al  sometimiento  del  caso,  folio</w:t>
        <w:br/>
        <w:t>1574); Declaración de testigo rendida  por  Rufina  Amaya  ante  el  Juzgado</w:t>
        <w:br/>
        <w:t>Segundo de Primera Instancia de San Francisco Gotera el  30  de  octubre  de</w:t>
        <w:br/>
        <w:t>1990 (expediente de prueba, tomo III, anexo 23  al  sometimiento  del  caso,</w:t>
        <w:br/>
        <w:t>folio 1660); Declaración de  ofendida  rendida  por  Rufina  Amaya  ante  el</w:t>
        <w:br/>
        <w:t>Juzgado Segundo de Primera Instancia de San Francisco Gotera el 11 de  marzo</w:t>
        <w:br/>
        <w:t>de 1991 (expediente de prueba, tomo III, anexo 23 al sometimiento del  caso,</w:t>
        <w:br/>
        <w:t>folio 1745), e Informe de la Comisión de la Verdad para El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1196).</w:t>
        <w:br/>
        <w:br/>
        <w:t>[94]  Cfr. Declaración jurada rendida por Rufina Amaya Vda. de Márquez  ante</w:t>
        <w:br/>
        <w:t>la Oficina de Tutela  Legal  del  Arzobispado  el  10  de  octubre  de  1990</w:t>
        <w:br/>
        <w:t>(expediente de prueba, tomo II, anexo 20 al  sometimiento  del  caso,  folio</w:t>
        <w:br/>
        <w:t>1574); Declaración de testigo rendida  por  Rufina  Amaya  ante  el  Juzgado</w:t>
        <w:br/>
        <w:t>Segundo de Primera Instancia de San Francisco Gotera el  30  de  octubre  de</w:t>
        <w:br/>
        <w:t>1990 (expediente de prueba, tomo III, anexo 23  al  sometimiento  del  caso,</w:t>
        <w:br/>
        <w:t>folio 1660); Declaración de  ofendida  rendida  por  Rufina  Amaya  ante  el</w:t>
        <w:br/>
        <w:t>Juzgado Segundo de Primera Instancia de San Francisco Gotera el 11 de  marzo</w:t>
        <w:br/>
        <w:t>de 1991 (expediente de prueba, tomo III, anexo 23 al sometimiento del  caso,</w:t>
        <w:br/>
        <w:t>folio 1745), e Informe de la Comisión de la Verdad para El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1196).</w:t>
        <w:br/>
        <w:br/>
        <w:t>[95]  Cfr. Declaración jurada rendida por Rufina Amaya Vda. de Márquez  ante</w:t>
        <w:br/>
        <w:t>la Oficina de Tutela  Legal  del  Arzobispado  el  10  de  octubre  de  1990</w:t>
        <w:br/>
        <w:t>(expediente de prueba, tomo II, anexo 20 al  sometimiento  del  caso,  folio</w:t>
        <w:br/>
        <w:t>1574); Declaración de testigo rendida  por  Rufina  Amaya  ante  el  Juzgado</w:t>
        <w:br/>
        <w:t>Segundo de Primera Instancia de San Francisco Gotera el  30  de  octubre  de</w:t>
        <w:br/>
        <w:t>1990 (expediente de prueba, tomo III, anexo 23  al  sometimiento  del  caso,</w:t>
        <w:br/>
        <w:t>folio 1660); Declaración de  ofendida  rendida  por  Rufina  Amaya  ante  el</w:t>
        <w:br/>
        <w:t>Juzgado Segundo de Primera Instancia de San Francisco Gotera el 11 de  marzo</w:t>
        <w:br/>
        <w:t>de 1991 (expediente de prueba, tomo III, anexo 23 al sometimiento del  caso,</w:t>
        <w:br/>
        <w:t>folio 1745), e Informe de la Comisión de la Verdad para El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1196).</w:t>
        <w:br/>
        <w:br/>
        <w:t>[96]  Cfr. Declaración jurada rendida por Rufina Amaya Vda. de Márquez  ante</w:t>
        <w:br/>
        <w:t>la Oficina de Tutela  Legal  del  Arzobispado  el  10  de  octubre  de  1990</w:t>
        <w:br/>
        <w:t>(expediente de prueba, tomo II, anexo 20 al  sometimiento  del  caso,  folio</w:t>
        <w:br/>
        <w:t>1574); Declaración de testigo rendida  por  Rufina  Amaya  ante  el  Juzgado</w:t>
        <w:br/>
        <w:t>Segundo de Primera Instancia de San Francisco Gotera el  30  de  octubre  de</w:t>
        <w:br/>
        <w:t>1990 (expediente de prueba, tomo III, anexo 23  al  sometimiento  del  caso,</w:t>
        <w:br/>
        <w:t>folio 1660), y Declaración de ofendida rendida  por  Rufina  Amaya  ante  el</w:t>
        <w:br/>
        <w:t>Juzgado Segundo de Primera Instancia de San Francisco Gotera el 11 de  marzo</w:t>
        <w:br/>
        <w:t>de 1991 (expediente de prueba, tomo III, anexo 23 al sometimiento del  caso,</w:t>
        <w:br/>
        <w:t>folio 1745).</w:t>
        <w:br/>
        <w:br/>
        <w:t>[97]  Cfr. Tutela Legal del Arzobispado de San Salvador,  El  Mozote.  Lucha</w:t>
        <w:br/>
        <w:t>por la verdad y la justicia:  Masacre  a  la  Inocencia,  San  Salvador,  El</w:t>
        <w:br/>
        <w:t>Salvador, 2008, págs. 65 a 66 (expediente de prueba, tomo VIII, anexo  2  al</w:t>
        <w:br/>
        <w:t>escrito de solicitudes, argumentos y pruebas, folios 5301 a 5302).</w:t>
        <w:br/>
        <w:br/>
        <w:t>[98]  Declaración jurada rendida por Rufina Amaya Vda. de  Márquez  ante  la</w:t>
        <w:br/>
        <w:t>Oficina  de  Tutela  Legal  del  Arzobispado  el  10  de  octubre  de   1990</w:t>
        <w:br/>
        <w:t>(expediente de prueba, tomo II, anexo 20 al  sometimiento  del  caso,  folio</w:t>
        <w:br/>
        <w:t>1575). Ver también, Declaración de testigo rendida por Rufina Amaya ante  el</w:t>
        <w:br/>
        <w:t>Juzgado Segundo de Primera Instancia  de  San  Francisco  Gotera  el  30  de</w:t>
        <w:br/>
        <w:t>octubre de 1990 (expediente de prueba, tomo III, anexo  23  al  sometimiento</w:t>
        <w:br/>
        <w:t>del caso, folio 1661), y Declaración de ofendida rendida  por  Rufina  Amaya</w:t>
        <w:br/>
        <w:t>ante el Juzgado Segundo de Primera Instancia de San Francisco Gotera  el  11</w:t>
        <w:br/>
        <w:t>de marzo de 1991 (expediente de prueba, tomo III, anexo 23  al  sometimiento</w:t>
        <w:br/>
        <w:t>del caso, folio 1746).</w:t>
        <w:br/>
        <w:br/>
        <w:t>[99]  Cfr. Declaración jurada rendida por Rufina Amaya Vda. de Márquez  ante</w:t>
        <w:br/>
        <w:t>la Oficina de Tutela  Legal  del  Arzobispado  el  10  de  octubre  de  1990</w:t>
        <w:br/>
        <w:t>(expediente de prueba, tomo II, anexo 20 al  sometimiento  del  caso,  folio</w:t>
        <w:br/>
        <w:t>1575). Ver también, Declaración de testigo rendida por Rufina Amaya ante  el</w:t>
        <w:br/>
        <w:t>Juzgado Segundo de Primera Instancia  de  San  Francisco  Gotera  el  30  de</w:t>
        <w:br/>
        <w:t>octubre de 1990 (expediente de prueba, tomo III, anexo  23  al  sometimiento</w:t>
        <w:br/>
        <w:t>del caso, folio 1661), y Declaración de ofendida rendida  por  Rufina  Amaya</w:t>
        <w:br/>
        <w:t>ante el Juzgado Segundo de Primera Instancia de San Francisco Gotera  el  11</w:t>
        <w:br/>
        <w:t>de marzo de 1991 (expediente de prueba, tomo III, anexo 23  al  sometimiento</w:t>
        <w:br/>
        <w:t>del caso, folio 1746).</w:t>
        <w:br/>
        <w:br/>
        <w:t>[100]       Cfr.  Declaración  jurada  rendida  por  Rufina  Amaya  Vda.  de</w:t>
        <w:br/>
        <w:t>Márquez ante la Oficina de Tutela Legal del Arzobispado el 10 de octubre  de</w:t>
        <w:br/>
        <w:t>1990 (expediente de prueba, tomo II, anexo  20  al  sometimiento  del  caso,</w:t>
        <w:br/>
        <w:t>folio 1575); Declaración  de  testigo  rendida  por  Rufina  Amaya  ante  el</w:t>
        <w:br/>
        <w:t>Juzgado Segundo de Primera Instancia  de  San  Francisco  Gotera  el  30  de</w:t>
        <w:br/>
        <w:t>octubre de 1990 (expediente de prueba, tomo III, anexo  23  al  sometimiento</w:t>
        <w:br/>
        <w:t>del caso, folio 1661); Declaración de  ofendida  rendida  por  Rufina  Amaya</w:t>
        <w:br/>
        <w:t>ante el Juzgado Segundo de Primera Instancia de San Francisco Gotera  el  11</w:t>
        <w:br/>
        <w:t>de marzo de 1991 (expediente de prueba, tomo III, anexo 23  al  sometimiento</w:t>
        <w:br/>
        <w:t>del caso, folio 1746),  y  Acta  de  inspección  judicial  realizada  en  el</w:t>
        <w:br/>
        <w:t>caserío El Mozote, jurisdicción de Meanguera, Departamento  de  Morazán,  el</w:t>
        <w:br/>
        <w:t>27  de  mayo  de  1992  (expediente  de  prueba,  tomo  III,  anexo  23   al</w:t>
        <w:br/>
        <w:t>sometimiento del caso, folios 1958 a 1959).</w:t>
        <w:br/>
        <w:br/>
        <w:t>[101]       Cfr.  Informe  del  Equipo  Argentino  de  Antropología  Forense</w:t>
        <w:br/>
        <w:t>(EAAF)  sobre  los  trabajos  de  exhumación  realizados  en  el  año   2001</w:t>
        <w:br/>
        <w:t>(expediente de prueba, tomo VI, anexo 28 al sometimiento  del  caso,  folios</w:t>
        <w:br/>
        <w:t>4440 y 4488).</w:t>
        <w:br/>
        <w:br/>
        <w:t>[102]       Cfr.  Informe  del  Equipo  Argentino  de  Antropología  Forense</w:t>
        <w:br/>
        <w:t>(EAAF)  sobre  los  trabajos  de  exhumación  realizados  en  el  año   2001</w:t>
        <w:br/>
        <w:t>(expediente de prueba, tomo VI, anexo 28 al  sometimiento  del  caso,  folio</w:t>
        <w:br/>
        <w:t>4489).</w:t>
        <w:br/>
        <w:br/>
        <w:t>[103]        Cfr.  Tutela  Legal  del  Arzobispado  de  San  Salvador,   Las</w:t>
        <w:br/>
        <w:t>ejecuciones masivas en el caserío El Mozote y otros sitios aledaños.  23  de</w:t>
        <w:br/>
        <w:t>julio  de  1992,  pág.  8  (expediente  de  prueba,  tomo  II,  anexo  9  al</w:t>
        <w:br/>
        <w:t>sometimiento del caso, folio 1470); Tutela  Legal  del  Arzobispado  de  San</w:t>
        <w:br/>
        <w:t>Salvador, El Mozote. Lucha por  la  verdad  y  la  justicia:  Masacre  a  la</w:t>
        <w:br/>
        <w:t>Inocencia, San Salvador, El Salvador, 2008, págs. 57 y  333  (expediente  de</w:t>
        <w:br/>
        <w:t>prueba, tomo VIII, anexo 2 al escrito de solicitudes, argumentos y  pruebas,</w:t>
        <w:br/>
        <w:t>folios 5302 y 5456),  y  Rufina  Amaya,  Mark  Danner  y  Carlos  Henríquez,</w:t>
        <w:br/>
        <w:t>“Luciérnagas en El Mozote”, San Salvador,  octava  edición,  2008,  pág.  68</w:t>
        <w:br/>
        <w:t>(expediente de prueba,  tomo  X,  anexo  10.1  al  escrito  de  solicitudes,</w:t>
        <w:br/>
        <w:t>argumentos y pruebas, folio 6526).</w:t>
        <w:br/>
        <w:br/>
        <w:t>[104]       Cfr.  Declaración  jurada  rendida  por  Rufina  Amaya  Vda.  de</w:t>
        <w:br/>
        <w:t>Márquez ante la Oficina de Tutela Legal del Arzobispado el 10 de octubre  de</w:t>
        <w:br/>
        <w:t>1990 (expediente de prueba, tomo II, anexo  20  al  sometimiento  del  caso,</w:t>
        <w:br/>
        <w:t>folios 1576 a 1577); Declaración de testigo rendida por  Rufina  Amaya  ante</w:t>
        <w:br/>
        <w:t>el Juzgado Segundo de Primera Instancia de San Francisco  Gotera  el  30  de</w:t>
        <w:br/>
        <w:t>octubre de 1990 (expediente de prueba, tomo III, anexo  23  al  sometimiento</w:t>
        <w:br/>
        <w:t>del caso, folio  1662);  Informe  de  la  Comisión  de  la  Verdad  para  El</w:t>
        <w:br/>
        <w:t>Salvador, De la locura a la esperanza, La guerra de 12 años en El  Salvador,</w:t>
        <w:br/>
        <w:t>1992-1993 (expediente de prueba, tomo II, anexo 1 al sometimiento del  caso,</w:t>
        <w:br/>
        <w:t>folio 1196); Escrito de denuncia de Pedro Chicas Romero presentado  ante  el</w:t>
        <w:br/>
        <w:t>Juzgado Segundo de Primera Instancia  de  San  Francisco  Gotera  el  26  de</w:t>
        <w:br/>
        <w:t>octubre de 1990 (expediente de prueba, tomo II,  anexo  21  al  sometimiento</w:t>
        <w:br/>
        <w:t>del caso, folio 1581), y Tutela Legal del Arzobispado de  San  Salvador,  El</w:t>
        <w:br/>
        <w:t>Mozote. Lucha por la verdad y la  justicia:  Masacre  a  la  Inocencia,  San</w:t>
        <w:br/>
        <w:t>Salvador, El Salvador, 2008, págs. 57  a  58  (expediente  de  prueba,  tomo</w:t>
        <w:br/>
        <w:t>VIII, anexo 2 al escrito de solicitudes, argumentos y pruebas,  folios  5302</w:t>
        <w:br/>
        <w:t>a 5303). Ver también, Acta de inspección judicial realizada  en  el  caserío</w:t>
        <w:br/>
        <w:t>El Mozote, jurisdicción de Meanguera, Departamento  de  Morazán,  el  27  de</w:t>
        <w:br/>
        <w:t>mayo de 1992 (expediente de prueba, tomo III, anexo 23 al  sometimiento  del</w:t>
        <w:br/>
        <w:t>caso, folios 1957 a 1958).</w:t>
        <w:br/>
        <w:br/>
        <w:t>[105]       Declaración jurada rendida por  Rufina  Amaya  Vda.  de  Márquez</w:t>
        <w:br/>
        <w:t>ante la Oficina de Tutela Legal del Arzobispado el 10  de  octubre  de  1990</w:t>
        <w:br/>
        <w:t>(expediente de prueba, tomo II, anexo 20 al  sometimiento  del  caso,  folio</w:t>
        <w:br/>
        <w:t>1577).</w:t>
        <w:br/>
        <w:br/>
        <w:t>[106]        Cfr.  Informe  arqueológico,  Caserío  El  Mozote,   Sitio   1,</w:t>
        <w:br/>
        <w:t>realizado por el Equipo Argentino de Antropología Forense (EAAF),  diciembre</w:t>
        <w:br/>
        <w:t>de 1992 (expediente de prueba, tomo IV, anexo 23 al sometimiento  del  caso,</w:t>
        <w:br/>
        <w:t>folio 2928). Ver también,  Acta  de  inspección  judicial  realizada  en  el</w:t>
        <w:br/>
        <w:t>caserío El Mozote, jurisdicción de Meanguera, Departamento  de  Morazán,  el</w:t>
        <w:br/>
        <w:t>27  de  mayo  de  1992  (expediente  de  prueba,  tomo  III,  anexo  23   al</w:t>
        <w:br/>
        <w:t>sometimiento del caso, folio 1957).</w:t>
        <w:br/>
        <w:br/>
        <w:t>[107]       Cfr. Informe de la investigación forense del caserío El  Mozote,</w:t>
        <w:br/>
        <w:t>Sitio 1, realizado por Clyde C. Snow, Robert H. Kirschner, Douglas D.  Scott</w:t>
        <w:br/>
        <w:t>y John J. Fitzpatrick de 10 de diciembre  de  1992  (expediente  de  prueba,</w:t>
        <w:br/>
        <w:t>tomo VI, anexo 24 sometimiento al caso, folio 4022), y Oficio  de  Clyde  C.</w:t>
        <w:br/>
        <w:t>Snow, Robert H. Kirschner, Douglas D. Scott y John J. Fitzpatrick,  dirigido</w:t>
        <w:br/>
        <w:t>al Juez Segundo de Primera Instancia de  San  Francisco  Gotera,  de  10  de</w:t>
        <w:br/>
        <w:t>diciembre de 1992 (expediente de prueba, tomo V, anexo  23  al  sometimiento</w:t>
        <w:br/>
        <w:t>del caso, folio 3525).</w:t>
        <w:br/>
        <w:br/>
        <w:t>[108]        Cfr.  Informe  arqueológico,  Caserío  El  Mozote,   Sitio   1,</w:t>
        <w:br/>
        <w:t>realizado por el Equipo Argentino de Antropología Forense (EAAF),  diciembre</w:t>
        <w:br/>
        <w:t>de 1992 (expediente de prueba, tomo IV, anexo 23 al sometimiento  del  caso,</w:t>
        <w:br/>
        <w:t>folio 2931).</w:t>
        <w:br/>
        <w:br/>
        <w:t>[109]       Informe arqueológico, Caserío El Mozote, Sitio 1, realizado  por</w:t>
        <w:br/>
        <w:t>el Equipo Argentino  de  Antropología  Forense  (EAAF),  diciembre  de  1992</w:t>
        <w:br/>
        <w:t>(expediente de prueba, tomo IV, anexo 23 al  sometimiento  del  caso,  folio</w:t>
        <w:br/>
        <w:t>2942).</w:t>
        <w:br/>
        <w:br/>
        <w:t>[110]       Cfr. Tutela Legal del Arzobispado de San  Salvador,  El  Mozote.</w:t>
        <w:br/>
        <w:t>Lucha por la verdad y la justicia: Masacre a la Inocencia, San Salvador,  El</w:t>
        <w:br/>
        <w:t>Salvador, 2008, págs. 58 a 59 (expediente de prueba, tomo VIII, anexo  2  al</w:t>
        <w:br/>
        <w:t>escrito de solicitudes, argumentos y  pruebas,  folios  5302  a  5303).  Ver</w:t>
        <w:br/>
        <w:t>también, Declaración jurada rendida por Rufina Amaya Vda.  de  Márquez  ante</w:t>
        <w:br/>
        <w:t>la Oficina de Tutela  Legal  del  Arzobispado  el  10  de  octubre  de  1990</w:t>
        <w:br/>
        <w:t>(expediente de prueba, tomo II, anexo 20 al  sometimiento  del  caso,  folio</w:t>
        <w:br/>
        <w:t>1576), y Declaración de testigo rendida por Rufina  Amaya  ante  el  Juzgado</w:t>
        <w:br/>
        <w:t>Segundo de Primera Instancia de San Francisco Gotera el  30  de  octubre  de</w:t>
        <w:br/>
        <w:t>1990 (expediente de prueba, tomo III, anexo 23  al  sometimiento  del  caso,</w:t>
        <w:br/>
        <w:t>folios 1660 a 1665).</w:t>
        <w:br/>
        <w:br/>
        <w:t>[111]       Cfr. Declaración de testigo rendida por  Juan  Bautista  Márquez</w:t>
        <w:br/>
        <w:t>ante el Juzgado Segundo de Primera Instancia de San Francisco Gotera  el  30</w:t>
        <w:br/>
        <w:t>de  octubre  de  1990  (expediente  de  prueba,  tomo  III,  anexo   23   al</w:t>
        <w:br/>
        <w:t>sometimiento del caso, folio 1658);  Declaración  de  ofendido  rendida  por</w:t>
        <w:br/>
        <w:t>Juan Bautista Márquez ante el Juzgado Segundo de Primera  Instancia  de  San</w:t>
        <w:br/>
        <w:t>Francisco Gotera el 11 de marzo de 1991 (expediente  de  prueba,  tomo  III,</w:t>
        <w:br/>
        <w:t>anexo 23 al sometimiento del caso, folios 1749 a 1750); Declaración  rendida</w:t>
        <w:br/>
        <w:t>ante fedatario público (affidávit) por Juan Bautista Márquez  Argueta  el  1</w:t>
        <w:br/>
        <w:t>de abril de  2012  (expediente  de  prueba,  tomo  XVII,  affidávits,  folio</w:t>
        <w:br/>
        <w:t>10277); Declaración de testigo rendida  por  Pedro  Chicas  Romero  ante  el</w:t>
        <w:br/>
        <w:t>Juzgado Segundo de Primera Instancia  de  San  Francisco  Gotera  el  27  de</w:t>
        <w:br/>
        <w:t>noviembre de 1990 (expediente de prueba, tomo III, anexo 23 al  sometimiento</w:t>
        <w:br/>
        <w:t>del caso, folios  1692  a  1693),  y  Declaración  de  testigo  rendida  por</w:t>
        <w:br/>
        <w:t>Anastacio Pereira Vigil el 2 de junio de 1992 (expediente  de  prueba,  tomo</w:t>
        <w:br/>
        <w:t>III, anexo 23 al sometimiento del caso, folio 2021).</w:t>
        <w:br/>
        <w:br/>
        <w:t>[112]       Cfr. Declaración de ofendido rendida  por  Pedro  Chicas  Romero</w:t>
        <w:br/>
        <w:t>ante el Juzgado Segundo de Primera Instancia de San Francisco Gotera  el  31</w:t>
        <w:br/>
        <w:t>de  octubre  de  1990  (expediente  de  prueba,  tomo  III,  anexo   23   al</w:t>
        <w:br/>
        <w:t>sometimiento del caso,  folios  1671  a  1672),  y  Declaración  de  testigo</w:t>
        <w:br/>
        <w:t>rendida por Hilario  Sánchez  Gómez  ante  el  Juzgado  Segundo  de  Primera</w:t>
        <w:br/>
        <w:t>Instancia de San Francisco Gotera el 28 de noviembre de 1990 (expediente  de</w:t>
        <w:br/>
        <w:t>prueba, tomo III, anexo 23 al sometimiento del caso, folio 1695).</w:t>
        <w:br/>
        <w:br/>
        <w:t>[113]       Cfr. Declaración de testigo rendida por  Hilario  Sánchez  Gómez</w:t>
        <w:br/>
        <w:t>ante el Juzgado Segundo de Primera Instancia de San Francisco Gotera  el  28</w:t>
        <w:br/>
        <w:t>de  noviembre  de  1990  (expediente  de  prueba,  tomo  III,  anexo  23  al</w:t>
        <w:br/>
        <w:t>sometimiento del caso, folio  1695);  Declaración  de  testigo  rendida  por</w:t>
        <w:br/>
        <w:t>Lucila Romero Martínez ante el Juzgado Segundo de Primera Instancia  de  San</w:t>
        <w:br/>
        <w:t>Francisco Gotera el 24 de enero de 1991 (expediente  de  prueba,  tomo  III,</w:t>
        <w:br/>
        <w:t>anexo 23 al sometimiento del caso,  folios  1711  a  1713);  Declaración  de</w:t>
        <w:br/>
        <w:t>testigo rendida por Rosa  Ramírez  Hernández  ante  el  Juzgado  Segundo  de</w:t>
        <w:br/>
        <w:t>Primera  Instancia  de  San  Francisco  Gotera  el  30  de  enero  de   1991</w:t>
        <w:br/>
        <w:t>(expediente de prueba, tomo III, anexo 23 al sometimiento  del  caso,  folio</w:t>
        <w:br/>
        <w:t>1717); Declaración de ofendido rendida por Hilario  Sánchez  Gómez  ante  el</w:t>
        <w:br/>
        <w:t>Juzgado Segundo de Primera Instancia  de  San  Francisco  Gotera  el  14  de</w:t>
        <w:br/>
        <w:t>febrero de 1991 (expediente de prueba, tomo III, anexo  23  al  sometimiento</w:t>
        <w:br/>
        <w:t>del  caso,  folios  1723  a  1724);  Declaración  de  ofendido  rendida  por</w:t>
        <w:br/>
        <w:t>Eustaquio Martínez Vigil ante el Juzgado Segundo  de  Primera  Instancia  de</w:t>
        <w:br/>
        <w:t>San Francisco Gotera el 14 de marzo de  1991  (expediente  de  prueba,  tomo</w:t>
        <w:br/>
        <w:t>III, anexo 23 al sometimiento del caso, folio 1752); Declaración de  testigo</w:t>
        <w:br/>
        <w:t>rendida por Eustaquio Martínez Vigil ante  el  Juzgado  Segundo  de  Primera</w:t>
        <w:br/>
        <w:t>Instancia de San Francisco Gotera el 20 de  marzo  de  1991  (expediente  de</w:t>
        <w:br/>
        <w:t>prueba,  tomo  III,  anexo  23  al  sometimiento  del  caso,  folio   1757);</w:t>
        <w:br/>
        <w:t>Declaración de ofendido rendida por Genaro Sánchez ante el  Juzgado  Segundo</w:t>
        <w:br/>
        <w:t>de Primera Instancia  de  San  Francisco  Gotera  el  4  de  abril  de  1991</w:t>
        <w:br/>
        <w:t>(expediente de prueba, tomo III, anexo 23 al sometimiento  del  caso,  folio</w:t>
        <w:br/>
        <w:t>1762); Declaración de testigo rendida por Genaro  Sánchez  ante  el  Juzgado</w:t>
        <w:br/>
        <w:t>Segundo de Primera Instancia de San Francisco Gotera el 10 de abril de  1991</w:t>
        <w:br/>
        <w:t>(expediente de prueba, tomo III, anexo 23 al sometimiento  del  caso,  folio</w:t>
        <w:br/>
        <w:t>1767); Declaración de testigo rendida por Sotero Guevara  Martínez  ante  el</w:t>
        <w:br/>
        <w:t>Juzgado Segundo de Primera Instancia de San Francisco Gotera el  7  de  mayo</w:t>
        <w:br/>
        <w:t>de 1991 (expediente de prueba, tomo III, anexo 23 al sometimiento del  caso,</w:t>
        <w:br/>
        <w:t>folio 1774), y Declaración jurada rendida por César Martínez Hernández  ante</w:t>
        <w:br/>
        <w:t>la Oficina  de  Tutela  Legal  del  Arzobispado  el  22  de  junio  de  2011</w:t>
        <w:br/>
        <w:t>(expediente de prueba,  tomo  VIII,  anexo  3  al  escrito  de  solicitudes,</w:t>
        <w:br/>
        <w:t>argumentos y pruebas, folio 5547).</w:t>
        <w:br/>
        <w:br/>
        <w:t>[114]       Cfr. Declaración de testigo rendida por  Hilario  Sánchez  Gómez</w:t>
        <w:br/>
        <w:t>ante el Juzgado Segundo de Primera Instancia de San Francisco Gotera  el  28</w:t>
        <w:br/>
        <w:t>de  noviembre  de  1990  (expediente  de  prueba,  tomo  III,  anexo  23  al</w:t>
        <w:br/>
        <w:t>sometimiento del caso, folio 1695); Declaración de testigo rendida por  Rosa</w:t>
        <w:br/>
        <w:t>Ramírez Hernández ante el  Juzgado  Segundo  de  Primera  Instancia  de  San</w:t>
        <w:br/>
        <w:t>Francisco Gotera el 30 de enero de 1991 (expediente  de  prueba,  tomo  III,</w:t>
        <w:br/>
        <w:t>anexo 23 al sometimiento del caso,  folio  1717);  Declaración  de  ofendido</w:t>
        <w:br/>
        <w:t>rendida por Hilario  Sánchez  Gómez  ante  el  Juzgado  Segundo  de  Primera</w:t>
        <w:br/>
        <w:t>Instancia de San Francisco Gotera el 14 de febrero de  1991  (expediente  de</w:t>
        <w:br/>
        <w:t>prueba, tomo III, anexo 23 al sometimiento del caso, folios  1723  a  1724);</w:t>
        <w:br/>
        <w:t>Declaración de  ofendido  rendida  por  Eustaquio  Martínez  Vigil  ante  el</w:t>
        <w:br/>
        <w:t>Juzgado Segundo de Primera Instancia de San Francisco Gotera el 14 de  marzo</w:t>
        <w:br/>
        <w:t>de 1991 (expediente de prueba, tomo III, anexo 23 al sometimiento del  caso,</w:t>
        <w:br/>
        <w:t>folio 1752); Declaración de testigo rendida  por  Eustaquio  Martínez  Vigil</w:t>
        <w:br/>
        <w:t>ante el Juzgado Segundo de Primera Instancia de San Francisco Gotera  el  20</w:t>
        <w:br/>
        <w:t>de marzo de 1991 (expediente de prueba, tomo III, anexo 23  al  sometimiento</w:t>
        <w:br/>
        <w:t>del caso, folio 1757); Declaración de ofendido rendida  por  Genaro  Sánchez</w:t>
        <w:br/>
        <w:t>ante el Juzgado Segundo de Primera Instancia de San Francisco  Gotera  el  4</w:t>
        <w:br/>
        <w:t>de abril de 1991 (expediente de prueba, tomo III, anexo 23  al  sometimiento</w:t>
        <w:br/>
        <w:t>del caso, folio 1762); Declaración de testigo  rendida  por  Genaro  Sánchez</w:t>
        <w:br/>
        <w:t>ante el Juzgado Segundo de Primera Instancia de San Francisco Gotera  el  10</w:t>
        <w:br/>
        <w:t>de abril de 1991 (expediente de prueba, tomo III, anexo 23  al  sometimiento</w:t>
        <w:br/>
        <w:t>del caso, folio 1767); Declaración de testigo  rendida  por  Sotero  Guevara</w:t>
        <w:br/>
        <w:t>Martínez ante el Juzgado Segundo  de  Primera  Instancia  de  San  Francisco</w:t>
        <w:br/>
        <w:t>Gotera el 7 de mayo de 1991 (expediente de prueba, tomo  III,  anexo  23  al</w:t>
        <w:br/>
        <w:t>sometimiento del caso, folio 1774), y Declaración jurada rendida  por  Pedro</w:t>
        <w:br/>
        <w:t>Chicas Romero ante la Oficina de Tutela  Legal  del  Arzobispado  el  25  de</w:t>
        <w:br/>
        <w:t>julio de 2011 (expediente de prueba,  tomo  VIII,  anexo  3  al  escrito  de</w:t>
        <w:br/>
        <w:t>solicitudes, argumentos y pruebas, folio 5530).</w:t>
        <w:br/>
        <w:br/>
        <w:t>[115]       Cfr. Declaración de testigo rendida por Sotero Guevara  Martínez</w:t>
        <w:br/>
        <w:t>ante el Juzgado Segundo de Primera Instancia de San Francisco  Gotera  el  7</w:t>
        <w:br/>
        <w:t>de mayo de 1991 (expediente de prueba, tomo III, anexo  23  al  sometimiento</w:t>
        <w:br/>
        <w:t>del caso, folio 1774); Declaración jurada rendida por  Pedro  Chicas  Romero</w:t>
        <w:br/>
        <w:t>ante la Oficina de Tutela Legal del Arzobispado  el  25  de  julio  de  2011</w:t>
        <w:br/>
        <w:t>(expediente de prueba,  tomo  VIII,  anexo  3  al  escrito  de  solicitudes,</w:t>
        <w:br/>
        <w:t>argumentos y pruebas, folio 5530), y Declaración jurada  rendida  por  César</w:t>
        <w:br/>
        <w:t>Martínez Hernández ante la Oficina de Tutela Legal del Arzobispado el 22  de</w:t>
        <w:br/>
        <w:t>junio de 2011 (expediente de prueba,  tomo  VIII,  anexo  3  al  escrito  de</w:t>
        <w:br/>
        <w:t>solicitudes, argumentos y pruebas, folio 5547).</w:t>
        <w:br/>
        <w:br/>
        <w:t>[116]       Cfr. Declaración de ofendido rendida por Genaro Sánchez ante  el</w:t>
        <w:br/>
        <w:t>Juzgado Segundo de Primera Instancia de San Francisco Gotera el 4  de  abril</w:t>
        <w:br/>
        <w:t>de 1991 (expediente de prueba, tomo III, anexo 23 al sometimiento del  caso,</w:t>
        <w:br/>
        <w:t>folio 1762); Declaración de testigo  rendida  por  Genaro  Sánchez  ante  el</w:t>
        <w:br/>
        <w:t>Juzgado Segundo de Primera Instancia de San Francisco Gotera el 10 de  abril</w:t>
        <w:br/>
        <w:t>de 1991 (expediente de prueba, tomo III, anexo 23 al sometimiento del  caso,</w:t>
        <w:br/>
        <w:t>folio 1767), y Declaración de testigo rendida por  Sotero  Guevara  Martínez</w:t>
        <w:br/>
        <w:t>ante el Juzgado Segundo de Primera Instancia de San Francisco  Gotera  el  7</w:t>
        <w:br/>
        <w:t>de mayo de 1991 (expediente de prueba, tomo III, anexo  23  al  sometimiento</w:t>
        <w:br/>
        <w:t>del caso, folio 1775).</w:t>
        <w:br/>
        <w:br/>
        <w:t>[117]       Cfr. Declaración de  ofendido  rendida  por  Eustaquio  Martínez</w:t>
        <w:br/>
        <w:t>Vigil ante el Juzgado Segundo de Primera Instancia de San  Francisco  Gotera</w:t>
        <w:br/>
        <w:t>el 14 de marzo de  1991  (expediente  de  prueba,  tomo  III,  anexo  23  al</w:t>
        <w:br/>
        <w:t>sometimiento del caso, folios 1752 a 1755); Declaración de  testigo  rendida</w:t>
        <w:br/>
        <w:t>por Eustaquio Martínez Vigil ante el Juzgado Segundo  de  Primera  Instancia</w:t>
        <w:br/>
        <w:t>de San Francisco Gotera el 20 de marzo de 1991 (expediente de  prueba,  tomo</w:t>
        <w:br/>
        <w:t>III, anexo 23 al sometimiento del caso, folios 1758 a 1759); Declaración  de</w:t>
        <w:br/>
        <w:t>testigo rendida por Sotero Guevara  Martínez  ante  el  Juzgado  Segundo  de</w:t>
        <w:br/>
        <w:t>Primera Instancia de San Francisco Gotera el 7 de mayo de  1991  (expediente</w:t>
        <w:br/>
        <w:t>de prueba, tomo III, anexo 23 al  sometimiento  del  caso,  folio  1775),  y</w:t>
        <w:br/>
        <w:t>Declaración jurada rendida por  Pedro  Chicas  Romero  ante  la  Oficina  de</w:t>
        <w:br/>
        <w:t>Tutela Legal del Arzobispado el 25 de julio de 2011 (expediente  de  prueba,</w:t>
        <w:br/>
        <w:t>tomo VIII, anexo 3 al escrito de solicitudes, argumentos  y  pruebas,  folio</w:t>
        <w:br/>
        <w:t>5530).</w:t>
        <w:br/>
        <w:br/>
        <w:t>[118]       Cfr. Declaración de ofendido rendida  por  Pedro  Chicas  Romero</w:t>
        <w:br/>
        <w:t>ante el Juzgado Segundo de Primera Instancia de San Francisco Gotera  el  31</w:t>
        <w:br/>
        <w:t>de  octubre  de  1990  (expediente  de  prueba,  tomo  III,  anexo   23   al</w:t>
        <w:br/>
        <w:t>sometimiento del caso, folios 1671 a 1672); Declaración de ofendido  rendida</w:t>
        <w:br/>
        <w:t>por Eustaquio Martínez Vigil ante el Juzgado Segundo  de  Primera  Instancia</w:t>
        <w:br/>
        <w:t>de San Francisco Gotera el 14 de marzo de 1991 (expediente de  prueba,  tomo</w:t>
        <w:br/>
        <w:t>III, anexo 23 al sometimiento del caso, folio 1753); Declaración de  testigo</w:t>
        <w:br/>
        <w:t>rendida por Eustaquio Martínez Vigil ante  el  Juzgado  Segundo  de  Primera</w:t>
        <w:br/>
        <w:t>Instancia de San Francisco Gotera el 20 de  marzo  de  1991  (expediente  de</w:t>
        <w:br/>
        <w:t>prueba,  tomo  III,  anexo  23  al  sometimiento  del  caso,  folio   1758);</w:t>
        <w:br/>
        <w:t>Declaración de ofendido rendida por Genaro Sánchez ante el  Juzgado  Segundo</w:t>
        <w:br/>
        <w:t>de Primera Instancia  de  San  Francisco  Gotera  el  4  de  abril  de  1991</w:t>
        <w:br/>
        <w:t>(expediente de prueba, tomo III, anexo 23 al sometimiento  del  caso,  folio</w:t>
        <w:br/>
        <w:t>1763); Declaración de testigo rendida por Genaro  Sánchez  ante  el  Juzgado</w:t>
        <w:br/>
        <w:t>Segundo de Primera Instancia de San Francisco Gotera el 10 de abril de  1991</w:t>
        <w:br/>
        <w:t>(expediente de prueba, tomo III, anexo 23 al sometimiento  del  caso,  folio</w:t>
        <w:br/>
        <w:t>1768); Declaración de testigo rendida por Sotero Guevara  Martínez  ante  el</w:t>
        <w:br/>
        <w:t>Juzgado Segundo de Primera Instancia de San Francisco Gotera el  7  de  mayo</w:t>
        <w:br/>
        <w:t>de 1991 (expediente de prueba, tomo III, anexo 23 al sometimiento del  caso,</w:t>
        <w:br/>
        <w:t>folio 1775); Declaración jurada rendida por César  Martínez  Hernández  ante</w:t>
        <w:br/>
        <w:t>la Oficina  de  Tutela  Legal  del  Arzobispado  el  22  de  junio  de  2011</w:t>
        <w:br/>
        <w:t>(expediente de prueba,  tomo  VIII,  anexo  3  al  escrito  de  solicitudes,</w:t>
        <w:br/>
        <w:t>argumentos y  pruebas,  folio  5547);  Declaración  rendida  por  María  del</w:t>
        <w:br/>
        <w:t>Rosario López Sánchez ante la Corte Interamericana en la  audiencia  pública</w:t>
        <w:br/>
        <w:t>celebrada el 23 de abril de 2012, y Acta de  inspección  judicial  realizada</w:t>
        <w:br/>
        <w:t>en el Cantón “La Joya”, jurisdicción de Meanguera, Distrito de  Jocoaitique,</w:t>
        <w:br/>
        <w:t>Departamento de Morazán, el 1 de julio de 1992 (expediente de  prueba,  tomo</w:t>
        <w:br/>
        <w:t>III, anexo 23 al sometimiento del caso, folio 2159).</w:t>
        <w:br/>
        <w:br/>
        <w:t>[119]       Cfr. Declaración de testigo rendida por Lucila  Romero  Martínez</w:t>
        <w:br/>
        <w:t>ante el Juzgado Segundo de Primera Instancia de San Francisco Gotera  el  24</w:t>
        <w:br/>
        <w:t>de enero de 1991 (expediente de prueba, tomo III, anexo 23  al  sometimiento</w:t>
        <w:br/>
        <w:t>del caso, folios 1711 a 1713). Ver también, Declaración  rendida  por  María</w:t>
        <w:br/>
        <w:t>del Rosario López Sánchez ante  la  Corte  Interamericana  en  la  audiencia</w:t>
        <w:br/>
        <w:t>pública celebrada el 23 de abril de 2012.</w:t>
        <w:br/>
        <w:br/>
        <w:t>[120]       Cfr. Declaración de testigo  rendida  por  Pedro  Chicas  Romero</w:t>
        <w:br/>
        <w:t>ante el Juzgado Segundo de Primera Instancia de San Francisco Gotera  el  27</w:t>
        <w:br/>
        <w:t>de  noviembre  de  1990  (expediente  de  prueba,  tomo  III,  anexo  23  al</w:t>
        <w:br/>
        <w:t>sometimiento del caso, folios 1692 a 1693); Declaración jurada  rendida  por</w:t>
        <w:br/>
        <w:t>Pedro Chicas Romero ante la Oficina de Tutela Legal del  Arzobispado  el  25</w:t>
        <w:br/>
        <w:t>de julio de 2011 (expediente de prueba, tomo VIII, anexo  3  al  escrito  de</w:t>
        <w:br/>
        <w:t>solicitudes, argumentos y pruebas,  folios  5530  a  5531);  Declaración  de</w:t>
        <w:br/>
        <w:t>testigo rendida por  María  Amanda  Martínez  ante  el  Juzgado  Segundo  de</w:t>
        <w:br/>
        <w:t>Primera  Instancia  de  San  Francisco  Gotera  el  23  de  enero  de   1991</w:t>
        <w:br/>
        <w:t>(expediente de prueba, tomo III, anexo 23 al sometimiento del  caso,  folios</w:t>
        <w:br/>
        <w:t>1704 a 1705); Declaración de testigo  rendida  por  Lucila  Romero  Martínez</w:t>
        <w:br/>
        <w:t>ante el Juzgado Segundo de Primera Instancia de San Francisco Gotera  el  24</w:t>
        <w:br/>
        <w:t>de enero de 1991 (expediente de prueba, tomo III, anexo 23  al  sometimiento</w:t>
        <w:br/>
        <w:t>del caso, folios 1711 a 1713); Declaración de ofendido  rendida  por  Genaro</w:t>
        <w:br/>
        <w:t>Sánchez ante el Juzgado  Segundo  de  Primera  Instancia  de  San  Francisco</w:t>
        <w:br/>
        <w:t>Gotera el 4 de abril de 1991 (expediente de prueba, tomo III,  anexo  23  al</w:t>
        <w:br/>
        <w:t>sometimiento del caso, folios 1762 a 1765); Declaración de  testigo  rendida</w:t>
        <w:br/>
        <w:t>por Genaro Sánchez ante el Juzgado  Segundo  de  Primera  Instancia  de  San</w:t>
        <w:br/>
        <w:t>Francisco Gotera el 10 de abril de 1991 (expediente  de  prueba,  tomo  III,</w:t>
        <w:br/>
        <w:t>anexo 23 al sometimiento del caso, folios 1767 a 1770);  Declaración  jurada</w:t>
        <w:br/>
        <w:t>rendida por César Martínez Hernández ante la Oficina  de  Tutela  Legal  del</w:t>
        <w:br/>
        <w:t>Arzobispado el 22 de junio de 2011 (expediente de prueba, tomo  VIII,  anexo</w:t>
        <w:br/>
        <w:t>3 al escrito de solicitudes, argumentos y pruebas, folios 5547  a  5548),  y</w:t>
        <w:br/>
        <w:t>Declaración rendida por María  del  Rosario  López  Sánchez  ante  la  Corte</w:t>
        <w:br/>
        <w:t>Interamericana en la audiencia pública celebrada el 23 de abril de 2012.</w:t>
        <w:br/>
        <w:br/>
        <w:t>[121]       Cfr. Declaración de testigo rendida por  Hilario  Sánchez  Gómez</w:t>
        <w:br/>
        <w:t>ante el Juzgado Segundo de Primera Instancia de San Francisco Gotera  el  28</w:t>
        <w:br/>
        <w:t>de  noviembre  de  1990  (expediente  de  prueba,  tomo  III,  anexo  23  al</w:t>
        <w:br/>
        <w:t>sometimiento del caso, folios 1696 a 1697); Declaración de ofendido  rendida</w:t>
        <w:br/>
        <w:t>por Hilario Sánchez Gómez ante el Juzgado Segundo de  Primera  Instancia  de</w:t>
        <w:br/>
        <w:t>San Francisco Gotera el 14 de febrero de 1991 (expediente  de  prueba,  tomo</w:t>
        <w:br/>
        <w:t>III, anexo 23 al sometimiento del caso, folio 1725), y  Declaración  rendida</w:t>
        <w:br/>
        <w:t>ante fedatario público (affidávit) por Juan Bautista Márquez  Argueta  el  1</w:t>
        <w:br/>
        <w:t>de abril de  2012  (expediente  de  prueba,  tomo  XVII,  affidávits,  folio</w:t>
        <w:br/>
        <w:t>10277). Ver también, Declaración jurada rendida por María del Rosario  López</w:t>
        <w:br/>
        <w:t>Sánchez ante la Oficina de Tutela Legal del Arzobispado el 19  de  junio  de</w:t>
        <w:br/>
        <w:t>2011 (expediente de prueba, tomo VIII, anexo 3 al  escrito  de  solicitudes,</w:t>
        <w:br/>
        <w:t>argumentos y pruebas, folios 5522 a 5525).</w:t>
        <w:br/>
        <w:br/>
        <w:t>[122]       Cfr. Declaración de testigo rendida por  Hilario  Sánchez  Gómez</w:t>
        <w:br/>
        <w:t>ante el Juzgado Segundo de Primera Instancia de San Francisco Gotera  el  28</w:t>
        <w:br/>
        <w:t>de  noviembre  de  1990  (expediente  de  prueba,  tomo  III,  anexo  23  al</w:t>
        <w:br/>
        <w:t>sometimiento del caso, folios  1696  a  1697),  y  Declaración  de  ofendido</w:t>
        <w:br/>
        <w:t>rendida por Hilario  Sánchez  Gómez  ante  el  Juzgado  Segundo  de  Primera</w:t>
        <w:br/>
        <w:t>Instancia de San Francisco Gotera el 14 de febrero de  1991  (expediente  de</w:t>
        <w:br/>
        <w:t>prueba, tomo III, anexo 23  al  sometimiento  del  caso,  folio  1725).  Ver</w:t>
        <w:br/>
        <w:t>también, Declaración jurada rendida por  María  del  Rosario  López  Sánchez</w:t>
        <w:br/>
        <w:t>ante la Oficina de Tutela Legal del Arzobispado  el  19  de  junio  de  2011</w:t>
        <w:br/>
        <w:t>(expediente de prueba,  tomo  VIII,  anexo  3  al  escrito  de  solicitudes,</w:t>
        <w:br/>
        <w:t>argumentos y pruebas, folios 5522 a 5525).</w:t>
        <w:br/>
        <w:br/>
        <w:t>[123]       Cfr. Declaración de testigo rendida por  Hilario  Sánchez  Gómez</w:t>
        <w:br/>
        <w:t>ante el Juzgado Segundo de Primera Instancia de San Francisco Gotera  el  28</w:t>
        <w:br/>
        <w:t>de  noviembre  de  1990  (expediente  de  prueba,  tomo  III,  anexo  23  al</w:t>
        <w:br/>
        <w:t>sometimiento del caso, folios 1695 a 1698); Declaración de ofendido  rendida</w:t>
        <w:br/>
        <w:t>por Hilario Sánchez Gómez ante el Juzgado Segundo de  Primera  Instancia  de</w:t>
        <w:br/>
        <w:t>San Francisco Gotera el 14 de febrero de 1991 (expediente  de  prueba,  tomo</w:t>
        <w:br/>
        <w:t>III, anexo 23 al sometimiento del caso, folios 1723 a 1728),  y  Declaración</w:t>
        <w:br/>
        <w:t>de testigo rendida por Lucila Romero Martínez ante  el  Juzgado  Segundo  de</w:t>
        <w:br/>
        <w:t>Primera  Instancia  de  San  Francisco  Gotera  el  24  de  enero  de   1991</w:t>
        <w:br/>
        <w:t>(expediente de prueba, tomo III, anexo 23 al sometimiento del  caso,  folios</w:t>
        <w:br/>
        <w:t>1711 a 1713). Ver también, Declaración jurada rendida por María del  Rosario</w:t>
        <w:br/>
        <w:t>López Sánchez ante la Oficina de Tutela  Legal  del  Arzobispado  el  19  de</w:t>
        <w:br/>
        <w:t>junio de 2011 (expediente de prueba,  tomo  VIII,  anexo  3  al  escrito  de</w:t>
        <w:br/>
        <w:t>solicitudes, argumentos y pruebas, folios 5522 a 5525).</w:t>
        <w:br/>
        <w:br/>
        <w:t>[124]       Cfr. Declaración de testigo rendida por  Hilario  Sánchez  Gómez</w:t>
        <w:br/>
        <w:t>ante el Juzgado Segundo de Primera Instancia de San Francisco Gotera  el  28</w:t>
        <w:br/>
        <w:t>de  noviembre  de  1990  (expediente  de  prueba,  tomo  III,  anexo  23  al</w:t>
        <w:br/>
        <w:t>sometimiento del caso, folios 1695 a 1698); Declaración de ofendido  rendida</w:t>
        <w:br/>
        <w:t>por Hilario Sánchez Gómez ante el Juzgado Segundo de  Primera  Instancia  de</w:t>
        <w:br/>
        <w:t>San Francisco Gotera el 14 de febrero de 1991 (expediente  de  prueba,  tomo</w:t>
        <w:br/>
        <w:t>III, anexo 23 al sometimiento del caso, folios 1723 a 1728); Declaración  de</w:t>
        <w:br/>
        <w:t>testigo rendida por Lucila  Romero  Martínez  ante  el  Juzgado  Segundo  de</w:t>
        <w:br/>
        <w:t>Primera  Instancia  de  San  Francisco  Gotera  el  24  de  enero  de   1991</w:t>
        <w:br/>
        <w:t>(expediente de prueba, tomo III, anexo 23 al sometimiento del  caso,  folios</w:t>
        <w:br/>
        <w:t>1711 a 1713); Declaración de testigo rendida  por  Sotero  Guevara  Martínez</w:t>
        <w:br/>
        <w:t>ante el Juzgado Segundo de Primera Instancia de San Francisco  Gotera  el  7</w:t>
        <w:br/>
        <w:t>de mayo de 1991 (expediente de prueba, tomo III, anexo  23  al  sometimiento</w:t>
        <w:br/>
        <w:t>del caso, folios 1774 a 1778); Declaración  jurada  rendida  por  María  del</w:t>
        <w:br/>
        <w:t>Rosario López Sánchez ante la Oficina de Tutela Legal del Arzobispado el  19</w:t>
        <w:br/>
        <w:t>de junio de 2011 (expediente de prueba, tomo VIII, anexo  3  al  escrito  de</w:t>
        <w:br/>
        <w:t>solicitudes, argumentos y  pruebas,  folios  5522  a  5525),  y  Declaración</w:t>
        <w:br/>
        <w:t>jurada rendida por César Martínez Hernández ante la Oficina de Tutela  Legal</w:t>
        <w:br/>
        <w:t>del Arzobispado el 22 de junio de 2011 (expediente  de  prueba,  tomo  VIII,</w:t>
        <w:br/>
        <w:t>anexo 3 al escrito de solicitudes,  argumentos  y  pruebas,  folios  5547  a</w:t>
        <w:br/>
        <w:t>5548).</w:t>
        <w:br/>
        <w:br/>
        <w:t>[125]       Cfr. Declaración de ofendido rendida  por  Pedro  Chicas  Romero</w:t>
        <w:br/>
        <w:t>ante el Juzgado Segundo de Primera Instancia de San Francisco Gotera  el  31</w:t>
        <w:br/>
        <w:t>de  octubre  de  1990  (expediente  de  prueba,  tomo  III,  anexo   23   al</w:t>
        <w:br/>
        <w:t>sometimiento del caso, folio  1671);  Declaración  de  testigo  rendida  por</w:t>
        <w:br/>
        <w:t>Pedro Chicas Romero ante el Juzgado Segundo  de  Primera  Instancia  de  San</w:t>
        <w:br/>
        <w:t>Francisco Gotera el 27 de noviembre de  1990  (expediente  de  prueba,  tomo</w:t>
        <w:br/>
        <w:t>III, anexo 23 al sometimiento del caso, folio 1693), y  Acta  de  inspección</w:t>
        <w:br/>
        <w:t>judicial realizada en  el  Cantón  “La  Joya”,  jurisdicción  de  Meanguera,</w:t>
        <w:br/>
        <w:t>Distrito de Jocoaitique, Departamento de Morazán, el  1  de  julio  de  1992</w:t>
        <w:br/>
        <w:t>(expediente de prueba, tomo III, anexo 23 al sometimiento  del  caso,  folio</w:t>
        <w:br/>
        <w:t>2159).</w:t>
        <w:br/>
        <w:br/>
        <w:t>[126]       Cfr. Tutela Legal del Arzobispado de San  Salvador,  El  Mozote.</w:t>
        <w:br/>
        <w:t>Lucha por la verdad y la justicia: Masacre a la Inocencia, San Salvador,  El</w:t>
        <w:br/>
        <w:t>Salvador, 2008, pág. 61  (expediente  de  prueba,  tomo  VIII,  anexo  2  al</w:t>
        <w:br/>
        <w:t>escrito de solicitudes, argumentos y pruebas, folio 5304).</w:t>
        <w:br/>
        <w:br/>
        <w:t>[127]       Cfr. Inspección judicial realizada en el caserío Ranchería,  del</w:t>
        <w:br/>
        <w:t>cantón  Guacamaya,  jurisdicción  de  Meanguera,  Distrito  de  Jocoaitique,</w:t>
        <w:br/>
        <w:t>Departamento de Morazán, el 15 de julio de 1992 (expediente de prueba,  tomo</w:t>
        <w:br/>
        <w:t>III, anexo 23 al sometimiento del caso, folios 2224 a 2228),  y  Declaración</w:t>
        <w:br/>
        <w:t>de testigo rendida por  Irma  Ramos  Márquez  ante  el  Juzgado  Segundo  de</w:t>
        <w:br/>
        <w:t>Primera Instancia  de  San  Francisco  Gotera  el  31  de  octubre  de  1990</w:t>
        <w:br/>
        <w:t>(expediente de prueba, tomo III, anexo 23 al sometimiento del  caso,  folios</w:t>
        <w:br/>
        <w:t>1668 a 1670).</w:t>
        <w:br/>
        <w:br/>
        <w:t>[128]       Cfr. Declaración de testigo rendida por Irma Ramos Márquez  ante</w:t>
        <w:br/>
        <w:t>el Juzgado Segundo de Primera Instancia de San Francisco  Gotera  el  31  de</w:t>
        <w:br/>
        <w:t>octubre de 1990 (expediente de prueba, tomo III, anexo  23  al  sometimiento</w:t>
        <w:br/>
        <w:t>del caso, folio 1668).</w:t>
        <w:br/>
        <w:br/>
        <w:t>[129]       Cfr. Declaración de testigo rendida por Irma Ramos Márquez  ante</w:t>
        <w:br/>
        <w:t>el Juzgado Segundo de Primera Instancia de San Francisco  Gotera  el  31  de</w:t>
        <w:br/>
        <w:t>octubre de 1990 (expediente de prueba, tomo III, anexo  23  al  sometimiento</w:t>
        <w:br/>
        <w:t>del caso, folios 1668 a 1670).</w:t>
        <w:br/>
        <w:br/>
        <w:t>[130]       Cfr. Tutela Legal del Arzobispado de San  Salvador,  El  Mozote.</w:t>
        <w:br/>
        <w:t>Lucha por la verdad y la justicia: Masacre a la Inocencia, San Salvador,  El</w:t>
        <w:br/>
        <w:t>Salvador, 2008, pág. 62  (expediente  de  prueba,  tomo  VIII,  anexo  2  al</w:t>
        <w:br/>
        <w:t>escrito de solicitudes, argumentos y pruebas, folio 5305).</w:t>
        <w:br/>
        <w:br/>
        <w:t>[131]       Cfr. Declaración de testigo rendida por  María  Teófila  Pereira</w:t>
        <w:br/>
        <w:t>Argueta ante el Juzgado  Segundo  de  Primera  Instancia  de  San  Francisco</w:t>
        <w:br/>
        <w:t>Gotera el 23 de enero de 1991 (expediente de prueba, tomo III, anexo  23  al</w:t>
        <w:br/>
        <w:t>sometimiento del caso, folio 1701);  Declaración  de  ofendida  rendida  por</w:t>
        <w:br/>
        <w:t>María Teófila Pereira Argueta ante el Juzgado Segundo de  Primera  Instancia</w:t>
        <w:br/>
        <w:t>de San Francisco Gotera el 18 de febrero  de  1991  (expediente  de  prueba,</w:t>
        <w:br/>
        <w:t>tomo III, anexo 23 al sometimiento del  caso,  folio  1730),  y  Declaración</w:t>
        <w:br/>
        <w:t>rendida ante fedatario público (affidávit) por Juan  Antonio  Pereira  Vigil</w:t>
        <w:br/>
        <w:t>el 2 de abril de 2012 (expediente de prueba, tomo XVII,  affidávits,  folios</w:t>
        <w:br/>
        <w:t>10289 a 10291). Ver también, Resumen del trabajo  forense  de  septiembre  a</w:t>
        <w:br/>
        <w:t>diciembre de 2001 realizado por el Equipo Argentina de Antropología  Forense</w:t>
        <w:br/>
        <w:t>(EAAF) de 7 de diciembre de 2001 (expediente de prueba, tomo V, anexo 23  al</w:t>
        <w:br/>
        <w:t>sometimiento del caso, folio 3946).</w:t>
        <w:br/>
        <w:br/>
        <w:t>[132]       Cfr. Declaración de testigo rendida por  María  Teófila  Pereira</w:t>
        <w:br/>
        <w:t>Argueta ante el Juzgado  Segundo  de  Primera  Instancia  de  San  Francisco</w:t>
        <w:br/>
        <w:t>Gotera el 23 de enero de 1991 (expediente de prueba, tomo III, anexo  23  al</w:t>
        <w:br/>
        <w:t>sometimiento del caso, folios 1701  a  1702),  y  Declaración  rendida  ante</w:t>
        <w:br/>
        <w:t>fedatario público (affidávit) por Juan Antonio Pereira Vigil el 2  de  abril</w:t>
        <w:br/>
        <w:t>de 2012 (expediente de prueba, tomo XVII, affidávits, folio 10289).</w:t>
        <w:br/>
        <w:br/>
        <w:t>[133]       Cfr.  Informe  del  Equipo  Argentino  de  Antropología  Forense</w:t>
        <w:br/>
        <w:t>(EAAF)  sobre  los  trabajos  de  exhumación  realizados  en  el  año   2001</w:t>
        <w:br/>
        <w:t>(expediente de prueba, tomo VI, anexo 28 al sometimiento  del  caso,  folios</w:t>
        <w:br/>
        <w:t>4445 a 4452).</w:t>
        <w:br/>
        <w:br/>
        <w:t>[134]       Cfr. Declaración de testigo  rendida  por  Domingo  Vigil  Amaya</w:t>
        <w:br/>
        <w:t>ante el Juzgado Segundo de Primera Instancia de San Francisco Gotera  el  30</w:t>
        <w:br/>
        <w:t>de enero de 1991 (expediente de prueba, tomo III, anexo 23  al  sometimiento</w:t>
        <w:br/>
        <w:t>del caso, folio 1715); Declaración de ofendido  rendida  por  Domingo  Vigil</w:t>
        <w:br/>
        <w:t>Amaya ante el Juzgado Segundo de Primera Instancia de San  Francisco  Gotera</w:t>
        <w:br/>
        <w:t>el 5 de marzo  de  1991  (expediente  de  prueba,  tomo  III,  anexo  23  al</w:t>
        <w:br/>
        <w:t>sometimiento del  caso,  folio  1742),  y  Declaración  jurada  rendida  por</w:t>
        <w:br/>
        <w:t>Alejandro Hernández Argueta ante la Oficina de Tutela Legal del  Arzobispado</w:t>
        <w:br/>
        <w:t>el 3 de agosto de 2011 (expediente de prueba, tomo VIII, anexo 3 al  escrito</w:t>
        <w:br/>
        <w:t>de solicitudes, argumentos y pruebas, folio 5573).</w:t>
        <w:br/>
        <w:br/>
        <w:t>[135]       Cfr. Declaración de testigo  rendida  por  Domingo  Vigil  Amaya</w:t>
        <w:br/>
        <w:t>ante el Juzgado Segundo de Primera Instancia de San Francisco Gotera  el  30</w:t>
        <w:br/>
        <w:t>de enero de 1991 (expediente de prueba, tomo III, anexo 23  al  sometimiento</w:t>
        <w:br/>
        <w:t>del caso, folio 1715), y Declaración de ofendido rendida por  Domingo  Vigil</w:t>
        <w:br/>
        <w:t>Amaya ante el Juzgado Segundo de Primera Instancia de San  Francisco  Gotera</w:t>
        <w:br/>
        <w:t>el 5 de marzo  de  1991  (expediente  de  prueba,  tomo  III,  anexo  23  al</w:t>
        <w:br/>
        <w:t>sometimiento del caso, folio 1742).</w:t>
        <w:br/>
        <w:br/>
        <w:t>[136]       Cfr. Declaración de testigo rendida por  Juan  Bautista  Márquez</w:t>
        <w:br/>
        <w:t>ante el Juzgado Segundo de Primera Instancia de San Francisco Gotera  el  30</w:t>
        <w:br/>
        <w:t>de  octubre  de  1990  (expediente  de  prueba,  tomo  III,  anexo   23   al</w:t>
        <w:br/>
        <w:t>sometimiento del caso, folio  1657);  Declaración  de  testigo  rendida  por</w:t>
        <w:br/>
        <w:t>Domingo Vigil Amaya ante el Juzgado Segundo  de  Primera  Instancia  de  San</w:t>
        <w:br/>
        <w:t>Francisco Gotera el 30 de enero de 1991 (expediente  de  prueba,  tomo  III,</w:t>
        <w:br/>
        <w:t>anexo 23 al sometimiento del caso, folio 1715), y  Declaración  de  ofendido</w:t>
        <w:br/>
        <w:t>rendida  por  Domingo  Vigil  Amaya  ante  el  Juzgado  Segundo  de  Primera</w:t>
        <w:br/>
        <w:t>Instancia de San Francisco Gotera el 5  de  marzo  de  1991  (expediente  de</w:t>
        <w:br/>
        <w:t>prueba, tomo III, anexo 23 al sometimiento del caso, folio 1741).</w:t>
        <w:br/>
        <w:br/>
        <w:t>[137]       Cfr. Declaración de testigo  rendida  por  Domingo  Vigil  Amaya</w:t>
        <w:br/>
        <w:t>ante el Juzgado Segundo de Primera Instancia de San Francisco Gotera  el  30</w:t>
        <w:br/>
        <w:t>de enero de 1991 (expediente de prueba, tomo III, anexo 23  al  sometimiento</w:t>
        <w:br/>
        <w:t>del caso, folio 1715); Declaración de ofendido  rendida  por  Domingo  Vigil</w:t>
        <w:br/>
        <w:t>Amaya ante el Juzgado Segundo de Primera Instancia de San  Francisco  Gotera</w:t>
        <w:br/>
        <w:t>el 5 de marzo  de  1991  (expediente  de  prueba,  tomo  III,  anexo  23  al</w:t>
        <w:br/>
        <w:t>sometimiento del caso, folio 1742); Declaración de testigo rendida por  Juan</w:t>
        <w:br/>
        <w:t>Bautista Márquez ante  el  Juzgado  Segundo  de  Primera  Instancia  de  San</w:t>
        <w:br/>
        <w:t>Francisco Gotera el 30 de octubre de 1990 (expediente de prueba,  tomo  III,</w:t>
        <w:br/>
        <w:t>anexo 23 al sometimiento del caso, folio  1657);  Resumen  de  los  trabajos</w:t>
        <w:br/>
        <w:t>forenses, caserío Jocote Amarillo, Sitios 1, 2, 3  y  4,  realizado  por  el</w:t>
        <w:br/>
        <w:t>Equipo Argentino de Antropología Forense (EAAF)  de  13  de  julio  de  2000</w:t>
        <w:br/>
        <w:t>(expediente de prueba, tomo V, anexo 23 al  sometimiento  del  caso,  folios</w:t>
        <w:br/>
        <w:t>3719 a 3722), y Acta de inspección judicial realizada en el  caserío  Jocote</w:t>
        <w:br/>
        <w:t>Amarillo, del cantón  Guacamaya,  jurisdicción  de  Meanguera,  Distrito  de</w:t>
        <w:br/>
        <w:t>Jocoaitique, Departamento de Morazán, el 29 de julio de 1992 (expediente  de</w:t>
        <w:br/>
        <w:t>prueba, tomo III, anexo 23 al sometimiento del caso, folios 2301 a 2303).</w:t>
        <w:br/>
        <w:br/>
        <w:t>[138]       Cfr. Declaración jurada rendida por Alejandro Hernández  Argueta</w:t>
        <w:br/>
        <w:t>ante la Oficina de Tutela Legal del Arzobispado  el  3  de  agosto  de  2011</w:t>
        <w:br/>
        <w:t>(expediente de prueba,  tomo  VIII,  anexo  3  al  escrito  de  solicitudes,</w:t>
        <w:br/>
        <w:t>argumentos y pruebas, folio 5573).</w:t>
        <w:br/>
        <w:br/>
        <w:t>[139]       Cfr. Declaración de ofendida  rendida  por  Lidia  Chicas  Mejía</w:t>
        <w:br/>
        <w:t>ante el Juzgado Segundo de Primera Instancia de San Francisco Gotera  el  21</w:t>
        <w:br/>
        <w:t>de agosto de 1992 (expediente de prueba, tomo III, anexo 23 al  sometimiento</w:t>
        <w:br/>
        <w:t>del caso, folio 2351).</w:t>
        <w:br/>
        <w:br/>
        <w:t>[140]       Cfr. Declaración de ofendida  rendida  por  Lidia  Chicas  Mejía</w:t>
        <w:br/>
        <w:t>ante el Juzgado Segundo de Primera Instancia de San Francisco Gotera  el  21</w:t>
        <w:br/>
        <w:t>de agosto de 1992 (expediente de prueba, tomo III, anexo 23 al  sometimiento</w:t>
        <w:br/>
        <w:t>del caso, folio 2352), y Declaración de testigo  rendida  por  Lidia  Chicas</w:t>
        <w:br/>
        <w:t>Mejía ante el Juzgado Segundo de Primera Instancia de San  Francisco  Gotera</w:t>
        <w:br/>
        <w:t>el 21 de agosto de 1992  (expediente  de  prueba,  tomo  III,  anexo  23  al</w:t>
        <w:br/>
        <w:t>sometimiento del caso, folios 2355 a 2356).</w:t>
        <w:br/>
        <w:br/>
        <w:t>[141]       Cfr. Declaración  de  testigo  rendida  por  Bernardino  Guevara</w:t>
        <w:br/>
        <w:t>Chicas ante el Juzgado Segundo de Primera Instancia de San Francisco  Gotera</w:t>
        <w:br/>
        <w:t>el 23 de enero de  1991  (expediente  de  prueba,  tomo  III,  anexo  23  al</w:t>
        <w:br/>
        <w:t>sometimiento del caso, folio 1706).</w:t>
        <w:br/>
        <w:br/>
        <w:t>[142]       Cfr. Declaración rendida ante fedatario público (affidávit)  por</w:t>
        <w:br/>
        <w:t>Antonia Guevara Díaz el 1 de abril  de  2012  (expediente  de  prueba,  tomo</w:t>
        <w:br/>
        <w:t>XVII, affidávits, folio 10287); Declaración rendida ante  fedatario  público</w:t>
        <w:br/>
        <w:t>(affidávit) por José Pablo Díaz Portillo el 1 de abril de  2012  (expediente</w:t>
        <w:br/>
        <w:t>de prueba, tomo XVII, affidávits, folio 10298); Declaración  jurada  rendida</w:t>
        <w:br/>
        <w:t>por Santos Jacobo Chicas  Guevara  ante  la  Oficina  de  Tutela  Legal  del</w:t>
        <w:br/>
        <w:t>Arzobispado el 20 de junio de 2011 (expediente de prueba, tomo  VIII,  anexo</w:t>
        <w:br/>
        <w:t>3  al  escrito  de  solicitudes,  argumentos  y  pruebas,  folio  5540),   y</w:t>
        <w:br/>
        <w:t>Declaración de  testigo  rendida  por  Bernardino  Guevara  Chicas  ante  el</w:t>
        <w:br/>
        <w:t>Juzgado Segundo de Primera Instancia de San Francisco Gotera el 23 de  enero</w:t>
        <w:br/>
        <w:t>de 1991 (expediente de prueba, tomo III, anexo 23 al sometimiento del  caso,</w:t>
        <w:br/>
        <w:t>folio 1708). Ver también,  Acta  de  inspección  judicial  realizada  en  el</w:t>
        <w:br/>
        <w:t>caserío  El  Barrial,  del  cantón  Cerro  Pando,  de  la  jurisdicción   de</w:t>
        <w:br/>
        <w:t>Meanguera, Distrito de  Jocoaitique,  Departamento  de  Morazán,  el  12  de</w:t>
        <w:br/>
        <w:t>agosto de 1992 (expediente de prueba, tomo III,  anexo  23  al  sometimiento</w:t>
        <w:br/>
        <w:t>del caso, folio 2318).</w:t>
        <w:br/>
        <w:br/>
        <w:t>[143]       Cfr. Tutela Legal del Arzobispado de San  Salvador,  El  Mozote.</w:t>
        <w:br/>
        <w:t>Lucha por la verdad y la justicia: Masacre a la Inocencia, San Salvador,  El</w:t>
        <w:br/>
        <w:t>Salvador, 2008, pág. 66  (expediente  de  prueba,  tomo  VIII,  anexo  2  al</w:t>
        <w:br/>
        <w:t>escrito de solicitudes, argumentos y pruebas, folio 5307).</w:t>
        <w:br/>
        <w:br/>
        <w:t>[144]       Cfr. Introducción por María Julia  Hernández  en:  Pedro  Linger</w:t>
        <w:br/>
        <w:t>Gasiglia, El Mozote. La Masacre 25 años después.  1ra.  Ed.,  Buenos  Aires,</w:t>
        <w:br/>
        <w:t>2007 (expediente de prueba, tomo IX, anexo  4  al  escrito  de  solicitudes,</w:t>
        <w:br/>
        <w:t>argumentos y pruebas, folio 5704).</w:t>
        <w:br/>
        <w:br/>
        <w:t>[145]       Cfr. Declaración jurada rendida por José  Eliseo  Claros  Romero</w:t>
        <w:br/>
        <w:t>ante la Oficina de Tutela Legal del Arzobispado  el  21  de  julio  de  2011</w:t>
        <w:br/>
        <w:t>(expediente de prueba,  tomo  VIII,  anexo  3  al  escrito  de  solicitudes,</w:t>
        <w:br/>
        <w:t>argumentos y pruebas, folio  5533);  Declaración  jurada  rendida  por  José</w:t>
        <w:br/>
        <w:t>Gregorio Hernández García ante la Oficina de Tutela  Legal  del  Arzobispado</w:t>
        <w:br/>
        <w:t>el 20 de junio de 2011 (expediente de prueba, tomo VIII, anexo 3 al  escrito</w:t>
        <w:br/>
        <w:t>de solicitudes,  argumentos  y  pruebas,  folio  5536);  Declaración  jurada</w:t>
        <w:br/>
        <w:t>rendida por Petronila Vigil de Márquez ante la Oficina de Tutela  Legal  del</w:t>
        <w:br/>
        <w:t>Arzobispado el 2 de agosto de 2011 (expediente de prueba, tomo  VIII,  anexo</w:t>
        <w:br/>
        <w:t>3 al escrito de solicitudes, argumentos y pruebas, folio 5553);  Declaración</w:t>
        <w:br/>
        <w:t>jurada rendida por María Trinidad Díaz Díaz ante la Oficina de Tutela  Legal</w:t>
        <w:br/>
        <w:t>del Arzobispado el 3 de agosto de 2011 (expediente  de  prueba,  tomo  VIII,</w:t>
        <w:br/>
        <w:t>anexo 3 al escrito  de  solicitudes,  argumentos  y  pruebas,  folio  5578);</w:t>
        <w:br/>
        <w:t>Declaración jurada rendida por María Regina Márquez Argueta ante la  Oficina</w:t>
        <w:br/>
        <w:t>de Tutela Legal del Arzobispado el  2  de  agosto  de  2011  (expediente  de</w:t>
        <w:br/>
        <w:t>prueba, tomo VIII, anexo 3 al escrito de solicitudes, argumentos y  pruebas,</w:t>
        <w:br/>
        <w:t>folio 5585); Declaración rendida  ante  fedatario  público  (affidávit)  por</w:t>
        <w:br/>
        <w:t>Sofía Pereira Romero el 2 de abril  de  2012  (expediente  de  prueba,  tomo</w:t>
        <w:br/>
        <w:t>XVII,  affidávits,  folio  10280),  y  Declaración  rendida  ante  fedatario</w:t>
        <w:br/>
        <w:t>público (affidávit)  por  Sonia  Tobar  de  Díaz  el  1  de  abril  de  2012</w:t>
        <w:br/>
        <w:t>(expediente de prueba, tomo XVII, affidávits, folio 10284).</w:t>
        <w:br/>
        <w:br/>
        <w:t>[146]       Cfr. Declaración jurada rendida por José Gervacio Díaz  ante  la</w:t>
        <w:br/>
        <w:t>Oficina de Tutela Legal del Arzobispado el 28 de junio de  2011  (expediente</w:t>
        <w:br/>
        <w:t>de prueba, tomo VIII, anexo  3  al  escrito  de  solicitudes,  argumentos  y</w:t>
        <w:br/>
        <w:t>pruebas, folios 5543 a 5544); Declaración jurada  rendida  por  María  Ester</w:t>
        <w:br/>
        <w:t>González Barrera ante la Oficina de Tutela Legal del Arzobispado  el  29  de</w:t>
        <w:br/>
        <w:t>junio de 2011 (expediente de prueba,  tomo  VIII,  anexo  3  al  escrito  de</w:t>
        <w:br/>
        <w:t>solicitudes, argumentos y pruebas, folio 5550); Declaración  jurada  rendida</w:t>
        <w:br/>
        <w:t>por María Teresa Argueta de Pereira ante la  Oficina  de  Tutela  Legal  del</w:t>
        <w:br/>
        <w:t>Arzobispado el 8 de agosto de 2011 (expediente de prueba, tomo  VIII,  anexo</w:t>
        <w:br/>
        <w:t>3  al  escrito  de  solicitudes,  argumentos  y  pruebas,  folio  5569),   y</w:t>
        <w:br/>
        <w:t>Declaración jurada rendida por María Regina Márquez Argueta ante la  Oficina</w:t>
        <w:br/>
        <w:t>de Tutela Legal del Arzobispado el  2  de  agosto  de  2011  (expediente  de</w:t>
        <w:br/>
        <w:t>prueba, tomo VIII, anexo 3 al escrito de solicitudes, argumentos y  pruebas,</w:t>
        <w:br/>
        <w:t>folios 5585 a 5586).</w:t>
        <w:br/>
        <w:br/>
        <w:t>[147]       Cfr. Declaración  de  testigo  rendida  por  Bernardino  Guevara</w:t>
        <w:br/>
        <w:t>Chicas ante el Juzgado Segundo de Primera Instancia de San Francisco  Gotera</w:t>
        <w:br/>
        <w:t>el 23 de enero de  1991  (expediente  de  prueba,  tomo  III,  anexo  23  al</w:t>
        <w:br/>
        <w:t>sometimiento del caso, folio 1708);  Declaración  de  ofendido  rendida  por</w:t>
        <w:br/>
        <w:t>Bernardino Guevara Chicas ante el Juzgado Segundo de  Primera  Instancia  de</w:t>
        <w:br/>
        <w:t>San Francisco Gotera el 25 de febrero de 1991 (expediente  de  prueba,  tomo</w:t>
        <w:br/>
        <w:t>III, anexo 23 al sometimiento del caso, folio 1734); Declaración de  testigo</w:t>
        <w:br/>
        <w:t>rendida por Lucila Romero  Martínez  ante  el  Juzgado  Segundo  de  Primera</w:t>
        <w:br/>
        <w:t>Instancia de San Francisco Gotera el 24 de  enero  de  1991  (expediente  de</w:t>
        <w:br/>
        <w:t>prueba,  tomo  III,  anexo  23  al  sometimiento  del  caso,  folio   1712);</w:t>
        <w:br/>
        <w:t>Declaración jurada rendida por María  del  Rosario  López  Sánchez  ante  la</w:t>
        <w:br/>
        <w:t>Oficina de Tutela Legal del Arzobispado el 19 de junio de  2011  (expediente</w:t>
        <w:br/>
        <w:t>de prueba, tomo VIII, anexo  3  al  escrito  de  solicitudes,  argumentos  y</w:t>
        <w:br/>
        <w:t>pruebas, folios 5522 a 5523), y Declaración rendida ante  fedatario  público</w:t>
        <w:br/>
        <w:t>(affidávit)  por  Juan  Antonio  Pereira  Vigil  el  2  de  abril  de   2012</w:t>
        <w:br/>
        <w:t>(expediente de prueba, tomo XVII, affidávits, folios 10289 a 10290).</w:t>
        <w:br/>
        <w:br/>
        <w:t>[148]       Cfr.  Declaración  jurada  rendida  por  Rufina  Amaya  Vda.  de</w:t>
        <w:br/>
        <w:t>Márquez ante la Oficina de Tutela Legal del Arzobispado el 10 de octubre  de</w:t>
        <w:br/>
        <w:t>1990 (expediente de prueba, tomo II, anexo  20  al  sometimiento  del  caso,</w:t>
        <w:br/>
        <w:t>folio 1578); Declaración rendida  ante  fedatario  público  (affidávit)  por</w:t>
        <w:br/>
        <w:t>Juan Bautista Márquez Argueta el 1 de abril de 2012 (expediente  de  prueba,</w:t>
        <w:br/>
        <w:t>tomo XVII, affidávits, folio 10277);  Declaración  de  testigo  rendida  por</w:t>
        <w:br/>
        <w:t>Hilario Sánchez Gómez ante el Juzgado Segundo de Primera  Instancia  de  San</w:t>
        <w:br/>
        <w:t>Francisco Gotera el 28 de noviembre de  1990  (expediente  de  prueba,  tomo</w:t>
        <w:br/>
        <w:t>III, anexo  23  al  sometimiento  del  caso,  folio  1697);  Declaración  de</w:t>
        <w:br/>
        <w:t>ofendido rendida por Hilario  Sánchez  Gómez  ante  el  Juzgado  Segundo  de</w:t>
        <w:br/>
        <w:t>Primera Instancia  de  San  Francisco  Gotera  el  14  de  febrero  de  1991</w:t>
        <w:br/>
        <w:t>(expediente de prueba, tomo III, anexo 23 al sometimiento del  caso,  folios</w:t>
        <w:br/>
        <w:t>1724 a 1725); Declaración de testigo rendida por Bernardino  Guevara  Chicas</w:t>
        <w:br/>
        <w:t>ante el Juzgado Segundo de Primera Instancia de San Francisco Gotera  el  23</w:t>
        <w:br/>
        <w:t>de enero de 1991 (expediente de prueba, tomo III, anexo 23  al  sometimiento</w:t>
        <w:br/>
        <w:t>del caso, folio  1708);  Declaración  de  ofendido  rendida  por  Bernardino</w:t>
        <w:br/>
        <w:t>Guevara  Chicas  ante  el  Juzgado  Segundo  de  Primera  Instancia  de  San</w:t>
        <w:br/>
        <w:t>Francisco Gotera el 25 de febrero de 1991 (expediente de prueba,  tomo  III,</w:t>
        <w:br/>
        <w:t>anexo 23 al sometimiento del  caso,  folio  1734);  Declaración  de  testigo</w:t>
        <w:br/>
        <w:t>rendida por Lucila Romero  Martínez  ante  el  Juzgado  Segundo  de  Primera</w:t>
        <w:br/>
        <w:t>Instancia de San Francisco Gotera el 24 de  enero  de  1991  (expediente  de</w:t>
        <w:br/>
        <w:t>prueba,  tomo  III,  anexo  23  al  sometimiento  del  caso,  folio   1712);</w:t>
        <w:br/>
        <w:t>Declaración de testigo rendida por  Domingo  Vigil  Amaya  ante  el  Juzgado</w:t>
        <w:br/>
        <w:t>Segundo de Primera Instancia de San Francisco Gotera el 30 de enero de  1991</w:t>
        <w:br/>
        <w:t>(expediente de prueba, tomo III, anexo 23 al sometimiento  del  caso,  folio</w:t>
        <w:br/>
        <w:t>1716); Declaración de ofendido rendida  por  Domingo  Vigil  Amaya  ante  el</w:t>
        <w:br/>
        <w:t>Juzgado Segundo de Primera Instancia de San Francisco Gotera el 5  de  marzo</w:t>
        <w:br/>
        <w:t>de 1991 (expediente de prueba, tomo III, anexo 23 al sometimiento del  caso,</w:t>
        <w:br/>
        <w:t>folio 1742); Declaración jurada rendida  por  María  Erlinda  Amaya  Márquez</w:t>
        <w:br/>
        <w:t>ante la Oficina de Tutela Legal del Arzobispado  el  25  de  junio  de  2011</w:t>
        <w:br/>
        <w:t>(expediente de prueba,  tomo  VIII,  anexo  3  al  escrito  de  solicitudes,</w:t>
        <w:br/>
        <w:t>argumentos y pruebas, folio 5591),  y  Declaración  rendida  ante  fedatario</w:t>
        <w:br/>
        <w:t>público (affidávit)  por  Antonia  Guevara  Díaz  el  1  de  abril  de  2012</w:t>
        <w:br/>
        <w:t>(expediente de prueba, tomo XVII, affidávits, folio 10287).</w:t>
        <w:br/>
        <w:br/>
        <w:t>[149]       Peritaje  sobre  impactos  psicosociales  y 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folios 10526 a 10527).</w:t>
        <w:br/>
        <w:br/>
        <w:t>[150]       Cfr. Peritaje rendido por María Sol Yáñez De  La  Cruz  ante  la</w:t>
        <w:br/>
        <w:t>Corte Interamericana en la audiencia pública celebrada el  23  de  abril  de</w:t>
        <w:br/>
        <w:t>2012.</w:t>
        <w:br/>
        <w:br/>
        <w:t>[151]       Cfr. Declaración  de  testigo  rendida  por  Bernardino  Guevara</w:t>
        <w:br/>
        <w:t>Chicas ante el Juzgado Segundo de Primera Instancia de San Francisco  Gotera</w:t>
        <w:br/>
        <w:t>el 23 de enero de  1991  (expediente  de  prueba,  tomo  III,  anexo  23  al</w:t>
        <w:br/>
        <w:t>sometimiento del caso, folio 1708);  Declaración  de  ofendido  rendida  por</w:t>
        <w:br/>
        <w:t>Bernardino Guevara Chicas ante el Juzgado Segundo de  Primera  Instancia  de</w:t>
        <w:br/>
        <w:t>San Francisco Gotera el 25 de febrero de 1991 (expediente  de  prueba,  tomo</w:t>
        <w:br/>
        <w:t>III, anexo 23 al sometimiento del caso, folio 1734); Declaración de  testigo</w:t>
        <w:br/>
        <w:t>rendida por Lucila Romero  Martínez  ante  el  Juzgado  Segundo  de  Primera</w:t>
        <w:br/>
        <w:t>Instancia de San Francisco Gotera el 24 de  enero  de  1991  (expediente  de</w:t>
        <w:br/>
        <w:t>prueba,  tomo  III,  anexo  23  al  sometimiento  del  caso,  folio   1712);</w:t>
        <w:br/>
        <w:t>Declaración jurada rendida por María  del  Rosario  López  Sánchez  ante  la</w:t>
        <w:br/>
        <w:t>Oficina de Tutela Legal del Arzobispado el 19 de junio de  2011  (expediente</w:t>
        <w:br/>
        <w:t>de prueba, tomo VIII, anexo  3  al  escrito  de  solicitudes,  argumentos  y</w:t>
        <w:br/>
        <w:t>pruebas,  folio  5523),  y  Declaración  rendida  ante   fedatario   público</w:t>
        <w:br/>
        <w:t>(affidávit)  por  Juan  Antonio  Pereira  Vigil  el  2  de  abril  de   2012</w:t>
        <w:br/>
        <w:t>(expediente de prueba, tomo XVII, affidávits, folio 10290).</w:t>
        <w:br/>
        <w:br/>
        <w:t>[152]       Cfr. Declaración rendida ante fedatario público (affidávit)  por</w:t>
        <w:br/>
        <w:t>Juan Bautista Márquez Argueta el 1 de abril de 2012 (expediente  de  prueba,</w:t>
        <w:br/>
        <w:t>tomo XVII, affidávits, folio  10277);  Declaración  rendida  ante  fedatario</w:t>
        <w:br/>
        <w:t>público (affidávit)  por  Antonia  Guevara  Díaz  el  1  de  abril  de  2012</w:t>
        <w:br/>
        <w:t>(expediente de prueba, tomo  XVII,  affidávits,  folio  10287);  Declaración</w:t>
        <w:br/>
        <w:t>jurada rendida por Rufina Amaya Vda. De Márquez ante la  Oficina  de  Tutela</w:t>
        <w:br/>
        <w:t>Legal del Arzobispado el 10 de octubre de 1990 (expediente de  prueba,  tomo</w:t>
        <w:br/>
        <w:t>II, anexo 20 al sometimiento del caso, folio 1578); Declaración  de  testigo</w:t>
        <w:br/>
        <w:t>rendida por Hilario  Sánchez  Gómez  ante  el  Juzgado  Segundo  de  Primera</w:t>
        <w:br/>
        <w:t>Instancia de San Francisco Gotera el 28 de noviembre de 1990 (expediente  de</w:t>
        <w:br/>
        <w:t>prueba, tomo III, anexo 23 al sometimiento del  caso,  folios  1697  a1698);</w:t>
        <w:br/>
        <w:t>Declaración de testigo rendida por Lucila Romero Martínez  ante  el  Juzgado</w:t>
        <w:br/>
        <w:t>Segundo de Primera Instancia de San Francisco Gotera el 24 de enero de  1991</w:t>
        <w:br/>
        <w:t>(expediente de prueba, tomo III, anexo 23 al sometimiento  del  caso,  folio</w:t>
        <w:br/>
        <w:t>1712), y Declaración de testigo rendida por  Domingo  Vigil  Amaya  ante  el</w:t>
        <w:br/>
        <w:t>Juzgado Segundo de Primera Instancia de San Francisco Gotera el 30 de  enero</w:t>
        <w:br/>
        <w:t>de 1991 (expediente de prueba, tomo III, anexo 23 al sometimiento del  caso,</w:t>
        <w:br/>
        <w:t>folio 1716).</w:t>
        <w:br/>
        <w:br/>
        <w:t>[153]       Peritaje  sobre  impactos  psicosociales  y 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 10527).</w:t>
        <w:br/>
        <w:br/>
        <w:t>[154]       El artículo 4.1 de la Convención Americana establece que: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[155]       En lo pertinente, el  artículo  5  de  la  Convención  Americana</w:t>
        <w:br/>
        <w:t>señala que:</w:t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t>[156]       En lo pertinente  el  artículo  7  de  la  Convención  Americana</w:t>
        <w:br/>
        <w:t>dispone que:</w:t>
        <w:br/>
        <w:br/>
        <w:t xml:space="preserve">        1. Toda persona tiene derecho  a  la  libertad  y  a  la  seguridad</w:t>
        <w:br/>
        <w:t xml:space="preserve">           personales.</w:t>
        <w:br/>
        <w:br/>
        <w:t xml:space="preserve">   2. Nadie puede ser privado de su libertad física, salvo por las causas  y</w:t>
        <w:br/>
        <w:t xml:space="preserve">      en  las  condiciones  fijadas  de  antemano  por  las   Constituciones</w:t>
        <w:br/>
        <w:t xml:space="preserve">      Políticas de los Estados Partes o por las leyes  dictadas  conforme  a</w:t>
        <w:br/>
        <w:t xml:space="preserve">      ellas.</w:t>
        <w:br/>
        <w:br/>
        <w:t xml:space="preserve">        3.  Nadie  puede  ser  sometido  a  detención   o   encarcelamiento</w:t>
        <w:br/>
        <w:t xml:space="preserve">           arbitrarios.</w:t>
        <w:br/>
        <w:br/>
        <w:t>[157]        El  artículo  11.2  de  la  Convención  Americana  señala  que:</w:t>
        <w:br/>
        <w:t>“[n]adie puede ser objeto de injerencias arbitrarias o abusivas en  su  vida</w:t>
        <w:br/>
        <w:t>privada, en la de su familia, en su domicilio o en  su  correspondencia,  ni</w:t>
        <w:br/>
        <w:t>de ataques ilegales a su honra o reputación”.</w:t>
        <w:br/>
        <w:br/>
        <w:t>[158]       El  artículo  19  de  la  Convención  Americana  prescribe  que:</w:t>
        <w:br/>
        <w:t>“[t]odo niño tiene derecho a las medidas de protección que su  condición  de</w:t>
        <w:br/>
        <w:t>menor requieren por parte de su familia, de la sociedad y del Estado”.</w:t>
        <w:br/>
        <w:br/>
        <w:t>[159]       El artículo 21  de  la  Convención  Americana  reconoce,  en  lo</w:t>
        <w:br/>
        <w:t>pertinente, que:</w:t>
        <w:br/>
        <w:br/>
        <w:t xml:space="preserve">      1.    Toda persona tiene derecho al uso y goce de sus bienes.  La  ley</w:t>
        <w:br/>
        <w:t xml:space="preserve">      puede subordinar tal uso y goce al interés social.</w:t>
        <w:br/>
        <w:br/>
        <w:t xml:space="preserve">      2.    Ninguna  persona  puede  ser  privada  de  sus  bienes,  excepto</w:t>
        <w:br/>
        <w:t xml:space="preserve">      mediante el pago de  indemnización  justa,  por  razones  de  utilidad</w:t>
        <w:br/>
        <w:t xml:space="preserve">      pública o de interés  social  y  en  los  casos  y  según  las  formas</w:t>
        <w:br/>
        <w:t xml:space="preserve">      establecidas por la ley.</w:t>
        <w:br/>
        <w:br/>
        <w:t>[160]       En lo pertinente el artículo 22.1  de  la  Convención  Americana</w:t>
        <w:br/>
        <w:t>establece que: “[t]oda persona que se halle legalmente en el  territorio  de</w:t>
        <w:br/>
        <w:t>un Estado tiene derecho a circular por el mismo  y,  a  residir  en  él  con</w:t>
        <w:br/>
        <w:t>sujeción a las disposiciones legales”.</w:t>
        <w:br/>
        <w:br/>
        <w:t>[161]       El artículo 1.1 de la Convención Americana dispone  que:  “[l]os</w:t>
        <w:br/>
        <w:t>Estados Partes en [la] Convención se comprometen a respetar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social”.</w:t>
        <w:br/>
        <w:br/>
        <w:t>[162]       Cfr. Caso de las Masacres de  Ituango  Vs.  Colombia.  Excepción</w:t>
        <w:br/>
        <w:t>Preliminar, Fondo, Reparaciones y Costas. Sentencia de 1 de julio  de  2006.</w:t>
        <w:br/>
        <w:t>Serie C No. 148, párr. 179; Caso de la Masacre de  Mapiripán  Vs.  Colombia.</w:t>
        <w:br/>
        <w:t>Fondo, Reparaciones y Costas, párrs. 114, 153, 172  y  191,  y  Caso  De  la</w:t>
        <w:br/>
        <w:t>Masacre de  las  Dos  Erres  Vs.  Guatemala.  Excepción  Preliminar,  Fondo,</w:t>
        <w:br/>
        <w:t>Reparaciones y Costas. Sentencia de 24 de noviembre de  2009.  Serie  C  No.</w:t>
        <w:br/>
        <w:t>211, párr. 191.</w:t>
        <w:br/>
        <w:br/>
        <w:t>[163]       Cfr., en particular,  el  Convenio  de  Ginebra  relativo  a  la</w:t>
        <w:br/>
        <w:t>protección debida a las personas civiles en tiempo de  guerra,  aprobado  el</w:t>
        <w:br/>
        <w:t>12 de agosto de 1949 por la Conferencia Diplomática para Elaborar  Convenios</w:t>
        <w:br/>
        <w:t>Internacionales  destinados  a  proteger  a  las  víctimas  de  la   guerra,</w:t>
        <w:br/>
        <w:t>celebrada en Ginebra del 12 de abril al 12 de agosto de 1949, que  entró  en</w:t>
        <w:br/>
        <w:t>vigor el 21 de octubre de 1950 y fue ratificado por El  Salvador  el  17  de</w:t>
        <w:br/>
        <w:t>junio de 1953.</w:t>
        <w:br/>
        <w:br/>
        <w:t>[164]       El artículo  3  común  de  los  Convenios  de  Ginebra  de  1949</w:t>
        <w:br/>
        <w:t>establece  lo  siguiente:  “Conflictos  no  internacionales:  En   caso   de</w:t>
        <w:br/>
        <w:t>conflicto armado que no sea de  índole  internacional  y  que  surja  en  el</w:t>
        <w:br/>
        <w:t>territorio de una de las Altas Partes Contratantes cada una  de  las  Partes</w:t>
        <w:br/>
        <w:t>en conflicto tendrá la obligación de aplicar, como  mínimo,  las  siguientes</w:t>
        <w:br/>
        <w:t>disposiciones: 1)  Las  personas  que  no  participen  directamente  en  las</w:t>
        <w:br/>
        <w:t>hostilidades, incluidos los  miembros  de  las  fuerzas  armadas  que  hayan</w:t>
        <w:br/>
        <w:t>depuesto las armas y las personas puestas fuera de combate  por  enfermedad,</w:t>
        <w:br/>
        <w:t>herida,  detención  o  por  cualquier  otra  causa,  serán,  en  todas   las</w:t>
        <w:br/>
        <w:t>circunstancias, tratadas con humanidad,  sin  distinción  alguna  de  índole</w:t>
        <w:br/>
        <w:t>desfavorable basada en la raza, el color, la  religión  o  la  creencia,  el</w:t>
        <w:br/>
        <w:t>sexo, el nacimiento o la fortuna o cualquier otro criterio análogo.  A  este</w:t>
        <w:br/>
        <w:t>respecto, se prohíben, en cualquier tiempo y lugar, por lo que atañe  a  las</w:t>
        <w:br/>
        <w:t>personas  arriba  mencionadas:  a)  los  atentados  contra  la  vida  y   la</w:t>
        <w:br/>
        <w:t>integridad corporal, especialmente el homicidio en  todas  sus  formas,  las</w:t>
        <w:br/>
        <w:t>mutilaciones, los tratos crueles, la tortura y los suplicios; b) la toma  de</w:t>
        <w:br/>
        <w:t>rehenes; c) los atenta dos contra la dignidad  personal,  especialmente  los</w:t>
        <w:br/>
        <w:t>tratos  humillantes  y  degradantes;  d)  las  condenas   dictadas   y   las</w:t>
        <w:br/>
        <w:t>ejecuciones sin previo juicio ante un  tribunal  legítimamente  constituido,</w:t>
        <w:br/>
        <w:t>con garantías judiciales reconocidas como  indispensables  por  los  pueblos</w:t>
        <w:br/>
        <w:t>civilizados. 2) Los heridos y los enfermos serán recogidos y  asistidos.  Un</w:t>
        <w:br/>
        <w:t>organismo humanitario imparcial, tal como  el  Comité  Internacional  de  la</w:t>
        <w:br/>
        <w:t>Cruz Roja, podrá ofrecer sus servicios a las Partes  en  conflicto.  Además,</w:t>
        <w:br/>
        <w:t>las Partes en conflicto harán  lo  posible  por  poner  en  vigor,  mediante</w:t>
        <w:br/>
        <w:t>acuerdos especiales, la totalidad o parte de  las  otras  disposiciones  del</w:t>
        <w:br/>
        <w:t>presente Convenio. La aplicación de las anteriores disposiciones no  surtirá</w:t>
        <w:br/>
        <w:t>efectos sobre el estatuto jurídico de las Partes en conflicto”.</w:t>
        <w:br/>
        <w:br/>
        <w:t>[165]       El Salvador es parte del Protocolo II adicional a los  Convenios</w:t>
        <w:br/>
        <w:t>de Ginebra de  1949  relativo  a  la  protección  de  las  víctimas  de  los</w:t>
        <w:br/>
        <w:t>conflictos armados sin carácter internacional desde el 23  de  noviembre  de</w:t>
        <w:br/>
        <w:t>1978.</w:t>
        <w:br/>
        <w:br/>
        <w:t>[166]        Cfr.  Comité  Internacional  de  la  Cruz  Roja,   El   derecho</w:t>
        <w:br/>
        <w:t>internacional humanitario consuetudinario, vol. I,  editado  por  Jean-Marie</w:t>
        <w:br/>
        <w:t>Henckaerts y Louise Doswald-Beck, 2007.</w:t>
        <w:br/>
        <w:br/>
        <w:t>[167]       Cfr. Caso  Cantoral  Huamaní  y  García  Santa  Cruz  Vs.  Perú.</w:t>
        <w:br/>
        <w:t>Excepción Preliminar, Fondo, Reparaciones  y  Costas.  Sentencia  de  10  de</w:t>
        <w:br/>
        <w:t>julio de 2007.  Serie  C  No.  167,  párr.  79,  y  Caso  Vélez  Restrepo  y</w:t>
        <w:br/>
        <w:t>Familiares Vs. Colombia, párr. 125.</w:t>
        <w:br/>
        <w:br/>
        <w:t>[168]       Cfr. La Expresión "Leyes" en el Artículo  30  de  la  Convención</w:t>
        <w:br/>
        <w:t>Americana sobre Derechos Humanos. Opinión Consultiva OC-6/86 del 9  de  mayo</w:t>
        <w:br/>
        <w:t>de 1986. Serie A No. 6, párr. 21, y Caso Vélez  Restrepo  y  Familiares  Vs.</w:t>
        <w:br/>
        <w:t>Colombia, párr. 126.</w:t>
        <w:br/>
        <w:br/>
        <w:t>[169]       Cfr. Caso de  la  Masacre  de  Mapiripán  Vs.  Colombia.  Fondo,</w:t>
        <w:br/>
        <w:t>Reparaciones y Costas, párr.  113,  y  Caso  Gelman  Vs.  Uruguay.  Fondo  y</w:t>
        <w:br/>
        <w:t>Reparaciones. Sentencia de 24 de febrero de 2011. Serie  C  No.  221,  párr.</w:t>
        <w:br/>
        <w:t>76.</w:t>
        <w:br/>
        <w:br/>
        <w:t>[170]       Cfr. Caso Velásquez Rodríguez Vs. Honduras. Fondo,  párr.166,  y</w:t>
        <w:br/>
        <w:t>Caso Vélez Restrepo y Familiares Vs. Colombia, párr. 126.</w:t>
        <w:br/>
        <w:br/>
        <w:t>[171]       Caso Velásquez Rodríguez Vs. Honduras. Fondo, párr.174,  y  Caso</w:t>
        <w:br/>
        <w:t>Vélez Restrepo y Familiares Vs. Colombia, párr. 186.</w:t>
        <w:br/>
        <w:br/>
        <w:t>[172]       Caso Velásquez Rodríguez Vs. Honduras. Fondo, párr.173,  y  Caso</w:t>
        <w:br/>
        <w:t>Vélez Restrepo y Familiares Vs. Colombia, párr. 186.</w:t>
        <w:br/>
        <w:br/>
        <w:t>[173]       Cfr. Caso de los  “Niños  de  la  Calle”  (Villagrán  Morales  y</w:t>
        <w:br/>
        <w:t>otros) Vs. Guatemala. Fondo. Sentencia de 19 de noviembre de 1999.  Serie  C</w:t>
        <w:br/>
        <w:t>No. 63, párr. 144, y Caso Familia Barrios Vs. Venezuela, párr. 48.</w:t>
        <w:br/>
        <w:br/>
        <w:t>[174]       Cfr. Caso de la Masacre de Pueblo  Bello  Vs.  Colombia.  Fondo,</w:t>
        <w:br/>
        <w:t>Reparaciones y Costas. Sentencia de 31 de enero de 2006. Serie  C  No.  140,</w:t>
        <w:br/>
        <w:t>párr. 120, y Caso Familia Barrios Vs. Venezuela, párr. 48.</w:t>
        <w:br/>
        <w:br/>
        <w:t>[175] Cfr. Caso de la Masacre de Pueblo Bello Vs.  Colombia,  párr.  120,  y</w:t>
        <w:br/>
        <w:t>Caso Escué Zapata Vs. Colombia, párr. 40.</w:t>
        <w:br/>
        <w:br/>
        <w:t>[176]       Cfr. Caso  Ximenes  Lopes  Vs.  Brasil.  Fondo,  Reparaciones  y</w:t>
        <w:br/>
        <w:t>Costas. Sentencia de 4 de julio de 2006. Serie C No. 149, párr. 126, y  Caso</w:t>
        <w:br/>
        <w:t>Familia Barrios Vs. Venezuela, párr. 50.</w:t>
        <w:br/>
        <w:br/>
        <w:t>[177]       Cfr. Caso Cantoral Benavides Vs. Perú. Fondo.  Sentencia  de  18</w:t>
        <w:br/>
        <w:t>de agosto de 2000. Serie C No. 69, párr. 95,  y  Caso  Familia  Barrios  Vs.</w:t>
        <w:br/>
        <w:t>Venezuela, párr. 50.</w:t>
        <w:br/>
        <w:br/>
        <w:t>[178]       Cfr. Caso Cantoral Benavides Vs. Perú. Fondo, párr. 102, y  Caso</w:t>
        <w:br/>
        <w:t>Familia Barrios Vs. Venezuela, párr. 51.</w:t>
        <w:br/>
        <w:br/>
        <w:t>[179]       Caso Loayza Tamayo Vs. Perú. Fondo, párr.  57,  y  Caso  Familia</w:t>
        <w:br/>
        <w:t>Barrios Vs. Venezuela, párr. 52.</w:t>
        <w:br/>
        <w:br/>
        <w:t>[180] Cfr. Caso Baldeón García  Vs.  Perú.  Fondo,  Reparaciones  y  Costas.</w:t>
        <w:br/>
        <w:t>Sentencia de 6 de abril de 2006. Serie C No. 147, párr. 82, y Caso  González</w:t>
        <w:br/>
        <w:t>y otras  (“Campo  Algodonero”)  Vs.  México.  Excepción  Preliminar,  Fondo,</w:t>
        <w:br/>
        <w:t>Reparaciones y Costas. Sentencia de 16 de noviembre de  2009.  Serie  C  No.</w:t>
        <w:br/>
        <w:t>205, párr. 244.</w:t>
        <w:br/>
        <w:br/>
        <w:t>[181]       Cfr. Caso "Instituto de Reeducación  del  Menor"  Vs.  Paraguay.</w:t>
        <w:br/>
        <w:t>Excepciones Preliminares, Fondo, Reparaciones y Costas. Sentencia  de  2  de</w:t>
        <w:br/>
        <w:t>septiembre de 2004. Serie C No. 112, párr. 228, y Caso Familia  Barrios  Vs.</w:t>
        <w:br/>
        <w:t>Venezuela, párr. 53.</w:t>
        <w:br/>
        <w:br/>
        <w:t>[182]       Cfr. Caso Velásquez Rodríguez Vs. Honduras. Fondo, párr. 175,  y</w:t>
        <w:br/>
        <w:t>Caso Masacres de Río Negro Vs. Guatemala, párr. 117.</w:t>
        <w:br/>
        <w:br/>
        <w:t>[183]        La  Corte  Interamericana  ha  considerado  que,  en   términos</w:t>
        <w:br/>
        <w:t>generales, se entiende por niño y niña “a toda persona que  no  ha  cumplido</w:t>
        <w:br/>
        <w:t>18 años de edad”. Condición Jurídica y Derechos Humanos  del  Niño.  Opinión</w:t>
        <w:br/>
        <w:t>Consultiva OC-17/02 del 28 de agosto de 2002. Serie A No. 17,  párr.  42,  y</w:t>
        <w:br/>
        <w:t>Caso Furlan y Familiares Vs.  Argentina.  Excepciones  Preliminares,  Fondo,</w:t>
        <w:br/>
        <w:t>Reparaciones y Costas. Sentencia de 31 de agosto de 2012. Serie C  No.  246,</w:t>
        <w:br/>
        <w:t>párr. 123.</w:t>
        <w:br/>
        <w:br/>
        <w:t>[184]       Cfr. Caso Gelman  Vs.  Uruguay,  párr.  121,  y  Caso  Furlan  y</w:t>
        <w:br/>
        <w:t>Familiares Vs. Argentina, párr. 125.</w:t>
        <w:br/>
        <w:br/>
        <w:t>[185] Cfr. Condición Jurídica y Derechos Humanos del Niño, párr. 62, y  Caso</w:t>
        <w:br/>
        <w:t>Furlan y Familiares Vs. Argentina, párr. 125.</w:t>
        <w:br/>
        <w:br/>
        <w:t>[186]       Cfr. Caso de los Hermanos  Gómez  Paquiyauri  Vs.  Perú.  Fondo,</w:t>
        <w:br/>
        <w:t>Reparaciones y Costas. Sentencia de 8 de julio de 2004.  Serie  C  No.  110,</w:t>
        <w:br/>
        <w:t>párr. 168, y Caso Familia Barrios Vs. Venezuela, párr. 55.</w:t>
        <w:br/>
        <w:br/>
        <w:t>[187]       Peritaje rendido por María Sol Yáñez De La Cruz  ante  la  Corte</w:t>
        <w:br/>
        <w:t>Interamericana en la audiencia pública celebrada el 23 de abril de 2012.</w:t>
        <w:br/>
        <w:br/>
        <w:t>[188]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1201).</w:t>
        <w:br/>
        <w:br/>
        <w:t>[189]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1201).</w:t>
        <w:br/>
        <w:br/>
        <w:t>[190]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1197).</w:t>
        <w:br/>
        <w:br/>
        <w:t>[191]       Juan Bautista Márquez declaró ante la Corte  Interamericana  que</w:t>
        <w:br/>
        <w:t>en el caserío El Mozote, “[d]ebido a [los] operativos constantes es que  los</w:t>
        <w:br/>
        <w:t>pobladores del lugar tenían muchos problemas, pues les acusaban de apoyar  a</w:t>
        <w:br/>
        <w:t>la guerrilla, ya sea proveyéndoles de alimentos, medicina u otros objetos  e</w:t>
        <w:br/>
        <w:t>incluso de ser miembros de  la  guerrilla,  no  obstante[,]  [é]sto  no  era</w:t>
        <w:br/>
        <w:t>cierto pues por temor a veces daban alimentos,  lo  que  incluso  igualmente</w:t>
        <w:br/>
        <w:t>hacían con los miembros del ejército”. Declaración  rendida  ante  fedatario</w:t>
        <w:br/>
        <w:t>público (affidávit) por Juan Bautista Márquez Argueta el 1 de abril de  2012</w:t>
        <w:br/>
        <w:t>(expediente de prueba, tomo XVII, affidávits, folios 10276 a 10277).  Genaro</w:t>
        <w:br/>
        <w:t>Sánchez declaró ante el Juez de la causa penal que “anterior  a  los  hechos</w:t>
        <w:br/>
        <w:t>[en el cantón La Joya] no vi[o] que apareciera  la  Guerrilla”.  Declaración</w:t>
        <w:br/>
        <w:t>de testigo rendida por Genaro Sánchez ante el  Juzgado  Segundo  de  Primera</w:t>
        <w:br/>
        <w:t>Instancia de San Francisco Gotera el 10 de  abril  de  1991  (expediente  de</w:t>
        <w:br/>
        <w:t>prueba, tomo III, anexo 23 al sometimiento del  caso,  folio  1769).  Sotero</w:t>
        <w:br/>
        <w:t>Guevara Martínez declaró ante el Juez de la causa penal que en el cantón  La</w:t>
        <w:br/>
        <w:t>Joya “los que efectuaban el operativo, no tuvieron intercambio  de  disparos</w:t>
        <w:br/>
        <w:t>con grupos guerrilleros”. Declaración de testigo rendida por Sotero  Guevara</w:t>
        <w:br/>
        <w:t>Martínez ante el Juzgado Segundo  de  Primera  Instancia  de  San  Francisco</w:t>
        <w:br/>
        <w:t>Gotera el 7 de mayo de 1991 (expediente de prueba, tomo  III,  anexo  23  al</w:t>
        <w:br/>
        <w:t>sometimiento del caso, folio 1777). Pedro Chicas Romero  manifestó  ante  la</w:t>
        <w:br/>
        <w:t>Oficina de Tutela Legal que en el cantón La Joya “murió gente inocente y  no</w:t>
        <w:br/>
        <w:t>eran seres guerrilleros, esos eran pobladores[,] era gente que no tenía  que</w:t>
        <w:br/>
        <w:t>ver en eso, esa gente murió estando en casa y  que  la  llegaron  a  matar”.</w:t>
        <w:br/>
        <w:t>Declaración jurada rendida por  Pedro  Chicas  Romero  ante  la  Oficina  de</w:t>
        <w:br/>
        <w:t>Tutela Legal del Arzobispado el 25 de julio de 2011 (expediente  de  prueba,</w:t>
        <w:br/>
        <w:t>tomo VIII, anexo 3 al escrito de solicitudes, argumentos  y  pruebas,  folio</w:t>
        <w:br/>
        <w:t>5531). José Antonio Márquez Claros expresó ante la Oficina de  Tutela  Legal</w:t>
        <w:br/>
        <w:t>que en el caserío El Mozote “a quienes tocaron fue a los pobres  campesinos,</w:t>
        <w:br/>
        <w:t>que no debían nada y que no anduvieron armados tampoco, se  defendían  nomas</w:t>
        <w:br/>
        <w:t>corriéndose”. Declaración jurada rendida por  José  Antonio  Márquez  Claros</w:t>
        <w:br/>
        <w:t>ante la Oficina de Tutela Legal del Arzobispado  el  9  de  agosto  de  2011</w:t>
        <w:br/>
        <w:t>(expediente de prueba,  tomo  VIII,  anexo  3  al  escrito  de  solicitudes,</w:t>
        <w:br/>
        <w:t>argumentos y pruebas, folio 5565). María Erlinda Amaya Márquez  señaló  ante</w:t>
        <w:br/>
        <w:t>la Oficina de Tutela Legal que “aunque ellos no eran guerrilleros […] era  a</w:t>
        <w:br/>
        <w:t>ellos a quienes buscaban”. Declaración  jurada  rendida  por  María  Erlinda</w:t>
        <w:br/>
        <w:t>Amaya Márquez ante la Oficina de Tutela  Legal  del  Arzobispado  el  25  de</w:t>
        <w:br/>
        <w:t>junio de 2011 (expediente de prueba,  tomo  VIII,  anexo  3  al  escrito  de</w:t>
        <w:br/>
        <w:t>solicitudes, argumentos y pruebas, folio 5591).</w:t>
        <w:br/>
        <w:br/>
        <w:t>[192]        Cfr.  Peritaje  conjunto   rendido   ante   fedatario   público</w:t>
        <w:br/>
        <w:t>(affidávit) por Luis Fondebrider, Mercedes C. Doretti y  Silvana  Turner  el</w:t>
        <w:br/>
        <w:t>18 de abril de 2012 (expediente de prueba,  tomo  XVII,  affidávits,  folios</w:t>
        <w:br/>
        <w:t>10307 a 10308).</w:t>
        <w:br/>
        <w:br/>
        <w:t>[193]       Cfr. Informe de la investigación forense del caserío El  Mozote,</w:t>
        <w:br/>
        <w:t>Sitio 1, realizado por Clyde C. Snow, Robert H. Kirschner, Douglas D.  Scott</w:t>
        <w:br/>
        <w:t>y John J. Fitzpatrick de 10 de diciembre  de  1992  (expediente  de  prueba,</w:t>
        <w:br/>
        <w:t>tomo VI, anexo 24 sometimiento al caso, folio 4022), y Oficio  de  Clyde  C.</w:t>
        <w:br/>
        <w:t>Snow, Robert H. Kirschner, Douglas D. Scott y John J. Fitzpatrick,  dirigido</w:t>
        <w:br/>
        <w:t>al Juez Segundo de Primera Instancia de  San  Francisco  Gotera,  de  10  de</w:t>
        <w:br/>
        <w:t>diciembre de 1992 (expediente de prueba, tomo V, anexo  23  al  sometimiento</w:t>
        <w:br/>
        <w:t>al caso, folio 3525).</w:t>
        <w:br/>
        <w:br/>
        <w:t>[194]        Cfr.  Informe  arqueológico,  Caserío  El  Mozote,   Sitio   1,</w:t>
        <w:br/>
        <w:t>realizado por el Equipo Argentino de Antropología Forense (EAAF),  diciembre</w:t>
        <w:br/>
        <w:t>de 1992 (expediente de prueba, tomo IV, anexo 23 al sometimiento  del  caso,</w:t>
        <w:br/>
        <w:t>folio 2942).</w:t>
        <w:br/>
        <w:br/>
        <w:t>[195]        Cfr.  Informe  arqueológico,  Caserío  El  Mozote,   Sitio   1,</w:t>
        <w:br/>
        <w:t>realizado por el Equipo Argentino de Antropología Forense (EAAF),  diciembre</w:t>
        <w:br/>
        <w:t>de 1992 (expediente de prueba, tomo IV, anexo 23 al sometimiento  del  caso,</w:t>
        <w:br/>
        <w:t>folio 2942); Informe de la investigación  forense  del  caserío  El  Mozote,</w:t>
        <w:br/>
        <w:t>Sitio 1, realizado por Clyde C. Snow, Robert H. Kirschner, Douglas D.  Scott</w:t>
        <w:br/>
        <w:t>y John J. Fitzpatrick de 10 de diciembre  de  1992  (expediente  de  prueba,</w:t>
        <w:br/>
        <w:t>tomo VI, anexo 24 sometimiento al caso, folio 4022), y Oficio  de  Clyde  C.</w:t>
        <w:br/>
        <w:t>Snow, Robert H. Kirschner, Douglas D. Scott y John J. Fitzpatrick,  dirigido</w:t>
        <w:br/>
        <w:t>al Juez Segundo de Primera Instancia de  San  Francisco  Gotera,  de  10  de</w:t>
        <w:br/>
        <w:t>diciembre de 1992 (expediente de prueba, tomo V, anexo  23  al  sometimiento</w:t>
        <w:br/>
        <w:t>al caso, folio 3511).</w:t>
        <w:br/>
        <w:br/>
        <w:t>[196]       Cfr. Declaración de testigo rendida por  Juan  Bautista  Márquez</w:t>
        <w:br/>
        <w:t>ante el Juzgado Segundo de Primera Instancia de San Francisco Gotera  el  30</w:t>
        <w:br/>
        <w:t>de  octubre  de  1990  (expediente  de  prueba,  tomo  III,  anexo   23   al</w:t>
        <w:br/>
        <w:t>sometimiento del caso, folio 1657); Declaración de testigo rendida por  Irma</w:t>
        <w:br/>
        <w:t>Ramos Márquez ante el Juzgado Segundo de Primera Instancia de San  Francisco</w:t>
        <w:br/>
        <w:t>Gotera el 31 de octubre de 1990 (expediente de prueba, tomo  III,  anexo  23</w:t>
        <w:br/>
        <w:t>al sometimiento del caso, folios  1668  a  1669);  Declaración  de  ofendido</w:t>
        <w:br/>
        <w:t>rendida  por  Pedro  Chicas  Romero  ante  el  Juzgado  Segundo  de  Primera</w:t>
        <w:br/>
        <w:t>Instancia de San Francisco Gotera el 31 de octubre de  1990  (expediente  de</w:t>
        <w:br/>
        <w:t>prueba,  tomo  III,  anexo  23  al  sometimiento  del  caso,  folio   1671);</w:t>
        <w:br/>
        <w:t>Declaración de testigo rendida por Hilario Sánchez  Gómez  ante  el  Juzgado</w:t>
        <w:br/>
        <w:t>Segundo de Primera Instancia de San Francisco Gotera el 28 de  noviembre  de</w:t>
        <w:br/>
        <w:t>1990 (expediente de prueba, tomo III, anexo 23  al  sometimiento  del  caso,</w:t>
        <w:br/>
        <w:t>folio 1697); Declaración  de  testigo  rendida  por  María  Teófila  Pereira</w:t>
        <w:br/>
        <w:t>Argueta ante el Juzgado  Segundo  de  Primera  Instancia  de  San  Francisco</w:t>
        <w:br/>
        <w:t>Gotera el 23 de enero de 1991 (expediente de prueba, tomo III, anexo  23  al</w:t>
        <w:br/>
        <w:t>sometimiento del caso, folio  1701);  Declaración  de  testigo  rendida  por</w:t>
        <w:br/>
        <w:t>Bernardino Guevara Chicas ante el Juzgado Segundo de  Primera  Instancia  de</w:t>
        <w:br/>
        <w:t>San Francisco Gotera el 23 de enero de  1991  (expediente  de  prueba,  tomo</w:t>
        <w:br/>
        <w:t>III, anexo 23 al sometimiento del caso, folio 1706); Declaración de  testigo</w:t>
        <w:br/>
        <w:t>rendida por Lucila Romero  Martínez  ante  el  Juzgado  Segundo  de  Primera</w:t>
        <w:br/>
        <w:t>Instancia de San Francisco Gotera el 24 de  enero  de  1991  (expediente  de</w:t>
        <w:br/>
        <w:t>prueba,  tomo  III,  anexo  23  al  sometimiento  del  caso,  folio   1711);</w:t>
        <w:br/>
        <w:t>Declaración de testigo rendida por  Domingo  Vigil  Amaya  ante  el  Juzgado</w:t>
        <w:br/>
        <w:t>Segundo de Primera Instancia de San Francisco Gotera el 30 de enero de  1991</w:t>
        <w:br/>
        <w:t>(expediente de prueba, tomo III, anexo 23 al sometimiento  del  caso,  folio</w:t>
        <w:br/>
        <w:t>1715); Declaración de testigo rendida por Rosa  Ramírez  Hernández  ante  el</w:t>
        <w:br/>
        <w:t>Juzgado Segundo de Primera Instancia de San Francisco Gotera el 30 de  enero</w:t>
        <w:br/>
        <w:t>de 1991 (expediente de prueba, tomo III, anexo 23 al sometimiento del  caso,</w:t>
        <w:br/>
        <w:t>folios 1717 a 1719); Declaración de ofendido rendida por Eustaquio  Martínez</w:t>
        <w:br/>
        <w:t>Vigil ante el Juzgado Segundo de Primera Instancia de San  Francisco  Gotera</w:t>
        <w:br/>
        <w:t>el 14 de marzo de  1991  (expediente  de  prueba,  tomo  III,  anexo  23  al</w:t>
        <w:br/>
        <w:t>sometimiento del caso, folio 1753);  Declaración  de  ofendido  rendida  por</w:t>
        <w:br/>
        <w:t>Genaro  Sánchez  ante  el  Juzgado  Segundo  de  Primera  Instancia  de  San</w:t>
        <w:br/>
        <w:t>Francisco Gotera el 4 de abril de 1991  (expediente  de  prueba,  tomo  III,</w:t>
        <w:br/>
        <w:t>anexo 23 al sometimiento del  caso,  folio  1763);  Declaración  de  testigo</w:t>
        <w:br/>
        <w:t>rendida por Sotero Guevara Martínez  ante  el  Juzgado  Segundo  de  Primera</w:t>
        <w:br/>
        <w:t>Instancia de San Francisco Gotera el  7  de  mayo  de  1991  (expediente  de</w:t>
        <w:br/>
        <w:t>prueba, tomo III, anexo 23 al sometimiento del caso, folios  1776  a  1777);</w:t>
        <w:br/>
        <w:t>Declaración jurada rendida por María  del  Rosario  López  Sánchez  ante  la</w:t>
        <w:br/>
        <w:t>Oficina de Tutela Legal del Arzobispado el 19 de junio de  2011  (expediente</w:t>
        <w:br/>
        <w:t>de prueba, tomo VIII, anexo  3  al  escrito  de  solicitudes,  argumentos  y</w:t>
        <w:br/>
        <w:t>pruebas,  folio  5522);  Declaración  jurada  rendida  por  Cesar   Martínez</w:t>
        <w:br/>
        <w:t>Hernández ante la Oficina de Tutela Legal del Arzobispado el 22 de junio  de</w:t>
        <w:br/>
        <w:t>2011 (expediente de prueba, tomo VIII, anexo 3 al  escrito  de  solicitudes,</w:t>
        <w:br/>
        <w:t>argumentos y pruebas, folio 5547), y Declaración rendida  por  María  Dorila</w:t>
        <w:br/>
        <w:t>Márquez de Márquez ante la Corte  Interamericana  en  la  audiencia  pública</w:t>
        <w:br/>
        <w:t>celebrada el 23 de abril de 2012.</w:t>
        <w:br/>
        <w:br/>
        <w:t>[197]       Cfr. Informe de la investigación forense del caserío El  Mozote,</w:t>
        <w:br/>
        <w:t>Sitio 1, realizado por Clyde C. Snow, Robert H. Kirschner, Douglas D.  Scott</w:t>
        <w:br/>
        <w:t>y John J. Fitzpatrick de 10 de diciembre  de  1992  (expediente  de  prueba,</w:t>
        <w:br/>
        <w:t>tomo VI, anexo 24 sometimiento al caso, folios 4022 a  4023),  y  Oficio  de</w:t>
        <w:br/>
        <w:t>Clyde C. Snow, Robert H. Kirschner, Douglas D. Scott y John J.  Fitzpatrick,</w:t>
        <w:br/>
        <w:t>dirigido al Juez Segundo de Primera Instancia de San  Francisco  Gotera,  de</w:t>
        <w:br/>
        <w:t>10 de diciembre  de  1992  (expediente  de  prueba,  tomo  V,  anexo  23  al</w:t>
        <w:br/>
        <w:t>sometimiento al caso, folio 3525).</w:t>
        <w:br/>
        <w:br/>
        <w:t>[198]        Los  deberes  generales  y  especiales  de  protección  de   la</w:t>
        <w:br/>
        <w:t>población civil a cargo del  Estado,  derivados  del  Derecho  Internacional</w:t>
        <w:br/>
        <w:t>Humanitario, se establecen en particular en  el  artículo  3  común  de  los</w:t>
        <w:br/>
        <w:t>Convenios de Ginebra de 12 de agosto de 1949 y las normas del  Protocolo  II</w:t>
        <w:br/>
        <w:t>adicional a los Convenios de Ginebra de 1949 relativo  a  la  protección  de</w:t>
        <w:br/>
        <w:t>las víctimas de los conflictos armados de carácter no internacional.</w:t>
        <w:br/>
        <w:br/>
        <w:t>[199]       La Convención  sobre  los  Derechos  del  Niño  estipula  en  su</w:t>
        <w:br/>
        <w:t>artículo 38:</w:t>
        <w:br/>
        <w:br/>
        <w:t>[…]</w:t>
        <w:br/>
        <w:br/>
        <w:t>4.     De  conformidad  con   las   obligaciones   dimanadas   del   derecho</w:t>
        <w:br/>
        <w:t>internacional humanitario de proteger  a  la  población  civil  durante  los</w:t>
        <w:br/>
        <w:t>conflictos armados, los Estados Partes adoptarán todas las medidas  posibles</w:t>
        <w:br/>
        <w:t>para asegurar la protección y el cuidado  de  los  niños  afectados  por  un</w:t>
        <w:br/>
        <w:t>conflicto armado.</w:t>
        <w:br/>
        <w:br/>
        <w:t>[…]</w:t>
        <w:br/>
        <w:br/>
        <w:t>[200]       Declaración jurada rendida por  Rufina  Amaya  Vda.  de  Márquez</w:t>
        <w:br/>
        <w:t>ante la Oficina de Tutela Legal del Arzobispado el 10  de  octubre  de  1990</w:t>
        <w:br/>
        <w:t>(expediente de prueba, tomo II, anexo 20 al  sometimiento  del  caso,  folio</w:t>
        <w:br/>
        <w:t>1575). Ver también, Declaración de testigo rendida por Rufina Amaya ante  el</w:t>
        <w:br/>
        <w:t>Juzgado Segundo de Primera Instancia  de  San  Francisco  Gotera  el  30  de</w:t>
        <w:br/>
        <w:t>octubre de 1990 (expediente de prueba, tomo III, anexo  23  al  sometimiento</w:t>
        <w:br/>
        <w:t>del caso, folios 1660 a 1665).</w:t>
        <w:br/>
        <w:br/>
        <w:t>[201]        “Cada  niño   reacciona   de   manera   diferente   antes   las</w:t>
        <w:br/>
        <w:t>consecuencias de un conflicto armado. La respuesta depende de  la  edad,  el</w:t>
        <w:br/>
        <w:t>género, el tipo de personalidad, la historia personal y familiar, el  origen</w:t>
        <w:br/>
        <w:t>cultural y la  experiencia,  así  como  de  la  índole  y  la  duración  del</w:t>
        <w:br/>
        <w:t>conflicto”. Naciones Unidas, El Examen Machel  1996-2000,  Análisis  crítico</w:t>
        <w:br/>
        <w:t>de los progresos realizados y de los obstáculos con que se ha  tropezado  en</w:t>
        <w:br/>
        <w:t>la tarea de aumentar la protección de los niños  afectados  por  la  guerra,</w:t>
        <w:br/>
        <w:t>A/55/749, 26 de enero de 2001, pág. 27. Por ejemplo,  entre  las  diferentes</w:t>
        <w:br/>
        <w:t>circunstancias que pueden  influenciar  la  repercusión  psicosocial  de  la</w:t>
        <w:br/>
        <w:t>violencia sobre los niños, “cabe mencionar  factores  individuales  como  la</w:t>
        <w:br/>
        <w:t>edad, el sexo, el  tipo  de  personalidad,  los  antecedentes  personales  y</w:t>
        <w:br/>
        <w:t>familiares y los antecedentes culturales. Habrá otros factores  que  estarán</w:t>
        <w:br/>
        <w:t>vinculados a la naturaleza de los hechos traumáticos, como su  frecuencia  y</w:t>
        <w:br/>
        <w:t>la duración de la experiencia. Los niños que sufren de estrés  muestran  una</w:t>
        <w:br/>
        <w:t>amplia gama de  síntomas,  como  una  mayor  ansiedad  de  la  separación  y</w:t>
        <w:br/>
        <w:t>retrasos en el desarrollo, perturbación del sueño  y  pesadillas,  falta  de</w:t>
        <w:br/>
        <w:t>apetito, comportamiento retraído, falta de interés por jugar  y,  entre  los</w:t>
        <w:br/>
        <w:t>niños de menos edad, dificultades de aprendizaje. Entre  los  niños  de  más</w:t>
        <w:br/>
        <w:t>edad y los adolescentes las respuestas al estrés pueden  incluir  reacciones</w:t>
        <w:br/>
        <w:t>como un comportamiento ansioso o agresivo y depresiones”.  Naciones  Unidas,</w:t>
        <w:br/>
        <w:t>Las Repercusiones de los Conflictos Armados sobre los Niños, Informe  de  la</w:t>
        <w:br/>
        <w:t>experta del Secretario General, Sra. Graça Machel, presentado en  virtud  de</w:t>
        <w:br/>
        <w:t>la resolución 48/157, A/51/306, 26 de agosto de 1996, párr. 168.  Del  mismo</w:t>
        <w:br/>
        <w:t>modo, en el contexto de huídas  en  los  conflictos  armados,  “[a]unque  la</w:t>
        <w:br/>
        <w:t>decisión de partir normalmente la toman  los  adultos,  aun  los  niños  más</w:t>
        <w:br/>
        <w:t>pequeños  reconocen  lo  que  está   sucediendo   y   pueden   percibir   la</w:t>
        <w:br/>
        <w:t>incertidumbre y el temor de sus padres”. Naciones Unidas, Las  Repercusiones</w:t>
        <w:br/>
        <w:t>de los Conflictos Armados sobre los Niños, supra, párr. 67.</w:t>
        <w:br/>
        <w:br/>
        <w:t>[202]       Cfr. Tutela Legal del Arzobispado de San  Salvador,  El  Mozote.</w:t>
        <w:br/>
        <w:t>Lucha por la verdad y la justicia: Masacre a la Inocencia, San Salvador,  El</w:t>
        <w:br/>
        <w:t>Salvador, 2008, págs. 57 y 333 (expediente de prueba, tomo VIII, anexo 2  al</w:t>
        <w:br/>
        <w:t>escrito de solicitudes, argumentos y  pruebas,  folios  5302  y  5456).  Ver</w:t>
        <w:br/>
        <w:t>también, Declaración jurada rendida por Wilson  Valeriano  Guevara  ante  la</w:t>
        <w:br/>
        <w:t>Oficina de Tutela Legal del Arzobispado el 13 de marzo de  1992  (expediente</w:t>
        <w:br/>
        <w:t>de trámite ante la Comisión, tomo II, anexo 20  al  sometimiento  del  caso,</w:t>
        <w:br/>
        <w:t>folio 830), y Declaración jurada rendida por  José  Antonio  Márquez  Claros</w:t>
        <w:br/>
        <w:t>ante la Oficina de Tutela Legal del Arzobispado  el  9  de  agosto  de  2011</w:t>
        <w:br/>
        <w:t>(expediente de prueba,  tomo  VIII,  anexo  3  al  escrito  de  solicitudes,</w:t>
        <w:br/>
        <w:t>argumentos y pruebas, folio 5566).</w:t>
        <w:br/>
        <w:br/>
        <w:t>[203]       Cfr.  Declaración  jurada  rendida  por  Rufina  Amaya  Vda.  de</w:t>
        <w:br/>
        <w:t>Márquez ante la Oficina de Tutela Legal del Arzobispado el 10 de octubre  de</w:t>
        <w:br/>
        <w:t>1990 (expediente de prueba, tomo II, anexo  20  al  sometimiento  del  caso,</w:t>
        <w:br/>
        <w:t>folios 1572 a 1573).</w:t>
        <w:br/>
        <w:br/>
        <w:t>[204]       Cfr. Inspección judicial realizada  en  el  cerro  “El  Chingo”,</w:t>
        <w:br/>
        <w:t>caserío El Mozote, jurisdicción de Meanguera, Departamento de Morazán  el  3</w:t>
        <w:br/>
        <w:t>de junio de 1992 (expediente de prueba, tomo III, anexo 23  al  sometimiento</w:t>
        <w:br/>
        <w:t>del caso, folios 2025 a 2026), e Inspección judicial realizada en  el  cerro</w:t>
        <w:br/>
        <w:t>“La Cruz”, caserío El Mozote, jurisdicción  de  Meanguera,  Departamento  de</w:t>
        <w:br/>
        <w:t>Morazán, el 10 de junio de 1992 (expediente de prueba, tomo  III,  anexo  23</w:t>
        <w:br/>
        <w:t>al sometimiento del caso, folio 2072).</w:t>
        <w:br/>
        <w:br/>
        <w:t>[205]       Cfr.  Declaración  jurada  rendida  por  Rufina  Amaya  Vda.  de</w:t>
        <w:br/>
        <w:t>Márquez ante la Oficina de Tutela Legal del Arzobispado el 10 de octubre  de</w:t>
        <w:br/>
        <w:t>1990 (expediente de prueba, tomo II, anexo  20  al  sometimiento  del  caso,</w:t>
        <w:br/>
        <w:t>folio 1577).</w:t>
        <w:br/>
        <w:br/>
        <w:t>[206]        Inspección  judicial  realizada  en  el  caserío   El   Mozote,</w:t>
        <w:br/>
        <w:t>jurisdicción de Meanguera, Departamento de Morazán, el 27 de  mayo  de  1992</w:t>
        <w:br/>
        <w:t>(expediente de prueba, tomo III, anexo 23 al sometimiento  del  caso,  folio</w:t>
        <w:br/>
        <w:t>1995).</w:t>
        <w:br/>
        <w:br/>
        <w:t>[207]       Cfr.  Informe  del  Equipo  Argentino  de  Antropología  Forense</w:t>
        <w:br/>
        <w:t>(EAAF)  sobre  los  trabajos  de  exhumación  realizados  en  el  año   2001</w:t>
        <w:br/>
        <w:t>(expediente de prueba, tomo VI, anexo 28 al  sometimiento  del  caso,  folio</w:t>
        <w:br/>
        <w:t>4489).</w:t>
        <w:br/>
        <w:br/>
        <w:t>[208]       Escrito de denuncia de Pedro Chicas Romero  presentado  ante  el</w:t>
        <w:br/>
        <w:t>Juzgado Segundo de Primera Instancia  de  San  Francisco  Gotera  el  26  de</w:t>
        <w:br/>
        <w:t>octubre de 1990 (expediente de prueba, tomo III, anexo  23  al  sometimiento</w:t>
        <w:br/>
        <w:t>del caso, folio 1650).</w:t>
        <w:br/>
        <w:br/>
        <w:t>[209]       Cfr. Tutela Legal del Arzobispado de San  Salvador,  El  Mozote.</w:t>
        <w:br/>
        <w:t>Lucha por la verdad y la justicia: Masacre a la Inocencia, San Salvador,  El</w:t>
        <w:br/>
        <w:t>Salvador, 2008, págs. 57 y 93 (expediente de prueba, tomo VIII, anexo  2  al</w:t>
        <w:br/>
        <w:t>escrito de solicitudes, argumentos y  pruebas,  folios  5304  y  5320).  Ver</w:t>
        <w:br/>
        <w:t>también, Declaración de testigo rendida por Lucila Romero Martínez  ante  el</w:t>
        <w:br/>
        <w:t>Juzgado Segundo de Primera Instancia de San Francisco Gotera el 24 de  enero</w:t>
        <w:br/>
        <w:t>de 1991 (expediente de prueba, tomo III, anexo 23 al sometimiento del  caso,</w:t>
        <w:br/>
        <w:t>folios 1711 a 1713).</w:t>
        <w:br/>
        <w:br/>
        <w:t>[210]       Cfr.  Caso  Fernández  Ortega  y  otros  Vs.  México.  Excepción</w:t>
        <w:br/>
        <w:t>Preliminar, Fondo, Reparaciones y Costas.  Sentencia  de  30  de  agosto  de</w:t>
        <w:br/>
        <w:t>2010. Serie C No. 215, párr. 100, y Caso Rosendo Cantú y  otra  Vs.  México.</w:t>
        <w:br/>
        <w:t>Excepción Preliminar, Fondo, Reparaciones  y  Costas.  Sentencia  de  31  de</w:t>
        <w:br/>
        <w:t>agosto de 2010. Serie C No. 216, párr. 89.</w:t>
        <w:br/>
        <w:br/>
        <w:t>[211]       Cfr. Caso Kawas Fernández Vs. Honduras.  Fondo,  Reparaciones  y</w:t>
        <w:br/>
        <w:t>Costas. Sentencia de 3 de abril de 2009. Serie C No. 196, párr. 97,  y  Caso</w:t>
        <w:br/>
        <w:t>Rosendo Cantú y otra Vs. México, párr. 104.</w:t>
        <w:br/>
        <w:br/>
        <w:t>[212]       Cfr. Caso Fernández Ortega y otros  Vs.  México,  párr.  127,  y</w:t>
        <w:br/>
        <w:t>Caso Rosendo Cantú y otra Vs. México, párr. 117.</w:t>
        <w:br/>
        <w:br/>
        <w:t>[213]       Cfr. Caso Rosendo Cantú y otra Vs. México, párrs. 110 y 112.</w:t>
        <w:br/>
        <w:br/>
        <w:t>[214]       Cfr. Caso del  Penal  Miguel  Castro  Castro  Vs.  Perú.  Fondo,</w:t>
        <w:br/>
        <w:t>Reparaciones y Costas. Sentencia de 25 de noviembre de  2006.  Serie  C  No.</w:t>
        <w:br/>
        <w:t>160, párrs. 223 y 224.  Ver  también,  Comité  para  la  Eliminación  de  la</w:t>
        <w:br/>
        <w:t>Discriminación contra la  Mujer,  Recomendación  general  19  “La  violencia</w:t>
        <w:br/>
        <w:t>contra la mujer”, U.N. Doc. HRI/GEN/1/Rev.1at84, 29 de enero de 1992,  párr.</w:t>
        <w:br/>
        <w:t>16; Comisión de Derechos Humanos, Informe de la  Sra.  Radica  Coomaraswamy,</w:t>
        <w:br/>
        <w:t>Relatora Especial sobre la Violencia contra la mujer, con inclusión  de  sus</w:t>
        <w:br/>
        <w:t>causas y consecuencias, presentado de conformidad con la resolución  2000/45</w:t>
        <w:br/>
        <w:t>de  la  Comisión  de  Derechos  Humanos,  “La  violencia  contra  la   mujer</w:t>
        <w:br/>
        <w:t>perpetrada y/o condonada por el Estado en tiempos de conflicto armado (1997-</w:t>
        <w:br/>
        <w:t xml:space="preserve"> 2000)”, U.N. Doc. E/CN.4/2001/73, 23 de enero de 2001.</w:t>
        <w:br/>
        <w:br/>
        <w:t>[215]       Cfr. Caso del Penal Miguel Castro Castro Vs. Perú, párr. 224.</w:t>
        <w:br/>
        <w:br/>
        <w:t>[216]       Cfr. Caso Fernández Ortega y otros  Vs.  México,  párr.  119,  y</w:t>
        <w:br/>
        <w:t>Caso Rosendo Cantú y otra Vs. México, párr. 109.</w:t>
        <w:br/>
        <w:br/>
        <w:t>[217]       Cfr. Caso de las Masacres de Ituango Vs. Colombia, párr. 193,  y</w:t>
        <w:br/>
        <w:t>Caso Masacres de Río Negro Vs. Guatemala, párr. 133.</w:t>
        <w:br/>
        <w:br/>
        <w:t>[218]       Cfr. Caso Fernández Ortega y otros  Vs.  México,  párr.  129,  y</w:t>
        <w:br/>
        <w:t>Caso Atala Riffo y Niñas Vs. Chile. Fondo, Reparaciones y Costas.  Sentencia</w:t>
        <w:br/>
        <w:t>del 24 de febrero de 2012. Serie C No. 239, párr. 162.</w:t>
        <w:br/>
        <w:br/>
        <w:t>[219]       Cfr. Caso Fernández Ortega y otros  Vs.  México,  párr.  129,  y</w:t>
        <w:br/>
        <w:t>Caso Masacres de Río Negro Vs. Guatemala, párr. 133.</w:t>
        <w:br/>
        <w:br/>
        <w:t>[220]       Cfr. Caso Fernández Ortega y otros  Vs.  México,  párr.  129,  y</w:t>
        <w:br/>
        <w:t>Caso Atala Riffo y Niñas Vs. Chile, párr. 162.</w:t>
        <w:br/>
        <w:br/>
        <w:t>[221]       Cfr. Caso Fernández Ortega y otros  Vs.  México,  párr.  129,  y</w:t>
        <w:br/>
        <w:t>Caso Rosendo Cantú y otra Vs. México, párr. 119.</w:t>
        <w:br/>
        <w:br/>
        <w:t>[222]       Cfr. Declaración rendida por María  Dorila  Márquez  de  Márquez</w:t>
        <w:br/>
        <w:t>ante la Corte Interamericana en la audiencia  pública  celebrada  el  23  de</w:t>
        <w:br/>
        <w:t>abril de 2012; Declaración rendida por María del Rosario López Sánchez  ante</w:t>
        <w:br/>
        <w:t>la Corte Interamericana en la audiencia pública celebrada el 23 de abril  de</w:t>
        <w:br/>
        <w:t>2012; Declaración  rendida  ante  fedatario  público  (affidávit)  por  Juan</w:t>
        <w:br/>
        <w:t>Bautista Márquez Argueta el 1 de abril de 2012 (expediente de  prueba,  tomo</w:t>
        <w:br/>
        <w:t>XVII, affidávits, folio 10277); Declaración rendida ante  fedatario  público</w:t>
        <w:br/>
        <w:t>(affidávit)  por  Juan  Antonio  Pereira  Vigil  el  2  de  abril  de   2012</w:t>
        <w:br/>
        <w:t>(expediente de  prueba,  tomo  XVII,  affidávits,  folios  10289  a  10290);</w:t>
        <w:br/>
        <w:t>Declaración rendida ante fedatario público (affidávit) por  Antonia  Guevara</w:t>
        <w:br/>
        <w:t>Díaz el 1 de abril de 2012 (expediente de  prueba,  tomo  XVII,  affidávits,</w:t>
        <w:br/>
        <w:t>folios 10286 a 10287); Declaración  de  testigo  rendida  por  Pedro  Chicas</w:t>
        <w:br/>
        <w:t>Romero ante el Juzgado Segundo de Primera Instancia de San Francisco  Gotera</w:t>
        <w:br/>
        <w:t>el 27 de noviembre de 1990 (expediente de prueba,  tomo  III,  anexo  23  al</w:t>
        <w:br/>
        <w:t>sometimiento del caso, folios 1692 a 1693); Declaración de  testigo  rendida</w:t>
        <w:br/>
        <w:t>por Hilario Sánchez Gómez ante el Juzgado Segundo de  Primera  Instancia  de</w:t>
        <w:br/>
        <w:t>San Francisco Gotera el 28 de noviembre de 1990 (expediente de prueba,  tomo</w:t>
        <w:br/>
        <w:t>III, anexo 23 al sometimiento del caso, folios 1695 a 1697); Declaración  de</w:t>
        <w:br/>
        <w:t>testigo rendida por María Teófila Pereira Argueta ante  el  Juzgado  Segundo</w:t>
        <w:br/>
        <w:t>de Primera Instancia de  San  Francisco  Gotera  el  23  de  enero  de  1991</w:t>
        <w:br/>
        <w:t>(expediente de prueba, tomo III, anexo 23 al sometimiento del  caso,  folios</w:t>
        <w:br/>
        <w:t>1701 a 1702); Declaración de testigo rendida por María Amanda Martínez  ante</w:t>
        <w:br/>
        <w:t>el Juzgado Segundo de Primera Instancia de San Francisco  Gotera  el  23  de</w:t>
        <w:br/>
        <w:t>enero de 1991 (expediente de prueba, tomo III, anexo 23 al sometimiento  del</w:t>
        <w:br/>
        <w:t>caso, folios 1704 a 1705); Declaración de  testigo  rendida  por  Bernardino</w:t>
        <w:br/>
        <w:t>Guevara  Chicas  ante  el  Juzgado  Segundo  de  Primera  Instancia  de  San</w:t>
        <w:br/>
        <w:t>Francisco Gotera el 23 de enero de 1991 (expediente  de  prueba,  tomo  III,</w:t>
        <w:br/>
        <w:t>anexo 23 al sometimiento del caso,  folios  1706  a  1707);  Declaración  de</w:t>
        <w:br/>
        <w:t>testigo rendida por Lucila  Romero  Martínez  ante  el  Juzgado  Segundo  de</w:t>
        <w:br/>
        <w:t>Primera  Instancia  de  San  Francisco  Gotera  el  24  de  enero  de   1991</w:t>
        <w:br/>
        <w:t>(expediente de prueba, tomo III, anexo 23 al sometimiento del  caso,  folios</w:t>
        <w:br/>
        <w:t>1711 a 1712); Declaración de testigo rendida por  Eustaquio  Martínez  Vigil</w:t>
        <w:br/>
        <w:t>ante el Juzgado Segundo de Primera Instancia de San Francisco Gotera  el  20</w:t>
        <w:br/>
        <w:t>de marzo de 1991 (expediente de prueba, tomo III, anexo 23  al  sometimiento</w:t>
        <w:br/>
        <w:t>del caso, folios 1757 a 1759); Declaración de  testigo  rendida  por  Genaro</w:t>
        <w:br/>
        <w:t>Sánchez ante el Juzgado  Segundo  de  Primera  Instancia  de  San  Francisco</w:t>
        <w:br/>
        <w:t>Gotera el 10 de abril de 1991 (expediente de prueba, tomo III, anexo  23  al</w:t>
        <w:br/>
        <w:t>sometimiento del caso, folios 1767 a 1769); Declaración de  testigo  rendida</w:t>
        <w:br/>
        <w:t>por Sotero Guevara Martínez ante el Juzgado Segundo de Primera Instancia  de</w:t>
        <w:br/>
        <w:t>San Francisco Gotera el 7 de mayo de 1991 (expediente de prueba,  tomo  III,</w:t>
        <w:br/>
        <w:t>anexo 23 al sometimiento del caso,  folios  1774  a  1777);  Declaración  de</w:t>
        <w:br/>
        <w:t>testigo rendida por Remigio Márquez  ante  el  Juzgado  Segundo  de  Primera</w:t>
        <w:br/>
        <w:t>Instancia de San Francisco Gotera el 29 de  julio  de  1992  (expediente  de</w:t>
        <w:br/>
        <w:t>prueba, tomo III, anexo 23 al sometimiento del caso, folios  2299  a  2300);</w:t>
        <w:br/>
        <w:t>Declaración jurada rendida por Rufina Amaya ante la Oficina de Tutela  Legal</w:t>
        <w:br/>
        <w:t>del Arzobispado el 10 de octubre de 1990 (expediente  de  prueba,  tomo  II,</w:t>
        <w:br/>
        <w:t>anexo 20 al sometimiento del caso, folio 1578); Declaración  jurada  rendida</w:t>
        <w:br/>
        <w:t>por  Cesar  Martínez  Hernández  ante  la  Oficina  de  Tutela   Legal   del</w:t>
        <w:br/>
        <w:t>Arzobispado el 22 de junio de 2011 (expediente de prueba, tomo  VIII,  anexo</w:t>
        <w:br/>
        <w:t>3 al escrito de solicitudes, argumentos y pruebas, folios 5547  a  5548),  y</w:t>
        <w:br/>
        <w:t>Declaración de testigo rendida  por  Irma  Ramos  Márquez  ante  el  Juzgado</w:t>
        <w:br/>
        <w:t>Segundo de Primera Instancia de San Francisco Gotera el  31  de  octubre  de</w:t>
        <w:br/>
        <w:t>1990 (expediente de prueba, tomo III, anexo 23  al  sometimiento  del  caso,</w:t>
        <w:br/>
        <w:t>folios 1668 a 1670).</w:t>
        <w:br/>
        <w:br/>
        <w:t>[223]       Declaración jurada rendida por Rufina Amaya ante la  Oficina  de</w:t>
        <w:br/>
        <w:t>Tutela Legal del Arzobispado  el  10  de  octubre  de  1990  (expediente  de</w:t>
        <w:br/>
        <w:t>prueba, tomo II, anexo  20  al  sometimiento  del  caso,  folio  1576).  Ver</w:t>
        <w:br/>
        <w:t>también, Declaración de testigo rendida por Rufina  Amaya  ante  el  Juzgado</w:t>
        <w:br/>
        <w:t>Segundo de Primera Instancia de San Francisco Gotera el  30  de  octubre  de</w:t>
        <w:br/>
        <w:t>1990 (expediente de prueba, tomo III, anexo 23  al  sometimiento  del  caso,</w:t>
        <w:br/>
        <w:t>folio 1662).</w:t>
        <w:br/>
        <w:br/>
        <w:t>[224]       Declaración rendida ante fedatario público (affidávit) por  Juan</w:t>
        <w:br/>
        <w:t>Bautista Márquez Argueta el 1 de abril de 2012 (expediente de  prueba,  tomo</w:t>
        <w:br/>
        <w:t>XVII, affidávits, folio 10276).</w:t>
        <w:br/>
        <w:br/>
        <w:t>[225]       Declaración rendida ante fedatario público (affidávit) por  Juan</w:t>
        <w:br/>
        <w:t>Antonio Pereira Vigil el 2 de abril de  2012  (expediente  de  prueba,  tomo</w:t>
        <w:br/>
        <w:t>XVII, affidávits, folio 10289).</w:t>
        <w:br/>
        <w:br/>
        <w:t>[226]       Cfr. Declaración de testigo rendida por Rosendo Hernández  Amaya</w:t>
        <w:br/>
        <w:t>ante el Juzgado Segundo de Primera Instancia de San Francisco Gotera  el  29</w:t>
        <w:br/>
        <w:t>de julio de 1992 (expediente de prueba, tomo III, anexo 23  al  sometimiento</w:t>
        <w:br/>
        <w:t>del caso, folios 2300 a 2301).</w:t>
        <w:br/>
        <w:br/>
        <w:t>[227]       Cfr. Declaración de testigo  rendida  por  Domingo  Vigil  Amaya</w:t>
        <w:br/>
        <w:t>ante el Juzgado Segundo de Primera Instancia de San Francisco Gotera  el  29</w:t>
        <w:br/>
        <w:t>de julio enero de  1992  (expediente  de  prueba,  tomo  III,  anexo  23  al</w:t>
        <w:br/>
        <w:t>sometimiento del caso, folios 2301 a 2302).</w:t>
        <w:br/>
        <w:br/>
        <w:t>[228]       Declaración jurada rendida por Alejandro Hernández Argueta  ante</w:t>
        <w:br/>
        <w:t>la Oficina  de  Tutela  Legal  del  Arzobispado  el  3  de  agosto  de  2011</w:t>
        <w:br/>
        <w:t>(expediente de prueba,  tomo  VIII,  anexo  3  al  escrito  de  solicitudes,</w:t>
        <w:br/>
        <w:t>argumentos y pruebas, folios 5573 a 5574).</w:t>
        <w:br/>
        <w:br/>
        <w:t>[229]       Cfr. Peritaje sobre impactos psicosociales y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 10549).</w:t>
        <w:br/>
        <w:br/>
        <w:t>[230]       Cfr. Caso de las Masacres de Ituango Vs. Colombia, párr. 260.</w:t>
        <w:br/>
        <w:br/>
        <w:t>[231]       Cfr. Declaración jurada rendida  por  María  del  Rosario  López</w:t>
        <w:br/>
        <w:t>Sánchez ante la Oficina de Tutela Legal del Arzobispado el 19  de  junio  de</w:t>
        <w:br/>
        <w:t>2011 (expediente de prueba, tomo VIII, anexo 3 al  escrito  de  solicitudes,</w:t>
        <w:br/>
        <w:t>argumentos y pruebas, folio 5524);  Declaración  jurada  rendida  por  Pedro</w:t>
        <w:br/>
        <w:t>Chicas Romero ante la Oficina de Tutela  Legal  del  Arzobispado  el  25  de</w:t>
        <w:br/>
        <w:t>julio de 2011 (expediente de prueba,  tomo  VIII,  anexo  3  al  escrito  de</w:t>
        <w:br/>
        <w:t>solicitudes, argumentos y pruebas, folios 5530 a 5531);  Declaración  jurada</w:t>
        <w:br/>
        <w:t>rendida por Santos Jacobo Chicas Guevara ante la  Oficina  de  Tutela  Legal</w:t>
        <w:br/>
        <w:t>del Arzobispado el 20 de junio de 2011 (expediente  de  prueba,  tomo  VIII,</w:t>
        <w:br/>
        <w:t>anexo 3 al escrito  de  solicitudes,  argumentos  y  pruebas,  folio  5540);</w:t>
        <w:br/>
        <w:t>Declaración jurada rendida por César Martínez Hernández ante la  Oficina  de</w:t>
        <w:br/>
        <w:t>Tutela Legal del Arzobispado el 22 de junio de 2011 (expediente  de  prueba,</w:t>
        <w:br/>
        <w:t>tomo VIII, anexo 3 al escrito de solicitudes, argumentos  y  pruebas,  folio</w:t>
        <w:br/>
        <w:t>5548); Declaración jurada rendida por Alejandro Hernández  Argueta  ante  la</w:t>
        <w:br/>
        <w:t>Oficina de Tutela Legal del Arzobispado el 3 de agosto de  2011  (expediente</w:t>
        <w:br/>
        <w:t>de prueba, tomo VIII, anexo  3  al  escrito  de  solicitudes,  argumentos  y</w:t>
        <w:br/>
        <w:t>pruebas, folios 5574 a 5575); Declaración  rendida  ante  fedatario  público</w:t>
        <w:br/>
        <w:t>(affidávit) por Juan  Bautista  Márquez  Argueta  el  1  de  abril  de  2012</w:t>
        <w:br/>
        <w:t>(expediente de prueba, tomo  XVII,  affidávits,  folio  10278);  Declaración</w:t>
        <w:br/>
        <w:t>rendida ante fedatario público (affidávit) por Antonia Guevara Díaz el 1  de</w:t>
        <w:br/>
        <w:t>abril de 2012 (expediente de prueba, tomo XVII,  affidávits,  folio  10288);</w:t>
        <w:br/>
        <w:t>Declaración rendida ante fedatario  público  (affidávit)  por  Juan  Antonio</w:t>
        <w:br/>
        <w:t>Pereira Vigil el 1 de abril  de  2012  (expediente  de  prueba,  tomo  XVII,</w:t>
        <w:br/>
        <w:t>affidávits, folios 10290 a 10291);  Declaración  rendida  por  María  Dorila</w:t>
        <w:br/>
        <w:t>Márquez de Márquez ante la Corte  Interamericana  en  la  audiencia  pública</w:t>
        <w:br/>
        <w:t>celebrada el 23 de abril de 2012; Peritaje rendido por María  Sol  Yáñez  De</w:t>
        <w:br/>
        <w:t>La Cruz ante la Corte Interamericana en la audiencia  pública  celebrada  el</w:t>
        <w:br/>
        <w:t>23  de  abril  de  2012,  y  Peritaje   sobre   impactos   psicosociales   y</w:t>
        <w:br/>
        <w:t>recomendaciones en materia de reparación en el caso de “Las Masacres  de  El</w:t>
        <w:br/>
        <w:t>Mozote y lugares aledaños” rendido por María  Sol  Yáñez  De  La  Cruz,  sin</w:t>
        <w:br/>
        <w:t>fecha (expediente de prueba, tomo XVIII, anexo  2  a  los  alegatos  finales</w:t>
        <w:br/>
        <w:t>escritos de los representantes, folio 10537).</w:t>
        <w:br/>
        <w:br/>
        <w:t>[232]       Informe de la Comisión de la Verdad  para  El  Salvador,  De  la</w:t>
        <w:br/>
        <w:t>locura a la esperanza, La guerra  de  12  años  en  El  Salvador,  1992-1993</w:t>
        <w:br/>
        <w:t>(expediente de prueba, tomo II, anexo 1 al  sometimiento  del  caso,  folios</w:t>
        <w:br/>
        <w:t>1196 a 1197).</w:t>
        <w:br/>
        <w:br/>
        <w:t>[233]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1197).</w:t>
        <w:br/>
        <w:br/>
        <w:t>[234]       Declaración rendida ante fedatario público (affidávit) por  Juan</w:t>
        <w:br/>
        <w:t>Bautista Márquez Argueta el 1 de abril de 2012 (expediente de  prueba,  tomo</w:t>
        <w:br/>
        <w:t>XVII, affidávits, folios 10276 a 10277).</w:t>
        <w:br/>
        <w:br/>
        <w:t>[235]       Declaración  rendida  ante  fedatario  público  (affidávit)  por</w:t>
        <w:br/>
        <w:t>Antonia Guevara Díaz el 1 de abril  de  2012  (expediente  de  prueba,  tomo</w:t>
        <w:br/>
        <w:t>XVII, affidávits, folio 10286).</w:t>
        <w:br/>
        <w:br/>
        <w:t>[236]       Declaración rendida ante fedatario público (affidávit) por  Juan</w:t>
        <w:br/>
        <w:t>Antonio Pereira Vigil el 2 de abril de  2012  (expediente  de  prueba,  tomo</w:t>
        <w:br/>
        <w:t>XVII, affidávits, folio 10289).</w:t>
        <w:br/>
        <w:br/>
        <w:t>[237]       Declaración rendida por María del Rosario López Sánchez ante  la</w:t>
        <w:br/>
        <w:t>Corte Interamericana en la audiencia pública celebrada el  23  de  abril  de</w:t>
        <w:br/>
        <w:t>2012.</w:t>
        <w:br/>
        <w:br/>
        <w:t>[238]       Declaración de testigo rendida por Pedro Chicas Romero  ante  el</w:t>
        <w:br/>
        <w:t>Juzgado Segundo de Primera Instancia de San Francisco Gotera el 1  de  julio</w:t>
        <w:br/>
        <w:t>de 1992 (expediente de prueba, tomo III, anexo 23 al sometimiento del  caso,</w:t>
        <w:br/>
        <w:t>folio 2159).</w:t>
        <w:br/>
        <w:br/>
        <w:t>[239]       Declaración de ofendido rendida por Pedro Chicas Romero ante  el</w:t>
        <w:br/>
        <w:t>Juzgado Segundo de Primera Instancia  de  San  Francisco  Gotera  el  31  de</w:t>
        <w:br/>
        <w:t>octubre de 1990 (expediente de prueba, tomo III, anexo  23  al  sometimiento</w:t>
        <w:br/>
        <w:t>del caso, folio 1671).</w:t>
        <w:br/>
        <w:br/>
        <w:t>[240]       Declaración de testigo rendida por Hilario  Sánchez  Gómez  ante</w:t>
        <w:br/>
        <w:t>el Juzgado Segundo de Primera Instancia de San Francisco  Gotera  el  28  de</w:t>
        <w:br/>
        <w:t>noviembre de 1990 (expediente de prueba, tomo III, anexo 23 al  sometimiento</w:t>
        <w:br/>
        <w:t>del caso, folios 1695 a 1697).</w:t>
        <w:br/>
        <w:br/>
        <w:t>[241]       Declaración de ofendido rendida por Hilario Sánchez  Gómez  ante</w:t>
        <w:br/>
        <w:t>el Juzgado Segundo de Primera Instancia de San Francisco  Gotera  el  14  de</w:t>
        <w:br/>
        <w:t>febrero de 1991 (expediente de prueba, tomo III, anexo  23  al  sometimiento</w:t>
        <w:br/>
        <w:t>del caso, folio 1725).</w:t>
        <w:br/>
        <w:br/>
        <w:t>[242]       Declaración de testigo rendida por María  Amanda  Martínez  ante</w:t>
        <w:br/>
        <w:t>el Juzgado Segundo de Primera Instancia de San Francisco  Gotera  el  23  de</w:t>
        <w:br/>
        <w:t>enero de 1991 (expediente de prueba, tomo III, anexo 23 al sometimiento  del</w:t>
        <w:br/>
        <w:t>caso, folio 1704).</w:t>
        <w:br/>
        <w:br/>
        <w:t>[243]       Declaración de testigo rendida  por  Bernardino  Guevara  Chicas</w:t>
        <w:br/>
        <w:t>ante el Juzgado Segundo de Primera Instancia de San Francisco Gotera  el  23</w:t>
        <w:br/>
        <w:t>de enero de 1991 (expediente de prueba, tomo III, anexo 23  al  sometimiento</w:t>
        <w:br/>
        <w:t>del caso, folios 1706 a 1707).</w:t>
        <w:br/>
        <w:br/>
        <w:t>[244]       Declaración de testigo rendida por Rosa Ramírez  Hernández  ante</w:t>
        <w:br/>
        <w:t>el Juzgado Segundo de Primera Instancia de San Francisco  Gotera  el  30  de</w:t>
        <w:br/>
        <w:t>enero de 1991 (expediente de prueba, tomo III, anexo 23 al sometimiento  del</w:t>
        <w:br/>
        <w:t>caso, folio 1719).</w:t>
        <w:br/>
        <w:br/>
        <w:t>[245]       Declaración de testigo rendida por Irma Ramos  Márquez  ante  el</w:t>
        <w:br/>
        <w:t>Juzgado Segundo de Primera Instancia  de  San  Francisco  Gotera  el  31  de</w:t>
        <w:br/>
        <w:t>octubre de 1990 (expediente de prueba, tomo III, anexo  23  al  sometimiento</w:t>
        <w:br/>
        <w:t>del caso, folios 1668 a 1669).</w:t>
        <w:br/>
        <w:br/>
        <w:t>[246]       Declaración jurada rendida por Rufina Amaya ante la  Oficina  de</w:t>
        <w:br/>
        <w:t>Tutela Legal del Arzobispado  el  10  de  octubre  de  1990  (expediente  de</w:t>
        <w:br/>
        <w:t>prueba, tomo II, anexo 20 al sometimiento del  caso,  folios  1574,  1576  y</w:t>
        <w:br/>
        <w:t>1577).</w:t>
        <w:br/>
        <w:br/>
        <w:t>[247]       Declaración jurada rendida por Alejandro Hernández Argueta  ante</w:t>
        <w:br/>
        <w:t>la Oficina  de  Tutela  Legal  del  Arzobispado  el  3  de  agosto  de  2011</w:t>
        <w:br/>
        <w:t>(expediente  de  prueba,  tomo  VIII,  anexo  al  escrito  de   solicitudes,</w:t>
        <w:br/>
        <w:t>argumentos y pruebas, folio 5573).</w:t>
        <w:br/>
        <w:br/>
        <w:t>[248] Cfr. Caso Ivcher Bronstein Vs. Perú. Reparaciones y Costas.  Sentencia</w:t>
        <w:br/>
        <w:t>de 6 de febrero de 2001. Serie  C  No.  74,  párr.  122,  y  Caso  Furlan  y</w:t>
        <w:br/>
        <w:t>Familiares Vs. Argentina, párr. 220.</w:t>
        <w:br/>
        <w:br/>
        <w:t>[249]       Cfr. Caso Ivcher Bronstein  Vs.  Perú.  Reparaciones  y  Costas,</w:t>
        <w:br/>
        <w:t>párr. 122, y Caso Familia Barrios Vs. Venezuela, párr. 148.</w:t>
        <w:br/>
        <w:br/>
        <w:t>[250]       Cfr. Caso Cinco Pensionistas Vs.  Perú.  Fondo,  Reparaciones  y</w:t>
        <w:br/>
        <w:t>Costas. Sentencia de 28 de febrero de 2003. Serie C No.  98,  párr.  102,  y</w:t>
        <w:br/>
        <w:t>Caso Furlan y Familiares Vs. Argentina, párr. 220.</w:t>
        <w:br/>
        <w:br/>
        <w:t>[251]       Peritaje  sobre  impactos  psicosociales  y 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folios 10520 a 10521).</w:t>
        <w:br/>
        <w:br/>
        <w:t>[252]       Peritaje  sobre  impactos  psicosociales  y 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 10525).</w:t>
        <w:br/>
        <w:br/>
        <w:t>[253]       Cfr. Caso Familia Barrios Vs. Venezuela, párr. 32, y Caso  Vélez</w:t>
        <w:br/>
        <w:t>Restrepo y Familiares Vs. Colombia, párr. 47.</w:t>
        <w:br/>
        <w:br/>
        <w:t>[254]       Cfr. Caso de las Masacres de Ituango Vs. Colombia, párrs. 193  y</w:t>
        <w:br/>
        <w:t>194, y Caso Familia Barrios Vs. Venezuela, párr. 140.</w:t>
        <w:br/>
        <w:br/>
        <w:t>[255]       Peritaje rendido por María Sol Yáñez De La Cruz  ante  la  Corte</w:t>
        <w:br/>
        <w:t>Interamericana en la audiencia pública celebrada el 23 de abril de 2012.</w:t>
        <w:br/>
        <w:br/>
        <w:t>[256]       Declaración rendida ante fedatario público (affidávit) por  Juan</w:t>
        <w:br/>
        <w:t>Bautista Márquez Argueta el 1 de abril de 2012 (expediente de  prueba,  tomo</w:t>
        <w:br/>
        <w:t>XVII, affidávits, folios 10276 a 10279).</w:t>
        <w:br/>
        <w:br/>
        <w:t>[257]       Declaración jurada rendida por María del Rosario  López  Sánchez</w:t>
        <w:br/>
        <w:t>ante la Oficina de Tutela Legal del Arzobispado  el  19  de  junio  de  2011</w:t>
        <w:br/>
        <w:t>(expediente de prueba,  tomo  VIII,  anexo  3  al  escrito  de  solicitudes,</w:t>
        <w:br/>
        <w:t>argumentos y pruebas, folio 5522).</w:t>
        <w:br/>
        <w:br/>
        <w:t>[258]       Declaración de ofendido rendida por Hilario Sánchez  Gómez  ante</w:t>
        <w:br/>
        <w:t>el Juzgado Segundo de Primera Instancia de San Francisco  Gotera  el  14  de</w:t>
        <w:br/>
        <w:t>febrero de 1991 (expediente de prueba, tomo III, anexo  23  al  sometimiento</w:t>
        <w:br/>
        <w:t>del caso, folio 1725), y Declaración de testigo rendida por Hilario  Sánchez</w:t>
        <w:br/>
        <w:t>Gómez ante el Juzgado Segundo de Primera Instancia de San  Francisco  Gotera</w:t>
        <w:br/>
        <w:t>el 28 de noviembre de 1990 (expediente de prueba,  tomo  III,  anexo  23  al</w:t>
        <w:br/>
        <w:t>sometimiento del caso, folio 1697).</w:t>
        <w:br/>
        <w:br/>
        <w:t>[259]       Declaración  rendida  ante  fedatario  público  (affidávit)  por</w:t>
        <w:br/>
        <w:t>Antonia Guevara Díaz el 1 de abril  de  2012  (expediente  de  prueba,  tomo</w:t>
        <w:br/>
        <w:t>XVII, affidávits, folio 10287).</w:t>
        <w:br/>
        <w:br/>
        <w:t>[260]       La perito Yáñez De La Cruz  sostuvo  que  las  personas  que  se</w:t>
        <w:br/>
        <w:t>desplazaron “sufrieron el estigma y el maltrato cuando  les  preguntaban  de</w:t>
        <w:br/>
        <w:t>donde eran, todos les llamaban guerrilleros, ladrones,  y  viviendo  en  una</w:t>
        <w:br/>
        <w:t>extrema pobreza, sin tener ningún acompañamiento psicosocial  ni  el  amparo</w:t>
        <w:br/>
        <w:t>de  ninguna  institución”.   Peritaje   sobre   impactos   psicosociales   y</w:t>
        <w:br/>
        <w:t>recomendaciones en materia de reparación en el caso de “Las Masacres  de  El</w:t>
        <w:br/>
        <w:t>Mozote y lugares aledaños” rendido por María  Sol  Yáñez  De  La  Cruz,  sin</w:t>
        <w:br/>
        <w:t>fecha (expediente de prueba, tomo XVIII, anexo  2  a  los  alegatos  finales</w:t>
        <w:br/>
        <w:t>escritos de los representantes, folio 10530). Por ejemplo, la  señora  María</w:t>
        <w:br/>
        <w:t>del Rosario López Sánchez declaró que “[v]ivió  después  de  la  masacre  en</w:t>
        <w:br/>
        <w:t>Jocoaitique y por  las  amenazas  de  la  fuerza  armad[a]  estaba  allí  en</w:t>
        <w:br/>
        <w:t>Jocoaitique unos ocho meses y de allá se fue para Gualindo abajo, a ella  el</w:t>
        <w:br/>
        <w:t>desplazamiento le afectó, porque la gente de Gotera era por la  mayor  parte</w:t>
        <w:br/>
        <w:t>familiares de soldados y despreciaron a  los  desplazados,  y  los  llamaron</w:t>
        <w:br/>
        <w:t>‘[r]efugiados’ pero ella les decía ‘refugiados  no  somos,  desplazados  sí,</w:t>
        <w:br/>
        <w:t>porque estamos en El  Salvador  y  aquí  no  andamos  porque  queremos  sino</w:t>
        <w:br/>
        <w:t>obligados, porque no podíamos vivir más allí’”. Declaración  jurada  rendida</w:t>
        <w:br/>
        <w:t>por María del Rosario López Sánchez ante la  Oficina  de  Tutela  Legal  del</w:t>
        <w:br/>
        <w:t>Arzobispado el 19 de junio de 2011 (expediente de prueba, tomo  VIII,  anexo</w:t>
        <w:br/>
        <w:t>3 al escrito de solicitudes, argumentos y pruebas, folios 5523 a  5524).  El</w:t>
        <w:br/>
        <w:t>señor Juan Bautista Márquez Argueta  rememoró  que  estuvo  en  Colomoncagua</w:t>
        <w:br/>
        <w:t>“alrededor de  ocho  años,  sufriendo  incluso  discriminación  por  algunos</w:t>
        <w:br/>
        <w:t>pobladores hondureños y miembros del  ejército  de  ese  país”.  Declaración</w:t>
        <w:br/>
        <w:t>rendida  ante  fedatario  público  (affidávit)  por  Juan  Bautista  Márquez</w:t>
        <w:br/>
        <w:t>Argueta el 1 de abril de 2012 (expediente de prueba, tomo XVII,  affidávits,</w:t>
        <w:br/>
        <w:t>folio 10277).</w:t>
        <w:br/>
        <w:br/>
        <w:t>[261]       Peritaje rendido por María Sol Yáñez de la Cruz  ante  la  Corte</w:t>
        <w:br/>
        <w:t>Interamericana en la audiencia pública celebrada el 23 de abril de 2012.</w:t>
        <w:br/>
        <w:br/>
        <w:t>[262]       Cfr. Caso de la Masacre de Mapiripán Vs. Colombia, párr. 188,  y</w:t>
        <w:br/>
        <w:t>Caso Masacres de Río Negro Vs. Guatemala, párr. 172.</w:t>
        <w:br/>
        <w:br/>
        <w:t>[263]  Cfr.  Caso  de  la  Comunidad  Moiwana   Vs.   Surinam.   Excepciones</w:t>
        <w:br/>
        <w:t>Preliminares, Fondo, Reparaciones y Costas. Sentencia 15 de junio  de  2005.</w:t>
        <w:br/>
        <w:t>Serie C No.  124,  párr.  110,  y  Caso  Vélez  Restrepo  y  Familiares  Vs.</w:t>
        <w:br/>
        <w:t>Colombia, párr. 220.</w:t>
        <w:br/>
        <w:br/>
        <w:t>[264] Cfr. Caso de la Comunidad Moiwana  Vs.  Surinam,  párr.  110,  y  Caso</w:t>
        <w:br/>
        <w:t>Familia Barrios Vs. Venezuela, párr. 162.</w:t>
        <w:br/>
        <w:br/>
        <w:t>[265]       Se entiende por desplazados internos las personas  o  grupos  de</w:t>
        <w:br/>
        <w:t>personas que se han visto forzadas u obligadas a escapar o huir de su  hogar</w:t>
        <w:br/>
        <w:t>o de su lugar de residencia habitual, en particular como  resultado  o  para</w:t>
        <w:br/>
        <w:t>evitar los efectos de un  conflicto  armado,  de  situaciones  de  violencia</w:t>
        <w:br/>
        <w:t>generalizada, de violaciones de los derechos humanos y que  no  han  cruzado</w:t>
        <w:br/>
        <w:t>una  frontera  estatal  internacionalmente   reconocida.   Cfr.   Principios</w:t>
        <w:br/>
        <w:t>Rectores de los Desplazamientos Internos de las Naciones Unidas,  U.N.  Doc.</w:t>
        <w:br/>
        <w:t>E/CN.4/1998/53/Add.2 11 de febrero de 1998, párr. 2.</w:t>
        <w:br/>
        <w:br/>
        <w:t>[266]       Al respecto, ver la Declaración de Cartagena  sobre  Refugiados,</w:t>
        <w:br/>
        <w:t>adoptada  por  el  “Coloquio  Sobre  la  Protección  Internacional  de   los</w:t>
        <w:br/>
        <w:t>Refugiados en América  Central,  México  y  Panamá:  Problemas  Jurídicos  y</w:t>
        <w:br/>
        <w:t>Humanitarios”, celebrado en Cartagena, Colombia, del 19 al 22  de  noviembre</w:t>
        <w:br/>
        <w:t>de 1984.</w:t>
        <w:br/>
        <w:br/>
        <w:t>[267]       Cfr.  Caso  Chitay  Nech  y  otros  Vs.  Guatemala.  Excepciones</w:t>
        <w:br/>
        <w:t>Preliminares, Fondo, Reparaciones y Costas.  Sentencia  de  25  de  mayo  de</w:t>
        <w:br/>
        <w:t>2010. Serie C No. 212, párr. 149.</w:t>
        <w:br/>
        <w:br/>
        <w:t>[268]       Cfr. Caso Chitay Nech y otros Vs. Guatemala, párr. 149.</w:t>
        <w:br/>
        <w:br/>
        <w:t>[269]       Declaración  rendida  ante  fedatario  público  (affidávit)  por</w:t>
        <w:br/>
        <w:t>Antonia Guevara Díaz el 1 de abril  de  2012  (expediente  de  prueba,  tomo</w:t>
        <w:br/>
        <w:t>XVII, affidávits, folio 10288).</w:t>
        <w:br/>
        <w:br/>
        <w:t>[270]       Declaración rendida ante fedatario público (affidávit) por  Juan</w:t>
        <w:br/>
        <w:t>Bautista Márquez Argueta el 1 de abril de 2012 (expediente de  prueba,  tomo</w:t>
        <w:br/>
        <w:t>XVII, affidávits, folios 10277 a 10278), y Declaración  de  testigo  rendida</w:t>
        <w:br/>
        <w:t>por Juan Bautista Márquez ante el Juzgado Segundo de  Primera  Instancia  de</w:t>
        <w:br/>
        <w:t>San Francisco Gotera el 30 de octubre de 1990 (expediente  de  prueba,  tomo</w:t>
        <w:br/>
        <w:t>III, anexo 23 al sometimiento del caso, folios 1657 y 1659).</w:t>
        <w:br/>
        <w:br/>
        <w:t>[271]       Declaración jurada rendida por María Erlinda Amaya Márquez  ante</w:t>
        <w:br/>
        <w:t>la Oficina  de  Tutela  Legal  del  Arzobispado  el  25  de  junio  de  2011</w:t>
        <w:br/>
        <w:t>(expediente de prueba,  tomo  VIII,  anexo  3  al  escrito  de  solicitudes,</w:t>
        <w:br/>
        <w:t>argumentos y pruebas, folio 5590).</w:t>
        <w:br/>
        <w:br/>
        <w:t>[272]       Peritaje rendido por María Sol Yáñez de la Cruz  ante  la  Corte</w:t>
        <w:br/>
        <w:t>Interamericana en la audiencia pública celebrada el 23 de abril de 2012.</w:t>
        <w:br/>
        <w:br/>
        <w:t>[273]       Declaración jurada rendida por María del Rosario  López  Sánchez</w:t>
        <w:br/>
        <w:t>ante la Oficina de Tutela Legal del Arzobispado  el  19  de  junio  de  2011</w:t>
        <w:br/>
        <w:t>(expediente de prueba,  tomo  VIII,  anexo  3  al  escrito  de  solicitudes,</w:t>
        <w:br/>
        <w:t>argumentos y pruebas, folios 5522 a 5523).</w:t>
        <w:br/>
        <w:br/>
        <w:t>[274]       Declaración rendida ante fedatario público (affidávit) por  Juan</w:t>
        <w:br/>
        <w:t>Antonio Pereira Vigil el 2 de abril de  2012  (expediente  de  prueba,  tomo</w:t>
        <w:br/>
        <w:t>XVII, affidávits, folios 10289 a 10291).</w:t>
        <w:br/>
        <w:br/>
        <w:t>[275]       Cfr. New Issues in Refugee Research.  International  Center  for</w:t>
        <w:br/>
        <w:t>Research  on  Women,  Working  paper  No.  25:  Conflict,  Displacement  and</w:t>
        <w:br/>
        <w:t>reintegration:  household  survey  evidence  from  El  Salvador,  July  2000</w:t>
        <w:br/>
        <w:t>(expediente  de  prueba,  tomo  X,  anexo  9  al  escrito  de   solicitudes,</w:t>
        <w:br/>
        <w:t>argumentos y  pruebas,  folio  6476);  Uprooted:  The  displaced  people  of</w:t>
        <w:br/>
        <w:t>Central  America,  British   Refugee   Council   Publication,   March   1986</w:t>
        <w:br/>
        <w:t>(expediente de  prueba,  tomo  XI,  anexo  19  al  escrito  de  solicitudes,</w:t>
        <w:br/>
        <w:t>argumentos y pruebas, folios 7031 s  7032);  U.S.  Committee  for  Refugees.</w:t>
        <w:br/>
        <w:t>Aiding the Desplazados  of  El  Salvador:  The  complexity  of  Humanitarian</w:t>
        <w:br/>
        <w:t>Assistance (expediente  de  prueba,  tomo  XIII,  anexo  27  al  escrito  de</w:t>
        <w:br/>
        <w:t>solicitudes, argumentos y pruebas,  folios  8653,  8654,  8657  y  8658),  y</w:t>
        <w:br/>
        <w:t>Lawyers Commitee for International  Human  Rights  and  Americas  Watch,  El</w:t>
        <w:br/>
        <w:t>Salvador´s other victims: the war on the displaced  (expediente  de  prueba,</w:t>
        <w:br/>
        <w:t>tomo XIV, anexo 28 al escrito de solicitudes, argumentos y  pruebas,  folios</w:t>
        <w:br/>
        <w:t>8747 y 8768). En el mismo sentido, Peritaje rendido ante  fedatario  público</w:t>
        <w:br/>
        <w:t>(affidávit) por el Padre David Blanchard el 15 de abril de 2012  (expediente</w:t>
        <w:br/>
        <w:t>de prueba, tomo XVII, affidávits, folios 10346 a 10347).</w:t>
        <w:br/>
        <w:br/>
        <w:t>[276]       Cfr. Uprooted: The displaced people of Central America,  British</w:t>
        <w:br/>
        <w:t>Refugee Council Publication, March 1986  (expediente  de  prueba,  tomo  XI,</w:t>
        <w:br/>
        <w:t>anexo 19 al escrito de solicitudes, argumentos y  pruebas,  folio  7032),  y</w:t>
        <w:br/>
        <w:t>Lawyers Commitee for International  Human  Rights  and  Americas  Watch,  El</w:t>
        <w:br/>
        <w:t>Salvador´s other victims: the war on the displaced  (expediente  de  prueba,</w:t>
        <w:br/>
        <w:t>tomo XIV, anexo 28 al escrito de solicitudes, argumentos y  pruebas,  folios</w:t>
        <w:br/>
        <w:t>8747, 8797 y 8798).</w:t>
        <w:br/>
        <w:br/>
        <w:t>[277]       Cfr. Peritaje rendido ante fedatario público (affidávit) por  el</w:t>
        <w:br/>
        <w:t>Padre David Blanchard el 15 de abril de 2012  (expediente  de  prueba,  tomo</w:t>
        <w:br/>
        <w:t>XVII, affidávits, folios 10346 a 10347).</w:t>
        <w:br/>
        <w:br/>
        <w:t>[278]       Cfr. Caso Familia Barrios  Vs.  Venezuela,  párr.  165,  y  Caso</w:t>
        <w:br/>
        <w:t>Vélez Restrepo y Familiares Vs. Colombia, párr. 220.</w:t>
        <w:br/>
        <w:br/>
        <w:t>[279]       Peritaje  sobre  impactos  psicosociales  y 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folios 10548 a 10550).</w:t>
        <w:br/>
        <w:br/>
        <w:t>[280]       Peritaje rendido por María Sol Yáñez De La Cruz  ante  la  Corte</w:t>
        <w:br/>
        <w:t>Interamericana en la audiencia pública celebrada el 23 de abril de 2012.</w:t>
        <w:br/>
        <w:br/>
        <w:t>[281]       Cfr. Peritaje rendido ante fedatario público (affidávit) por  el</w:t>
        <w:br/>
        <w:t>Padre David Scott Blanchard el 15 de abril de 2012  (expediente  de  prueba,</w:t>
        <w:br/>
        <w:t>tomo XVII, affidávits, folio 10333).</w:t>
        <w:br/>
        <w:br/>
        <w:t>[282] Cfr. Caso de la Masacre de Mapiripán Vs. Colombia, párr. 146,  y  Caso</w:t>
        <w:br/>
        <w:t>Masacres de Río Negro Vs. Guatemala, párr. 240.</w:t>
        <w:br/>
        <w:br/>
        <w:t>[283] Cfr. Caso Blake Vs. Guatemala. Fondo. Sentencia  de  24  de  enero  de</w:t>
        <w:br/>
        <w:t>1998. Serie C No. 36, párrs. 114 a 116, y Caso Masacres  de  Río  Negro  Vs.</w:t>
        <w:br/>
        <w:t>Guatemala, párr. 240.</w:t>
        <w:br/>
        <w:br/>
        <w:t>[284] Cfr. Caso de  las  Hermanas  Serrano  Cruz  Vs.  El  Salvador.  Fondo,</w:t>
        <w:br/>
        <w:t>Reparaciones y Costas, párrs. 113 a 115, y Caso Masacres de  Río  Negro  Vs.</w:t>
        <w:br/>
        <w:t>Guatemala, párr. 240.</w:t>
        <w:br/>
        <w:br/>
        <w:t>[285] Caso de la Masacre de Pueblo Bello Vs. Colombia,  párr.  145,  y  Caso</w:t>
        <w:br/>
        <w:t>Masacres de Río Negro Vs. Guatemala, párr. 240.</w:t>
        <w:br/>
        <w:br/>
        <w:t>[286]       Cfr. Caso de las Masacres de Ituango Vs. Colombia, párr. 260.</w:t>
        <w:br/>
        <w:br/>
        <w:t>[287]       Declaración rendida ante fedatario público (affidávit) por  José</w:t>
        <w:br/>
        <w:t>Pablo Díaz Portillo el 1 de abril de 2012 (expediente de prueba, tomo  XVII,</w:t>
        <w:br/>
        <w:t>affidávits, folio 10298).</w:t>
        <w:br/>
        <w:br/>
        <w:t>[288]       Cfr. Declaración jurada rendida por  José  Cruz  Vigil  del  Cid</w:t>
        <w:br/>
        <w:t>ante la Oficina de Tutela Legal del Arzobispado  el  19  de  junio  de  2011</w:t>
        <w:br/>
        <w:t>(expediente de prueba,  tomo  VIII,  anexo  3  al  escrito  de  solicitudes,</w:t>
        <w:br/>
        <w:t>argumentos y pruebas, folios 5558 a 5559).</w:t>
        <w:br/>
        <w:br/>
        <w:t>[289]       Cfr. Declaración jurada rendida por José  Eliseo  Claros  Romero</w:t>
        <w:br/>
        <w:t>ante la Oficina de Tutela Legal del Arzobispado  el  21  de  julio  de  2011</w:t>
        <w:br/>
        <w:t>(expediente de prueba,  tomo  VIII,  anexo  3  al  escrito  de  solicitudes,</w:t>
        <w:br/>
        <w:t>argumentos y pruebas, folio  5534);  Declaración  jurada  rendida  por  José</w:t>
        <w:br/>
        <w:t>Gervacio Díaz ante la Oficina de Tutela  Legal  del  Arzobispado  el  28  de</w:t>
        <w:br/>
        <w:t>junio de 2011 (expediente de prueba,  tomo  VIII,  anexo  3  al  escrito  de</w:t>
        <w:br/>
        <w:t>solicitudes, argumentos y pruebas, folio 5545); Declaración  jurada  rendida</w:t>
        <w:br/>
        <w:t>por José Cruz Vigil del Cid ante la Oficina de Tutela Legal del  Arzobispado</w:t>
        <w:br/>
        <w:t>el 19 de junio de 2011 (expediente de prueba, tomo VIII, anexo 3 al  escrito</w:t>
        <w:br/>
        <w:t>de solicitudes,  argumentos  y  pruebas,  folio  5559);  Declaración  jurada</w:t>
        <w:br/>
        <w:t>rendida por María Regina Márquez Argueta ante la  Oficina  de  Tutela  Legal</w:t>
        <w:br/>
        <w:t>del Arzobispado el 2 de agosto de 2011 (expediente  de  prueba,  tomo  VIII,</w:t>
        <w:br/>
        <w:t>anexo 3 al escrito de solicitudes,  argumentos  y  pruebas,  folios  5586  a</w:t>
        <w:br/>
        <w:t>5588); Declaración jurada rendida por María Elena Vigil ante la  Oficina  de</w:t>
        <w:br/>
        <w:t>Tutela Legal del Arzobispado el 19 de julio de 2011 (expediente  de  prueba,</w:t>
        <w:br/>
        <w:t>tomo VIII, anexo 3 al escrito de solicitudes, argumentos  y  pruebas,  folio</w:t>
        <w:br/>
        <w:t>5594); Declaración rendida ante  fedatario  público  (affidávit)  por  Sofía</w:t>
        <w:br/>
        <w:t>Romero Pereira el 1 de abril de  2012  (expediente  de  prueba,  tomo  XVII,</w:t>
        <w:br/>
        <w:t>affidávits,  folio  10282);  Declaración  rendida  ante  fedatario   público</w:t>
        <w:br/>
        <w:t>(affidávit) por Eduardo Concepción Argueta Márquez el 1  de  abril  de  2012</w:t>
        <w:br/>
        <w:t>(expediente de prueba, tomo  XVII,  affidávits,  folio  10293);  Declaración</w:t>
        <w:br/>
        <w:t>rendida ante fedatario público (affidávit) por José Pablo Díaz  Portillo  el</w:t>
        <w:br/>
        <w:t>1 de abril de 2012 (expediente  de  prueba,  tomo  XVII,  affidávits,  folio</w:t>
        <w:br/>
        <w:t>10299); Peritaje rendido por María Sol  Yáñez  De  La  Cruz  ante  la  Corte</w:t>
        <w:br/>
        <w:t>Interamericana en la audiencia pública celebrada el 23 de abril de  2012,  y</w:t>
        <w:br/>
        <w:t>Peritaje sobre  impactos  psicosociales  y  recomendaciones  en  materia  de</w:t>
        <w:br/>
        <w:t>reparación en el caso de “Las Masacres de  El  Mozote  y  lugares  aledaños”</w:t>
        <w:br/>
        <w:t>rendido por María Sol Yáñez De La Cruz, sin  fecha  (expediente  de  prueba,</w:t>
        <w:br/>
        <w:t>tomo XVIII, anexo 2 a los alegatos finales escritos de  los  representantes,</w:t>
        <w:br/>
        <w:t>folio 10537).</w:t>
        <w:br/>
        <w:br/>
        <w:t>[290]       La señora Sofía Romero Pereira manifestó que en los caseríos  El</w:t>
        <w:br/>
        <w:t>Mozote y Los Toriles, además de perder a sus seres queridos,  “se  perdieron</w:t>
        <w:br/>
        <w:t>todos los granos básicos que tenían  en  los  graneros,  las  gallinas,  los</w:t>
        <w:br/>
        <w:t>cerdos, las vacas,  los  caballos”,  además  “los  cultivos  [y]  todos  los</w:t>
        <w:br/>
        <w:t>objetos domésticos y la  misma  casa  fue[ron]  completamente  quemados,  es</w:t>
        <w:br/>
        <w:t>decir[,] s[ó]lo qued[ó]  la  tierra”.  Declaración  rendida  ante  fedatario</w:t>
        <w:br/>
        <w:t>público (affidávit)  por  Sofía  Romero  Pereira  el  2  de  abril  de  2012</w:t>
        <w:br/>
        <w:t>(expediente de prueba, tomo XVII, affidávits, folio 10281).  El  señor  José</w:t>
        <w:br/>
        <w:t>Pablo Díaz Portillo refirió que, como  dos  meses  después  de  ocurrida  la</w:t>
        <w:br/>
        <w:t>masacre, en el Cantón de Cerro Pando encontró las  casas  de  habitación  de</w:t>
        <w:br/>
        <w:t>sus familiares quemadas. Cfr. Declaración  rendida  ante  fedatario  público</w:t>
        <w:br/>
        <w:t>(affidávit) por José Pablo Díaz Portillo el 1 de abril de  2012  (expediente</w:t>
        <w:br/>
        <w:t>de prueba, tomo XVII, affidávits, folio 10298).</w:t>
        <w:br/>
        <w:br/>
        <w:t>[291]       Cfr. Informe de la Comisión de la Verdad para  El  Salvador,  De</w:t>
        <w:br/>
        <w:t>la locura a la esperanza, La guerra de 12 años  en  El  Salvador,  1992-1993</w:t>
        <w:br/>
        <w:t>(expediente de prueba, tomo II, anexo 1  al  sometimiento  del  caso,  folio</w:t>
        <w:br/>
        <w:t>1101).</w:t>
        <w:br/>
        <w:br/>
        <w:t>[292]       La impunidad ha sido definida por la Corte como “la falta en  su</w:t>
        <w:br/>
        <w:t>conjunto de investigación, persecución, captura,  enjuiciamiento  y  condena</w:t>
        <w:br/>
        <w:t>de los responsables de las violaciones de los  derechos  protegidos  por  la</w:t>
        <w:br/>
        <w:t>Convención Americana”. Caso de la “Panel Blanca” (Paniagua Morales y  otros)</w:t>
        <w:br/>
        <w:t>Vs. Guatemala. Excepciones Preliminares. Sentencia del 25 de enero de  1996.</w:t>
        <w:br/>
        <w:t>Serie C No. 23, párr. 173, y Caso Contreras y otros Vs.  El  Salvador,  nota</w:t>
        <w:br/>
        <w:t>al pie 193.</w:t>
        <w:br/>
        <w:br/>
        <w:t>[293]       Cfr. Declaración jurada rendida  por  María  del  Rosario  López</w:t>
        <w:br/>
        <w:t>Sánchez ante la Oficina de Tutela Legal del Arzobispado el 19  de  junio  de</w:t>
        <w:br/>
        <w:t>2011 (expediente de prueba, tomo VIII, anexo 3 al  escrito  de  solicitudes,</w:t>
        <w:br/>
        <w:t>argumentos y pruebas, folio 5524);  Declaración  jurada  rendida  por  Pedro</w:t>
        <w:br/>
        <w:t>Chicas Romero ante la Oficina de Tutela  Legal  del  Arzobispado  el  25  de</w:t>
        <w:br/>
        <w:t>julio de 2011 (expediente de prueba,  tomo  VIII,  anexo  3  al  escrito  de</w:t>
        <w:br/>
        <w:t>solicitudes, argumentos y pruebas, folios 5530 a 5531);  Declaración  jurada</w:t>
        <w:br/>
        <w:t>rendida por Santos Jacobo Chicas Guevara ante la  Oficina  de  Tutela  Legal</w:t>
        <w:br/>
        <w:t>del Arzobispado el 20 de junio de 2011 (expediente  de  prueba,  tomo  VIII,</w:t>
        <w:br/>
        <w:t>anexo 3 al escrito  de  solicitudes,  argumentos  y  pruebas,  folio  5540);</w:t>
        <w:br/>
        <w:t>Declaración jurada rendida por César Martínez Hernández ante la  Oficina  de</w:t>
        <w:br/>
        <w:t>Tutela Legal del Arzobispado el 22 de junio de 2011 (expediente  de  prueba,</w:t>
        <w:br/>
        <w:t>tomo VIII, anexo 3 al escrito de solicitudes, argumentos  y  pruebas,  folio</w:t>
        <w:br/>
        <w:t>5548); Declaración jurada rendida por Alejandro Hernández  Argueta  ante  la</w:t>
        <w:br/>
        <w:t>Oficina de Tutela Legal del Arzobispado el 3 de agosto de  2011  (expediente</w:t>
        <w:br/>
        <w:t>de prueba, tomo VIII, anexo  3  al  escrito  de  solicitudes,  argumentos  y</w:t>
        <w:br/>
        <w:t>pruebas, folios 5574 a 5575); Declaración  rendida  ante  fedatario  público</w:t>
        <w:br/>
        <w:t>(affidávit) por Juan  Bautista  Márquez  Argueta  el  1  de  abril  de  2012</w:t>
        <w:br/>
        <w:t>(expediente de prueba, tomo  XVII,  affidávits,  folio  10278);  Declaración</w:t>
        <w:br/>
        <w:t>rendida ante fedatario público (affidávit) por Antonia Guevara Díaz el 1  de</w:t>
        <w:br/>
        <w:t>abril de 2012 (expediente de prueba, tomo XVII,  affidávits,  folio  10288);</w:t>
        <w:br/>
        <w:t>Declaración rendida ante fedatario  público  (affidávit)  por  Juan  Antonio</w:t>
        <w:br/>
        <w:t>Pereira Vigil el 1 de abril  de  2012  (expediente  de  prueba,  tomo  XVII,</w:t>
        <w:br/>
        <w:t>affidávits, folios 10290 a 10291);  Declaración  rendida  por  María  Dorila</w:t>
        <w:br/>
        <w:t>Márquez de Márquez ante la Corte  Interamericana  en  la  audiencia  pública</w:t>
        <w:br/>
        <w:t>celebrada el 23 de abril  de  2012;  Declaración  jurada  rendida  por  José</w:t>
        <w:br/>
        <w:t>Eliseo Claros Romero ante la Oficina de Tutela Legal del Arzobispado  el  21</w:t>
        <w:br/>
        <w:t>de julio de 2011 (expediente de prueba, tomo VIII, anexo  3  al  escrito  de</w:t>
        <w:br/>
        <w:t>solicitudes, argumentos y pruebas, folio 5534); Declaración  jurada  rendida</w:t>
        <w:br/>
        <w:t>por José Gervacio Díaz ante la Oficina de Tutela Legal  del  Arzobispado  el</w:t>
        <w:br/>
        <w:t>28 de junio de 2011 (expediente de prueba, tomo VIII, anexo 3 al escrito  de</w:t>
        <w:br/>
        <w:t>solicitudes, argumentos y pruebas, folio 5545); Declaración  jurada  rendida</w:t>
        <w:br/>
        <w:t>por José Cruz Vigil del Cid ante la Oficina de Tutela Legal del  Arzobispado</w:t>
        <w:br/>
        <w:t>el 19 de junio de 2011 (expediente de prueba, tomo VIII, anexo 3 al  escrito</w:t>
        <w:br/>
        <w:t>de solicitudes,  argumentos  y  pruebas,  folio  5559);  Declaración  jurada</w:t>
        <w:br/>
        <w:t>rendida por María Regina Márquez Argueta ante la  Oficina  de  Tutela  Legal</w:t>
        <w:br/>
        <w:t>del Arzobispado el 2 de agosto de 2011 (expediente  de  prueba,  tomo  VIII,</w:t>
        <w:br/>
        <w:t>anexo 3 al escrito de solicitudes,  argumentos  y  pruebas,  folios  5586  a</w:t>
        <w:br/>
        <w:t>5588); Declaración jurada rendida por María Elena Vigil ante la  Oficina  de</w:t>
        <w:br/>
        <w:t>Tutela Legal del Arzobispado el 19 de julio de 2011 (expediente  de  prueba,</w:t>
        <w:br/>
        <w:t>tomo VIII, anexo 3 al escrito de solicitudes, argumentos  y  pruebas,  folio</w:t>
        <w:br/>
        <w:t>5594); Declaración rendida ante  fedatario  público  (affidávit)  por  Sofía</w:t>
        <w:br/>
        <w:t>Romero Pereira el 1 de abril de  2012  (expediente  de  prueba,  tomo  XVII,</w:t>
        <w:br/>
        <w:t>affidávits,  folio  10282);  Declaración  rendida  ante  fedatario   público</w:t>
        <w:br/>
        <w:t>(affidávit) por Eduardo Concepción Argueta Márquez el 1  de  abril  de  2012</w:t>
        <w:br/>
        <w:t>(expediente de prueba, tomo XVII, affidávits, folio  10293),  y  Declaración</w:t>
        <w:br/>
        <w:t>rendida ante fedatario público (affidávit) por José Pablo Díaz  Portillo  el</w:t>
        <w:br/>
        <w:t>1 de abril de 2012 (expediente  de  prueba,  tomo  XVII,  affidávits,  folio</w:t>
        <w:br/>
        <w:t>10299).</w:t>
        <w:br/>
        <w:br/>
        <w:t>[294]       Cfr. Escrito de denuncia de Pedro Chicas Romero presentado  ante</w:t>
        <w:br/>
        <w:t>el Juzgado Segundo de Primera Instancia de San Francisco  Gotera  el  26  de</w:t>
        <w:br/>
        <w:t>octubre de 1990 (expediente de prueba, tomo III, anexo  23  al  sometimiento</w:t>
        <w:br/>
        <w:t>del caso, folios 1649 a 1652).</w:t>
        <w:br/>
        <w:br/>
        <w:t>[295]       Cfr. Declaración de ofendido rendida  por  Pedro  Chicas  Romero</w:t>
        <w:br/>
        <w:t>ante el Juzgado Segundo de Primera Instancia de San Francisco Gotera  el  26</w:t>
        <w:br/>
        <w:t>de  octubre  de  1990  (expediente  de  prueba,  tomo  III,  anexo   23   al</w:t>
        <w:br/>
        <w:t>sometimiento del caso, folio 1654).</w:t>
        <w:br/>
        <w:br/>
        <w:t>[296]       Cfr. Declaración de testigo rendida por  Juan  Bautista  Márquez</w:t>
        <w:br/>
        <w:t>ante el Juzgado Segundo de Primera Instancia de San Francisco Gotera  el  30</w:t>
        <w:br/>
        <w:t>de  octubre  de  1990  (expediente  de  prueba,  tomo  III,  anexo   23   al</w:t>
        <w:br/>
        <w:t>sometimiento del caso, folios 1657 a 1659); Declaración de  testigo  rendida</w:t>
        <w:br/>
        <w:t>por Rufina Amaya ante  el  Juzgado  Segundo  de  Primera  Instancia  de  San</w:t>
        <w:br/>
        <w:t>Francisco Gotera el 30 de octubre de 1990 (expediente de prueba,  tomo  III,</w:t>
        <w:br/>
        <w:t>anexo 23 al sometimiento del caso,  folios  1660  a  1665);  Declaración  de</w:t>
        <w:br/>
        <w:t>testigo rendida por Irma Ramos Márquez ante el Juzgado  Segundo  de  Primera</w:t>
        <w:br/>
        <w:t>Instancia de San Francisco Gotera el 31 de octubre de  1990  (expediente  de</w:t>
        <w:br/>
        <w:t>prueba, tomo III, anexo 23 al sometimiento del caso, folios  1668  a  1670);</w:t>
        <w:br/>
        <w:t>Declaración de testigo rendida por Hilario Sánchez  Gómez  ante  el  Juzgado</w:t>
        <w:br/>
        <w:t>Segundo de Primera Instancia de San Francisco Gotera el 28 de  noviembre  de</w:t>
        <w:br/>
        <w:t>1990 (expediente de prueba, tomo III, anexo 23  al  sometimiento  del  caso,</w:t>
        <w:br/>
        <w:t>folios 1695 a 1698);  Declaración  de  testigo  rendida  por  María  Teófila</w:t>
        <w:br/>
        <w:t>Pereira Argueta  ante  el  Juzgado  Segundo  de  Primera  Instancia  de  San</w:t>
        <w:br/>
        <w:t>Francisco Gotera el 23 de enero de 1991 (expediente  de  prueba,  tomo  III,</w:t>
        <w:br/>
        <w:t>anexo 23 al sometimiento del caso,  folios  1701  a  1703);  Declaración  de</w:t>
        <w:br/>
        <w:t>testigo rendida por  María  Amanda  Martínez  ante  el  Juzgado  Segundo  de</w:t>
        <w:br/>
        <w:t>Primera  Instancia  de  San  Francisco  Gotera  el  23  de  enero  de   1991</w:t>
        <w:br/>
        <w:t>(expediente de prueba, tomo III, anexo 23 al sometimiento del  caso,  folios</w:t>
        <w:br/>
        <w:t>1704 a 1705); Declaración de testigo rendida por Bernardino  Guevara  Chicas</w:t>
        <w:br/>
        <w:t>ante el Juzgado Segundo de Primera Instancia de San Francisco Gotera  el  23</w:t>
        <w:br/>
        <w:t>de enero de 1991 (expediente de prueba, tomo III, anexo 23  al  sometimiento</w:t>
        <w:br/>
        <w:t>del caso, folios 1706 a 1709); Declaración de  testigo  rendida  por  Lucila</w:t>
        <w:br/>
        <w:t>Romero Martínez  ante  el  Juzgado  Segundo  de  Primera  Instancia  de  San</w:t>
        <w:br/>
        <w:t>Francisco Gotera el 24 de enero de 1991 (expediente  de  prueba,  tomo  III,</w:t>
        <w:br/>
        <w:t>anexo 23 al sometimiento del caso,  folios  1711  a  1713);  Declaración  de</w:t>
        <w:br/>
        <w:t>testigo rendida por Domingo Vigil Amaya ante el Juzgado Segundo  de  Primera</w:t>
        <w:br/>
        <w:t>Instancia de San Francisco Gotera el 30 de  enero  de  1991  (expediente  de</w:t>
        <w:br/>
        <w:t>prueba, tomo III, anexo 23 al sometimiento del caso, folios  1715  a  1716);</w:t>
        <w:br/>
        <w:t>Declaración de testigo rendida por Rosa Ramírez Hernández  ante  el  Juzgado</w:t>
        <w:br/>
        <w:t>Segundo de Primera Instancia de San Francisco Gotera el 30 de enero de  1991</w:t>
        <w:br/>
        <w:t>(expediente de prueba, tomo III, anexo 23 al sometimiento del  caso,  folios</w:t>
        <w:br/>
        <w:t>1717 a 1720); Declaración de ofendido  rendida  por  Hilario  Sánchez  Gómez</w:t>
        <w:br/>
        <w:t>ante el Juzgado Segundo de Primera Instancia de San Francisco Gotera  el  14</w:t>
        <w:br/>
        <w:t>de  febrero  de  1991  (expediente  de  prueba,  tomo  III,  anexo   23   al</w:t>
        <w:br/>
        <w:t>sometimiento del caso, folios 1723 a 1728); Declaración de ofendida  rendida</w:t>
        <w:br/>
        <w:t>por María Teófila  Pereira  Argueta  ante  el  Juzgado  Segundo  de  Primera</w:t>
        <w:br/>
        <w:t>Instancia de San Francisco Gotera el 18 de febrero de  1991  (expediente  de</w:t>
        <w:br/>
        <w:t>prueba, tomo III, anexo 23 al sometimiento del caso, folios  1730  a  1732);</w:t>
        <w:br/>
        <w:t>Declaración de ofendido  rendida  por  Bernardino  Guevara  Chicas  ante  el</w:t>
        <w:br/>
        <w:t>Juzgado Segundo de Primera Instancia  de  San  Francisco  Gotera  el  25  de</w:t>
        <w:br/>
        <w:t>febrero de 1991 (expediente de prueba, tomo III, anexo  23  al  sometimiento</w:t>
        <w:br/>
        <w:t>del caso, folios 1734 a 1736); Declaración de ofendido rendida  por  Domingo</w:t>
        <w:br/>
        <w:t>Vigil Amaya ante el Juzgado Segundo de Primera Instancia  de  San  Francisco</w:t>
        <w:br/>
        <w:t>Gotera el 5 de marzo de 1991 (expediente de prueba, tomo III,  anexo  23  al</w:t>
        <w:br/>
        <w:t>sometimiento del caso, folios 1741 a 1743); Declaración de ofendida  rendida</w:t>
        <w:br/>
        <w:t>por Rufina Amaya ante  el  Juzgado  Segundo  de  Primera  Instancia  de  San</w:t>
        <w:br/>
        <w:t>Francisco Gotera el 11 de marzo de 1991 (expediente  de  prueba,  tomo  III,</w:t>
        <w:br/>
        <w:t>anexo 23 al sometimiento del caso,  folios  1745  a  1748);  Declaración  de</w:t>
        <w:br/>
        <w:t>ofendido rendida por Juan  Bautista  Márquez  ante  el  Juzgado  Segundo  de</w:t>
        <w:br/>
        <w:t>Primera  Instancia  de  San  Francisco  Gotera  el  11  de  marzo  de   1991</w:t>
        <w:br/>
        <w:t>(expediente de prueba, tomo III, anexo 23 al sometimiento del  caso,  folios</w:t>
        <w:br/>
        <w:t>1749 a 1751); Declaración de ofendido rendida por Eustaquio  Martínez  Vigil</w:t>
        <w:br/>
        <w:t>ante el Juzgado Segundo de Primera Instancia de San Francisco Gotera  el  14</w:t>
        <w:br/>
        <w:t>de marzo de 1991 (expediente de prueba, tomo III, anexo 23  al  sometimiento</w:t>
        <w:br/>
        <w:t>del caso, folios 1752 a 1755); Declaración de testigo rendida por  Eustaquio</w:t>
        <w:br/>
        <w:t>Martínez  Vigil  ante  el  Juzgado  Segundo  de  Primera  Instancia  de  San</w:t>
        <w:br/>
        <w:t>Francisco Gotera el 20 de marzo de 1991 (expediente  de  prueba,  tomo  III,</w:t>
        <w:br/>
        <w:t>anexo 23 al sometimiento del caso,  folios  1757  a  1760);  Declaración  de</w:t>
        <w:br/>
        <w:t>ofendido rendida por Genaro Sánchez  ante  el  Juzgado  Segundo  de  Primera</w:t>
        <w:br/>
        <w:t>Instancia de San Francisco Gotera el 4  de  abril  de  1991  (expediente  de</w:t>
        <w:br/>
        <w:t>prueba, tomo III, anexo 23 al sometimiento del caso, folios  1762  a  1765);</w:t>
        <w:br/>
        <w:t>Declaración de testigo rendida por Genaro Sánchez ante  el  Juzgado  Segundo</w:t>
        <w:br/>
        <w:t>de Primera Instancia de  San  Francisco  Gotera  el  10  de  abril  de  1991</w:t>
        <w:br/>
        <w:t>(expediente de prueba, tomo III, anexo 23 al sometimiento del  caso,  folios</w:t>
        <w:br/>
        <w:t>1767 a 1770), y Declaración de testigo rendida por Sotero  Guevara  Martínez</w:t>
        <w:br/>
        <w:t>ante el Juzgado Segundo de Primera Instancia de San Francisco  Gotera  el  7</w:t>
        <w:br/>
        <w:t>de mayo de 1991 (expediente de prueba, tomo III, anexo  23  al  sometimiento</w:t>
        <w:br/>
        <w:t>del caso, folios 1774 a 1778).</w:t>
        <w:br/>
        <w:br/>
        <w:t>[297]       Cfr. Auto emitido por el Juzgado Segundo  de  Primera  Instancia</w:t>
        <w:br/>
        <w:t>de San Francisco Gotera el 8 de mayo de 1991  (expediente  de  prueba,  tomo</w:t>
        <w:br/>
        <w:t>III, anexo 23 al sometimiento del caso, folio 1779).</w:t>
        <w:br/>
        <w:br/>
        <w:t>[298]       Cfr. Escrito del Fiscal Específico acreditado  a  la  causa  No.</w:t>
        <w:br/>
        <w:t>238, dirigido al Juez Segundo de Primera Instancia, de  3  de  noviembre  de</w:t>
        <w:br/>
        <w:t>1990 (expediente de prueba, tomo III, anexo 23  al  sometimiento  del  caso,</w:t>
        <w:br/>
        <w:t>folios 1676 a 1678).</w:t>
        <w:br/>
        <w:br/>
        <w:t>[299]       Auto emitido por el Juzgado Segundo de Primera Instancia de  San</w:t>
        <w:br/>
        <w:t>Francisco Gotera el 9 de noviembre de 1990 (expediente de prueba, tomo  III,</w:t>
        <w:br/>
        <w:t>anexo 23 al sometimiento del caso, folio 1679).</w:t>
        <w:br/>
        <w:br/>
        <w:t>[300]       Auto emitido por el Juzgado Segundo de Primera Instancia de  San</w:t>
        <w:br/>
        <w:t>Francisco Gotera el 9 de noviembre de 1990 (expediente de prueba, tomo  III,</w:t>
        <w:br/>
        <w:t>anexo 23 al sometimiento del caso, folio 1679).</w:t>
        <w:br/>
        <w:br/>
        <w:t>[301]       Cfr. Auto emitido por el Juzgado Segundo  de  Primera  Instancia</w:t>
        <w:br/>
        <w:t>de San Francisco Gotera el 19 de junio de 1991 (expediente de  prueba,  tomo</w:t>
        <w:br/>
        <w:t>III, anexo 23 al sometimiento del caso,  folio  1781),  y  Oficio  del  Juez</w:t>
        <w:br/>
        <w:t>Segundo  de  Primera  Instancia  de  San  Francisco  Gotera,   dirigido   al</w:t>
        <w:br/>
        <w:t>Presidente de la República y Comandante General de la Fuerza Armada,  de  19</w:t>
        <w:br/>
        <w:t>de junio de 1991 (expediente de prueba, tomo III, anexo 23  al  sometimiento</w:t>
        <w:br/>
        <w:t>del caso, folio 1782).</w:t>
        <w:br/>
        <w:br/>
        <w:t>[302]       Cfr. Auto emitido por el Juzgado Segundo  de  Primera  Instancia</w:t>
        <w:br/>
        <w:t>de San Francisco Gotera el 28 de noviembre de 1991  (expediente  de  prueba,</w:t>
        <w:br/>
        <w:t>tomo III, anexo 23 al sometimiento del caso, folio 1801), y Oficio del  Juez</w:t>
        <w:br/>
        <w:t>Segundo  de  Primera  Instancia  de  San  Francisco  Gotera,   dirigido   al</w:t>
        <w:br/>
        <w:t>Presidente de la República y Comandante General de la Fuerza Armada,  de  28</w:t>
        <w:br/>
        <w:t>de  noviembre  de  1991  (expediente  de  prueba,  tomo  III,  anexo  23  al</w:t>
        <w:br/>
        <w:t>sometimiento del caso, folio 1802).</w:t>
        <w:br/>
        <w:br/>
        <w:t>[303]       Cfr. Auto emitido por el Juzgado Segundo  de  Primera  Instancia</w:t>
        <w:br/>
        <w:t>de San Francisco Gotera el 8 de enero de 1992 (expediente  de  prueba,  tomo</w:t>
        <w:br/>
        <w:t>III, anexo 23 al sometimiento del caso,  folio  1804),  y  Oficio  del  Juez</w:t>
        <w:br/>
        <w:t>Segundo  de  Primera  Instancia  de  San  Francisco  Gotera,   dirigido   al</w:t>
        <w:br/>
        <w:t>Presidente de la República y Comandante General de la Fuerza  Armada,  de  9</w:t>
        <w:br/>
        <w:t>de enero de 1992 (expediente de prueba, tomo III, anexo 23  al  sometimiento</w:t>
        <w:br/>
        <w:t>del caso, folio 1805).</w:t>
        <w:br/>
        <w:br/>
        <w:t>[304]       Cfr. Auto emitido por el Juzgado Segundo  de  Primera  Instancia</w:t>
        <w:br/>
        <w:t>de San Francisco Gotera el 19 de junio de 1992 (expediente de  prueba,  tomo</w:t>
        <w:br/>
        <w:t>III, anexo 23 al sometimiento del caso,  folio  2115),  y  Oficio  del  Juez</w:t>
        <w:br/>
        <w:t>Segundo  de  Primera  Instancia  de  San  Francisco  Gotera,   dirigido   al</w:t>
        <w:br/>
        <w:t>Presidente de la República y Comandante General de la Fuerza Armada,  de  26</w:t>
        <w:br/>
        <w:t>de junio de 1992 (expediente de prueba, tomo III, anexo 23  al  sometimiento</w:t>
        <w:br/>
        <w:t>del caso, folio 2117).</w:t>
        <w:br/>
        <w:br/>
        <w:t>[305]       Oficio del Ministro de la Presidencia, dirigido al Juez  Segundo</w:t>
        <w:br/>
        <w:t>de Primera Instancia de  San  Francisco  Gotera,  de  19  de  mayo  de  1992</w:t>
        <w:br/>
        <w:t>(expediente de prueba, tomo III, anexo 23 al sometimiento  del  caso,  folio</w:t>
        <w:br/>
        <w:t>2031).</w:t>
        <w:br/>
        <w:br/>
        <w:t>[306]       Oficio del Ministro de la Presidencia, dirigido al Juez  Segundo</w:t>
        <w:br/>
        <w:t>de Primera Instancia de San  Francisco  Gotera,  de  21  de  julio  de  1992</w:t>
        <w:br/>
        <w:t>(expediente de prueba, tomo III, anexo 23 al sometimiento  del  caso,  folio</w:t>
        <w:br/>
        <w:t>2273).</w:t>
        <w:br/>
        <w:br/>
        <w:t>[307]       Cfr. Auto emitido por el Juzgado Segundo  de  Primera  Instancia</w:t>
        <w:br/>
        <w:t>de San Francisco Gotera el 9 de noviembre de  1990  (expediente  de  prueba,</w:t>
        <w:br/>
        <w:t>tomo III, anexo 23 al sometimiento del caso, folios 1679 a 1680).</w:t>
        <w:br/>
        <w:br/>
        <w:t>[308]       Cfr. Auto emitido por el Juzgado Segundo  de  Primera  Instancia</w:t>
        <w:br/>
        <w:t>de San Francisco Gotera el 19 de junio de 1991 (expediente de  prueba,  tomo</w:t>
        <w:br/>
        <w:t>III, anexo 23 al sometimiento del caso, folio 1781).</w:t>
        <w:br/>
        <w:br/>
        <w:t>[309]       Cfr. Oficio  del  Juez  Segundo  de  Primera  Instancia  de  San</w:t>
        <w:br/>
        <w:t>Francisco Gotera, dirigido al Director del Instituto de Medicina  Legal,  de</w:t>
        <w:br/>
        <w:t>19  de  junio  de  1991  (expediente  de  prueba,  tomo  III,  anexo  23  al</w:t>
        <w:br/>
        <w:t>sometimiento del caso, folio 1783).</w:t>
        <w:br/>
        <w:br/>
        <w:t>[310]       Cfr. Oficio  del  Director  del  Instituto  de  Medicina  Legal,</w:t>
        <w:br/>
        <w:t>dirigido al Juez Segundo de Primera Instancia de San  Francisco  Gotera,  de</w:t>
        <w:br/>
        <w:t>16  de  julio  de  1991  (expediente  de  prueba,  tomo  III,  anexo  23  al</w:t>
        <w:br/>
        <w:t>sometimiento del caso, folio 1785).</w:t>
        <w:br/>
        <w:br/>
        <w:t>[311]       Cfr. Auto emitido por el Juzgado Segundo  de  Primera  Instancia</w:t>
        <w:br/>
        <w:t>de San Francisco Gotera el 18 de julio de 1991 (expediente de  prueba,  tomo</w:t>
        <w:br/>
        <w:t>III, anexo 23 al sometimiento del caso, folio 1786).</w:t>
        <w:br/>
        <w:br/>
        <w:t>[312]       Cfr. Auto emitido por el Juzgado Segundo  de  Primera  Instancia</w:t>
        <w:br/>
        <w:t>de San Francisco Gotera el 20 de noviembre de 1991  (expediente  de  prueba,</w:t>
        <w:br/>
        <w:t>tomo III, anexo 23 al sometimiento del caso, folios 1787 a 1788).</w:t>
        <w:br/>
        <w:br/>
        <w:t>[313]       Cfr. Oficio  del  Juez  Segundo  de  Primera  Instancia  de  San</w:t>
        <w:br/>
        <w:t>Francisco Gotera, dirigido al Director del Instituto de Medicina  Legal,  de</w:t>
        <w:br/>
        <w:t>25 de noviembre de 1991  (expediente  de  prueba,  tomo  III,  anexo  23  al</w:t>
        <w:br/>
        <w:t>sometimiento  del  caso,  folio  1792),  y  Comunicación  del  Director  del</w:t>
        <w:br/>
        <w:t>Instituto  de  Medicina  Legal  dirigida  al  Juzgado  Segundo  de   Primera</w:t>
        <w:br/>
        <w:t>Instancia de San Francisco Gotera del 9 de diciembre de 1991 (expediente  de</w:t>
        <w:br/>
        <w:t>prueba, tomo III, anexo 23 al sometimiento del caso, folio 1803).</w:t>
        <w:br/>
        <w:br/>
        <w:t>[314]       Cfr. Oficio  del  Juez  Segundo  de  Primera  Instancia  de  San</w:t>
        <w:br/>
        <w:t>Francisco Gotera, dirigido al Director Ejecutivo  del  C.I.C.R.,  de  25  de</w:t>
        <w:br/>
        <w:t>noviembre de 1991 (expediente de prueba, tomo III, anexo 23 al  sometimiento</w:t>
        <w:br/>
        <w:t>del caso, folio 1796).</w:t>
        <w:br/>
        <w:br/>
        <w:t>[315]       Cfr. Oficio  del  Juez  Segundo  de  Primera  Instancia  de  San</w:t>
        <w:br/>
        <w:t>Francisco Gotera, dirigido al Ministro de Defensa, de  25  de  noviembre  de</w:t>
        <w:br/>
        <w:t>1991 (expediente de prueba, tomo III, anexo 23  al  sometimiento  del  caso,</w:t>
        <w:br/>
        <w:t>folio 1794),  y  Oficio  del  Juez  Segundo  de  Primera  Instancia  de  San</w:t>
        <w:br/>
        <w:t>Francisco Gotera, dirigido al Ministro de Defensa, de 9  de  enero  de  1992</w:t>
        <w:br/>
        <w:t>(expediente de prueba, tomo III, anexo 23 al sometimiento  del  caso,  folio</w:t>
        <w:br/>
        <w:t>1806).</w:t>
        <w:br/>
        <w:br/>
        <w:t>[316]       Cfr. Oficio  del  Juez  Segundo  de  Primera  Instancia  de  San</w:t>
        <w:br/>
        <w:t>Francisco Gotera, dirigido al Jefe de la Unidad  Ejecutiva  de  la  Comisión</w:t>
        <w:br/>
        <w:t>Investigadora de Hechos Delictivos, de 25 de noviembre  de  1991  expediente</w:t>
        <w:br/>
        <w:t>de prueba, tomo III, anexo 23 al sometimiento del caso, folio 1793).</w:t>
        <w:br/>
        <w:br/>
        <w:t>[317]       Oficio de la Fiscalía General de la República de El Salvador  de</w:t>
        <w:br/>
        <w:t>25 de noviembre de 1991  (expediente  de  prueba,  tomo  III,  anexo  23  al</w:t>
        <w:br/>
        <w:t>sometimiento del caso, folios 1798 a 1799).</w:t>
        <w:br/>
        <w:br/>
        <w:t>[318]       Cfr. Auto emitido por el Juzgado Segundo  de  Primera  Instancia</w:t>
        <w:br/>
        <w:t>de San Francisco Gotera el 28 de noviembre de 1991  (expediente  de  prueba,</w:t>
        <w:br/>
        <w:t>tomo III, anexo 23 al sometimiento del caso, folio 1801).</w:t>
        <w:br/>
        <w:br/>
        <w:t>[319]       Oficio del Ministerio de Defensa y Seguridad Pública  de  13  de</w:t>
        <w:br/>
        <w:t>diciembre de 1991 (expediente de prueba, tomo III, anexo 23 al  sometimiento</w:t>
        <w:br/>
        <w:t>del caso, folio 1807).</w:t>
        <w:br/>
        <w:br/>
        <w:t>[320]       Cfr. Oficio del Agente Específico, en representación del  Fiscal</w:t>
        <w:br/>
        <w:t>General de la República de El Salvador, de 23 de enero de  1992  (expediente</w:t>
        <w:br/>
        <w:t>de prueba, tomo III, anexo 23 al sometimiento del caso, folio 1810).</w:t>
        <w:br/>
        <w:br/>
        <w:t>[321]       Auto emitido por el Juzgado Segundo de Primera Instancia de  San</w:t>
        <w:br/>
        <w:t>Francisco Gotera el 24 de enero de 1992 (expediente  de  prueba,  tomo  III,</w:t>
        <w:br/>
        <w:t>anexo 23 al sometimiento del caso, folio 1812).</w:t>
        <w:br/>
        <w:br/>
        <w:t>[322]       Cfr. Oficio  del  Juez  Segundo  de  Primera  Instancia  de  San</w:t>
        <w:br/>
        <w:t>Francisco Gotera, dirigido al  Director  General  del  Instituto  Geográfico</w:t>
        <w:br/>
        <w:t>Nacional, de 7 de febrero de 1992 (expediente de prueba, tomo III, anexo  23</w:t>
        <w:br/>
        <w:t>al sometimiento del caso, folio 1813).</w:t>
        <w:br/>
        <w:br/>
        <w:t>[323]       Cfr. Comunicación del Director General del Instituto  Geográfico</w:t>
        <w:br/>
        <w:t>Nacional, dirigida al Juzgado Segundo de Primera Instancia de San  Francisco</w:t>
        <w:br/>
        <w:t>Gotera, de 11 de febrero de 1992 (expediente de prueba, tomo III,  anexo  23</w:t>
        <w:br/>
        <w:t>al sometimiento del caso, folio 1814).</w:t>
        <w:br/>
        <w:br/>
        <w:t>[324]       Oficio del Juez Segundo de Primera Instancia  de  San  Francisco</w:t>
        <w:br/>
        <w:t>Gotera, dirigido al Director General del Instituto Geográfico  Nacional,  de</w:t>
        <w:br/>
        <w:t>13  de  marzo  de  1992  (expediente  de  prueba,  tomo  III,  anexo  23  al</w:t>
        <w:br/>
        <w:t>sometimiento del caso, folio 1819).</w:t>
        <w:br/>
        <w:br/>
        <w:t>[325]        Cfr.  Certificación  del  Jefe  de  Observadores  Militares   y</w:t>
        <w:br/>
        <w:t>Comandante de la División Militar  de  la  Misión  de  Observadores  de  las</w:t>
        <w:br/>
        <w:t>Naciones Unidas en el Salvador (ONUSAL) de 25 de marzo de  1992  (expediente</w:t>
        <w:br/>
        <w:t>de prueba, tomo III, anexo 23 al sometimiento del caso, folio 1820).</w:t>
        <w:br/>
        <w:br/>
        <w:t>[326]       Certificación del Jefe de Observadores  Militares  y  Comandante</w:t>
        <w:br/>
        <w:t>de la División Militar de la Misión de Observadores de las  Naciones  Unidas</w:t>
        <w:br/>
        <w:t>en el Salvador (ONUSAL) de 25 de marzo de 1992 (expediente de  prueba,  tomo</w:t>
        <w:br/>
        <w:t>III, anexo 23 al sometimiento del caso, folio 1820), y Oficio  del  Ejército</w:t>
        <w:br/>
        <w:t>Nacional para la Democracia 3era Región Militar  de  18  de  marzo  de  1992</w:t>
        <w:br/>
        <w:t>(expediente de prueba, tomo III, anexo 23 al sometimiento  del  caso,  folio</w:t>
        <w:br/>
        <w:t>1822).</w:t>
        <w:br/>
        <w:br/>
        <w:t>[327]       Cfr. Auto emitido por el Juzgado Segundo  de  Primera  Instancia</w:t>
        <w:br/>
        <w:t>de San Francisco Gotera el 1 de abril de 1992 (expediente  de  prueba,  tomo</w:t>
        <w:br/>
        <w:t>III, anexo 23 al sometimiento del caso, folio 1843).</w:t>
        <w:br/>
        <w:br/>
        <w:t>[328]       Cfr. Escrito  del  Instituto  de  Medicina  Legal  “Dr.  Roberto</w:t>
        <w:br/>
        <w:t>Masferrer” presentado ante el Juzgado Segundo de Primera  Instancia  de  San</w:t>
        <w:br/>
        <w:t>Francisco Gotera el 29 de abril de 1992 (expediente  de  prueba,  tomo  III,</w:t>
        <w:br/>
        <w:t>anexo 23 al sometimiento del caso, folios 1880 a 1884).</w:t>
        <w:br/>
        <w:br/>
        <w:t>[329]       Cfr. Comunicación del Director del Instituto de Medicina  Legal,</w:t>
        <w:br/>
        <w:t>dirigida al Juez Segundo de Primera Instancia de San  Francisco  Gotera,  de</w:t>
        <w:br/>
        <w:t>30  de  marzo  de  1992  (expediente  de  prueba,  tomo  III,  anexo  23  al</w:t>
        <w:br/>
        <w:t>sometimiento del caso, folio 1824).</w:t>
        <w:br/>
        <w:br/>
        <w:t>[330]       Auto emitido por el Juzgado Segundo de Primera Instancia de  San</w:t>
        <w:br/>
        <w:t>Francisco Gotera de 1 de abril de 1992  (expediente  de  prueba,  tomo  III,</w:t>
        <w:br/>
        <w:t>anexo 23 al sometimiento del caso, folio 1843).</w:t>
        <w:br/>
        <w:br/>
        <w:t>[331]       Cfr. Auto emitido por el Juzgado Segundo  de  Primera  Instancia</w:t>
        <w:br/>
        <w:t>de San Francisco Gotera el 22 de abril de 1992 (expediente de  prueba,  tomo</w:t>
        <w:br/>
        <w:t>III, anexo 23 al sometimiento del caso, folio 1869).</w:t>
        <w:br/>
        <w:br/>
        <w:t>[332]       Cfr. Auto emitido por el Juzgado Segundo  de  Primera  Instancia</w:t>
        <w:br/>
        <w:t>de San Francisco Gotera el 22 de abril de 1992 (expediente de  prueba,  tomo</w:t>
        <w:br/>
        <w:t>III, anexo 23 al sometimiento del caso, folio 1870).</w:t>
        <w:br/>
        <w:br/>
        <w:t>[333]       Auto emitido por el Juzgado Segundo de Primera Instancia de  San</w:t>
        <w:br/>
        <w:t>Francisco Gotera el 28 de abril de 1992 (expediente  de  prueba,  tomo  III,</w:t>
        <w:br/>
        <w:t>anexo 23 al sometimiento del caso, folio 1873).</w:t>
        <w:br/>
        <w:br/>
        <w:t>[334]       Cfr. Auto emitido por el Juzgado Segundo  de  Primera  Instancia</w:t>
        <w:br/>
        <w:t>de San Francisco Gotera el 28 de abril de 1992 (expediente de  prueba,  tomo</w:t>
        <w:br/>
        <w:t>III, anexo 23 al sometimiento del caso, folio 1873).</w:t>
        <w:br/>
        <w:br/>
        <w:t>[335]       Cfr. Auto emitido por el Juzgado Segundo  de  Primera  Instancia</w:t>
        <w:br/>
        <w:t>de San Francisco Gotera el 29 de abril de 1992 (expediente de  prueba,  tomo</w:t>
        <w:br/>
        <w:t>III, anexo 23 al sometimiento del caso, folios 1877 a 1879).</w:t>
        <w:br/>
        <w:br/>
        <w:t>[336]       Cfr. Comunicación de Mercedes Celina Doretti, dirigida  al  Juez</w:t>
        <w:br/>
        <w:t>Segundo de Primera Instancia de San Francisco Gotera,  de  30  de  abril  de</w:t>
        <w:br/>
        <w:t>1992 (expediente de prueba, tomo III, anexo 23  al  sometimiento  del  caso,</w:t>
        <w:br/>
        <w:t>folios 1886 a 1887).</w:t>
        <w:br/>
        <w:br/>
        <w:t>[337]       Cfr. Auto emitido por el Juzgado Segundo  de  Primera  Instancia</w:t>
        <w:br/>
        <w:t>de San Francisco Gotera el 13 de octubre  de  1992  (expediente  de  prueba,</w:t>
        <w:br/>
        <w:t>tomo IV, anexo 23 al sometimiento del caso, folio 2416).</w:t>
        <w:br/>
        <w:br/>
        <w:t>[338]       Comunicado de la Oficina de Tutela Legal del  Arzobispado  de  8</w:t>
        <w:br/>
        <w:t>de abril de 1992 (expediente de prueba, tomo II, anexo  11  al  sometimiento</w:t>
        <w:br/>
        <w:t>del caso, folios 1545 a 1548).</w:t>
        <w:br/>
        <w:br/>
        <w:t>[339]       Comunicado de los Organismos  del  Norte  de  Morazán  sobre  el</w:t>
        <w:br/>
        <w:t>estancamiento y obstrucción del juicio de la Masacre de “El  Mozote”  de  27</w:t>
        <w:br/>
        <w:t>de abril de 1992 (expediente de prueba, tomo III, anexo 23  al  sometimiento</w:t>
        <w:br/>
        <w:t>del caso, folio 1874).</w:t>
        <w:br/>
        <w:br/>
        <w:t>[340]        Cfr.  Oficio  de  las  Comunidades  de  Morazán  y  San  Miguel</w:t>
        <w:br/>
        <w:t>(PADECOMSM), las Comunidades Eclesiales de Base de El Salvador  (CEBES),  la</w:t>
        <w:br/>
        <w:t>Ciudad Segundo Montes, y  el  Movimiento  Comunal  de  Mujeres  de  Morazán,</w:t>
        <w:br/>
        <w:t>dirigido al Juez Segundo de Primera Instancia de San  Francisco  Gotera,  de</w:t>
        <w:br/>
        <w:t>28  de  abril  de  1992  (expediente  de  prueba,  tomo  III,  anexo  23  al</w:t>
        <w:br/>
        <w:t>sometimiento del caso, folio 1875).</w:t>
        <w:br/>
        <w:br/>
        <w:t>[341]       Cfr. Comunicación del Ejército Nacional para la Democracia  3era</w:t>
        <w:br/>
        <w:t>Región Militar de 30 de abril de  1992  (expediente  de  prueba,  tomo  III,</w:t>
        <w:br/>
        <w:t>anexo 23 al sometimiento del caso, folio 1910);  Comunicación  del  Ejercito</w:t>
        <w:br/>
        <w:t>Nacional para la Democracia 3era Región  Militar  de  29  de  mayo  de  1992</w:t>
        <w:br/>
        <w:t>(expediente de prueba, tomo III, anexo 23 al sometimiento del  caso,  folios</w:t>
        <w:br/>
        <w:t>2065 a 2066); Comunicación del Ejército Nacional  para  la  Democracia  3era</w:t>
        <w:br/>
        <w:t>Región Militar de 29 de mayo de 1992 (expediente de prueba, tomo III,  anexo</w:t>
        <w:br/>
        <w:t>23 al sometimiento del  caso,  folios  2067  a  2068),  y  Comunicación  del</w:t>
        <w:br/>
        <w:t>Ejército Nacional para la Democracia 3era Región Militar de 29  de  mayo  de</w:t>
        <w:br/>
        <w:t>1992 (expediente de prueba, tomo III, anexo 23  al  sometimiento  del  caso,</w:t>
        <w:br/>
        <w:t>folios 2069 a 2070).</w:t>
        <w:br/>
        <w:br/>
        <w:t>[342]       Auto emitido por el Juzgado Segundo de Primera Instancia de  San</w:t>
        <w:br/>
        <w:t>Francisco Gotera el 5 de mayo de  1992  (expediente  de  prueba,  tomo  III,</w:t>
        <w:br/>
        <w:t>anexo 23 al sometimiento del caso, folio 1904).</w:t>
        <w:br/>
        <w:br/>
        <w:t>[343]       Cfr.  Declaraciones  rendidas  por  Bernardino  Guevara  Chicas,</w:t>
        <w:br/>
        <w:t>Domingo Vigil Amaya, Juan Bautista Márquez, María Teófila  Pereira  Argueta,</w:t>
        <w:br/>
        <w:t>Irma Ramos Márquez, Rufina Amaya, Pedro  Chicas,  Sotero  Guevara  Martínez,</w:t>
        <w:br/>
        <w:t>Rosa Ramírez Hernández, Hilario Sánchez Gómez, Genaro Sánchez, María  Amanda</w:t>
        <w:br/>
        <w:t>Martínez, Eustaquio Martínez Vigil y Lucila Romero Martínez ante el  Juzgado</w:t>
        <w:br/>
        <w:t>Segundo de Primera Instancia de San Francisco Gotera el 14 de mayo  de  1992</w:t>
        <w:br/>
        <w:t>(expediente de prueba, tomo III, anexo 23 al sometimiento del  caso,  folios</w:t>
        <w:br/>
        <w:t>1927 a 1940).</w:t>
        <w:br/>
        <w:br/>
        <w:t>[344]       Cfr. Auto emitido por el Juzgado Segundo  de  Primera  Instancia</w:t>
        <w:br/>
        <w:t>de San Francisco Gotera el 7 de mayo de 1992  (expediente  de  prueba,  tomo</w:t>
        <w:br/>
        <w:t>III, anexo 23 al sometimiento del caso, folio 1908).</w:t>
        <w:br/>
        <w:br/>
        <w:t>[345]       Cfr. Comunicación del Jefe de la Unidad Técnica  Forense  de  la</w:t>
        <w:br/>
        <w:t>Comisión de Investigación de  Hechos  Delictivos  de  26  de  mayo  de  1992</w:t>
        <w:br/>
        <w:t>(expediente de prueba, tomo III, anexo 23 al sometimiento  del  caso,  folio</w:t>
        <w:br/>
        <w:t>1951).</w:t>
        <w:br/>
        <w:br/>
        <w:t>[346]       Cfr. Auto emitido por el Juzgado Segundo  de  Primera  Instancia</w:t>
        <w:br/>
        <w:t>de San Francisco Gotera el 27 de mayo de 1992 (expediente  de  prueba,  tomo</w:t>
        <w:br/>
        <w:t>III, anexo 23 al sometimiento del caso, folios 1952 a 1955).</w:t>
        <w:br/>
        <w:br/>
        <w:t>[347]       Cfr. Inspección judicial realizada  en  el  caserío  El  Mozote,</w:t>
        <w:br/>
        <w:t>jurisdicción de Meanguera, Departamento de Morazán, el 27 de  mayo  de  1992</w:t>
        <w:br/>
        <w:t>(expediente de prueba, tomo III, anexo 23 al sometimiento del  caso,  folios</w:t>
        <w:br/>
        <w:t>1956 a 1962);  Inspección  judicial  realizada  en  el  cerro  “El  Chingo”,</w:t>
        <w:br/>
        <w:t>caserío El Mozote, jurisdicción de Meanguera, Departamento de Morazán, el  3</w:t>
        <w:br/>
        <w:t>de junio de 1992 (expediente de prueba, tomo III, anexo 23  al  sometimiento</w:t>
        <w:br/>
        <w:t>del caso, folios 2025 a 2026); Inspección judicial  realizada  en  el  cerro</w:t>
        <w:br/>
        <w:t>“La Cruz”, caserío El Mozote, jurisdicción  de  Meanguera,  Departamento  de</w:t>
        <w:br/>
        <w:t>Morazán, el 10 de junio de 1992 (expediente de prueba, tomo  III,  anexo  23</w:t>
        <w:br/>
        <w:t>al  sometimiento  del  caso,  folios  2072  a  2073);  Inspección   judicial</w:t>
        <w:br/>
        <w:t>realizada en  el  caserío  El  Potrero,  cantón  La  Joya,  jurisdicción  de</w:t>
        <w:br/>
        <w:t>Meanguera, Departamento de Morazán, el 17 de junio de  1992  (expediente  de</w:t>
        <w:br/>
        <w:t>prueba, tomo III, anexo 23 al sometimiento del caso, folios  2107  a  2111);</w:t>
        <w:br/>
        <w:t>Inspección  judicial  realizada  en  el  cantón  La  Joya,  jurisdicción  de</w:t>
        <w:br/>
        <w:t>Meanguera, Distrito de Jocoaitique, Departamento de Morazán, el 1  de  julio</w:t>
        <w:br/>
        <w:t>de 1992 (expediente de prueba, tomo III, anexo 23 al sometimiento del  caso,</w:t>
        <w:br/>
        <w:t>folios 2158 a 2162); Inspección judicial realizada en el  cantón  Guacamaya,</w:t>
        <w:br/>
        <w:t>jurisdicción  de  Meanguera,  Distrito  de  Jocoaitique,   Departamento   de</w:t>
        <w:br/>
        <w:t>Morazán, el día 8 de julio de 1992 (expediente de prueba,  tomo  III,  anexo</w:t>
        <w:br/>
        <w:t>23 al sometimiento del  caso,  folios  2201  a  2202);  Inspección  judicial</w:t>
        <w:br/>
        <w:t>realizada en el caserío Ranchería, del  cantón  Guacamaya,  jurisdicción  de</w:t>
        <w:br/>
        <w:t>Meanguera, Distrito de Jocoaitique, Departamento de Morazán, el 15 de  julio</w:t>
        <w:br/>
        <w:t>de 1992 (expediente de prueba, tomo III, anexo 23 al sometimiento del  caso,</w:t>
        <w:br/>
        <w:t>folios 2224 a  2228);  Inspección  judicial  realizada  en  el  caserío  Los</w:t>
        <w:br/>
        <w:t>Toriles, del  cantón  Guacamaya,  jurisdicción  de  Meanguera,  Distrito  de</w:t>
        <w:br/>
        <w:t>Jocoaitique, Departamento de Morazán, el 22 de julio de 1992 (expediente  de</w:t>
        <w:br/>
        <w:t>prueba, tomo III, anexo 23 al sometimiento del caso, folios  2267  a  2272);</w:t>
        <w:br/>
        <w:t>Inspección judicial realizada en el  caserío  Jocote  Amarillo,  del  cantón</w:t>
        <w:br/>
        <w:t>Guacamaya, jurisdicción de Meanguera, Distrito de Jocoaitique,  Departamento</w:t>
        <w:br/>
        <w:t>de Morazán, el 29 de julio de 1992 (expediente de prueba,  tomo  III,  anexo</w:t>
        <w:br/>
        <w:t>23 al sometimiento del caso, folios 2999  a  2303),  e  Inspección  judicial</w:t>
        <w:br/>
        <w:t>realizada  en  el  caserío  El  Barrial,  del  cantón  Cerro  Pando,  de  la</w:t>
        <w:br/>
        <w:t>jurisdicción  de  Meanguera,  Distrito  de  Jocoaitique,   Departamento   de</w:t>
        <w:br/>
        <w:t>Morazán, el 12 de agosto de 1992 (expediente de prueba, tomo III,  anexo  23</w:t>
        <w:br/>
        <w:t>al sometimiento del caso, folios 2317 a 2324).</w:t>
        <w:br/>
        <w:br/>
        <w:t>[348]       Cfr. Declaración de testigo rendida por Desiderio  Márquez  ante</w:t>
        <w:br/>
        <w:t>el Juzgado Segundo de Primera Instancia de San  Francisco  Gotera  el  2  de</w:t>
        <w:br/>
        <w:t>junio de 1992 (expediente de prueba, tomo III, anexo 23 al sometimiento  del</w:t>
        <w:br/>
        <w:t>caso, folios 2015 a  2019);  Declaración  de  ofendida  rendida  por  Raquel</w:t>
        <w:br/>
        <w:t>Romero Claros Viuda de Claros ante el Juzgado Segundo de  Primera  Instancia</w:t>
        <w:br/>
        <w:t>de San Francisco Gotera el 2 de junio de 1992 (expediente  de  prueba,  tomo</w:t>
        <w:br/>
        <w:t>III, anexo 23 al sometimiento del caso, folios 2015 a 2019),  y  Declaración</w:t>
        <w:br/>
        <w:t>de testigo rendida por Anastacio Pereira Vigil ante el  Juzgado  Segundo  de</w:t>
        <w:br/>
        <w:t>Primera Instancia de San Francisco Gotera el 2 de junio de 1992  (expediente</w:t>
        <w:br/>
        <w:t>de prueba, tomo III, anexo 23  al  sometimiento  del  caso,  folios  2020  a</w:t>
        <w:br/>
        <w:t>2022).</w:t>
        <w:br/>
        <w:br/>
        <w:t>[349]       Cfr. Declaración de ofendido  rendida  por  Lidia  Chicas  Mejía</w:t>
        <w:br/>
        <w:t>ante el Juzgado Segundo de Primera Instancia de San Francisco  Gotera  el  2</w:t>
        <w:br/>
        <w:t>de agosto de 1992 (expediente de prueba, tomo III, anexo 23 al  sometimiento</w:t>
        <w:br/>
        <w:t>del caso, folios 2351 a 2353), y Declaración de testigo  rendida  por  Lidia</w:t>
        <w:br/>
        <w:t>Chicas Mejía ante el Juzgado Segundo de Primera Instancia de  San  Francisco</w:t>
        <w:br/>
        <w:t>Gotera el 21 de agosto de 1992 (expediente de prueba, tomo III, anexo 23  al</w:t>
        <w:br/>
        <w:t>sometimiento del caso, folios 2355 a 2356).</w:t>
        <w:br/>
        <w:br/>
        <w:t>[350]       Cfr. Auto emitido por el Juzgado Segundo  de  Primera  Instancia</w:t>
        <w:br/>
        <w:t>de San Francisco Gotera el 15 de junio de 1992 (expediente de  prueba,  tomo</w:t>
        <w:br/>
        <w:t>III, anexo 23 al sometimiento del caso, folio  2062);  Diligencia  realizada</w:t>
        <w:br/>
        <w:t>en  el  caserío  El  Mozote,  jurisdicción  de  Meanguera,  Departamento  de</w:t>
        <w:br/>
        <w:t>Morazán, el 17 de junio de 1992 (expediente de prueba, tomo  III,  anexo  23</w:t>
        <w:br/>
        <w:t>al sometimiento del caso, folio 2106);  Oficio  del  Instituto  de  Medicina</w:t>
        <w:br/>
        <w:t>Legal, dirigido al Juez  Segundo  de  Primera  Instancia  de  San  Francisco</w:t>
        <w:br/>
        <w:t>Gotera, de 19 de junio 1992 (expediente de prueba, tomo  III,  anexo  23  al</w:t>
        <w:br/>
        <w:t>sometimiento del caso, folio 2114);  Inspección  judicial  realizada  en  el</w:t>
        <w:br/>
        <w:t>cantón  La  Joya,  jurisdicción  de  Meanguera,  Distrito  de   Jocoaitique,</w:t>
        <w:br/>
        <w:t>Departamento de Morazán, el 1 de julio de 1992 (expediente de  prueba,  tomo</w:t>
        <w:br/>
        <w:t>III, anexo 23 al sometimiento del caso,  folio  2161);  Inspección  judicial</w:t>
        <w:br/>
        <w:t>realizada en el caserío Ranchería, del  cantón  Guacamaya,  jurisdicción  de</w:t>
        <w:br/>
        <w:t>Meanguera, Distrito de Jocoaitique, Departamento de Morazán, el 15 de  julio</w:t>
        <w:br/>
        <w:t>de 1992 (expediente de prueba, tomo III, anexo 23 al sometimiento del  caso,</w:t>
        <w:br/>
        <w:t>folios 2225 a  2226);  Auto  emitido  por  el  Juzgado  Segundo  de  Primera</w:t>
        <w:br/>
        <w:t>Instancia de San Francisco Gotera el 16 de  julio  de  1992  (expediente  de</w:t>
        <w:br/>
        <w:t>prueba, tomo III,  anexo  23  al  sometimiento  del  caso,  folio  2232),  e</w:t>
        <w:br/>
        <w:t>Inspección judicial realizada en el caserío El  Barrial,  del  cantón  Cerro</w:t>
        <w:br/>
        <w:t>Pando,  de  la  jurisdicción  de   Meanguera,   Distrito   de   Jocoaitique,</w:t>
        <w:br/>
        <w:t>Departamento de Morazán, el 12 de agosto  de  1992  (expediente  de  prueba,</w:t>
        <w:br/>
        <w:t>tomo III, anexo 23 al sometimiento del caso, folio 2319).</w:t>
        <w:br/>
        <w:br/>
        <w:t>[351]       Oficio  del  Instituto  de  Medicina  Legal,  dirigido  al  Juez</w:t>
        <w:br/>
        <w:t>Segundo de Primera Instancia de San Francisco Gotera,  de  17  de  julio  de</w:t>
        <w:br/>
        <w:t>1992 (expediente de prueba, tomo III, anexo 23  al  sometimiento  del  caso,</w:t>
        <w:br/>
        <w:t>folio 2234).</w:t>
        <w:br/>
        <w:br/>
        <w:t>[352]       Cfr. Suplicatorio del Juzgado Segundo de  Primera  Instancia  de</w:t>
        <w:br/>
        <w:t>San Francisco Gotera, dirigido a la Corte Suprema  de  Justicia,  de  28  de</w:t>
        <w:br/>
        <w:t>julio de 1992 (expediente de prueba, tomo III, anexo 23 al sometimiento  del</w:t>
        <w:br/>
        <w:t>caso, folios 2277 a 2278).</w:t>
        <w:br/>
        <w:br/>
        <w:t>[353]       Auto emitido por el Juzgado Segundo de Primera Instancia de  San</w:t>
        <w:br/>
        <w:t>Francisco Gotera el 9 de septiembre de  1992  (expediente  de  prueba,  tomo</w:t>
        <w:br/>
        <w:t>III, anexo 23 al sometimiento del caso, folio 2359).</w:t>
        <w:br/>
        <w:br/>
        <w:t>[354]       Cfr. Oficio de la  Comisión  de  la  Verdad,  dirigido  al  Juez</w:t>
        <w:br/>
        <w:t>Segundo de Primera Instancia de San Francisco Gotera, de  30  de  septiembre</w:t>
        <w:br/>
        <w:t>de 1992 (expediente de prueba, tomo III, anexo 23 al sometimiento del  caso,</w:t>
        <w:br/>
        <w:t>folios 2386 a 2389).</w:t>
        <w:br/>
        <w:br/>
        <w:t>[355]       Cfr. Nota No. 002319 de 28 de octubre de 1992, Nota  No.  002246</w:t>
        <w:br/>
        <w:t>de 19 de octubre de 1992 y Oficio AJ/No 12588  de  19  de  octubre  de  1992</w:t>
        <w:br/>
        <w:t>(expediente de prueba, tomo IV, anexo 23 al sometimiento  del  caso,  folios</w:t>
        <w:br/>
        <w:t>2507 a 2512); Auto emitido por el Juzgado Segundo de  Primera  Instancia  de</w:t>
        <w:br/>
        <w:t>San Francisco Gotera el 27 de octubre de 1992 (expediente  de  prueba,  tomo</w:t>
        <w:br/>
        <w:t>IV, anexo 23 al sometimiento del caso, folios 2531 a 2532); Oficio de 30  de</w:t>
        <w:br/>
        <w:t>noviembre de 1992 (expediente de prueba, tomo IV, anexo 23  al  sometimiento</w:t>
        <w:br/>
        <w:t>del caso, folio 2860), y Oficios de 9 y 10 de diciembre de 1992  (expediente</w:t>
        <w:br/>
        <w:t>de prueba, tomo IV, anexo 23 al sometimiento del caso, folios 2903 y 2904).</w:t>
        <w:br/>
        <w:br/>
        <w:t>[356]       Cfr. Auto emitido por el Juzgado Segundo  de  Primera  Instancia</w:t>
        <w:br/>
        <w:t>de San Francisco Gotera el 30 de noviembre de 1992  (expediente  de  prueba,</w:t>
        <w:br/>
        <w:t>tomo IV, anexo 23 al sometimiento  del  caso,  folios  2861  a  2862);  Auto</w:t>
        <w:br/>
        <w:t>emitido por el Juzgado Segundo de Primera Instancia de San Francisco  Gotera</w:t>
        <w:br/>
        <w:t>el 30 de noviembre de 1992 (expediente de  prueba,  tomo  IV,  anexo  23  al</w:t>
        <w:br/>
        <w:t>sometimiento del caso, folio 2865), y Auto emitido por  el  Juzgado  Segundo</w:t>
        <w:br/>
        <w:t>de Primera Instancia de San Francisco Gotera  el  9  de  diciembre  de  1992</w:t>
        <w:br/>
        <w:t>(expediente de prueba, tomo IV, anexo 23 al  sometimiento  del  caso,  folio</w:t>
        <w:br/>
        <w:t>2905).</w:t>
        <w:br/>
        <w:br/>
        <w:t>[357]       Cfr. Notificación del Juzgado Segundo de  Primera  Instancia  de</w:t>
        <w:br/>
        <w:t>San Francisco Gotera de 30 de noviembre de 1992 (expediente de prueba,  tomo</w:t>
        <w:br/>
        <w:t>IV, anexo 23 al sometimiento del caso, folio  2863);  Auto  emitido  por  el</w:t>
        <w:br/>
        <w:t>Juzgado Segundo de Primera Instancia  de  San  Francisco  Gotera  el  30  de</w:t>
        <w:br/>
        <w:t>noviembre de 1992 (expediente de prueba, tomo IV, anexo 23  al  sometimiento</w:t>
        <w:br/>
        <w:t>del caso, folio 2866), y Auto emitido por  el  Juzgado  Segundo  de  Primera</w:t>
        <w:br/>
        <w:t>Instancia de San Francisco Gotera el 9 de diciembre de 1992  (expediente  de</w:t>
        <w:br/>
        <w:t>prueba, tomo IV, anexo 23 al sometimiento del caso, folio 2906).</w:t>
        <w:br/>
        <w:br/>
        <w:t>[358]        Cfr.  Informe  arqueológico,  Caserío  El  Mozote,   Sitio   1,</w:t>
        <w:br/>
        <w:t>realizado por el Equipo Argentino de Antropología Forense (EAAF),  diciembre</w:t>
        <w:br/>
        <w:t>de 1992 (expediente de prueba, tomo IV, anexo 23 al sometimiento  del  caso,</w:t>
        <w:br/>
        <w:t>folios 2927 a 2928).</w:t>
        <w:br/>
        <w:br/>
        <w:t>[359]        Cfr.  Informe  arqueológico,  Caserío  El  Mozote,   Sitio   1,</w:t>
        <w:br/>
        <w:t>realizado por el Equipo Argentino de Antropología Forense (EAAF),  diciembre</w:t>
        <w:br/>
        <w:t>de 1992 (expediente de prueba, tomo IV, anexo 23 al sometimiento  del  caso,</w:t>
        <w:br/>
        <w:t>folios 2927 a 2943).</w:t>
        <w:br/>
        <w:br/>
        <w:t>[360]       Cfr. Informe de la investigación forense del caserío El  Mozote,</w:t>
        <w:br/>
        <w:t>Sitio 1, realizado por Clyde C. Snow, Robert H. Kirschner, Douglas D.  Scott</w:t>
        <w:br/>
        <w:t>y John J. Fitzpatrick de 10 de diciembre  de  1992  (expediente  de  prueba,</w:t>
        <w:br/>
        <w:t>tomo VI, anexo 24 sometimiento al caso, folios 4022 a 4027).</w:t>
        <w:br/>
        <w:br/>
        <w:t>[361]        Cfr.  Informe  arqueológico,  Caserío  El  Mozote,   Sitio   1,</w:t>
        <w:br/>
        <w:t>realizado por el Equipo Argentino de Antropología Forense (EAAF),  diciembre</w:t>
        <w:br/>
        <w:t>de 1992 (expediente de prueba, tomo IV, anexo 23 al sometimiento  del  caso,</w:t>
        <w:br/>
        <w:t>folios 2927 a 2943).</w:t>
        <w:br/>
        <w:br/>
        <w:t>[362]       Cfr. Informe sobre la identificación de armas  de  fuego  en  el</w:t>
        <w:br/>
        <w:t>sitio de ejecución en El Mozote realizado por Douglas D.  Scott  (expediente</w:t>
        <w:br/>
        <w:t>de prueba, tomo VI, anexo 25 al sometimiento del caso, folio 4031).</w:t>
        <w:br/>
        <w:br/>
        <w:t>[363]       Cfr. Informe de la investigación forense del caserío El  Mozote,</w:t>
        <w:br/>
        <w:t>Sitio 1, realizado por Clyde C. Snow, Robert H. Kirschner, Douglas D.  Scott</w:t>
        <w:br/>
        <w:t>y John J. Fitzpatrick de 10 de diciembre  de  1992  (expediente  de  prueba,</w:t>
        <w:br/>
        <w:t>tomo VI, anexo 24 sometimiento al caso, folios 4022 a 4025).</w:t>
        <w:br/>
        <w:br/>
        <w:t>[364]        Cfr.  Oficio  del  Director  del  Instituto  de  Medina  Legal,</w:t>
        <w:br/>
        <w:t>dirigido al Juzgado Segundo de Primera Instancia, el  4  de  enero  de  1993</w:t>
        <w:br/>
        <w:t>(expediente de prueba, tomo V, anexo  3  al  sometimiento  del  caso,  folio</w:t>
        <w:br/>
        <w:t>3409); Auto emitido por el Juzgado  Segundo  de  Primera  Instancia  de  San</w:t>
        <w:br/>
        <w:t>Francisco Gotera el 6 de enero de 1993 (expediente de prueba, tomo V,  anexo</w:t>
        <w:br/>
        <w:t>23 al sometimiento del caso,  folio  3422);  Auto  emitido  por  el  Juzgado</w:t>
        <w:br/>
        <w:t>Segundo de Primera Instancia de San Francisco Gotera el 6 de enero  de  1993</w:t>
        <w:br/>
        <w:t>(expediente de prueba, tomo V, anexo 23  al  sometimiento  del  caso,  folio</w:t>
        <w:br/>
        <w:t>3423), y Diligencias judiciales realizadas del 6 al  29  de  enero  de  1993</w:t>
        <w:br/>
        <w:t>(expediente de prueba, tomo V, anexo 23 al  sometimiento  del  caso,  folios</w:t>
        <w:br/>
        <w:t>3424 a 3496).</w:t>
        <w:br/>
        <w:br/>
        <w:t>[365]       Cfr. Oficio del Juzgado Segundo  de  Primera  Instancia  de  San</w:t>
        <w:br/>
        <w:t>Francisco Gotera, dirigido al Director del Instituto de Medicina  Legal,  de</w:t>
        <w:br/>
        <w:t>24 de marzo de 1993 (expediente de prueba, tomo V, anexo 23 al  sometimiento</w:t>
        <w:br/>
        <w:t>del caso, folio 3611).</w:t>
        <w:br/>
        <w:br/>
        <w:t>[366]       Cfr. Auto emitido por el Juzgado Segundo  de  Primera  Instancia</w:t>
        <w:br/>
        <w:t>de San Francisco Gotera el 5 de abril de 2000 (expediente  de  prueba,  tomo</w:t>
        <w:br/>
        <w:t>V, anexo 23 al sometimiento del caso, folios 3655 a 3656).</w:t>
        <w:br/>
        <w:br/>
        <w:t>[367]       Cfr. Auto emitido por el Juzgado Segundo  de  Primera  Instancia</w:t>
        <w:br/>
        <w:t>de San Francisco Gotera el 19 de septiembre de 2001 (expediente  de  prueba,</w:t>
        <w:br/>
        <w:t>tomo V, anexo 23 al sometimiento del caso, folios 3857 a 3858).</w:t>
        <w:br/>
        <w:br/>
        <w:t>[368]       Cfr. Auto emitido por el Juzgado Segundo  de  Primera  Instancia</w:t>
        <w:br/>
        <w:t>de San Francisco Gotera el 17 de octubre  de  2003  (expediente  de  prueba,</w:t>
        <w:br/>
        <w:t>tomo V, anexo 23 al sometimiento del caso, folios 3920 a 3922).</w:t>
        <w:br/>
        <w:br/>
        <w:t>[369]       Cfr. Auto emitido por el Juzgado Segundo  de  Primera  Instancia</w:t>
        <w:br/>
        <w:t>de San Francisco Gotera el 13 de octubre  de  2004  (expediente  de  prueba,</w:t>
        <w:br/>
        <w:t>tomo V, anexo 23 al sometimiento del caso, folios 3963 a 3964).</w:t>
        <w:br/>
        <w:br/>
        <w:t>[370]        Cfr.  Peritaje  conjunto   rendido   ante   fedatario   público</w:t>
        <w:br/>
        <w:t>(affidávit) por Luis Fondebrider, Mercedes C. Doretti y  Silvana  Turner  el</w:t>
        <w:br/>
        <w:t>18 de abril de 2012 (expediente de  prueba,  tomo  XVII,  affidávits,  folio</w:t>
        <w:br/>
        <w:t>10312).</w:t>
        <w:br/>
        <w:br/>
        <w:t>[371]       Cfr.  Resumen  del  trabajo  forense  realizado  por  el  Equipo</w:t>
        <w:br/>
        <w:t>Argentino de Antropología Forense (EAAF), caso El  Mozote,  abril-junio  del</w:t>
        <w:br/>
        <w:t>año 2000 (expediente de prueba, tomo VI, anexo 27 al sometimiento del  caso,</w:t>
        <w:br/>
        <w:t>folio 4122); Informe del Equipo Argentino  de  Antropología  Forense  (EAAF)</w:t>
        <w:br/>
        <w:t>sobre los trabajos de exhumación realizados en el año  2001  (expediente  de</w:t>
        <w:br/>
        <w:t>prueba, tomo VI, anexo 28 al sometimiento del caso, folios 4410 a  4411),  e</w:t>
        <w:br/>
        <w:t>Informe final del Equipo Argentino de Antropología Forense (EAAF) sobre  las</w:t>
        <w:br/>
        <w:t>investigaciones forenses del caso  El  Mozote  realizadas  en  el  año  2003</w:t>
        <w:br/>
        <w:t>(expediente de prueba, tomo VII, anexo 29 al sometimiento del  caso,  folios</w:t>
        <w:br/>
        <w:t>4990 a 4991). Ver también, Peritaje conjunto rendido ante fedatario  público</w:t>
        <w:br/>
        <w:t>(affidávit) por Luis Fondebrider, Mercedes C. Doretti y  Silvana  Turner  el</w:t>
        <w:br/>
        <w:t>18 de abril de 2012 (expediente de  prueba,  tomo  XVII,  affidávits,  folio</w:t>
        <w:br/>
        <w:t>10303), y Tutela Legal del Arzobispado de San  Salvador,  El  Mozote.  Lucha</w:t>
        <w:br/>
        <w:t>por la verdad y la justicia:  Masacre  a  la  Inocencia,  San  Salvador,  El</w:t>
        <w:br/>
        <w:t>Salvador, 2008, págs. 283 y 284 (expediente de prueba, tomo  VIII,  anexo  2</w:t>
        <w:br/>
        <w:t>al escrito de solicitudes, argumentos y pruebas, folios 5431 a 5432).</w:t>
        <w:br/>
        <w:br/>
        <w:t>[372]       Cfr.  Resumen  del  trabajo  forense  realizado  por  el  Equipo</w:t>
        <w:br/>
        <w:t>Argentino de Antropología Forense (EAAF), caso El  Mozote,  abril-junio  del</w:t>
        <w:br/>
        <w:t>año 2000 (expediente de prueba, tomo VI, anexo 27 al sometimiento del  caso,</w:t>
        <w:br/>
        <w:t>folios 4122 a 4125).</w:t>
        <w:br/>
        <w:br/>
        <w:t>[373]       Cfr.  Informe  del  Equipo  Argentino  de  Antropología  Forense</w:t>
        <w:br/>
        <w:t>(EAAF)  sobre  los  trabajos  de  exhumación  realizados  en  el  año   2001</w:t>
        <w:br/>
        <w:t>(expediente de prueba, tomo VI, anexo 28 al sometimiento  del  caso,  folios</w:t>
        <w:br/>
        <w:t>4412 a 4413, 4426 a 4427, 4441, 4447, 4449 a 4450, 4453 a 4454).</w:t>
        <w:br/>
        <w:br/>
        <w:t>[374]       Cfr. Informe final del Equipo Argentino de Antropología  Forense</w:t>
        <w:br/>
        <w:t>(EAAF) sobre las investigaciones forenses del caso El Mozote  realizadas  en</w:t>
        <w:br/>
        <w:t>el año 2003 (expediente de prueba, tomo VII, anexo 29  al  sometimiento  del</w:t>
        <w:br/>
        <w:t>caso, folios 4989 a 4991, 5023 a 5024 y 5033).</w:t>
        <w:br/>
        <w:br/>
        <w:t>[375]       Cfr. Informe final del Equipo Argentino de Antropología  Forense</w:t>
        <w:br/>
        <w:t>(EAAF) sobre las investigaciones forenses del caso El Mozote  realizadas  en</w:t>
        <w:br/>
        <w:t>el año 2004 (expediente de prueba, tomo V,  anexo  23  al  sometimiento  del</w:t>
        <w:br/>
        <w:t>caso, folios 3987, 3994, 3996 y 3998).</w:t>
        <w:br/>
        <w:br/>
        <w:t>[376]       Cfr.  Resumen  del  trabajo  forense  realizado  por  el  Equipo</w:t>
        <w:br/>
        <w:t>Argentino de Antropología Forense (EAAF), caso El  Mozote,  abril-junio  del</w:t>
        <w:br/>
        <w:t>año 2000 (expediente de prueba, tomo VI, anexo 27 al sometimiento del  caso,</w:t>
        <w:br/>
        <w:t>folio 4124); Informe del Equipo Argentino  de  Antropología  Forense  (EAAF)</w:t>
        <w:br/>
        <w:t>sobre los trabajos de exhumación realizados en el año  2001  (expediente  de</w:t>
        <w:br/>
        <w:t>prueba, tomo VI, anexo 28 al sometimiento del caso,  folios  4415  a  4416);</w:t>
        <w:br/>
        <w:t>Informe final del Equipo Argentino de Antropología Forense (EAAF) sobre  las</w:t>
        <w:br/>
        <w:t>investigaciones forenses del caso  El  Mozote  realizadas  en  el  año  2003</w:t>
        <w:br/>
        <w:t>(expediente de prueba, tomo VII, anexo 29 al sometimiento  del  caso,  folio</w:t>
        <w:br/>
        <w:t>5023), e Informe final del Equipo Argentino de Antropología  Forense  (EAAF)</w:t>
        <w:br/>
        <w:t>sobre las investigaciones forenses del caso El Mozote realizadas en  el  año</w:t>
        <w:br/>
        <w:t>2004 (expediente de prueba, tomo V,  anexo  23  al  sometimiento  del  caso,</w:t>
        <w:br/>
        <w:t>folio 3995).</w:t>
        <w:br/>
        <w:br/>
        <w:t>[377]       Tutela Legal del Arzobispado de San Salvador, El  Mozote.  Lucha</w:t>
        <w:br/>
        <w:t>por la verdad y la justicia:  Masacre  a  la  Inocencia,  San  Salvador,  El</w:t>
        <w:br/>
        <w:t>Salvador, 2008, pág. 416 (expediente de  prueba,  tomo  VIII,  anexo  II  al</w:t>
        <w:br/>
        <w:t>escrito de solicitudes, argumentos y prueba, folio 5498).</w:t>
        <w:br/>
        <w:br/>
        <w:t>[378]       Cfr. Tutela Legal del Arzobispado de San  Salvador,  El  Mozote.</w:t>
        <w:br/>
        <w:t>Lucha por la verdad y la justicia: Masacre a la Inocencia, San Salvador,  El</w:t>
        <w:br/>
        <w:t>Salvador, 2008, págs. 276 a 277 (expediente de prueba, tomo VIII,  anexo  II</w:t>
        <w:br/>
        <w:t>al escrito de solicitudes, argumentos y prueba, folio 5428),  y  Escrito  de</w:t>
        <w:br/>
        <w:t>23 de noviembre de 1994  presentado  ante  el  Juzgado  Segundo  de  Primera</w:t>
        <w:br/>
        <w:t>Instancia de San Francisco Gotera (expediente de prueba, tomo  V,  anexo  23</w:t>
        <w:br/>
        <w:t>al sometimiento del caso, folios 3620 a 3623).</w:t>
        <w:br/>
        <w:br/>
        <w:t>[379]       Cfr. Auto emitido por el Juzgado Segundo  de  Primera  Instancia</w:t>
        <w:br/>
        <w:t>de San Francisco Gotera el 29 de noviembre de 1994  (expediente  de  prueba,</w:t>
        <w:br/>
        <w:t>tomo V, anexo 23 al sometimiento del caso, folio 3624).</w:t>
        <w:br/>
        <w:br/>
        <w:t>[380]       Cfr. Auto emitido por el Juzgado Segundo  de  Primera  Instancia</w:t>
        <w:br/>
        <w:t>de San Francisco Gotera el 31 de agosto de 2000 (expediente de prueba,  tomo</w:t>
        <w:br/>
        <w:t>V, anexo 23 al sometimiento del caso,  folio  3704);  Auto  emitido  por  el</w:t>
        <w:br/>
        <w:t>Juzgado Segundo de Primera  Instancia  de  San  Francisco  Gotera  el  8  de</w:t>
        <w:br/>
        <w:t>diciembre de 2000 (expediente de prueba, tomo V, anexo  23  al  sometimiento</w:t>
        <w:br/>
        <w:t>del caso, folio 3725); Auto  emitido  por  el  Juzgado  Segundo  de  Primera</w:t>
        <w:br/>
        <w:t>Instancia de San Francisco Gotera el 22 de  junio  de  2000  (expediente  de</w:t>
        <w:br/>
        <w:t>prueba, tomo V, anexo  23  al  sometimiento  del  caso,  folio  3774);  Auto</w:t>
        <w:br/>
        <w:t>emitido por el Juzgado Segundo de Primera Instancia de San Francisco  Gotera</w:t>
        <w:br/>
        <w:t>el 22 de  junio  de  2000  (expediente  de  prueba,  tomo  V,  anexo  23  al</w:t>
        <w:br/>
        <w:t>sometimiento del caso, folio 3777); Auto emitido por el Juzgado  Segundo  de</w:t>
        <w:br/>
        <w:t>Primera Instancia de  San  Francisco  Gotera  de  7  de  diciembre  de  2001</w:t>
        <w:br/>
        <w:t>(expediente de prueba, tomo V, anexo 23  al  sometimiento  del  caso,  folio</w:t>
        <w:br/>
        <w:t>3879); Auto emitido por el Juzgado  Segundo  de  Primera  Instancia  de  San</w:t>
        <w:br/>
        <w:t>Francisco Gotera el 12 de diciembre de 2003 (expediente de prueba,  tomo  V,</w:t>
        <w:br/>
        <w:t>anexo 23 al sometimiento del caso,  folio  3931),  y  Auto  emitido  por  el</w:t>
        <w:br/>
        <w:t>Juzgado Segundo de Primera Instancia  de  San  Francisco  Gotera  el  10  de</w:t>
        <w:br/>
        <w:t>diciembre de 2004 (expediente de prueba, tomo VI, anexo 23  al  sometimiento</w:t>
        <w:br/>
        <w:t>del caso, folio 4004).</w:t>
        <w:br/>
        <w:br/>
        <w:t>[381]        Cfr.  Caso  Velásquez  Rodríguez  Vs.   Honduras.   Excepciones</w:t>
        <w:br/>
        <w:t>Preliminares. Sentencia de 26 de junio de 1987. Serie C No. 1, párr.  91,  y</w:t>
        <w:br/>
        <w:t>Caso Pueblo Indígena Kichwa de Sarayaku Vs. Ecuador. Fondo  y  reparaciones.</w:t>
        <w:br/>
        <w:t>Sentencia de 27 de junio de 2012. Serie C No. 245, párr. 260.</w:t>
        <w:br/>
        <w:br/>
        <w:t>[382]       Cfr. Caso Bulacio Vs. Argentina. Fondo, Reparaciones  y  Costas.</w:t>
        <w:br/>
        <w:t>Sentencia de 18 de septiembre de 2003. Serie C No. 100, párr.  114,  y  Caso</w:t>
        <w:br/>
        <w:t>Masacres de Río Negro Vs. Guatemala, párr. 191.</w:t>
        <w:br/>
        <w:br/>
        <w:t>[383] Cfr. Caso Velásquez Rodríguez Vs. Honduras. Fondo, párr. 166,  y  Caso</w:t>
        <w:br/>
        <w:t>Masacres de Río Negro Vs. Guatemala, párr. 190.</w:t>
        <w:br/>
        <w:br/>
        <w:t>[384]       Cfr. Caso Velásquez Rodríguez. Fondo, párr. 166.</w:t>
        <w:br/>
        <w:br/>
        <w:t>[385]       Cfr. Caso Myrna Mack Chang Vs. Guatemala. Fondo, Reparaciones  y</w:t>
        <w:br/>
        <w:t>Costas. Sentencia de 25 de noviembre de 2003. Serie C No. 101, párr. 156,  y</w:t>
        <w:br/>
        <w:t>Caso Vargas Areco Vs. Paraguay. Fondo, Reparaciones y Costas.  Sentencia  de</w:t>
        <w:br/>
        <w:t>26 de septiembre de 2006. Serie C No. 155, párr. 76.</w:t>
        <w:br/>
        <w:br/>
        <w:t>[386] Cfr. Caso Ximenes Lopes Vs. Brasil, párr. 147, y Caso Vélez  Loor  Vs.</w:t>
        <w:br/>
        <w:t>Panamá. Excepciones Preliminares, Fondo, Reparaciones  y  Costas.  Sentencia</w:t>
        <w:br/>
        <w:t>de 23 de noviembre de 2010. Serie C No. 218, párr. 230.</w:t>
        <w:br/>
        <w:br/>
        <w:t>[387] El  artículo  1  de  la  Convención  Interamericana  para  Prevenir  y</w:t>
        <w:br/>
        <w:t>Sancionar la Tortura dispone que:</w:t>
        <w:br/>
        <w:br/>
        <w:t xml:space="preserve">      Los Estados partes se obligan a prevenir y a sancionar la  tortura  en</w:t>
        <w:br/>
        <w:t xml:space="preserve">      los términos de la presente Convención.</w:t>
        <w:br/>
        <w:br/>
        <w:t>Asimismo, el artículo 6 de dicho instrumento dispone que:</w:t>
        <w:br/>
        <w:br/>
        <w:t xml:space="preserve">      De conformidad con lo dispuesto en el artículo 1, los  Estados  partes</w:t>
        <w:br/>
        <w:t xml:space="preserve">      tomarán medidas efectivas para prevenir y sancionar la tortura  en  el</w:t>
        <w:br/>
        <w:t xml:space="preserve">      ámbito de su jurisdicción.</w:t>
        <w:br/>
        <w:br/>
        <w:t xml:space="preserve">      Los Estados partes se asegurarán de que todos los actos de  tortura  y</w:t>
        <w:br/>
        <w:t xml:space="preserve">      los intentos de cometer tales actos constituyan delitos conforme a  su</w:t>
        <w:br/>
        <w:t xml:space="preserve">      derecho penal, estableciendo para castigarlos  sanciones  severas  que</w:t>
        <w:br/>
        <w:t xml:space="preserve">      tengan en cuenta su gravedad.</w:t>
        <w:br/>
        <w:br/>
        <w:t xml:space="preserve">      Igualmente, los Estados partes tomarán medidas efectivas para prevenir</w:t>
        <w:br/>
        <w:t xml:space="preserve">      y sancionar,  además,  otros  tratos  o  penas  crueles,  inhumanos  o</w:t>
        <w:br/>
        <w:t xml:space="preserve">      degradantes en el ámbito de su jurisdicción.</w:t>
        <w:br/>
        <w:br/>
        <w:t>Por su parte, el artículo 8 del mismo tratado establece que:</w:t>
        <w:br/>
        <w:br/>
        <w:t xml:space="preserve">      Los Estados partes garantizarán a toda persona que denuncie haber sido</w:t>
        <w:br/>
        <w:t xml:space="preserve">      sometida a tortura en el ámbito de su jurisdicción el derecho a que el</w:t>
        <w:br/>
        <w:t xml:space="preserve">      caso sea examinado imparcialmente.</w:t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t>[388]       Cfr. Caso Fernández Ortega y otros  Vs.  México,  párr.  193,  y</w:t>
        <w:br/>
        <w:t>Caso Rosendo Cantú y otra Vs. México, párr. 177.</w:t>
        <w:br/>
        <w:br/>
        <w:t>[389]       Cfr. Caso Chitay Nech y otros Vs. Guatemala, párr. 149.</w:t>
        <w:br/>
        <w:br/>
        <w:t>[390]       Cfr. Caso La Cantuta Vs. Perú.  Fondo,  Reparaciones  y  Costas.</w:t>
        <w:br/>
        <w:t>Sentencia de 29 de noviembre de 2006. Serie C No. 162,  párr.  110,  y  Caso</w:t>
        <w:br/>
        <w:t>González  Medina  y  familiares  Vs.   República   Dominicana.   Excepciones</w:t>
        <w:br/>
        <w:t>Preliminares, Fondo, Reparaciones y Costas. Sentencia de 27  de  febrero  de</w:t>
        <w:br/>
        <w:t>2012. Serie C No. 240, párr. 220.</w:t>
        <w:br/>
        <w:br/>
        <w:t>[391]       Cfr. Caso Goiburú y otros Vs. Paraguay.  Fondo,  Reparaciones  y</w:t>
        <w:br/>
        <w:t>Costas. Sentencia de 22 de septiembre de 2006. Serie C No. 153, párr. 82,  y</w:t>
        <w:br/>
        <w:t>Caso Contreras y otros Vs. El Salvador, párr. 127.</w:t>
        <w:br/>
        <w:br/>
        <w:t>[392]       Cfr. Caso Almonacid Arellano  y  otros  Vs.  Chile.  Excepciones</w:t>
        <w:br/>
        <w:t>Preliminares, Fondo, Reparaciones y Costas. Sentencia de  26  de  septiembre</w:t>
        <w:br/>
        <w:t>de 2006. Serie C No. 154, párrs. 94 a 96 y 98 a 99,  y  Caso  Manuel  Cepeda</w:t>
        <w:br/>
        <w:t>Vargas Vs. Colombia, párr. 42.</w:t>
        <w:br/>
        <w:br/>
        <w:t>[393] Cfr. Caso Vargas Areco Vs. Paraguay, párr. 81,  y  Caso  Escué  Zapata</w:t>
        <w:br/>
        <w:t>Vs. Colombia, párr. 75.</w:t>
        <w:br/>
        <w:br/>
        <w:t>[394]       Cfr. Caso de la “Panel Blanca” (Paniagua Morales  y  otros)  Vs.</w:t>
        <w:br/>
        <w:t>Guatemala. Fondo, párr. 173, y Caso Barrios Altos Vs. Perú.  Supervisión  de</w:t>
        <w:br/>
        <w:t>Cumplimiento  de  Sentencia.  Resolución  de  la  Corte  Interamericana   de</w:t>
        <w:br/>
        <w:t>Derechos Humanos de 7 de septiembre de 2012, Considerando vigésimo quinto.</w:t>
        <w:br/>
        <w:br/>
        <w:t>[395]       Cfr. Caso del Penal Miguel Castro Castro Vs. Perú, párr. 377,  y</w:t>
        <w:br/>
        <w:t>Caso De la Masacre de las Dos Erres Vs. Guatemala, párr. 137.</w:t>
        <w:br/>
        <w:br/>
        <w:t>[396] Cfr. Caso Velásquez Rodríguez Vs. Honduras. Fondo, párr. 110,  y  Caso</w:t>
        <w:br/>
        <w:t>Manuel Cepeda Vargas Vs. Colombia, párr. 117.</w:t>
        <w:br/>
        <w:br/>
        <w:t>[397] Cfr. Caso Velásquez Rodríguez Vs. Honduras. Fondo, párr. 177,  y  Caso</w:t>
        <w:br/>
        <w:t>Pacheco  Teruel  y  otros  Vs.  Honduras.  Fondo,  Reparaciones  y   Costas.</w:t>
        <w:br/>
        <w:t>Sentencia de 27 de abril de 2012. Serie C No. 241, párr. 129.</w:t>
        <w:br/>
        <w:br/>
        <w:t>[398] Cfr. Caso Velásquez Rodríguez Vs. Honduras. Fondo, párr. 176,  y  Caso</w:t>
        <w:br/>
        <w:t>Gomes Lund y otros (Guerrilha do Araguaia) Vs. Brasil, párr. 140.</w:t>
        <w:br/>
        <w:br/>
        <w:t>[399]       Cfr. Caso de los  “Niños  de  la  Calle”  (Villagrán  Morales  y</w:t>
        <w:br/>
        <w:t>otros) Vs. Guatemala. Supervisión de Cumplimiento de  Sentencia.  Resolución</w:t>
        <w:br/>
        <w:t>de la Corte Interamericana de Derechos Humanos  de  27  de  enero  de  2009,</w:t>
        <w:br/>
        <w:t>Considerando vigésimo primero, y Caso Manuel  Cepeda  Vargas  Vs.  Colombia,</w:t>
        <w:br/>
        <w:t>párr. 153.</w:t>
        <w:br/>
        <w:br/>
        <w:t>[400]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1202).</w:t>
        <w:br/>
        <w:br/>
        <w:t>[401]       Cfr. Escrito de denuncia de Pedro Chicas Romero presentado  ante</w:t>
        <w:br/>
        <w:t>el Juzgado Segundo de Primera Instancia de San Francisco  Gotera  el  26  de</w:t>
        <w:br/>
        <w:t>octubre de 1990 (expediente de prueba, tomo III, anexo  23  al  sometimiento</w:t>
        <w:br/>
        <w:t>del caso, folios 1649 a 1652).</w:t>
        <w:br/>
        <w:br/>
        <w:t>[402] Cfr. Informe de la Comisión de la  Verdad  para  El  Salvador,  De  la</w:t>
        <w:br/>
        <w:t>locura a la esperanza, La guerra  de  12  años  en  El  Salvador,  1992-1993</w:t>
        <w:br/>
        <w:t>(expediente de prueba, tomo II, anexo 1 al  sometimiento  del  caso,  folios</w:t>
        <w:br/>
        <w:t>2011 a 2018 y 2023).</w:t>
        <w:br/>
        <w:br/>
        <w:t>[403]       Cfr. Informe de la Comisión de la Verdad para  El  Salvador,  De</w:t>
        <w:br/>
        <w:t>la locura a la esperanza, La guerra de 12 años  en  El  Salvador,  1992-1993</w:t>
        <w:br/>
        <w:t>(expediente de prueba, tomo II, anexo 1 al  sometimiento  del  caso,  folios</w:t>
        <w:br/>
        <w:t>1196 a 1197 y 1201).</w:t>
        <w:br/>
        <w:br/>
        <w:t>[404]        Cfr.  Informe  de  Tutela  Legal   del   Arzobispado   titulado</w:t>
        <w:br/>
        <w:t>“Ejecución Masiva de Personas (arbitrarias y sumarias) en  los  caseríos  El</w:t>
        <w:br/>
        <w:t>Mozote, Ranchería y Jocote Amarillo del cantón Guacamaya,  en  los  cantones</w:t>
        <w:br/>
        <w:t>La Joya y Cerro Pando, del Municipio de Meanguera y en caserío  Los  Toriles</w:t>
        <w:br/>
        <w:t>del Municipio Arambala, todos del Departamento de  Morazán  por  tropas  del</w:t>
        <w:br/>
        <w:t>BIRI Atlacatl durante operativo militar – los días 11, 12 y 13 de  diciembre</w:t>
        <w:br/>
        <w:t>de 1981; hechos conocidos como ‘Masacre de El Mozote’” de  23  de  julio  de</w:t>
        <w:br/>
        <w:t>1992 (expediente de prueba, tomo II,  anexo  9  al  sometimiento  del  caso,</w:t>
        <w:br/>
        <w:t>folios 1463 a 1535).</w:t>
        <w:br/>
        <w:br/>
        <w:t>[405]       Cfr. Escrito de la Oficina de Tutela Legal  del  Arzobispado  de</w:t>
        <w:br/>
        <w:t>San Salvador de 23 de noviembre de 2006  (expediente  de  prueba,  tomo  XI,</w:t>
        <w:br/>
        <w:t>anexo 17.1 al escrito de solicitudes, argumentos y pruebas,  folios  6929  a</w:t>
        <w:br/>
        <w:t>6999).</w:t>
        <w:br/>
        <w:br/>
        <w:t>[406]       Cfr. Caso de la Masacre  de  la  Rochela  Vs.  Colombia.  Fondo,</w:t>
        <w:br/>
        <w:t>Reparaciones y Costas. Sentencia de 11 de de mayo de 2007. Serie C No.  163,</w:t>
        <w:br/>
        <w:t>párr. 156, y Caso Masacres de Río Negro Vs. Guatemala, párr. 194.</w:t>
        <w:br/>
        <w:br/>
        <w:t>[407]       Cfr. Caso de las Hermanas Serrano Cruz Vs. El  Salvador.  Fondo,</w:t>
        <w:br/>
        <w:t>Reparaciones y  Costas,  párr.  166,  y  Caso  Masacres  de  Río  Negro  Vs.</w:t>
        <w:br/>
        <w:t>Guatemala, párr. 194.</w:t>
        <w:br/>
        <w:br/>
        <w:t>[408]  Cfr.  Caso  García  Prieto  y  otros  Vs.  El  Salvador.  Excepciones</w:t>
        <w:br/>
        <w:t>Preliminares, Fondo, Reparaciones y Costas. Sentencia de 20 de noviembre  de</w:t>
        <w:br/>
        <w:t>2007. Serie C No.  168,  párr.  112,  y  Caso  Masacres  de  Río  Negro  Vs.</w:t>
        <w:br/>
        <w:t>Guatemala, párr. 194.</w:t>
        <w:br/>
        <w:br/>
        <w:t>[409]       Cfr. Caso Tiu Tojín Vs. Guatemala, párr. 77, y Caso Contreras  y</w:t>
        <w:br/>
        <w:t>otros Vs. El Salvador, párr. 145.</w:t>
        <w:br/>
        <w:br/>
        <w:t>[410]       Cfr. Caso  Gomes  Lund  y  otros  (Guerrilha  do  Araguaia)  Vs.</w:t>
        <w:br/>
        <w:t>Brasil, párr. 211, y Caso Contreras y otros Vs. El Salvador, párr. 177.</w:t>
        <w:br/>
        <w:br/>
        <w:t>[411]        Caso  Myrna  Mack  Chang  Vs.  Guatemala,  párr.  180,  y  Caso</w:t>
        <w:br/>
        <w:t>Contreras y otros Vs. El Salvador, párr. 171.</w:t>
        <w:br/>
        <w:br/>
        <w:t>[412]       Cfr. Informes  internos  de  la  Oficina  de  Tutela  Legal  del</w:t>
        <w:br/>
        <w:t>Arzobispado de 27 de marzo y 29 de julio  de  1992  (expediente  de  prueba,</w:t>
        <w:br/>
        <w:t>tomo II, anexo 10 al sometimiento del caso, folios 1537 a 1543).</w:t>
        <w:br/>
        <w:br/>
        <w:t>[413]       Cfr. Comunicado de prensa  emitido  por  la  Oficina  de  Tutela</w:t>
        <w:br/>
        <w:t>Legal del Arzobispado el 8 de abril de  1992  (expediente  de  prueba,  tomo</w:t>
        <w:br/>
        <w:t>III, anexo 11 al sometimiento del caso, folios 1545 a 1549).</w:t>
        <w:br/>
        <w:br/>
        <w:t>[414]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1201).</w:t>
        <w:br/>
        <w:br/>
        <w:t>[415]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1202).</w:t>
        <w:br/>
        <w:br/>
        <w:t>[416]        Cfr.  Peritaje  conjunto   rendido   ante   fedatario   público</w:t>
        <w:br/>
        <w:t>(affidávit) por Luis Fondebrider, Mercedes C. Doretti y  Silvana  Turner  el</w:t>
        <w:br/>
        <w:t>18 de abril de 2012 (expediente de  prueba,  tomo  XVII,  affidávits,  folio</w:t>
        <w:br/>
        <w:t>10311).</w:t>
        <w:br/>
        <w:br/>
        <w:t>[417]       Cfr. Peritaje rendido ante  fedatario  público  (affidávit)  por</w:t>
        <w:br/>
        <w:t>Tal Linda Ileen Simmons recibido el 18  de  abril  de  2012  (expediente  de</w:t>
        <w:br/>
        <w:t>prueba, tomo XVII, affidávits, folios 10407 a 10408).</w:t>
        <w:br/>
        <w:br/>
        <w:t>[418]        Cfr.  Caso   Heliodoro   Portugal   Vs.   Panamá.   Excepciones</w:t>
        <w:br/>
        <w:t>Preliminares, Fondo, Reparaciones y Costas. Sentencia de  12  de  agosto  de</w:t>
        <w:br/>
        <w:t>2008. Serie C No. 186, párr. 150, y Caso Contreras y otros Vs. El  Salvador,</w:t>
        <w:br/>
        <w:t>párr. 145.</w:t>
        <w:br/>
        <w:br/>
        <w:t>[419]       El artículo 2 de la Convención  Americana  establece:  “[s]i  el</w:t>
        <w:br/>
        <w:t>ejercicio de los derechos y libertades  mencionados  en  el  artículo  1  no</w:t>
        <w:br/>
        <w:t>estuviere ya garantizado por disposiciones legislativas o de otro  carácter,</w:t>
        <w:br/>
        <w:t>los  Estados  Partes  se  comprometen  a  adoptar,   con   arreglo   a 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libertades”.</w:t>
        <w:br/>
        <w:br/>
        <w:t>[420]       El artículo 8.1 de la Convención Americana dispone que:  “[t]oda</w:t>
        <w:br/>
        <w:t>persona tiene derecho a ser oída, con las debidas garantías y dentro  de  un</w:t>
        <w:br/>
        <w:t>plazo  razonable,  por  un  juez  o  tribunal  competente,  independiente  e</w:t>
        <w:br/>
        <w:t>imparcial, establecido con anterioridad por la ley, en la  sustanciación  de</w:t>
        <w:br/>
        <w:t>cualquier acusación penal formulada contra ella, o para la determinación  de</w:t>
        <w:br/>
        <w:t>sus derechos y obligaciones de orden civil, laboral, fiscal o  de  cualquier</w:t>
        <w:br/>
        <w:t>otro carácter”.</w:t>
        <w:br/>
        <w:br/>
        <w:t>[421] El artículo 25.1  de  la  Convención  Americana  señala  que:  “[t]oda</w:t>
        <w:br/>
        <w:t>persona tiene derecho a un recurso sencillo y  rápido  o  a  cualquier  otro</w:t>
        <w:br/>
        <w:t>recurso efectivo ante los jueces o tribunales  competentes,  que  la  ampare</w:t>
        <w:br/>
        <w:t>contra actos que  violen  sus  derechos  fundamentales  reconocidos  por  la</w:t>
        <w:br/>
        <w:t>Constitución, la ley o la presente Convención, aun cuando tal violación  sea</w:t>
        <w:br/>
        <w:t>cometida por personas que actúen en ejercicio de sus funciones oficiales”.</w:t>
        <w:br/>
        <w:br/>
        <w:t>[422]       Cfr. Naciones Unidas. Acuerdos de El Salvador: en el  camino  de</w:t>
        <w:br/>
        <w:t>la paz, 1992  (expediente  de  prueba,  tomo  IX,  anexo  6  al  escrito  de</w:t>
        <w:br/>
        <w:t>solicitudes, argumentos y pruebas, folio 5805).</w:t>
        <w:br/>
        <w:br/>
        <w:t>[423]       Cfr. Naciones Unidas. Acuerdos de El Salvador: en el  camino  de</w:t>
        <w:br/>
        <w:t>la paz, 1992  (expediente  de  prueba,  tomo  IX,  anexo  6  al  escrito  de</w:t>
        <w:br/>
        <w:t>solicitudes, argumentos y pruebas, folio 5805)</w:t>
        <w:br/>
        <w:br/>
        <w:t>[424]       Cfr. Naciones Unidas. Acuerdos de El Salvador: en el  camino  de</w:t>
        <w:br/>
        <w:t>la paz, 1992  (expediente  de  prueba,  tomo  IX,  anexo  6  al  escrito  de</w:t>
        <w:br/>
        <w:t>solicitudes, argumentos y pruebas, folio 5805)</w:t>
        <w:br/>
        <w:br/>
        <w:t>[425]       Cfr. Naciones Unidas. Acuerdos de El Salvador: en el  camino  de</w:t>
        <w:br/>
        <w:t>la paz, 1992  (expediente  de  prueba,  tomo  IX,  anexo  6  al  escrito  de</w:t>
        <w:br/>
        <w:t>solicitudes, argumentos y pruebas, folio 5811).</w:t>
        <w:br/>
        <w:br/>
        <w:t>[426]       Cfr. Naciones Unidas. Acuerdos de El Salvador: en el  camino  de</w:t>
        <w:br/>
        <w:t>la paz, 1992  (expediente  de  prueba,  tomo  IX,  anexo  6  al  escrito  de</w:t>
        <w:br/>
        <w:t>solicitudes, argumentos y pruebas, folio 5806).</w:t>
        <w:br/>
        <w:br/>
        <w:t>[427]       Cfr. Naciones Unidas. Acuerdos de El Salvador: en el  camino  de</w:t>
        <w:br/>
        <w:t>la paz, 1992  (expediente  de  prueba,  tomo  IX,  anexo  6  al  escrito  de</w:t>
        <w:br/>
        <w:t>solicitudes, argumentos y pruebas, folios 5806 a 5807).</w:t>
        <w:br/>
        <w:br/>
        <w:t>[428]       Naciones Unidas. Acuerdos de El Salvador: en  el  camino  de  la</w:t>
        <w:br/>
        <w:t>paz,  1992  (expediente  de  prueba,  tomo  IX,  anexo  6  al   escrito   de</w:t>
        <w:br/>
        <w:t>solicitudes, argumentos y pruebas, folio 5818).</w:t>
        <w:br/>
        <w:br/>
        <w:t>[429]       Cfr. Naciones Unidas. Acuerdos de El Salvador: en el  camino  de</w:t>
        <w:br/>
        <w:t>la paz, 1992  (expediente  de  prueba,  tomo  IX,  anexo  6  al  escrito  de</w:t>
        <w:br/>
        <w:t>solicitudes, argumentos y pruebas, folios 5806 a 5807).</w:t>
        <w:br/>
        <w:br/>
        <w:t>[430]       Cfr. Naciones Unidas. Acuerdos de El Salvador: en el  camino  de</w:t>
        <w:br/>
        <w:t>la paz, 1992  (expediente  de  prueba,  tomo  IX,  anexo  6  al  escrito  de</w:t>
        <w:br/>
        <w:t>solicitudes, argumentos y pruebas, folio 5808).</w:t>
        <w:br/>
        <w:br/>
        <w:t>[431]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1081).</w:t>
        <w:br/>
        <w:br/>
        <w:t>[432]       Cfr. Naciones Unidas. Acuerdos de El Salvador: en el  camino  de</w:t>
        <w:br/>
        <w:t>la paz, 1992  (expediente  de  prueba,  tomo  IX,  anexo  6  al  escrito  de</w:t>
        <w:br/>
        <w:t>solicitudes, argumentos y pruebas, folio 5808).</w:t>
        <w:br/>
        <w:br/>
        <w:t>[433]       Naciones Unidas. Acuerdos de El Salvador: en  el  camino  de  la</w:t>
        <w:br/>
        <w:t>paz,  1992  (expediente  de  prueba,  tomo  IX,  anexo  6  al   escrito   de</w:t>
        <w:br/>
        <w:t>solicitudes, argumentos y pruebas, folio 5809).</w:t>
        <w:br/>
        <w:br/>
        <w:t>[434]       Naciones Unidas. Acuerdos de El Salvador: en  el  camino  de  la</w:t>
        <w:br/>
        <w:t>paz,  1992  (expediente  de  prueba,  tomo  IX,  anexo  6  al   escrito   de</w:t>
        <w:br/>
        <w:t>solicitudes, argumentos y pruebas, folio 5865).</w:t>
        <w:br/>
        <w:br/>
        <w:t>[435]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1087).</w:t>
        <w:br/>
        <w:br/>
        <w:t>[436]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1088).</w:t>
        <w:br/>
        <w:br/>
        <w:t>[437] Cfr. Informe de la Comisión de la  Verdad  para  El  Salvador,  De  la</w:t>
        <w:br/>
        <w:t>locura a la esperanza, La guerra  de  12  años  en  El  Salvador,  1992-1993</w:t>
        <w:br/>
        <w:t>(expediente de prueba, tomo II, anexo 1 al  sometimiento  del  caso,  folios</w:t>
        <w:br/>
        <w:t>1074 a 1287).</w:t>
        <w:br/>
        <w:br/>
        <w:t>[438]       Ley de Reconciliación  Nacional,  Decreto  Legislativo  Nº  147,</w:t>
        <w:br/>
        <w:t>publicado el 23 de enero de 1992 (expediente de prueba, tomo II, anexo 5  al</w:t>
        <w:br/>
        <w:t>sometimiento del caso, folios 1407 a 1411).</w:t>
        <w:br/>
        <w:br/>
        <w:t>[439]       Ley de Reconciliación  Nacional,  Decreto  Legislativo  Nº  147,</w:t>
        <w:br/>
        <w:t>publicado el 23 de enero de 1992 (expediente de prueba, tomo II, anexo 5  al</w:t>
        <w:br/>
        <w:t>sometimiento del caso, folios 1407 a 1411).</w:t>
        <w:br/>
        <w:br/>
        <w:t>[440]       Cfr. Ley de Amnistía General para la Consolidación  de  la  Paz,</w:t>
        <w:br/>
        <w:t>Decreto Legislativo Nº 486, publicado el 22 de marzo de 1993 (expediente  de</w:t>
        <w:br/>
        <w:t>prueba, tomo II, anexo 6 al sometimiento del caso, folios 1413 a 1416).</w:t>
        <w:br/>
        <w:br/>
        <w:t>[441]       Decisión de sobreseimiento definitivo  emitida  por  el  Juzgado</w:t>
        <w:br/>
        <w:t>Segundo de Primera Instancia de San Francisco Gotera el 1 de  septiembre  de</w:t>
        <w:br/>
        <w:t>1993 (expediente de prueba, tomo V,  anexo  23  al  sometimiento  del  caso,</w:t>
        <w:br/>
        <w:t>folios 3615 a 3616).</w:t>
        <w:br/>
        <w:br/>
        <w:t>[442]       Decisión emitida por la Sala de lo Constitucional  de  la  Corte</w:t>
        <w:br/>
        <w:t>Suprema  de  Justicia  el  20  de  mayo  de  1993  en  el  expediente  10-93</w:t>
        <w:br/>
        <w:t>(expediente de prueba, tomo II, anexo 7 al  sometimiento  del  caso,  folios</w:t>
        <w:br/>
        <w:t>1418 a 1423).</w:t>
        <w:br/>
        <w:br/>
        <w:t>[443]       Decisión emitida por la Sala de lo Constitucional  de  la  Corte</w:t>
        <w:br/>
        <w:t>Suprema de Justicia el 26 de septiembre de 2000 en los expedientes  24-97  y</w:t>
        <w:br/>
        <w:t>21-98 (expediente de prueba, tomo II, anexo  8  al  sometimiento  del  caso,</w:t>
        <w:br/>
        <w:t>folio 1461).</w:t>
        <w:br/>
        <w:br/>
        <w:t>[444]       Cfr. Decisión emitida por la Sala de  lo  Constitucional  de  la</w:t>
        <w:br/>
        <w:t>Corte Suprema de Justicia el 26 de septiembre de 2000 en los expedientes 24-</w:t>
        <w:br/>
        <w:t>97 y 21-98 (expediente de prueba, tomo  II,  anexo  8  al  sometimiento  del</w:t>
        <w:br/>
        <w:t>caso, folios 1425 a 1461).</w:t>
        <w:br/>
        <w:br/>
        <w:t>[445]       Decisión emitida por la Sala de lo Constitucional  de  la  Corte</w:t>
        <w:br/>
        <w:t>Suprema de Justicia el 26 de septiembre de 2000 en los expedientes  24-97  y</w:t>
        <w:br/>
        <w:t>21-98 (expediente de prueba, tomo II, anexo  8  al  sometimiento  del  caso,</w:t>
        <w:br/>
        <w:t>folio 1460).</w:t>
        <w:br/>
        <w:br/>
        <w:t>[446]       Cfr. Escrito de la Oficina de Tutela Legal  del  Arzobispado  de</w:t>
        <w:br/>
        <w:t>San Salvador de 23 de noviembre de 2006  (expediente  de  prueba,  tomo  XI,</w:t>
        <w:br/>
        <w:t>anexo 17.1 al escrito de solicitudes, argumentos y pruebas,  folios  6929  a</w:t>
        <w:br/>
        <w:t>6999).</w:t>
        <w:br/>
        <w:br/>
        <w:t>[447]       Cfr. Auto emitido por el Juzgado Segundo  de  Primera  instancia</w:t>
        <w:br/>
        <w:t>de San Francisco Gotera el 30 de noviembre de 2006  (expediente  de  prueba,</w:t>
        <w:br/>
        <w:t>tomo XI, anexo 17.2 al escrito de solicitudes, argumentos y pruebas,  folios</w:t>
        <w:br/>
        <w:t>7001 a 7002).</w:t>
        <w:br/>
        <w:br/>
        <w:t>[448]       Cfr. Escrito de la Oficina de Tutela Legal  del  Arzobispado  de</w:t>
        <w:br/>
        <w:t>San Salvador de 16 de abril de 2007 (expediente de prueba,  tomo  XI,  anexo</w:t>
        <w:br/>
        <w:t>17.3 al escrito de solicitudes, argumentos y pruebas, folios 7004 a 7008).</w:t>
        <w:br/>
        <w:br/>
        <w:t>[449]       Cfr. Solicitud de reapertura presentada  por  Tutela  Legal  del</w:t>
        <w:br/>
        <w:t>Arzobispado el 13 de agosto de 2007 (expediente de prueba,  tomo  XI,  anexo</w:t>
        <w:br/>
        <w:t>17.4 al escrito de solicitudes, argumentos y pruebas, folios 7010 a 7011).</w:t>
        <w:br/>
        <w:br/>
        <w:t>[450]       Cfr. Auto emitido por el Juzgado Segundo  de  Primera  instancia</w:t>
        <w:br/>
        <w:t>de San Francisco Gotera el 4 de febrero de 2009 (expediente de prueba,  tomo</w:t>
        <w:br/>
        <w:t>XI, anexo 17.5 al escrito de solicitudes, argumentos y pruebas, folios  7013</w:t>
        <w:br/>
        <w:t>a 7018).</w:t>
        <w:br/>
        <w:br/>
        <w:t>[451]       Cfr. Solicitud de revocatoria presentada por  Tutela  Legal  del</w:t>
        <w:br/>
        <w:t>Arzobispado el 9 de febrero de 2009 (expediente de prueba,  tomo  XI,  anexo</w:t>
        <w:br/>
        <w:t>17.6 al escrito de solicitudes, argumentos y pruebas, folios 7020 a 7024).</w:t>
        <w:br/>
        <w:br/>
        <w:t>[452]       Cfr. Caso  Gomes  Lund  y  otros  (Guerrilha  do  Araguaia)  Vs.</w:t>
        <w:br/>
        <w:t>Brasil, párrs. 147 a 182, y Caso Gelman Vs. Uruguay, párrs. 195 a 229.</w:t>
        <w:br/>
        <w:br/>
        <w:t>[453]       Cfr. Caso Barrios Altos Vs. Perú.  Fondo.  Sentencia  de  14  de</w:t>
        <w:br/>
        <w:t>marzo de 2001. Serie C No. 75, párrs. 41 a 44;  Caso  Almonacid  Arellano  y</w:t>
        <w:br/>
        <w:t>otros Vs. Chile, párrs. 105 a 114; Caso La Cantuta Vs. Perú,  párrs.  152  y</w:t>
        <w:br/>
        <w:t>168; Caso Gomes Lund y otros (Guerrilha do Araguaia) Vs. Brasil, párr.  147,</w:t>
        <w:br/>
        <w:t>y Caso Gelman Vs. Uruguay, párr. 195.</w:t>
        <w:br/>
        <w:br/>
        <w:t>[454]       Cfr. CIDH. Informe No.  28/92,  Casos  10.147;  10.181;  10.240;</w:t>
        <w:br/>
        <w:t>10.262; 10.309, y 10.311. Argentina, de 2 de octubre de 1992,  párrs.  40  y</w:t>
        <w:br/>
        <w:t>41; CIDH. Informe No. 34/96, Casos 11.228; 11.229; 11.231, y 11.282.  Chile,</w:t>
        <w:br/>
        <w:t>de 15 de octubre de 1996, párr. 70; CIDH. Informe No. 36/96.  Chile,  de  15</w:t>
        <w:br/>
        <w:t>de octubre de 1996, párr. 71;  CIDH.  Informe  No.  1/99,  Caso  10.480.  El</w:t>
        <w:br/>
        <w:t>Salvador, de 27 de enero de 1999, párrs. 107 y 121; CIDH. Informe No.  8/00,</w:t>
        <w:br/>
        <w:t>Caso 11.378. Haití, de 24 de febrero de 2000, párrs. 35 y 36; CIDH.  Informe</w:t>
        <w:br/>
        <w:t>No. 20/99, Caso 11.317. Perú, de 23 de febrero de 1999, párrs.  159  y  160;</w:t>
        <w:br/>
        <w:t>CIDH. Informe No. 55/99, Casos 10.815;  10.905;  10.981;  10.995;  11.042  y</w:t>
        <w:br/>
        <w:t>11.136. Perú, de 13 de abril de 1999, párr. 140; CIDH.  Informe  No.  44/00,</w:t>
        <w:br/>
        <w:t>Caso 10.820. Perú, de 13 de abril de  2000,  párr.  68;  CIDH.  Informe  No.</w:t>
        <w:br/>
        <w:t>47/00, Caso 10.908. Perú, 13 de abril de 2000, párr. 76,  e  Informe  29/92.</w:t>
        <w:br/>
        <w:t>Casos 10.029, 10.036 y 10.145. Uruguay, de 2 de Octubre de 1992,  párrs.  50</w:t>
        <w:br/>
        <w:t>y 51.</w:t>
        <w:br/>
        <w:br/>
        <w:t>[455]       Al respecto, ver Informe final revisado del Relator Especial  de</w:t>
        <w:br/>
        <w:t>las Naciones Unidas acerca de la cuestión de la impunidad de los autores  de</w:t>
        <w:br/>
        <w:t>violaciones  de  los  derechos  humanos  (derechos  civiles   y   políticos)</w:t>
        <w:br/>
        <w:t>preparado por  el  Sr.  Louis  Joinet,  de  conformidad  con  la  resolución</w:t>
        <w:br/>
        <w:t>1996/119 de la Subcomisión de Prevención de  Discriminaciones  y  Protección</w:t>
        <w:br/>
        <w:t>de las Minorías. U.N. Doc. E/CN.4/Sub.2/1997/20/Rev1, de  2  de  octubre  de</w:t>
        <w:br/>
        <w:t>1997,  párr.  32,  y  Grupo  de  Trabajo  sobre  Desapariciones  Forzadas  o</w:t>
        <w:br/>
        <w:t>Involuntarias de las Naciones Unidas. Observación General sobre el  artículo</w:t>
        <w:br/>
        <w:t>18 de la Declaración sobre la protección de todas las  personas  contra  las</w:t>
        <w:br/>
        <w:t>desapariciones  forzadas.  Informe  presentado  dentro  de  62º  período  de</w:t>
        <w:br/>
        <w:t>sesiones de la Comisión de Derechos Humanos. U.N.  Doc.  E/CN.4/2006/56,  de</w:t>
        <w:br/>
        <w:t>27 de diciembre de 2005, párrs. 2, incisos a, c, y d  de  las  observaciones</w:t>
        <w:br/>
        <w:t>generales,  23  de  la  introducción   y   599   de   las   conclusiones   y</w:t>
        <w:br/>
        <w:t>recomendaciones.  En  el  mismo  sentido,  cfr.  Grupo  de   Trabajo   sobre</w:t>
        <w:br/>
        <w:t>Desapariciones Forzadas o Involuntarias de las Naciones Unidas.  Informe  al</w:t>
        <w:br/>
        <w:t>Consejo de Derechos Humanos, 4º período de sesiones. U.N.  Doc.  A/HRC/4/41,</w:t>
        <w:br/>
        <w:t>de 25 de enero de 2007, párr. 500. De  igual  modo,  también  en  el  ámbito</w:t>
        <w:br/>
        <w:t>universal, los órganos de protección de derechos  humanos  establecidos  por</w:t>
        <w:br/>
        <w:t>tratados han mantenido el mismo criterio sobre la prohibición  de  amnistías</w:t>
        <w:br/>
        <w:t>que  impidan  la  investigación  y  sanción  de   quienes   cometan   graves</w:t>
        <w:br/>
        <w:t>violaciones a los derechos humanos. Cfr.  C.D.H.,  Observación  General  31:</w:t>
        <w:br/>
        <w:t>Naturaleza de la obligación jurídica general impuesta a los  Estados  Partes</w:t>
        <w:br/>
        <w:t>en el Pacto, U.N. Doc. CCPR/C/21/Rev.1/Add.13, de 26 de mayo de 2004,  párr.</w:t>
        <w:br/>
        <w:t>18. Esta Observación General amplió el contenido de  la  Observación  número</w:t>
        <w:br/>
        <w:t>20, referente sólo a  actos  de  tortura,  a  otras  graves  violaciones  de</w:t>
        <w:br/>
        <w:t>derechos humanos. Al respecto, también Cfr. C.D.H. Observación  General  20:</w:t>
        <w:br/>
        <w:t>Reemplaza a la Observación General  7,  prohibición  de  la  tortura  y  los</w:t>
        <w:br/>
        <w:t>tratos o penas crueles (art. 7), U.N. Doc. A/47/40(SUPP), Anexo  VI,  A,  de</w:t>
        <w:br/>
        <w:t>10 de marzo de 1992, párr. 15; C.D.H.,  Caso  Hugo  Rodríguez  Vs.  Uruguay,</w:t>
        <w:br/>
        <w:t>Comunicación No. 322/1988, UN Doc. CCPR/C/51/D/322/1988, Dictamen  de  9  de</w:t>
        <w:br/>
        <w:t>agosto de 1994, párrs. 12.3 y 12.4; C.D.H., Observaciones  finales  respecto</w:t>
        <w:br/>
        <w:t>del examen de los informes presentados por los Estados partes en virtud  del</w:t>
        <w:br/>
        <w:t>artículo 40 del Pacto, respecto de Perú, U.N. Doc. CCPR/C/79/Add.67,  de  25</w:t>
        <w:br/>
        <w:t>de julio de 1996, párr. 9; de Yemen, U.N. Doc.  CCPR/C/79/Add.51,  de  3  de</w:t>
        <w:br/>
        <w:t>octubre de 1995, numeral 4, párr. 3; Paraguay, U.N.  Doc.  CCPR/C/79/Add.48,</w:t>
        <w:br/>
        <w:t>de 3 de octubre de  1995,  numeral  3,  párr.  5,  y  de  Haití,  U.N.  Doc.</w:t>
        <w:br/>
        <w:t>CCPR/C/79/Add.49, de 3 de octubre de  1995,  numeral  4,  párr.  2;  C.A.T.,</w:t>
        <w:br/>
        <w:t>Observación General 2: Aplicación del artículo 2  por  los  Estados  Partes.</w:t>
        <w:br/>
        <w:t>U.N.  Doc.  CAT/C/GC/2,  de  24  de  enero  de  2008,  párr.  5,  y  C.A.T.,</w:t>
        <w:br/>
        <w:t>Observaciones finales respecto del examen de los  informes  presentados  por</w:t>
        <w:br/>
        <w:t>los Estados partes de conformidad  con  el  artículo  19  de  la  Convención</w:t>
        <w:br/>
        <w:t>respecto de Benin, U.N. Doc. CAT/C/BEN/CO/2,  de  19  de  febrero  de  2008,</w:t>
        <w:br/>
        <w:t>párr.  9,  y  de  la  Ex  República  Yugoslava  de  Macedonia,   U.N.   Doc.</w:t>
        <w:br/>
        <w:t>CAT/C/MKD/CO/2, de 21 de mayo de 2008, párr. 5.</w:t>
        <w:br/>
        <w:br/>
        <w:t>[456]       Cfr. T.E.D.H. Caso Abdülsamet Yaman Vs.  Turkey,  no.  32446/96,</w:t>
        <w:br/>
        <w:t>párr. 552, 2 de noviembre  de  2004,  A.C.H.P.R.,  Caso  de  Malawi  African</w:t>
        <w:br/>
        <w:t>Association y otros vs. Mauritania, Communicación Nos. 54/91, 61/91,  98/93,</w:t>
        <w:br/>
        <w:t>164/97-196/97 y 210/98, decisión del  11  de  mayo  de  2000,  párr.  83,  y</w:t>
        <w:br/>
        <w:t>A.C.H.P.R., Caso de  la  ONG  Zimbabwe  Human  Rights  Forum  vs.  Zimbabwe,</w:t>
        <w:br/>
        <w:t>Communicación No. 245/02, decisión del 26 de mayo  de  2006,  párrs.  211  y</w:t>
        <w:br/>
        <w:t>215.</w:t>
        <w:br/>
        <w:br/>
        <w:t>[457]       Cfr. I.C.T.Y., Cmayo de 2000, párr. 83, y  A.C.H.P.R.,  Caso  de</w:t>
        <w:br/>
        <w:t>la ONG Zimbabwe Human Rights Forum vs. Zimbabwe, Communicación  No.  245/02,</w:t>
        <w:br/>
        <w:t>decisión del 26 de mayo de 2006, párrs. 211 y 215.</w:t>
        <w:br/>
        <w:br/>
        <w:t>[458]       Cfr. I.C.T.Y., Case of Prosecutor v. Furundžija. Judgment of  10</w:t>
        <w:br/>
        <w:t>December,  1998.  Case  No.  IT-95-17/1-T,  para.  155;  S.C.S.L.,  Case  of</w:t>
        <w:br/>
        <w:t>Prosecutor  v.  Gbao,  Decision  No.  SCSL-04-15-PT-141,  Appeals   Chamber,</w:t>
        <w:br/>
        <w:t>Decision on Preliminary Motion on the Invalidity of  the  Agreement  Between</w:t>
        <w:br/>
        <w:t>the United Nations and the Government of Sierra Leone on  the  Establishment</w:t>
        <w:br/>
        <w:t>of the Special Court, 25 May 2004, para. 10; S.C.S.L.,  Case  of  Prosecutor</w:t>
        <w:br/>
        <w:t>v. Sesay, Kallon and Gbao, Case No.  SCSL-04-15-T,  Judgment  of  the  Trial</w:t>
        <w:br/>
        <w:t>Chamber, 25 February 2009, para. 54, y Case of Prosecutor v.  Sesay,  Kallon</w:t>
        <w:br/>
        <w:t>and Gbao, Case No.  SCSL-04-15-T,  Trial  Chamber,  Sentencing  Judgment,  8</w:t>
        <w:br/>
        <w:t>April 2009, para. 253. Al respecto ver también: Acuerdo entre  la  República</w:t>
        <w:br/>
        <w:t>Libanesa y las Naciones Unidas relativo al establecimiento  de  un  Tribunal</w:t>
        <w:br/>
        <w:t>Especial para el Líbano, firmado el 23 de enero y el 6 de febrero  de  2007,</w:t>
        <w:br/>
        <w:t>respectivamente, artículo 16 y el Estatuto del  Tribunal  Especial  para  el</w:t>
        <w:br/>
        <w:t>Líbano aprobado por la resolución 1757  del  Consejo  de  Seguridad  de  las</w:t>
        <w:br/>
        <w:t>Naciones Unidas. U.N Doc.S/RES/1757, de 30 de  mayo  de  2007,  artículo  6;</w:t>
        <w:br/>
        <w:t>Estatuto del Tribunal Especial para Sierra Leona, de 16 de  enero  de  2002,</w:t>
        <w:br/>
        <w:t>artículo 10; Acuerdo entre  las  Naciones  Unidas  y  el  Gobierno  Real  de</w:t>
        <w:br/>
        <w:t>Camboya para el  Enjuiciamiento  bajo  la  Ley  Camboyana  de  los  Crímenes</w:t>
        <w:br/>
        <w:t>Cometidos durante el Período de Kampuchea Democrática,  de  6  de  marzo  de</w:t>
        <w:br/>
        <w:t>2003,  artículo  11,  y  Ley  sobre  el   establecimiento   de   las   Salas</w:t>
        <w:br/>
        <w:t>Extraordinarias en las Cortes de Camboya para el Enjuiciamiento de  Crímenes</w:t>
        <w:br/>
        <w:t>Cometidos  durante  el  Período  de  Kampuchea  Democrática,  con  enmiendas</w:t>
        <w:br/>
        <w:t>aprobadas el 27 de octubre de 2004 (NS/RKM,1004/006), nuevo artículo 40.</w:t>
        <w:br/>
        <w:br/>
        <w:t>[459]       Cfr. Caso  Gomes  Lund  y  otros  (Guerrilha  do  Araguaia)  Vs.</w:t>
        <w:br/>
        <w:t>Brasil, párrs. 147 a 182, y Caso Gelman Vs. Uruguay, párrs. 183 a 229.</w:t>
        <w:br/>
        <w:br/>
        <w:t>[460]       Cfr. Caso de las Hermanas Serrano Cruz Vs. El  Salvador.  Fondo,</w:t>
        <w:br/>
        <w:t>Reparaciones y Costas, párr. 172, y Caso Contreras y otros Vs. El  Salvador,</w:t>
        <w:br/>
        <w:t>párr. 174.</w:t>
        <w:br/>
        <w:br/>
        <w:t>[461]       Caso Barrios Altos Vs. Perú. Fondo, párr. 41, y Caso Gelman  Vs.</w:t>
        <w:br/>
        <w:t>Uruguay, párr. 225.</w:t>
        <w:br/>
        <w:br/>
        <w:t>[462]       Cfr. Norma  consuetudinaria  159:  “[c]uando  hayan  cesado  las</w:t>
        <w:br/>
        <w:t>hostilidades, las autoridades en el poder  se  esforzarán  por  conceder  la</w:t>
        <w:br/>
        <w:t>amnistía más amplia posible a quienes  hayan  participado  en  un  conflicto</w:t>
        <w:br/>
        <w:t>armado no internacional o a las personas privadas de  libertad  por  razones</w:t>
        <w:br/>
        <w:t>relacionadas con el conflicto armado, salvo a  las  personas  sospechosas  o</w:t>
        <w:br/>
        <w:t>acusadas de haber cometido crímenes de guerra, o que  estén  condenadas  por</w:t>
        <w:br/>
        <w:t>ello”. Al respecto, el Comité Internacional de la  Cruz  Roja  ha  sostenido</w:t>
        <w:br/>
        <w:t>que “[c]uando se aprobó el  párrafo  5  del  artículo  6  del  Protocolo  II</w:t>
        <w:br/>
        <w:t>adicional, la USSR  declaró,  en  su  explicación  de  voto,  que  no  podía</w:t>
        <w:br/>
        <w:t>interpretarse la disposición de modo que  permitiese  a  los  criminales  de</w:t>
        <w:br/>
        <w:t>guerra, u otras personas culpables de crímenes de lesa humanidad, eludir  un</w:t>
        <w:br/>
        <w:t>castigo severo. El CICR coincide  con  esa  interpretación.  Esas  amnistías</w:t>
        <w:br/>
        <w:t>serían también incompatibles con  la  norma  que  obliga  a  los  Estados  a</w:t>
        <w:br/>
        <w:t>investigar y enjuiciar a los  sospechosos  de  haber  cometido  crímenes  de</w:t>
        <w:br/>
        <w:t>guerra en conflictos armados  no  internacionales”.  [citas  omitidas]  Cfr.</w:t>
        <w:br/>
        <w:t>Comité Internacional de la Cruz Roja, El derecho  internacional  humanitario</w:t>
        <w:br/>
        <w:t>consuetudinario, vol. I, editado por Jean-Marie Henckaerts y Louise Doswald-</w:t>
        <w:br/>
        <w:t>Beck, 2007, págs. 691 a 692.</w:t>
        <w:br/>
        <w:br/>
        <w:t>[463]         Esta   norma   de   Derecho   Internacional   Humanitario    e</w:t>
        <w:br/>
        <w:t>interpretación del protocolo II artículo 6.5 ha sido retomada por el  Comité</w:t>
        <w:br/>
        <w:t>de  Derechos  Humanos  de  Naciones  Unidas.  Cfr.  entre   otros,   C.D.H.,</w:t>
        <w:br/>
        <w:t>Observaciones finales del Comité de  Derechos  Humanos:  Líbano,  U.N.  Doc.</w:t>
        <w:br/>
        <w:t>CCPR/C/79/Add.78, 5 de mayo de 1997, párr. 12, y Observaciones  finales  del</w:t>
        <w:br/>
        <w:t>Comité de Derechos Humanos: Croacia, U.N. Doc., CCPR/ CO/71/HRV, 4 de  abril</w:t>
        <w:br/>
        <w:t>de 2001, párr. 11.</w:t>
        <w:br/>
        <w:br/>
        <w:t>[464]        A  los  efectos  del  Estatuto  de  Roma  de  la  Corte   Penal</w:t>
        <w:br/>
        <w:t>Internacional, se tipifica como crímenes de guerra los hechos  relativos  al</w:t>
        <w:br/>
        <w:t>homicidio y otros atentados contra la vida y  la  integridad  corporal,  los</w:t>
        <w:br/>
        <w:t>tratos crueles  y  la  tortura  y  las  ejecuciones  extrajudiciales  en  el</w:t>
        <w:br/>
        <w:t>artículo 8, párrafo 2, apartado c), incisos i), ii) y iv), y en el  apartado</w:t>
        <w:br/>
        <w:t>e), incisos i) y vi) del mismo Estatuto, los hechos relativos a los  ataques</w:t>
        <w:br/>
        <w:t>intencionales contra la población civil y la violación sexual.</w:t>
        <w:br/>
        <w:br/>
        <w:t>[465]        A  los  efectos  del  Estatuto  de  Roma  de  la  Corte   Penal</w:t>
        <w:br/>
        <w:t>Internacional, se tipifica  como  crímenes  de  lesa  humanidad  los  hechos</w:t>
        <w:br/>
        <w:t>relativos al asesinato, el exterminio, la tortura y la violación,  cometidos</w:t>
        <w:br/>
        <w:t>como parte de un ataque generalizado  o  sistemático  contra  una  población</w:t>
        <w:br/>
        <w:t>civil y con conocimiento de dicho ataque, en el artículo  7,  apartados  a),</w:t>
        <w:br/>
        <w:t>b), f) y g).</w:t>
        <w:br/>
        <w:br/>
        <w:t>[466]       Cfr. Naciones Unidas. Acuerdos de El Salvador: en el  camino  de</w:t>
        <w:br/>
        <w:t>la paz, 1992  (expediente  de  prueba,  tomo  IX,  anexo  6  al  escrito  de</w:t>
        <w:br/>
        <w:t>solicitudes, argumentos y pruebas, folios 5805 y 5858).</w:t>
        <w:br/>
        <w:br/>
        <w:t>[467]       Aunado a ello, no escapa a la Corte que ya en el Acuerdo de  San</w:t>
        <w:br/>
        <w:t>José  de  26  de  julio  de  1990,  las  partes  que  se  encontraban   bajo</w:t>
        <w:br/>
        <w:t>negociaciones convinieron  que  “[s]e  tomar[ían]  de  inmediato  todas  las</w:t>
        <w:br/>
        <w:t>acciones y medidas necesarias para evitar todo tipo de  hechos  o  prácticas</w:t>
        <w:br/>
        <w:t>que atenten contra la vida, la integridad, la seguridad  y  la  libertad  de</w:t>
        <w:br/>
        <w:t>las personas [así como] para erradicar toda  práctica  de  desapariciones  y</w:t>
        <w:br/>
        <w:t>secuestros [y que s]e dar[ía] toda  prioridad  a  la  investigación  de  los</w:t>
        <w:br/>
        <w:t>casos  de  esta  naturaleza  que  pudieran  presentarse,  así  como   a   la</w:t>
        <w:br/>
        <w:t>identificación y sanción de quienes resultaren culpables”. Naciones  Unidas.</w:t>
        <w:br/>
        <w:t>Acuerdos de El Salvador: en  el  camino  de  la  paz,  1992  (expediente  de</w:t>
        <w:br/>
        <w:t>prueba, tomo IX, anexo 6 al escrito de solicitudes,  argumentos  y  pruebas,</w:t>
        <w:br/>
        <w:t>folio 5818).</w:t>
        <w:br/>
        <w:br/>
        <w:t>[468]       Naciones Unidas. Acuerdos de El Salvador: en  el  camino  de  la</w:t>
        <w:br/>
        <w:t>paz,  1992  (expediente  de  prueba,  tomo  IX,  anexo  6  al   escrito   de</w:t>
        <w:br/>
        <w:t>solicitudes, argumentos y pruebas, folio 5865).</w:t>
        <w:br/>
        <w:br/>
        <w:t>[469]       Ley de Reconciliación  Nacional,  Decreto  Legislativo  Nº  147,</w:t>
        <w:br/>
        <w:t>publicado el 23 de enero de 1992 (expediente de prueba, tomo II, anexo 5  al</w:t>
        <w:br/>
        <w:t>sometimiento del caso, folio 1408).</w:t>
        <w:br/>
        <w:br/>
        <w:t>[470]       Cfr. Informe de la Comisión de la Verdad para  El  Salvador,  De</w:t>
        <w:br/>
        <w:t>la locura a la esperanza, La guerra de 12 años  en  El  Salvador,  1992-1993</w:t>
        <w:br/>
        <w:t>(expediente de prueba, tomo II, anexo 1 al  sometimiento  del  caso,  folios</w:t>
        <w:br/>
        <w:t>1081, 1087, 1195 y 1278).</w:t>
        <w:br/>
        <w:br/>
        <w:t>[471]       Informe de la Comisión de la Verdad  para  El  Salvador,  De  la</w:t>
        <w:br/>
        <w:t>locura a la esperanza, La guerra  de  12  años  en  El  Salvador,  1992-1993</w:t>
        <w:br/>
        <w:t>(expediente de prueba, tomo II, anexo 1  al  sometimiento  del  caso,  folio</w:t>
        <w:br/>
        <w:t>1274).</w:t>
        <w:br/>
        <w:br/>
        <w:t>[472]       Artículo 1 de la Ley de Amnistía General para  la  Consolidación</w:t>
        <w:br/>
        <w:t>de la Paz, Decreto Legislativo Nº 486, publicado el  22  de  marzo  de  1993</w:t>
        <w:br/>
        <w:t>(expediente de prueba, tomo II, anexo 6  al  sometimiento  del  caso,  folio</w:t>
        <w:br/>
        <w:t>1414).</w:t>
        <w:br/>
        <w:br/>
        <w:t>[473]       Al respecto, el perito Menéndez Leal explicó que “la  motivación</w:t>
        <w:br/>
        <w:t>de esta  gracia  está  claramente  alineada  con  los  considerandos  de  su</w:t>
        <w:br/>
        <w:t>precedente  la  gracia  de  1992  que  otorgaba  beneficios  de  manera  más</w:t>
        <w:br/>
        <w:t>restringida o limitada, pero se procedió a dictar una gracia  que  tiene  la</w:t>
        <w:br/>
        <w:t>característica de ser por un lado amplia,  absoluta  e  incondicional  y  la</w:t>
        <w:br/>
        <w:t>celeridad con que fue aprobada fue llamativa al punto  que  fue  considerada</w:t>
        <w:br/>
        <w:t>como  una  de  las  vulneraciones  más   serias   a   las   conclusiones   y</w:t>
        <w:br/>
        <w:t>recomendaciones contenidas en [el] informe [de la Comisión de la  Verdad]  y</w:t>
        <w:br/>
        <w:t>a los pactos o entendimientos refundacionales de 1992 en la  medida  que  ha</w:t>
        <w:br/>
        <w:t>impedido  investigar,  procesar  y  sancionar  legalmente  a   los   autores</w:t>
        <w:br/>
        <w:t>materiales e intelectuales de graves  violaciones  a  los  derechos  humanos</w:t>
        <w:br/>
        <w:t>acaecidas en el marco del conflicto armado”. Peritaje rendido  por  Salvador</w:t>
        <w:br/>
        <w:t>Eduardo Menéndez Leal ante la Corte Interamericana en la  audiencia  pública</w:t>
        <w:br/>
        <w:t>celebrada el 23 de abril de 2012.</w:t>
        <w:br/>
        <w:br/>
        <w:t>[474]       Cfr.  C.D.H.,  Observaciones  finales  del  Comité  de  Derechos</w:t>
        <w:br/>
        <w:t>Humanos: El Salvador, U.N. Doc.  CCPR/C/79/Add.34,  18  de  abril  de  1994,</w:t>
        <w:br/>
        <w:t>párrs.          7          y          12,           disponible           en:</w:t>
        <w:br/>
        <w:t>http://www.unhchr.ch/tbs/doc.nsf/(Symbol)/CCPR.C.79.Add.34.Sp?Opendocument;</w:t>
        <w:br/>
        <w:t>Observaciones finales del Comité de  Derechos  Humanos:  El  Salvador,  U.N.</w:t>
        <w:br/>
        <w:t>Doc.  CCPR/CO/78/SLV,  22  de  agosto  de  2003,  párr.  6,  disponible  en:</w:t>
        <w:br/>
        <w:t>http://www.unhchr.ch/tbs/doc.nsf/(Symbol)/CCPR.CO.78.SLV.Sp?Opendocument;</w:t>
        <w:br/>
        <w:t>Observaciones finales del Comité de  Derechos  Humanos:  El  Salvador,  U.N.</w:t>
        <w:br/>
        <w:t>Doc. CCPR/C/SLV/CO/6, 18 de noviembre  de  2010,  párr.  5,  disponible  en:</w:t>
        <w:br/>
        <w:t>http://daccess-dds-</w:t>
        <w:br/>
        <w:t>ny.un.org/doc/UNDOC/GEN/G10/467/01/PDF/G1046701.pdf?OpenElement;     Informe</w:t>
        <w:br/>
        <w:t>del Grupo de Trabajo sobre  las  Desapariciones  Forzadas  o  Involuntarias,</w:t>
        <w:br/>
        <w:t>Misión a El Salvador, U.N. Doc. A/HRC/7/2/Add.2,  26  de  octubre  de  2007,</w:t>
        <w:br/>
        <w:t>párr. 69 (expediente de prueba, tomo X, anexo 11 al escrito de  solicitudes,</w:t>
        <w:br/>
        <w:t>argumentos y pruebas, folio  6719),  y  C.A.T.,  Observaciones  Finales  del</w:t>
        <w:br/>
        <w:t>Comité contra la Tortura respecto a El Salvador, U.N.  Doc.  CAT/C/SLV/CO/2,</w:t>
        <w:br/>
        <w:t>9 de diciembre de 2009, párr. 15 (expediente de prueba, tomo X, anexo 12  al</w:t>
        <w:br/>
        <w:t>escrito de solicitudes, argumentos y pruebas, folios 6729 a 6730).</w:t>
        <w:br/>
        <w:br/>
        <w:t>[475]       Cfr.  C.D.H.,  Observaciones  finales  del  Comité  de  Derechos</w:t>
        <w:br/>
        <w:t>Humanos: El Salvador, U.N. Doc. CCPR/C/SLV/CO/6, 18 de  noviembre  de  2010,</w:t>
        <w:br/>
        <w:t>párr.         5,         disponible         en:          http://daccess-dds-</w:t>
        <w:br/>
        <w:t>ny.un.org/doc/UNDOC/GEN/G10/467/01/PDF/G1046701.pdf?OpenElement.         Ver</w:t>
        <w:br/>
        <w:t>también, Peritaje rendido por Salvador Eduardo Menéndez Leal ante  la  Corte</w:t>
        <w:br/>
        <w:t>Interamericana en la audiencia pública celebrada el 23 de abril de 2012.</w:t>
        <w:br/>
        <w:br/>
        <w:t>[476]        La  Procuraduría  para  la  Defensa  de  los  Derechos  Humanos</w:t>
        <w:br/>
        <w:t>consideró  oportunamente  que  la  Ley   de   Amnistía   General   para   la</w:t>
        <w:br/>
        <w:t>Consolidación de la Paz, en tanto deroga absolutamente  los  derechos  a  la</w:t>
        <w:br/>
        <w:t>verdad, a la justicia y a la reparación de las víctimas  de  crímenes  tales</w:t>
        <w:br/>
        <w:t>como  las  masacres  de  campesinos,  las  ejecuciones   extralegales,   las</w:t>
        <w:br/>
        <w:t>desapariciones  forzadas,  la   tortura,   el   asesinato   sistemático   de</w:t>
        <w:br/>
        <w:t>funcionarios públicos y la misma  corrupción  judicial,  es  una  norma  del</w:t>
        <w:br/>
        <w:t>derecho positivo que vulnera gravemente el orden jurídico  constitucional  y</w:t>
        <w:br/>
        <w:t>que   afecta,   asimismo,   los   principios   fundamentales   del   Derecho</w:t>
        <w:br/>
        <w:t>Internacional de los Derechos Humanos. Cfr. Informe  Especial  de  a  señora</w:t>
        <w:br/>
        <w:t>Procuradora para la Defensa  de  los  Derechos  Humanos  sobre  masacres  de</w:t>
        <w:br/>
        <w:t>población civil ejecutadas  por  agentes  del  Estado  en  el  contexto  del</w:t>
        <w:br/>
        <w:t>conflicto armado interno ocurrido en El Salvador entre 1980 y 1992 de  7  de</w:t>
        <w:br/>
        <w:t>marzo de 2005 (expediente de prueba, tomo III, anexo 4 al  sometimiento  del</w:t>
        <w:br/>
        <w:t>caso, folio 1388), y Escrito en calidad de amicus curiae presentado  por  la</w:t>
        <w:br/>
        <w:t>Procuraduría para  la  Defensa  de  los  Derechos  Humanos  de  El  Salvador</w:t>
        <w:br/>
        <w:t>(expediente de fondo, tomo III, folio 1256).</w:t>
        <w:br/>
        <w:br/>
        <w:t>[477]       Cfr. Peritaje rendido por Salvador Eduardo  Menéndez  Leal  ante</w:t>
        <w:br/>
        <w:t>la Corte Interamericana en la audiencia pública celebrada el 23 de abril  de</w:t>
        <w:br/>
        <w:t>2012, en el cual explicó que sólo en el caso de la muerte de los  sacerdotes</w:t>
        <w:br/>
        <w:t>jesuitas y sus dos colaboradoras se declaró que no se  aplicaba  la  Ley  de</w:t>
        <w:br/>
        <w:t>Amnistía de 1993, pero de  todas  maneras  se  aplicó  la  prescripción,  es</w:t>
        <w:br/>
        <w:t>decir, otro mecanismo jurídico que  generó  similares  o  análogos  efectos.</w:t>
        <w:br/>
        <w:t>Otro caso es el del Juez de Tecoluca del Departamento de  San  Vicente,  que</w:t>
        <w:br/>
        <w:t>conoce respecto a una masacre en San Francisco Angulo, “requirió  al  Fiscal</w:t>
        <w:br/>
        <w:t>la investigación del caso, y el caso se encuentra archivado  prácticamente”.</w:t>
        <w:br/>
        <w:t>Asimismo,  ver  Dictamen  pericial  rendido  por  Ricardo  Alberto  Iglesias</w:t>
        <w:br/>
        <w:t>Herrera ante la Corte Interamericana en el caso Contreras  y  otros  Vs.  El</w:t>
        <w:br/>
        <w:t>Salvador de 12 de mayo de 2011 (expediente de prueba, tomo X,  anexo  15  al</w:t>
        <w:br/>
        <w:t>escrito de solicitudes, argumentos y pruebas, folio 6841).</w:t>
        <w:br/>
        <w:br/>
        <w:t>[478]       A la luz del artículo 2  de  la  Convención,  la  obligación  de</w:t>
        <w:br/>
        <w:t>adecuar el derecho interno a las  disposiciones  de  la  Convención  implica</w:t>
        <w:br/>
        <w:t>para el Estado la adopción de medidas en dos  vertientes,  a  saber:  i)  la</w:t>
        <w:br/>
        <w:t>supresión de las normas y prácticas de  cualquier  naturaleza  que  entrañen</w:t>
        <w:br/>
        <w:t>violación a las garantías previstas en la Convención, y  ii)  la  expedición</w:t>
        <w:br/>
        <w:t>de  normas  y  el  desarrollo  de  prácticas  conducentes  a   la   efectiva</w:t>
        <w:br/>
        <w:t>observancia de dichas garantías. Cfr. Caso Castillo  Petruzzi  y  otros  Vs.</w:t>
        <w:br/>
        <w:t>Perú. Fondo, Reparaciones y Costas. Sentencia de 30 de mayo de  1999.  Serie</w:t>
        <w:br/>
        <w:t>C No.  52,  párr.  207,  y  Caso  Forneron  e  hija  Vs.  Argentina.  Fondo,</w:t>
        <w:br/>
        <w:t>Reparaciones y Costas. Sentencia de 27 de abril de 2012. Serie  C  No.  242,</w:t>
        <w:br/>
        <w:t>párr. 131.</w:t>
        <w:br/>
        <w:br/>
        <w:t>[479]       Cfr. Caso Barrios Altos Vs.  Perú.  Fondo,  párr.  44;  Caso  La</w:t>
        <w:br/>
        <w:t>Cantuta Vs.  Perú,  párr.  175;  Caso  Gomes  Lund  y  otros  (Guerrilha  do</w:t>
        <w:br/>
        <w:t>Araguaia) Vs. Brasil, párr. 174, y Caso Gelman Vs. Uruguay, párr. 232.</w:t>
        <w:br/>
        <w:br/>
        <w:t>[480]       El artículo 13.1 de la Convención Americana prevé  que:  “[t]oda</w:t>
        <w:br/>
        <w:t>persona tiene derecho a la libertad de pensamiento  y  de  expresión.   Este</w:t>
        <w:br/>
        <w:t>derecho comprende la libertad de buscar, recibir y difundir informaciones  e</w:t>
        <w:br/>
        <w:t>ideas de toda índole, sin consideración de fronteras, ya sea oralmente,  por</w:t>
        <w:br/>
        <w:t>escrito o en forma impresa o artística, o por cualquier  otro  procedimiento</w:t>
        <w:br/>
        <w:t>de su elección”.</w:t>
        <w:br/>
        <w:br/>
        <w:t>[481]       Cfr. Caso Gelman Vs. Uruguay, párr.  243,  y  Caso  Contreras  y</w:t>
        <w:br/>
        <w:t>otros Vs. El Salvador, párr. 173. Al respecto,  en  el  caso  Gomes  Lund  y</w:t>
        <w:br/>
        <w:t>otros, la Corte observó que, de conformidad con los  hechos  del  mismo,  el</w:t>
        <w:br/>
        <w:t>derecho a conocer la verdad se relacionaba con una  acción  interpuesta  por</w:t>
        <w:br/>
        <w:t>los familiares para acceder a  determinada  información,  vinculada  con  el</w:t>
        <w:br/>
        <w:t>acceso a la justicia y  con  el  derecho  a  buscar  y  recibir  información</w:t>
        <w:br/>
        <w:t>consagrado en el artículo  13  de  la  Convención  Americana,  por  lo  cual</w:t>
        <w:br/>
        <w:t>analizó aquel derecho  bajo  esta  norma.  Cfr.  Caso  Gomes  Lund  y  otros</w:t>
        <w:br/>
        <w:t>(Guerrilha do Araguaia) Vs. Brasil, párr. 201.</w:t>
        <w:br/>
        <w:br/>
        <w:t>[482]       Cfr. Caso Myrna Mack Chang Vs.  Guatemala,  párr.  274,  y  Caso</w:t>
        <w:br/>
        <w:t>Contreras y otros Vs. El Salvador, párr. 173.</w:t>
        <w:br/>
        <w:br/>
        <w:t>[483]        Cfr.  Caso  Zambrano  Vélez  y  otros   Vs.   Ecuador.   Fondo,</w:t>
        <w:br/>
        <w:t>Reparaciones y Costas. Sentencia de 4 de julio de 2007.  Serie  C  No.  166,</w:t>
        <w:br/>
        <w:t>párr. 128, y Caso Contreras y otros Vs. El Salvador, párr. 135.</w:t>
        <w:br/>
        <w:br/>
        <w:t>[484]       Cfr. Caso Zambrano Vélez y otros Vs. Ecuador, párr. 128, y  Caso</w:t>
        <w:br/>
        <w:t>Contreras y otros Vs. El Salvador, párr. 135.</w:t>
        <w:br/>
        <w:br/>
        <w:t>[485]       Cfr. Caso Goiburú  y  otros  Vs.  Paraguay,  párr.  66,  y  Caso</w:t>
        <w:br/>
        <w:t>Contreras y otros Vs. El Salvador, párr. 155.</w:t>
        <w:br/>
        <w:br/>
        <w:t>[486]       Cfr. Caso Myrna Mack Chang Vs.  Guatemala,  párr.  277,  y  Caso</w:t>
        <w:br/>
        <w:t>Contreras y otros Vs. El Salvador, párr. 128.</w:t>
        <w:br/>
        <w:br/>
        <w:t>[487]       El artículo 63.1 de la Convención Americana  dispone:  “[c]uando</w:t>
        <w:br/>
        <w:t>decida que hubo violación de  un  derecho  o  libertad  protegidos  en  [la]</w:t>
        <w:br/>
        <w:t>Convención, la Corte dispondrá que se garantice al lesionado en el  goce  de</w:t>
        <w:br/>
        <w:t>su derecho  o  libertad  conculcados.  Dispondrá  asimismo,  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lesionada”.</w:t>
        <w:br/>
        <w:br/>
        <w:t>[488]       Cfr. Caso  Velásquez  Rodríguez  Vs.  Honduras.  Reparaciones  y</w:t>
        <w:br/>
        <w:t>Costas. Sentencia de 21 de julio de 1989. Serie C No. 7, párr.  25,  y  Caso</w:t>
        <w:br/>
        <w:t>Vélez Restrepo y Familiares Vs. Colombia, párr. 253.</w:t>
        <w:br/>
        <w:br/>
        <w:t>[489] Cfr. Caso Castillo Páez Vs. Perú. Reparaciones y Costas. Sentencia  de</w:t>
        <w:br/>
        <w:t>27 de noviembre de 1998. Serie C No. 43, párr. 50, y Caso Vélez  Restrepo  y</w:t>
        <w:br/>
        <w:t>Familiares Vs. Colombia, párr. 253.</w:t>
        <w:br/>
        <w:br/>
        <w:t>[490]       Cfr. Caso  Velásquez  Rodríguez  Vs.  Honduras.  Reparaciones  y</w:t>
        <w:br/>
        <w:t>Costas, párrs. 25 a 27, y Caso Vélez Restrepo  y  Familiares  Vs.  Colombia,</w:t>
        <w:br/>
        <w:t>párr. 257.</w:t>
        <w:br/>
        <w:br/>
        <w:t>[491] Cfr. Caso Ticona Estrada y otros Vs. Bolivia.  Fondo,  Reparaciones  y</w:t>
        <w:br/>
        <w:t>Costas. Sentencia de 27 de noviembre de 2008. Serie C No. 191, párr. 110,  y</w:t>
        <w:br/>
        <w:t>Caso Vélez Restrepo y Familiares Vs. Colombia, párr. 255.</w:t>
        <w:br/>
        <w:br/>
        <w:t>[492] Cfr. Caso De la Masacre de las Dos Erres Vs. Guatemala, párr. 226.</w:t>
        <w:br/>
        <w:br/>
        <w:t>[493] Cfr. Caso De la Masacre de las Dos Erres Vs. Guatemala, párr. 226.</w:t>
        <w:br/>
        <w:br/>
        <w:t>[494] Cfr. Caso De la Masacre de las Dos Erres Vs. Guatemala, párr. 226.</w:t>
        <w:br/>
        <w:br/>
        <w:t>[495] Cfr. Caso De la Masacre de las Dos Erres Vs. Guatemala, párr. 226.</w:t>
        <w:br/>
        <w:br/>
        <w:t>[496]        Al  respecto,  el  Estado   explicó   que   este   proceso   de</w:t>
        <w:br/>
        <w:t>identificación de las víctimas había  sido  diseñado  en  cuatro  fases:  a)</w:t>
        <w:br/>
        <w:t>determinación del ámbito  del  registro,  b)  proceso  de  pre-registro,  c)</w:t>
        <w:br/>
        <w:t>proceso de registro y d) entrega del registro.  Cada  una  de  dichas  fases</w:t>
        <w:br/>
        <w:t>habría sido definida técnicamente en el  marco  de  un  proceso  de  diálogo</w:t>
        <w:br/>
        <w:t>permanente con las  víctimas  y  sus  representantes.  En  relación  con  el</w:t>
        <w:br/>
        <w:t>proceso de registro, su desarrollo de campo habría  dado  inicio  el  21  de</w:t>
        <w:br/>
        <w:t>mayo  de  2012  y  abarcaría  los   municipios   de   Arambala,   Meanguera,</w:t>
        <w:br/>
        <w:t>Jocoaitique, Chilanga y Cacaopera, todos del Departamento  de  Morazán,  así</w:t>
        <w:br/>
        <w:t>como los municipios de Lourdes, Gotera, San Miguel  y  otros,  en  donde  se</w:t>
        <w:br/>
        <w:t>ubica  población  desplazada.  Dicho  registro  de   víctimas   se   estaría</w:t>
        <w:br/>
        <w:t>desarrollando en dos  fases  simultáneas,  la  primera,  consistente  en  un</w:t>
        <w:br/>
        <w:t>registro por demanda, y la segunda, visita casa por casa. Según  el  Estado,</w:t>
        <w:br/>
        <w:t>el proceso de levantamiento de datos se realizaría en 15  días  continuos  y</w:t>
        <w:br/>
        <w:t>el proceso de revisión del padrón llevaría 20 días hábiles más, con  lo  que</w:t>
        <w:br/>
        <w:t>se  proyectaba  que  el  registro  estaría  listo  --previo  a  su  fase  de</w:t>
        <w:br/>
        <w:t>administración-- en 6 semanas. El primero de dichos proceso, estaría  siendo</w:t>
        <w:br/>
        <w:t>realizado por personal de la  Dirección  General  de  Estadística  y  Censos</w:t>
        <w:br/>
        <w:t>(DIGESTYC) del Ministerio de Economía, y el segundo proceso, por  un  equipo</w:t>
        <w:br/>
        <w:t>técnico de Gobierno (Secretaría Técnica de  la  Presidencia,  Ministerio  de</w:t>
        <w:br/>
        <w:t>Relaciones Exteriores y la  Dirección  General  de  Estadísticas  y  Censo).</w:t>
        <w:br/>
        <w:t>Ambos procesos serían dirigidos por la asociación de víctimas. Asimismo,  el</w:t>
        <w:br/>
        <w:t>Estado indicó que, como parte de la  política  integral  de  reparación,  se</w:t>
        <w:br/>
        <w:t>estaría  desarrollando  un  mecanismo  que  permitiría   la   administración</w:t>
        <w:br/>
        <w:t>permanente del referido registro, es  decir,  “no  esta[ban]  levantando  un</w:t>
        <w:br/>
        <w:t>registro  físico  único,  es  un  registro  de  inicio  que   permitirá   la</w:t>
        <w:br/>
        <w:t>incorporación, en la medida que se requiera, de otras víctimas que  no  sean</w:t>
        <w:br/>
        <w:t>levantadas en estos procesos”.</w:t>
        <w:br/>
        <w:br/>
        <w:t>[497] Cfr. Caso Almonacid Arellano y otros Vs.  Chile,  párr.  150,  y  Caso</w:t>
        <w:br/>
        <w:t>Masacres de Río Negro Vs. Guatemala, párr. 259.</w:t>
        <w:br/>
        <w:br/>
        <w:t>[498]       Cfr. Caso Almonacid Arellano y otros Vs.  Chile,  párr.  124,  y</w:t>
        <w:br/>
        <w:t>Caso Cabrera García y  Montiel  Flores  Vs.  México.  Excepción  Preliminar,</w:t>
        <w:br/>
        <w:t>Fondo, Reparaciones y Costas. Sentencia de 26 de noviembre de 2010. Serie  C</w:t>
        <w:br/>
        <w:t>No. 220, párr. 225.</w:t>
        <w:br/>
        <w:br/>
        <w:t>[499]       Cfr. Caso Velásquez Rodríguez Vs. Honduras. Fondo, párr. 174,  y</w:t>
        <w:br/>
        <w:t>Caso Masacres de Río Negro Vs. Guatemala, párr. 257.</w:t>
        <w:br/>
        <w:br/>
        <w:t>[500]       Cfr. Caso Contreras y otros Vs. El Salvador, párr. 212.</w:t>
        <w:br/>
        <w:br/>
        <w:t>[501]       Cfr. Caso De la Masacre de las Dos Erres  Vs.  Guatemala,  párr.</w:t>
        <w:br/>
        <w:t>233 d), y Caso Masacres de Río Negro Vs. Guatemala, párr. 257 d).</w:t>
        <w:br/>
        <w:br/>
        <w:t>[502]       Cfr. Caso De la Masacre de las Dos Erres  Vs.  Guatemala,  párr.</w:t>
        <w:br/>
        <w:t>245.</w:t>
        <w:br/>
        <w:br/>
        <w:t>[503]       Cfr. Peritaje sobre impactos psicosociales y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 10550).</w:t>
        <w:br/>
        <w:br/>
        <w:t>[504]       Cfr. Caso De la Masacre de las Dos Erres  Vs.  Guatemala,  párr.</w:t>
        <w:br/>
        <w:t>245.</w:t>
        <w:br/>
        <w:br/>
        <w:t>[505]        Cfr.  Peritaje  conjunto   rendido   ante   fedatario   público</w:t>
        <w:br/>
        <w:t>(affidávit) por Luis Fondebrider, Mercedes C. Doretti y  Silvana  Turner  el</w:t>
        <w:br/>
        <w:t>18 de abril de 2012 (expediente de prueba,  tomo  XVII,  affidávits,  folios</w:t>
        <w:br/>
        <w:t>10313 y 10322).</w:t>
        <w:br/>
        <w:br/>
        <w:t>[506] Tales como las establecidas en el Manual de Naciones Unidas  sobre  la</w:t>
        <w:br/>
        <w:t>Prevención  e  Investigación  Efectiva   de   Ejecuciones   Extrajudiciales,</w:t>
        <w:br/>
        <w:t>Arbitrarias y Sumarias.</w:t>
        <w:br/>
        <w:br/>
        <w:t>[507]        Cfr.  Peritaje  conjunto   rendido   ante   fedatario   público</w:t>
        <w:br/>
        <w:t>(affidávit) por Luis Fondebrider, Mercedes C. Doretti y  Silvana  Turner  el</w:t>
        <w:br/>
        <w:t>18 de abril de 2012 (expediente de  prueba,  tomo  XVII,  affidávits,  folio</w:t>
        <w:br/>
        <w:t>10318),  y  Peritaje  sobre  impactos  psicosociales  y 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 10559).</w:t>
        <w:br/>
        <w:br/>
        <w:t>[508] Cfr. Caso De la Masacre de las Dos Erres Vs. Guatemala, párr. 248.</w:t>
        <w:br/>
        <w:br/>
        <w:t>[509]       Cfr. Caso De la Masacre de las Dos Erres  Vs.  Guatemala,  párr.</w:t>
        <w:br/>
        <w:t>249.</w:t>
        <w:br/>
        <w:br/>
        <w:t>[510] Cfr. Caso El Amparo Vs. Venezuela. Reparaciones y  Costas.  Sentencia</w:t>
        <w:br/>
        <w:t>de 14 de septiembre de 1996. Serie C No. 28, párr.  35,  y  Caso  Furlan  y</w:t>
        <w:br/>
        <w:t>Familiares Vs. Argentina, párr. 319.</w:t>
        <w:br/>
        <w:br/>
        <w:t>[511] Cfr. Caso Masacre  Plan  de  Sánchez  Vs.  Guatemala.  Reparaciones  y</w:t>
        <w:br/>
        <w:t>Costas. Sentencia de 19 de noviembre de 2004. Serie C No. 116, párr. 105,  y</w:t>
        <w:br/>
        <w:t>Caso Masacres de Río Negro Vs. Guatemala, párr. 284.</w:t>
        <w:br/>
        <w:br/>
        <w:t>[512]       Cfr. Caso Masacre Plan de Sánchez Vs. Guatemala. Reparaciones  y</w:t>
        <w:br/>
        <w:t>Costas, párr. 105, y Caso de las Masacres de  Ituango  Vs.  Colombia,  párr.</w:t>
        <w:br/>
        <w:t>407.</w:t>
        <w:br/>
        <w:br/>
        <w:t>[513]       Cfr. Caso González y  otras  (“Campo  Algodonero”)  Vs.  México,</w:t>
        <w:br/>
        <w:t>párr. 529.</w:t>
        <w:br/>
        <w:br/>
        <w:t>[514]       Peritaje rendido por María Sol Yáñez De La Cruz  ante  la  Corte</w:t>
        <w:br/>
        <w:t>Interamericana en la audiencia pública celebrada el 23 de abril de 2012.</w:t>
        <w:br/>
        <w:br/>
        <w:t>[515]       Peritaje rendido por María Sol Yáñez De La Cruz  ante  la  Corte</w:t>
        <w:br/>
        <w:t>Interamericana en la audiencia pública celebrada el 23 de abril de 2012.</w:t>
        <w:br/>
        <w:br/>
        <w:t>[516]       Peritaje  sobre  impactos  psicosociales  y 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 10548).</w:t>
        <w:br/>
        <w:br/>
        <w:t>[517]       Cfr. Peritaje rendido por María Sol Yáñez De  La  Cruz  ante  la</w:t>
        <w:br/>
        <w:t>Corte Interamericana en la audiencia pública celebrada el  23  de  abril  de</w:t>
        <w:br/>
        <w:t>2012.</w:t>
        <w:br/>
        <w:br/>
        <w:t>[518]       Peritaje  sobre  impactos  psicosociales  y 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folios 10549 a 10550).</w:t>
        <w:br/>
        <w:br/>
        <w:t>[519]       Peritaje  sobre  impactos  psicosociales  y 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folios 10548 a 10550).</w:t>
        <w:br/>
        <w:br/>
        <w:t>[520]       Peritaje  sobre  impactos  psicosociales  y 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 10548).</w:t>
        <w:br/>
        <w:br/>
        <w:t>[521]       Cfr. Peritaje sobre impactos psicosociales y recomendaciones  en</w:t>
        <w:br/>
        <w:t>materia de reparación en el caso de “Las Masacres de  El  Mozote  y  lugares</w:t>
        <w:br/>
        <w:t>aledaños” rendido por María Sol Yáñez De La Cruz, sin fecha  (expediente  de</w:t>
        <w:br/>
        <w:t>prueba, tomo  XVIII,  anexo  2  a  los  alegatos  finales  escritos  de  los</w:t>
        <w:br/>
        <w:t>representantes, folio 10550).</w:t>
        <w:br/>
        <w:br/>
        <w:t>[522]  Cfr.  Caso  Cantoral  Benavides  Vs.  Perú.  Reparaciones  y  Costas.</w:t>
        <w:br/>
        <w:t>Sentencia de 3 de diciembre de 2001. Serie C No.  88,  párr.  51.e,  y  Caso</w:t>
        <w:br/>
        <w:t>Masacres de Río Negro Vs. Guatemala, párr. 287.</w:t>
        <w:br/>
        <w:br/>
        <w:t>[523]       Cfr. Caso De la Masacre de las Dos Erres  Vs.  Guatemala,  párr.</w:t>
        <w:br/>
        <w:t>270,  y  Caso  Uzcátegui  y  otros  Vs.  Venezuela.  Fondo  y  Reparaciones.</w:t>
        <w:br/>
        <w:t>Sentencia de 3 de septiembre de 2012. Serie C No. 249, párr. 253.d.</w:t>
        <w:br/>
        <w:br/>
        <w:t>[524] Cfr. Caso De la Masacre de las Dos Erres Vs. Guatemala, párr.  270,  y</w:t>
        <w:br/>
        <w:t>Caso Uzcátegui y otros Vs. Venezuela, párr. 253.b.</w:t>
        <w:br/>
        <w:br/>
        <w:t>[525]       El  acto  presidencial  contó,  además,  con  la  presencia  del</w:t>
        <w:br/>
        <w:t>Vicepresidente de la República, de gran  parte  del  gabinete  de  Gobierno,</w:t>
        <w:br/>
        <w:t>como la Secretaria de Inclusión Social y Primera Dama de  la  República;  el</w:t>
        <w:br/>
        <w:t>Ministro de la Defensa Nacional  y  representantes  del  Alto  Mando  de  la</w:t>
        <w:br/>
        <w:t>Fuerza Armada de  El  Salvador;  los  Ministros  de  Relaciones  Exteriores,</w:t>
        <w:br/>
        <w:t>Economía, Salud,  Gobernación,  Justicia  y  Seguridad  Pública,  Trabajo  y</w:t>
        <w:br/>
        <w:t>Previsión Social y la  Viceministra  de  Medio  Ambiente;  funcionarios  del</w:t>
        <w:br/>
        <w:t>Ministerio Público, como el Procurador  para  la  Defensa  de  los  Derechos</w:t>
        <w:br/>
        <w:t>Humanos y el Fiscal  General  de  la  República;  Magistrados  de  la  Corte</w:t>
        <w:br/>
        <w:t>Suprema de Justicia, en su calidad de representantes  del  Órgano  Judicial;</w:t>
        <w:br/>
        <w:t>el Presidente de la Asamblea Legislativa y diputados;  el  Director  General</w:t>
        <w:br/>
        <w:t>de la Policía Nacional Civil; la Inspectora General de la  Policía  Nacional</w:t>
        <w:br/>
        <w:t>Civil; Cuerpo Diplomático acreditado en  el  país;  así  como  una  cantidad</w:t>
        <w:br/>
        <w:t>representativa de víctimas  sobrevivientes  y  familiares  de  las  víctimas</w:t>
        <w:br/>
        <w:t>asesinadas que sumaban varios centenares;  igualmente  estuvieron  presentes</w:t>
        <w:br/>
        <w:t>representantes de la Asociación Promotora de Derechos Humanos de El  Mozote,</w:t>
        <w:br/>
        <w:t>de Tutela Legal del Arzobispado y de las Comunidades Eclesiales de  Base  de</w:t>
        <w:br/>
        <w:t>Morazán.</w:t>
        <w:br/>
        <w:br/>
        <w:t>[526]       Cfr. Caso Trujillo Oroza Vs.  Bolivia.  Reparaciones  y  Costas.</w:t>
        <w:br/>
        <w:t>Sentencia de 27 de febrero de 2002. Serie C No. 92, párr. 77, y Caso  Gelman</w:t>
        <w:br/>
        <w:t>Vs. Uruguay, párr. 265.</w:t>
        <w:br/>
        <w:br/>
        <w:t>[527]       Cfr. Caso Cantoral Benavides Vs. Perú. Reparaciones  y  Costas,</w:t>
        <w:br/>
        <w:t>párr. 79, y Caso Furlan y Familiares Vs. Argentina, párr. 290.</w:t>
        <w:br/>
        <w:br/>
        <w:t>[528] Cfr. Caso Goiburú y otros Vs. Paraguay.  Supervisión  de  Cumplimiento</w:t>
        <w:br/>
        <w:t>de Sentencia. Resolución de la Corte Interamericana de Derechos  Humanos  de</w:t>
        <w:br/>
        <w:t>19 de noviembre de 2009, Considerando cuadragésimo  noveno,  y  Caso  De  la</w:t>
        <w:br/>
        <w:t>Masacre de las Dos Erres Vs. Guatemala, párr. 252.</w:t>
        <w:br/>
        <w:br/>
        <w:t>[529]       Cfr. Declaración jurada rendida  por  María  del  Rosario  López</w:t>
        <w:br/>
        <w:t>Sánchez ante la Oficina de Tutela Legal del Arzobispado el 19  de  junio  de</w:t>
        <w:br/>
        <w:t>2011 (expediente de prueba, tomo VIII, anexo 3 al  escrito  de  solicitudes,</w:t>
        <w:br/>
        <w:t>argumentos y pruebas, folios 5524); Declaración  jurada  rendida  por  Pedro</w:t>
        <w:br/>
        <w:t>Chicas Romero ante la Oficina de Tutela  Legal  del  Arzobispado  el  25  de</w:t>
        <w:br/>
        <w:t>julio de 2011 (expediente de prueba,  tomo  VIII,  anexo  3  al  escrito  de</w:t>
        <w:br/>
        <w:t>solicitudes, argumentos y pruebas, folios 5530 a 5531);  Declaración  jurada</w:t>
        <w:br/>
        <w:t>rendida por Santos Jacobo Chicas Guevara ante la  Oficina  de  Tutela  Legal</w:t>
        <w:br/>
        <w:t>del Arzobispado el 20 de junio de 2011 (expediente  de  prueba,  tomo  VIII,</w:t>
        <w:br/>
        <w:t>anexo 3 al escrito  de  solicitudes,  argumentos  y  pruebas,  folio  5540);</w:t>
        <w:br/>
        <w:t>Declaración jurada rendida por César Martínez Hernández ante la  Oficina  de</w:t>
        <w:br/>
        <w:t>Tutela Legal del Arzobispado el 22 de junio de 2011 (expediente  de  prueba,</w:t>
        <w:br/>
        <w:t>tomo VIII, anexo 3 al escrito de solicitudes, argumentos  y  pruebas,  folio</w:t>
        <w:br/>
        <w:t>5548); Declaración jurada rendida por Alejandro Hernández  Argueta  ante  la</w:t>
        <w:br/>
        <w:t>Oficina de Tutela Legal del Arzobispado el 3 de agosto de  2011  (expediente</w:t>
        <w:br/>
        <w:t>de prueba, tomo VIII, anexo  3  al  escrito  de  solicitudes,  argumentos  y</w:t>
        <w:br/>
        <w:t>pruebas, folios 5574 a 5575); Declaración rendida por María  Dorila  Márquez</w:t>
        <w:br/>
        <w:t>de Márquez ante la Corte Interamericana en la  audiencia  pública  celebrada</w:t>
        <w:br/>
        <w:t>el 23 de abril de 2012; Declaración jurada rendida por  José  Eliseo  Claros</w:t>
        <w:br/>
        <w:t>Romero ante la Oficina de Tutela Legal del Arzobispado el  21  de  julio  de</w:t>
        <w:br/>
        <w:t>2011 (expediente de prueba, tomo VIII, anexo 3 al  escrito  de  solicitudes,</w:t>
        <w:br/>
        <w:t>argumentos y pruebas, folio  5534);  Declaración  jurada  rendida  por  José</w:t>
        <w:br/>
        <w:t>Gervacio Díaz ante la Oficina de Tutela  Legal  del  Arzobispado  el  28  de</w:t>
        <w:br/>
        <w:t>junio de 2011 (expediente de prueba,  tomo  VIII,  anexo  3  al  escrito  de</w:t>
        <w:br/>
        <w:t>solicitudes, argumentos y pruebas, folio 5545); Declaración  jurada  rendida</w:t>
        <w:br/>
        <w:t>por José Cruz Vigil del Cid ante la Oficina de Tutela Legal del  Arzobispado</w:t>
        <w:br/>
        <w:t>el 19 de junio de 2011 (expediente de prueba, tomo VIII, anexo 3 al  escrito</w:t>
        <w:br/>
        <w:t>de solicitudes,  argumentos  y  pruebas,  folio  5559);  Declaración  jurada</w:t>
        <w:br/>
        <w:t>rendida por María Regina Márquez Argueta ante la  Oficina  de  Tutela  Legal</w:t>
        <w:br/>
        <w:t>del Arzobispado el 2 de agosto de 2011 (expediente  de  prueba,  tomo  VIII,</w:t>
        <w:br/>
        <w:t>anexo 3 al escrito de solicitudes,  argumentos  y  pruebas,  folios  5586  a</w:t>
        <w:br/>
        <w:t>5588); Declaración rendida ante  fedatario  público  (affidávit)  por  Sofía</w:t>
        <w:br/>
        <w:t>Romero Pereira el 1 de abril de  2012  (expediente  de  prueba,  tomo  XVII,</w:t>
        <w:br/>
        <w:t>affidávits,  folio  10282);  Declaración  rendida  ante  fedatario   público</w:t>
        <w:br/>
        <w:t>(affidávit) por Eduardo Concepción Argueta Márquez el 1  de  abril  de  2012</w:t>
        <w:br/>
        <w:t>(expediente de prueba, tomo  XVII,  affidávits,  folio  10293);  Declaración</w:t>
        <w:br/>
        <w:t>rendida ante fedatario público (affidávit) por José Pablo Díaz  Portillo  el</w:t>
        <w:br/>
        <w:t>1 de abril de 2012 (expediente  de  prueba,  tomo  XVII,  affidávits,  folio</w:t>
        <w:br/>
        <w:t>10299); Peritaje rendido por María Sol  Yáñez  De  La  Cruz  ante  la  Corte</w:t>
        <w:br/>
        <w:t>Interamericana en la audiencia pública celebrada el 23 de abril de  2012,  y</w:t>
        <w:br/>
        <w:t>Peritaje sobre  impactos  psicosociales  y  recomendaciones  en  materia  de</w:t>
        <w:br/>
        <w:t>reparación en el caso de “Las Masacres de  El  Mozote  y  lugares  aledaños”</w:t>
        <w:br/>
        <w:t>rendido por María Sol Yáñez De La Cruz, sin  fecha  (expediente  de  prueba,</w:t>
        <w:br/>
        <w:t>tomo XVIII, anexo 2 a los alegatos finales escritos de  los  representantes,</w:t>
        <w:br/>
        <w:t>folios 10542 a 10544 y 10552).</w:t>
        <w:br/>
        <w:br/>
        <w:t>[530]       Cfr.  Caso  Radilla  Pacheco  Vs.  México,  párr.  359,  y  Caso</w:t>
        <w:br/>
        <w:t>Contreras y otros Vs. El Salvador, párr. 221.</w:t>
        <w:br/>
        <w:br/>
        <w:t>[531]        Cfr.  Caso  Bámaca  Velásquez  Vs.  Guatemala.  Reparaciones  y</w:t>
        <w:br/>
        <w:t>Costas. Sentencia de 22 de febrero de 2002. Serie C  No.  91,  párr.  43,  y</w:t>
        <w:br/>
        <w:t>Caso González Medina y familiares Vs. República Dominicana, párr. 310.</w:t>
        <w:br/>
        <w:br/>
        <w:t>[532] Cfr. Caso El Amparo Vs. Venezuela. Reparaciones y Costas, párr. 35,  y</w:t>
        <w:br/>
        <w:t>Caso Furlan y Familiares Vs. Argentina, párr. 319.</w:t>
        <w:br/>
        <w:br/>
        <w:t>[533]       Caso de los “Niños de la Calle” (Villagrán Morales y otros)  Vs.</w:t>
        <w:br/>
        <w:t>Guatemala. Reparaciones y Costas. Sentencia de 26 de mayo de 2001.  Serie  C</w:t>
        <w:br/>
        <w:t>No. 77, párr. 84, y Caso Masacres de Río Negro Vs. Guatemala, párr. 307.</w:t>
        <w:br/>
        <w:br/>
        <w:t>[534]       Cfr. Caso Reverón Trujillo Vs. Venezuela. Excepción  Preliminar,</w:t>
        <w:br/>
        <w:t>Fondo, Reparaciones y Costas. Sentencia de 30 de junio de 2009. Serie C  No.</w:t>
        <w:br/>
        <w:t>197, párr. 176, y Caso Masacres de Río Negro Vs. Guatemala, párr. 307.</w:t>
        <w:br/>
        <w:br/>
        <w:t>[535] Cfr. Caso Ticona Estrada y otros Vs.  Bolivia,  párr.  109,  y  Caso</w:t>
        <w:br/>
        <w:t>Masacres de Río Negro Vs. Guatemala, párr. 309.</w:t>
        <w:br/>
        <w:br/>
        <w:t>[536]       Cfr. Caso Garrido y  Baigorria  Vs.  Argentina.  Reparaciones  y</w:t>
        <w:br/>
        <w:t>Costas. Sentencia de 27 de agosto de 1998. Serie C No. 39, párr. 79, y  Caso</w:t>
        <w:br/>
        <w:t>Vélez Restrepo y Familiares Vs. Colombia, párr. 303.</w:t>
        <w:br/>
        <w:br/>
        <w:t>[537]       Cfr. Caso Garrido y  Baigorria  Vs.  Argentina.  Reparaciones  y</w:t>
        <w:br/>
        <w:t>Costas, párr. 79, y Caso Masacres de Río Negro Vs. Guatemala, párr. 314.</w:t>
        <w:br/>
        <w:br/>
        <w:t>[538]       Cfr. Caso Garrido y  Baigorria  Vs.  Argentina.  Reparaciones  y</w:t>
        <w:br/>
        <w:t>Costas, párr. 82, y Caso Masacres de Río Negro Vs. Guatemala, párr. 314.</w:t>
        <w:br/>
        <w:br/>
        <w:t>[539]  Caso  Chaparro  Álvarez  y  Lapo  Íñiguez  Vs.  Ecuador.  Excepciones</w:t>
        <w:br/>
        <w:t>Preliminares, Fondo, Reparaciones y Costas. Sentencia de 21 de noviembre  de</w:t>
        <w:br/>
        <w:t>2007. Serie C No. 170, párr. 275, y Caso Vélez  Restrepo  y  Familiares  Vs.</w:t>
        <w:br/>
        <w:t>Colombia, párr. 307.</w:t>
        <w:br/>
        <w:br/>
        <w:t>[540]       Cfr. Caso Chaparro Álvarez y Lapo  Íñiguez  Vs.  Ecuador,  párr.</w:t>
        <w:br/>
        <w:t>277, y Caso Vélez Restrepo y Familiares Vs. Colombia, párr. 307.</w:t>
        <w:br/>
        <w:br/>
        <w:t>[541] AG/RES. 2426  (XXXVIII-O/08),  Resolución  adoptada  por  la  Asamblea</w:t>
        <w:br/>
        <w:t>General de la OEA durante la celebración del XXXVIII  Período  Ordinario  de</w:t>
        <w:br/>
        <w:t>Sesiones de la OEA, en la cuarta sesión plenaria, celebrada el  3  de  junio</w:t>
        <w:br/>
        <w:t>de 2008, “Creación del Fondo de Asistencia Legal del Sistema  Interamericano</w:t>
        <w:br/>
        <w:t>de Derechos Humanos”,  Punto  Resolutivo  2.a),  y  CP/RES.  963  (1728/09),</w:t>
        <w:br/>
        <w:t>Resolución adoptada el 11 de noviembre de 2009 por el Consejo Permanente  de</w:t>
        <w:br/>
        <w:t>la OEA, “Reglamento para el Funcionamiento del  Fondo  de  Asistencia  Legal</w:t>
        <w:br/>
        <w:t>del Sistema Interamericano de Derechos Humanos”, artículo 1.1.</w:t>
        <w:br/>
        <w:br/>
        <w:t>[542]       Esta interpretación  podría  surgir  de  lo  establecido  en  el</w:t>
        <w:br/>
        <w:t>párrafo 43 de dicha sentencia: “43. Es por ello que los  Estados  Partes  en</w:t>
        <w:br/>
        <w:t>la Convención que adopten leyes que tengan este  efecto,  como  lo  son  las</w:t>
        <w:br/>
        <w:t>leyes de autoamnistía, incurren en una violación de los artículos 8 y 25  en</w:t>
        <w:br/>
        <w:t>concordancia con  los  artículos  1.1  y  2  de  la  Convención”  (subrayado</w:t>
        <w:br/>
        <w:t>añadido).</w:t>
        <w:br/>
        <w:t>[543]       Voto Concurrente del Juez Sergio García Ramírez, párr. 1.</w:t>
        <w:br/>
        <w:br/>
        <w:t>[544]       Voto Concurrente del Juez Antonio A. Cançado Trindade, párr. 5.</w:t>
        <w:br/>
        <w:br/>
        <w:t>[545]       Ib., párr. 6.</w:t>
        <w:br/>
        <w:br/>
        <w:t>[546]       Ib., párr. 7.</w:t>
        <w:br/>
        <w:br/>
        <w:t>[547]       Ib., párr. 26.</w:t>
        <w:br/>
        <w:br/>
        <w:t>[548]       Caso Gomes Lund y otros  (Guerrilha  do  Araguaia)  Vs.  Brasil.</w:t>
        <w:br/>
        <w:t>Sentencia de 24 de noviembre de 2010, párr. 147.</w:t>
        <w:br/>
        <w:br/>
        <w:t>[549]       Caso Gelman Vs. Uruguay. Sentencia de 24  de  febrero  de  2011,</w:t>
        <w:br/>
        <w:t>párr. 232.</w:t>
        <w:br/>
        <w:br/>
        <w:t>[550]       Entre otros aspectos, el Acuerdo de Esquipulas II  contenía  una</w:t>
        <w:br/>
        <w:t>referencia expresa a la amnistía: “En cada país  centroamericano,  salvo  en</w:t>
        <w:br/>
        <w:t>aquellos en donde la Comisión Internacional de  Verificación  y  Seguimiento</w:t>
        <w:br/>
        <w:t>determine que no es necesario, se emitirán decretos de amnistía que  deberán</w:t>
        <w:br/>
        <w:t>establecer todas las disposiciones que garanticen la  inviolabilidad  de  la</w:t>
        <w:br/>
        <w:t>vida, la libertad en todas sus formas, los bienes materiales y la  seguridad</w:t>
        <w:br/>
        <w:t>de las personas a quienes sean aplicables dichos decretos.   Simultáneamente</w:t>
        <w:br/>
        <w:t>a la emisión de los  decretos  de  amnistía,  las  fuerzas  irregulares  del</w:t>
        <w:br/>
        <w:t>respectivo país, deberán poner en libertad a todas aquellas personas que  se</w:t>
        <w:br/>
        <w:t>encuentren en su poder”.</w:t>
        <w:br/>
        <w:t>[551]       Párr. 266 de la Sentencia.</w:t>
        <w:br/>
        <w:br/>
        <w:t>[552]       Párr. 274 de la Sentencia.</w:t>
        <w:br/>
        <w:br/>
        <w:t>[553]       Ley de Reconciliación  Nacional.  Decreto  Legislativo  Nº  147,</w:t>
        <w:br/>
        <w:t>publicado el 23 de enero de 1992.</w:t>
        <w:br/>
        <w:br/>
        <w:t>[554]       Párr. 290 de la Sentencia.</w:t>
        <w:br/>
        <w:br/>
        <w:t>[555]       El  artículo  6.5  del  Protocolo  II,  se  establece  que  “las</w:t>
        <w:br/>
        <w:t>autoridades en el poder procurarán conceder la amnistía más  amplia  posible</w:t>
        <w:br/>
        <w:t>a las personas que hayan tomado parte  en  el  conflicto  armado  o  que  se</w:t>
        <w:br/>
        <w:t>encuentren  privadas  de  libertad,  internadas  o  detenidas  por   motivos</w:t>
        <w:br/>
        <w:t>relacionados con el conflicto armado”.</w:t>
        <w:br/>
        <w:br/>
        <w:t>[556]       CICR. Comentario del Protocolo del 8 de junio de 1977  adicional</w:t>
        <w:br/>
        <w:t>a los Convenios  de  Ginebra  del  12  de  agosto  de  1949  relativo  a  la</w:t>
        <w:br/>
        <w:t>protección  de  las  víctimas  de  los  conflictos  armados   sin   carácter</w:t>
        <w:br/>
        <w:t>internacional. Colombia. 1998. Pág. 168.</w:t>
        <w:br/>
        <w:br/>
        <w:t>[557]       Actas de la Conferencia Diplomática sobre la Reafirmación  y  el</w:t>
        <w:br/>
        <w:t>Desarrollo  del  Derecho  Internacional   Humanitario   Aplicable   en   los</w:t>
        <w:br/>
        <w:t>Conflictos Armados, Ginebra (1974-1977). Volumen 9. Ginebra, Suiza.</w:t>
        <w:br/>
        <w:br/>
        <w:t>[558]       Freeman, Mark. Necessary Evils. Amnesties  and  the  Search  for</w:t>
        <w:br/>
        <w:t>justice. Cambridge University Press. 2009. Pág. 36. Destacan el  artículo  I</w:t>
        <w:br/>
        <w:t>de la Convención para la Prevención y la Sanción del Delito de Genocidio  de</w:t>
        <w:br/>
        <w:t>1948, ciertas regulaciones contenidas en las Convenciones de  Ginebra  y  en</w:t>
        <w:br/>
        <w:t>el Protocolo I  sobre  conflictos  internacionales,  el  artículo  7  de  la</w:t>
        <w:br/>
        <w:t>Convención contra la Tortura y Otros Tratos o  Penas  Crueles,  Inhumanos  o</w:t>
        <w:br/>
        <w:t>Degradantes de 1984, el artículo 6  de  la  Convención  Interamericana  para</w:t>
        <w:br/>
        <w:t>Prevenir y Sancionar la Tortura de 1985, el artículo  IV  de  la  Convención</w:t>
        <w:br/>
        <w:t>Interamericana  sobre  Desaparición  Forzada  de  Personas  de  1994  y   la</w:t>
        <w:br/>
        <w:t>Convención Internacional para la Protección de  todas  las  personas  contra</w:t>
        <w:br/>
        <w:t>las Desapariciones Forzadas de 2006.</w:t>
        <w:br/>
        <w:t>[559]       Informe del Secretario General sobre el estado de derecho  y  la</w:t>
        <w:br/>
        <w:t>justicia  de  transición  en  las  sociedades  que  sufren  o  han   sufrido</w:t>
        <w:br/>
        <w:t>conflictos. U.N. Doc. S/2004/616. 3 de agosto de 2004. Párr. 10.</w:t>
        <w:br/>
        <w:t>[560]       Boraine, Alex. A Country Unmasked: Inside South  Afroca´s  Truth</w:t>
        <w:br/>
        <w:t>and Reconciliation Comission. Oxford University Press. Oxford and New  York,</w:t>
        <w:br/>
        <w:t>2000.</w:t>
        <w:br/>
        <w:br/>
        <w:t>[561]       El  derecho  internacional  ha  establecido  este  principio  de</w:t>
        <w:br/>
        <w:t>manera explícita no sólo en los artículos 10,  63  y  68  de  la  Convención</w:t>
        <w:br/>
        <w:t>Americana  sino  en  muchos  otros  instrumentos  internacionales  como   la</w:t>
        <w:br/>
        <w:t>Declaración Universal de Derechos Humanos (art. 8),  la  Convención  Europea</w:t>
        <w:br/>
        <w:t>de Derechos Humanos (art. 50), el Pacto Internacional de Derechos Civiles  y</w:t>
        <w:br/>
        <w:t>Políticos (art. 9) y la Convención contra la Tortura y Otros Tratos o  Penas</w:t>
        <w:br/>
        <w:t>Crueles, Inhumanos o Degradantes (art. 14).</w:t>
        <w:br/>
        <w:t>[562]       De Greiff, Pablo. Repairing the Past: Confronting  the  Legacies</w:t>
        <w:br/>
        <w:t>of Slavery, Genocide, &amp; Caste. Yale University, Connecticut. Octubre,  2005.</w:t>
        <w:br/>
        <w:t>Pág. 8.</w:t>
        <w:br/>
        <w:br/>
        <w:t>[563]       Ib. Pág. 10.</w:t>
        <w:br/>
        <w:br/>
        <w:t>[564]       Ib. Págs. 10-11.</w:t>
        <w:br/>
        <w:br/>
        <w:t>[565]       Osiel, Mark. Mass  Atrocity,  Collective  Memory  and  the  Law.</w:t>
        <w:br/>
        <w:t>Transaction Publishers, New Burnswick, 1999. Pág. 4.</w:t>
        <w:br/>
        <w:br/>
        <w:t>[566]        Hazan,  Pierre.  Measuring  the  impact   of   punishment   and</w:t>
        <w:br/>
        <w:t>forgiveness: a Framework for evaluating transitional justice.  International</w:t>
        <w:br/>
        <w:t>Review of the Red Cross. Volume 88, Number 861. Marzo 2006. Pág. 24.</w:t>
        <w:br/>
        <w:br/>
        <w:t>[567]       Ib.</w:t>
        <w:br/>
        <w:br/>
        <w:t>[568] Párrafos 52, 153 y 156.</w:t>
        <w:br/>
        <w:br/>
        <w:t>[569] Párrafo 235.</w:t>
        <w:br/>
        <w:br/>
        <w:t>[570] “Toda persona tiene derecho a que se respete su  vida.   Este  derecho</w:t>
        <w:br/>
        <w:t>estará protegido por la ley y, en  general,  a  partir  del  momento  de  la</w:t>
        <w:br/>
        <w:t>concepción.  Nadie puede ser privado de la vida arbitrariamente.”</w:t>
        <w:br/>
        <w:br/>
        <w:t>[571]       Madre de María Teófila Pereira Argueta.</w:t>
        <w:br/>
        <w:br/>
        <w:t>[572]       Madre de Sofía Romero Pereira.</w:t>
        <w:br/>
        <w:br/>
        <w:t>[573]       De 80 años de edad.</w:t>
        <w:br/>
        <w:br/>
        <w:t>[574]       De 4 años de edad.</w:t>
        <w:br/>
        <w:br/>
        <w:t>[575]       Esposo de Hilda Hortensia Márquez Argueta.</w:t>
        <w:br/>
        <w:br/>
        <w:t>[576]       De 30 años de edad.</w:t>
        <w:br/>
        <w:br/>
        <w:t>[577]       Esposa de Matías Márquez.</w:t>
        <w:br/>
        <w:br/>
        <w:t>[578]       Esposa de Eduardo Concepción Argueta Márquez</w:t>
        <w:br/>
        <w:br/>
        <w:t>[579]       Esposa de Catarino o Catalino Rodríguez.</w:t>
        <w:br/>
        <w:br/>
        <w:t>[580]       Hija de Israel Márquez.</w:t>
        <w:br/>
        <w:br/>
        <w:t>[581]       Hija de Pedro Argueta Claros.</w:t>
        <w:br/>
        <w:br/>
        <w:t>[582]       Según el párrafo 57 de la Sentencia, este  listado  contiene  el</w:t>
        <w:br/>
        <w:t>nombre de personas respecto de quienes existen  indicios  sobre  su  posible</w:t>
        <w:br/>
        <w:t>carácter de presuntas víctimas  en  el  presente  caso,  aún  cuando  no  se</w:t>
        <w:br/>
        <w:t>encuentren  en  los  listados  aportados  por  las  partes  y  la   Comisión</w:t>
        <w:br/>
        <w:t>Interamericana, y que el Estado debe, en el marco  del  “Registro  Único  de</w:t>
        <w:br/>
        <w:t>Víctimas y Familiares de Víctimas  de  Graves  Violaciones  a  los  Derechos</w:t>
        <w:br/>
        <w:t>Humanos durante la Masacre de El Mozote”, determinar respecto de las  mismas</w:t>
        <w:br/>
        <w:t>si procede su carácter de víctima y beneficiaria del presente caso.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