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      CASO GARCÍA Y FAMILIARES VS. GUATEMALA</w:t>
        <w:br/>
        <w:br/>
        <w:t xml:space="preserve">                    SENTENCIA DE 29 DE NOVIEMBRE DE 2012</w:t>
        <w:br/>
        <w:t xml:space="preserve">                       (FONDO, REPARACIONES Y COSTAS)</w:t>
        <w:br/>
        <w:br/>
        <w:br/>
        <w:br/>
        <w:br/>
        <w:t>En el caso García y familiares,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>Diego García-Sayán, Presidente;</w:t>
        <w:br/>
        <w:t>Manuel E. Ventura Robles, Vicepresidente;</w:t>
        <w:br/>
        <w:t>Leonardo A. Franco, Juez;</w:t>
        <w:br/>
        <w:t>Margarette May Macaulay, Jueza;</w:t>
        <w:br/>
        <w:t>Rhadys Abreu Blondet, Jueza;</w:t>
        <w:br/>
        <w:t>Alberto Pérez Pérez, Juez, y</w:t>
        <w:br/>
        <w:t>Eduardo Vio Grossi, Juez;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62, 64, 65 y 67 del  Reglamento  de</w:t>
        <w:br/>
        <w:t>la Corte[1] (en adelante “el Reglamento” o “Reglamento de la Corte”),  dicta</w:t>
        <w:br/>
        <w:t>la presente Sentencia que se estructura en el siguiente orden:</w:t>
        <w:br/>
        <w:br/>
        <w:t>|Tabla de Contenido                                       |Párrafos      |</w:t>
        <w:br/>
        <w:t>|Introducción de la Causa y OBJETO DE LA CONTROVERSIA     |1-4           |</w:t>
        <w:br/>
        <w:t>|PROCEDIMIENTO ANTE LA CORTE                              |5-12          |</w:t>
        <w:br/>
        <w:t>|RECONOCIMIENTO PARCIAL DE RESPONSABILIDAD INTERNACIONAL Y|13-24         |</w:t>
        <w:br/>
        <w:t>|HOMOLOGACIÓN DEL ACUERDO DE REPARACIONES                 |              |</w:t>
        <w:br/>
        <w:t>|COMPETENCIA                                              |25-27         |</w:t>
        <w:br/>
        <w:t>|CONSIDERACIONES PREVIAS                                  |28-37         |</w:t>
        <w:br/>
        <w:t>|Sobre la alegada excepción preliminar                    |28-33         |</w:t>
        <w:br/>
        <w:t>|Sobre la determinación de las presuntas víctimas         |34-37         |</w:t>
        <w:br/>
        <w:t>|PRUEBA                                                   |38-47         |</w:t>
        <w:br/>
        <w:t>|Prueba documental y testimonial                          |39            |</w:t>
        <w:br/>
        <w:t>|Admisión de la prueba                                    |              |</w:t>
        <w:br/>
        <w:t>|B.1   Admisión de la prueba documental                   |40-44         |</w:t>
        <w:br/>
        <w:t>|B.2 Admisión de las declaraciones de presuntas víctimas y|45-47         |</w:t>
        <w:br/>
        <w:t>|de la prueba testimonial                                 |              |</w:t>
        <w:br/>
        <w:t>|HECHOS                                                   |48-87         |</w:t>
        <w:br/>
        <w:t>|Contexto general                                         |51-55         |</w:t>
        <w:br/>
        <w:t>|El Diario Militar y el Archivo Histórico de la Policía   |56-61         |</w:t>
        <w:br/>
        <w:t>|Nacional                                                 |56-59         |</w:t>
        <w:br/>
        <w:t>|B.1 El Diario Militar                                    |60-61         |</w:t>
        <w:br/>
        <w:t>|B.2 El Archivo Histórico de la Policía Nacional          |62-68         |</w:t>
        <w:br/>
        <w:t>|La desaparición forzada de Edgar Fernando García         |69-82         |</w:t>
        <w:br/>
        <w:t>|Búsqueda e investigaciones de los hechos                 |83-87         |</w:t>
        <w:br/>
        <w:t>|El Grupo de Apoyo Mutuo                                  |              |</w:t>
        <w:br/>
        <w:t>|FONDO                                                    |88-187        |</w:t>
        <w:br/>
        <w:t>|                                                         |              |</w:t>
        <w:br/>
        <w:t>|VIII-1   DESAPARICIÓN FORZADA DE  EDGAR FERNANDO GARCÍA  |89-122        |</w:t>
        <w:br/>
        <w:t>|Respecto a la desaparición forzada de Edgar Fernando     |90-114        |</w:t>
        <w:br/>
        <w:t>|García                                                   |90-92         |</w:t>
        <w:br/>
        <w:t>|Argumentos de la Comisión Interamericana y alegatos de   |93-114        |</w:t>
        <w:br/>
        <w:t>|las partes                                               |115-122       |</w:t>
        <w:br/>
        <w:t>|Consideraciones de la Corte                              |              |</w:t>
        <w:br/>
        <w:t>|Respecto a las libertades de asociación y de expresión de|              |</w:t>
        <w:br/>
        <w:t>|Edgar Fernando García                                    |123-157       |</w:t>
        <w:br/>
        <w:t>|                                                         |              |</w:t>
        <w:br/>
        <w:t>|VIII-2 OBLIGACIÓN DE INVESTIGAR LA DESAPARICIÓN FORZADA  |125-127       |</w:t>
        <w:br/>
        <w:t>|DE EDGAR FERNANDO GARCÍA                                 |128-          |</w:t>
        <w:br/>
        <w:t>|Argumentos de la Comisión Interamericana y alegatos de   |138-141       |</w:t>
        <w:br/>
        <w:t>|las partes                                               |142-145       |</w:t>
        <w:br/>
        <w:t>|Consideraciones de la Corte                              |              |</w:t>
        <w:br/>
        <w:t>|Obligación de iniciar una investigación de oficio        |146-151       |</w:t>
        <w:br/>
        <w:t>|Efectividad del recurso de exhibición personal y del     |152-153       |</w:t>
        <w:br/>
        <w:t>|procedimiento de averiguación especial                   |154-155       |</w:t>
        <w:br/>
        <w:t>|Debida diligencia en las investigaciones                 |156-157       |</w:t>
        <w:br/>
        <w:t>|Plazo razonable                                          |              |</w:t>
        <w:br/>
        <w:t>|Conclusión                                               |              |</w:t>
        <w:br/>
        <w:t>|Alegadas violaciones del deber de adoptar disposiciones  |158-187       |</w:t>
        <w:br/>
        <w:t>|de derecho interno y del derecho de acceso a la          |              |</w:t>
        <w:br/>
        <w:t>|información                                              |159-170       |</w:t>
        <w:br/>
        <w:t>|                                                         |              |</w:t>
        <w:br/>
        <w:t>|VIII-3   VIOLACIONES ALEGADAS EN PERJUICIO DE NINETH     |171-177       |</w:t>
        <w:br/>
        <w:t>|VARENCA MONTENEGRO, ALEJANDRA GARCÍA MONTENEGRO Y MARÍA  |178-187       |</w:t>
        <w:br/>
        <w:t>|EMILIA GARCÍA                                            |              |</w:t>
        <w:br/>
        <w:t>|Respecto al derecho a la integridad personal, a la       |188-239       |</w:t>
        <w:br/>
        <w:t>|protección a la familia y los derechos del niño          |192           |</w:t>
        <w:br/>
        <w:t>|Respecto del derecho a conocer la verdad                 |193-200       |</w:t>
        <w:br/>
        <w:t>|Respecto de las libertades de asociación y de expresión  |              |</w:t>
        <w:br/>
        <w:t>|                                                         |              |</w:t>
        <w:br/>
        <w:t>|REPARACIONES                                             |193-197       |</w:t>
        <w:br/>
        <w:t>|Parte lesionada                                          |              |</w:t>
        <w:br/>
        <w:t>|Obligación de investigar los hechos que generaron las    |198-200       |</w:t>
        <w:br/>
        <w:t>|violaciones e identificar, juzgar y, en su caso,         |201-221       |</w:t>
        <w:br/>
        <w:t>|sancionar a los responsables así como determinar el      |              |</w:t>
        <w:br/>
        <w:t>|paradero de la víctima                                   |201-206       |</w:t>
        <w:br/>
        <w:t>|B.1) Obligación de investigar los hechos, identificar,   |201-203       |</w:t>
        <w:br/>
        <w:t>|juzgar y, en su caso, sancionar a los responsables       |204-206       |</w:t>
        <w:br/>
        <w:t>|materiales e intelectuales                               |207-218       |</w:t>
        <w:br/>
        <w:t>|B.2)  Determinación del paradero de la víctima           |207-210       |</w:t>
        <w:br/>
        <w:t>|desaparecida                                             |              |</w:t>
        <w:br/>
        <w:t>|Medidas de reparación integral: rehabilitación,          |211-213       |</w:t>
        <w:br/>
        <w:t>|satisfacción, garantías de no repetición                 |              |</w:t>
        <w:br/>
        <w:t>|C.1) Medidas de satisfacción                             |214-215       |</w:t>
        <w:br/>
        <w:t>|C.1.a) Publicación y difusión de la Sentencia            |              |</w:t>
        <w:br/>
        <w:t>|C.1.b) Acto público de reconocimiento de responsabilidad |216-218       |</w:t>
        <w:br/>
        <w:t>|internacional                                            |              |</w:t>
        <w:br/>
        <w:t>|C.2) Medidas de conmemoración y homenaje a la víctima    |219-221       |</w:t>
        <w:br/>
        <w:t>|C.2.a) Construcción de espacios memorístico-culturales   |              |</w:t>
        <w:br/>
        <w:t>|para la dignificación de las víctimas de violaciones a   |222-227       |</w:t>
        <w:br/>
        <w:t>|los derechos humanos                                     |228-232       |</w:t>
        <w:br/>
        <w:t>|C.2.b) Designación de una calle con el nombre de Edgar   |233-239       |</w:t>
        <w:br/>
        <w:t>|Fernando García                                          |              |</w:t>
        <w:br/>
        <w:t>|C.2.c) Cambio el nombre de una escuela por el de Edgar   |              |</w:t>
        <w:br/>
        <w:t>|Fernando García                                          |240           |</w:t>
        <w:br/>
        <w:t>|C.2.d) Entrega de diez bolsas de estudios para familiares|              |</w:t>
        <w:br/>
        <w:t>|de personas desaparecidas                                |              |</w:t>
        <w:br/>
        <w:t>|C.3) Garantías de no repetición: Comisión Nacional de    |              |</w:t>
        <w:br/>
        <w:t>|Búsqueda de Personas Víctimas de Desaparición Forzada y  |              |</w:t>
        <w:br/>
        <w:t>|otras Formas de Desaparición                             |              |</w:t>
        <w:br/>
        <w:t>|Indemnizaciones compensatorias                           |              |</w:t>
        <w:br/>
        <w:t>|Costas y gastos                                          |              |</w:t>
        <w:br/>
        <w:t>|Modalidad de cumplimiento de los pagos ordenados y       |              |</w:t>
        <w:br/>
        <w:t>|solución de eventuales controversias del acuerdo de      |              |</w:t>
        <w:br/>
        <w:t>|reparaciones                                             |              |</w:t>
        <w:br/>
        <w:t>|                                                         |              |</w:t>
        <w:br/>
        <w:t>|PUNTOS RESOLUTIVOS                                       |              |</w:t>
        <w:br/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t>El 9 de febrero de 2011, de conformidad con lo dispuesto  en  los  artículos</w:t>
        <w:br/>
        <w:t>51 y 61 de la Convención Americana y el artículo 35  del  Reglamento  de  la</w:t>
        <w:br/>
        <w:t>Corte, la Comisión Interamericana  de  Derechos  Humanos  (en  adelante  “la</w:t>
        <w:br/>
        <w:t>Comisión Interamericana” o “la Comisión”) sometió a la  jurisdicción  de  la</w:t>
        <w:br/>
        <w:t>Corte  Interamericana  el  caso  No.  12.343  (en   adelante   “escrito   de</w:t>
        <w:br/>
        <w:t>sometimiento”) en contra de la República de Guatemala (en  adelante  también</w:t>
        <w:br/>
        <w:t>“el Estado” o “Guatemala”). La  petición  inicial  fue  presentada  ante  la</w:t>
        <w:br/>
        <w:t>Comisión Interamericana el 22 de agosto de 2000 por el Grupo de Apoyo  Mutuo</w:t>
        <w:br/>
        <w:t>(en adelante también “GAM”), representado por Mario Alcides  Polanco  Pérez.</w:t>
        <w:br/>
        <w:t>El 21 de octubre de 2006 la Comisión aprobó el Informe de Admisibilidad  No.</w:t>
        <w:br/>
        <w:t>91/06[2]. El 22 de octubre de 2010, de conformidad con el artículo 50 de  la</w:t>
        <w:br/>
        <w:t>Convención Americana, la Comisión Interamericana aprobó el Informe de  Fondo</w:t>
        <w:br/>
        <w:t>No. 117/10 (en adelante también “el Informe de  Fondo”  o  “el  Informe  No.</w:t>
        <w:br/>
        <w:t>117/10”)[3]. Dicho informe fue transmitido al Estado el 9  de  noviembre  de</w:t>
        <w:br/>
        <w:t>2010, el cual presentó un informe  sobre  las  medidas  adoptadas  para  dar</w:t>
        <w:br/>
        <w:t>cumplimiento a las recomendaciones allí formuladas el 21 de enero  de  2011.</w:t>
        <w:br/>
        <w:t>La Comisión decidió someter el presente caso a la Corte Interamericana  “por</w:t>
        <w:br/>
        <w:t>la necesidad de obtención de justicia para las [presuntas] víctimas  y  ante</w:t>
        <w:br/>
        <w:t>la falta de información detallada y sustancial sobre el cumplimiento de  las</w:t>
        <w:br/>
        <w:t>recomendaciones por parte del Estado”. La Comisión designó como delegados  a</w:t>
        <w:br/>
        <w:t>la Comisionada Dinah Shelton y al entonces Secretario Ejecutivo Santiago  A.</w:t>
        <w:br/>
        <w:t>Canton, y designó  como  asesoras  legales  a  las  señoras  Elizabeth  Abi-</w:t>
        <w:br/>
        <w:t>Mershed,  Secretaria  Ejecutiva  Adjunta,  Karla  Quintana  Osuna  e  Isabel</w:t>
        <w:br/>
        <w:t>Madariaga, abogadas de la Secretaría Ejecutiva.</w:t>
        <w:br/>
        <w:br/>
        <w:t>De acuerdo con la Comisión, el presente caso se  relaciona  con  la  alegada</w:t>
        <w:br/>
        <w:t>“desaparición forzada de Edgar Fernando  García,  sindicalista  y  dirigente</w:t>
        <w:br/>
        <w:t>estudiantil, quien [presuntamente] fue baleado y detenido el 18  de  febrero</w:t>
        <w:br/>
        <w:t>de 1984 por miembros de la Brigada de Operaciones Especiales de  la  Policía</w:t>
        <w:br/>
        <w:t>Nacional guatemalteca, sin que hasta la fecha se conozca su paradero”.</w:t>
        <w:br/>
        <w:br/>
        <w:t>En su Informe de Fondo, la  Comisión  señaló  como  presuntas  víctimas  del</w:t>
        <w:br/>
        <w:t>presente caso a Edgar Fernando García, su esposa Nineth  Varenca  Montenegro</w:t>
        <w:br/>
        <w:t>Cottom, su hija Alejandra García Montenegro y su madre María Emilia  García.</w:t>
        <w:br/>
        <w:t>Adicionalmente,  en  su  escrito  de  sometimiento  del  caso,  “p[uso]   en</w:t>
        <w:br/>
        <w:t>conocimiento de la Corte” que,  con  posterioridad  a  la  notificación  del</w:t>
        <w:br/>
        <w:t>Informe de Fondo,  los  representantes  señalaron  que  “también  deben  ser</w:t>
        <w:br/>
        <w:t>consideradas como [presuntas]  víctimas:  Mario  Alcides  Polanco  Pérez  –a</w:t>
        <w:br/>
        <w:t>quien identifica[ron] como acompañante de los familiares de  Edgar  Fernando</w:t>
        <w:br/>
        <w:t>García y promotor del caso- y Andrea  Polanco  Montenegro,  hija  de  Nineth</w:t>
        <w:br/>
        <w:t>Varenca [Montenegro] Cottom”.</w:t>
        <w:br/>
        <w:br/>
        <w:t>Con base en lo anterior, la Comisión solicitó a  la  Corte  que  declare  la</w:t>
        <w:br/>
        <w:t>responsabilidad internacional de Guatemala por la alegada violación  de  los</w:t>
        <w:br/>
        <w:t>artículos 3 (Derecho al  Reconocimiento  de  la  Personalidad  Jurídica),  4</w:t>
        <w:br/>
        <w:t>(Derecho a la Vida), 5 (Derecho a la Integridad Personal) y 7 (Derecho a  la</w:t>
        <w:br/>
        <w:t>Libertad Personal) de la Convención Americana, en relación con  el  artículo</w:t>
        <w:br/>
        <w:t>1.1 (Obligación de Respetar los Derechos) del mismo tratado, y  el  artículo</w:t>
        <w:br/>
        <w:t>I de la Convención Interamericana sobre  Desaparición  Forzada  de  Personas</w:t>
        <w:br/>
        <w:t>(en adelante “Convención Interamericana  sobre  Desaparición  Forzada”),  en</w:t>
        <w:br/>
        <w:t>perjuicio  de  Edgar  Fernando  García;  8  (Garantías  judiciales)   y   25</w:t>
        <w:br/>
        <w:t>(Protección judicial) de  la  Convención  Americana,  en  relación  con  los</w:t>
        <w:br/>
        <w:t>artículos 1.1 y 2 (Deber de Adoptar Disposiciones de  Derecho  Interno)  del</w:t>
        <w:br/>
        <w:t>mismo tratado, así como el artículo I de la Convención Interamericana  sobre</w:t>
        <w:br/>
        <w:t>Desaparición Forzada, en perjuicio de Edgar Fernando García, Nineth  Varenca</w:t>
        <w:br/>
        <w:t>Montenegro Cottom, Alejandra García Montenegro y María Emilia García;  5  de</w:t>
        <w:br/>
        <w:t>la Convención Americana en relación con el artículo 1.1 del  mismo  tratado,</w:t>
        <w:br/>
        <w:t>en  perjuicio  de  Nineth  Varenca  Montenegro  Cottom,   Alejandra   García</w:t>
        <w:br/>
        <w:t>Montenegro y María Emilia García; 13.1 y 13.2 (Libertad de Pensamiento y  de</w:t>
        <w:br/>
        <w:t>Expresión)  y  23  (Derechos  Políticos)  de  la  Convención  Americana,  en</w:t>
        <w:br/>
        <w:t>relación con los artículos 1.1 y  2  del  mismo  tratado,  en  perjuicio  de</w:t>
        <w:br/>
        <w:t>Nineth Varenca  Montenegro  Cottom,  Alejandra  García  Montenegro  y  María</w:t>
        <w:br/>
        <w:t>Emilia García,  y  13  y  16  (Libertad  de  Asociación)  de  la  Convención</w:t>
        <w:br/>
        <w:t>Americana, en relación con el artículo 1.1 del mismo tratado,  en  perjuicio</w:t>
        <w:br/>
        <w:t>de  Edgar  Fernando  García  y  sus  familiares.  Como  consecuencia  de  lo</w:t>
        <w:br/>
        <w:t>anterior, la Comisión solicitó a la Corte que ordene al Estado  la  adopción</w:t>
        <w:br/>
        <w:t>de determinadas medidas de reparación.</w:t>
        <w:br/>
        <w:br/>
        <w:t xml:space="preserve">                                     II</w:t>
        <w:br/>
        <w:t xml:space="preserve">                         PROCEDIMIENTO ANTE LA CORTE</w:t>
        <w:br/>
        <w:br/>
        <w:t>El sometimiento del caso fue notificado al Estado y a los representantes  de</w:t>
        <w:br/>
        <w:t>las presuntas víctimas[4] el 1 de abril de 2011. El 1 de junio  de  2011  el</w:t>
        <w:br/>
        <w:t>Grupo de Apoyo Mutuo, en calidad de representante de las presuntas  víctimas</w:t>
        <w:br/>
        <w:t>en este caso (en adelante “los representantes”), presentó ante la  Corte  su</w:t>
        <w:br/>
        <w:t>escrito de solicitudes,  argumentos  y  pruebas  (en  adelante  “escrito  de</w:t>
        <w:br/>
        <w:t>solicitudes y argumentos”), conforme a los artículos 25 y 40 del  Reglamento</w:t>
        <w:br/>
        <w:t>de  la  Corte.  Los  representantes  coincidieron  sustancialmente  con  las</w:t>
        <w:br/>
        <w:t>violaciones  alegadas  por  la  Comisión  Interamericana  y  solicitaron  al</w:t>
        <w:br/>
        <w:t>Tribunal que declare la responsabilidad  internacional  del  Estado  por  la</w:t>
        <w:br/>
        <w:t>alegada violación de los mismos artículos de la Convención  Americana  y  el</w:t>
        <w:br/>
        <w:t>artículo I de  la  Convención  Interamericana  sobre  Desaparición  Forzada,</w:t>
        <w:br/>
        <w:t>señalados por la Comisión. Además, agregaron que el  Estado  también  habría</w:t>
        <w:br/>
        <w:t>violado el artículo II de la Convención  Interamericana  sobre  Desaparición</w:t>
        <w:br/>
        <w:t>Forzada,  pues  “no  ha[bía]  cumplido  en  sancionar  […]  a  los   autores</w:t>
        <w:br/>
        <w:t>intelectuales, cómplices y encubridores […]”;  así  como  los  artículos  17</w:t>
        <w:br/>
        <w:t>(Protección a la  Familia)  y  19  (Derechos  del  Niño)  de  la  Convención</w:t>
        <w:br/>
        <w:t>Americana, en perjuicio  de  Edgar  Fernando  García  y  sus  familiares[5].</w:t>
        <w:br/>
        <w:t>Asimismo,  de  manera  particular,  solicitaron  declarar  la  violación  al</w:t>
        <w:br/>
        <w:t>artículo 2 de la Convención Americana, por la ausencia de  recursos  legales</w:t>
        <w:br/>
        <w:t>efectivos que faciliten la búsqueda de personas desaparecidas  forzadamente.</w:t>
        <w:br/>
        <w:t>En consecuencia, requirieron a la  Corte  que  ordene  diversas  medidas  de</w:t>
        <w:br/>
        <w:t>reparación, así como el pago de costas y gastos.</w:t>
        <w:br/>
        <w:br/>
        <w:t>El 26 de julio  de  2011  los  representantes  sometieron  a  la  Corte  una</w:t>
        <w:br/>
        <w:t>solicitud de medidas  provisionales  con  el  propósito  de  que  el  Estado</w:t>
        <w:br/>
        <w:t>protegiera la vida e integridad personal de Luis Roberto Romero  Rivera  por</w:t>
        <w:br/>
        <w:t>alegadas  amenazas  y  seguimientos  de  los  cuales  habría  sido   objeto.</w:t>
        <w:br/>
        <w:t>Indicaron que éste ha trabajado en el caso de Edgar Fernando García, ya  que</w:t>
        <w:br/>
        <w:t>se desempeña como Director de la Unidad de Averiguaciones Especiales  de  la</w:t>
        <w:br/>
        <w:t>Procuraduría de Derechos Humanos encargada de  las  investigaciones  de  las</w:t>
        <w:br/>
        <w:t>desapariciones forzadas ocurridas durante el  conflicto  armado  interno  en</w:t>
        <w:br/>
        <w:t>Guatemala. El 3 de agosto de 2011 el Estado  presentó  sus  observaciones  a</w:t>
        <w:br/>
        <w:t>dicha solicitud, requiriendo que se declarara improcedente,  pero  al  mismo</w:t>
        <w:br/>
        <w:t>tiempo ofreció brindarle “protección nacional” al señor  Romero  Rivera,  lo</w:t>
        <w:br/>
        <w:t>cual fue aceptado por éste, de acuerdo a los representantes. Con base en  lo</w:t>
        <w:br/>
        <w:t>anterior, la Corte Interamericana, mediante Resolución de  1  de  septiembre</w:t>
        <w:br/>
        <w:t>de 2011, resolvió no  ordenar  las  medidas  provisionales  solicitadas  “en</w:t>
        <w:br/>
        <w:t>atención al principio de  complementariedad  y  subsidiariedad  del  Sistema</w:t>
        <w:br/>
        <w:t>Interamericano”[6].</w:t>
        <w:br/>
        <w:br/>
        <w:t>El 12 de septiembre de 2011 Guatemala presentó ante la Corte su  escrito  de</w:t>
        <w:br/>
        <w:t>contestación al sometimiento  del  caso  por  parte  de  la  Comisión  y  de</w:t>
        <w:br/>
        <w:t>observaciones al escrito de solicitudes y argumentos (en  adelante  “escrito</w:t>
        <w:br/>
        <w:t>de contestación”). En dicho  escrito,  el  Estado  interpuso  una  excepción</w:t>
        <w:br/>
        <w:t>preliminar  y  realizó  un   reconocimiento   parcial   de   responsabilidad</w:t>
        <w:br/>
        <w:t>internacional (infra párrs. 13 y 28). Sin embargo, se  opuso  a  algunas  de</w:t>
        <w:br/>
        <w:t>las violaciones presentadas por la Comisión Interamericana  y  alegadas  por</w:t>
        <w:br/>
        <w:t>los representantes. Asimismo, el Estado se opuso a que se considere a  Mario</w:t>
        <w:br/>
        <w:t>Alcides Polanco Pérez y a Andrea Polanco  Montenegro  como  víctimas  en  el</w:t>
        <w:br/>
        <w:t>presente caso y se pronunció sobre las reparaciones solicitadas.  El  Estado</w:t>
        <w:br/>
        <w:t>designó a la señora María Elena de Jesús  Rodríguez  López  como  su  Agente</w:t>
        <w:br/>
        <w:t>para el presente caso y a la señora Enma Estela Hernández Tuy de  Iboy  como</w:t>
        <w:br/>
        <w:t>su Agente Alterna.</w:t>
        <w:br/>
        <w:br/>
        <w:t>El  20  y  21  de  noviembre  de  2011  los  representantes  y  la  Comisión</w:t>
        <w:br/>
        <w:t>Interamericana,  respectivamente,  presentaron  sus   observaciones   a   la</w:t>
        <w:br/>
        <w:t>excepción preliminar interpuesta por el Estado.  En  dicha  oportunidad,  la</w:t>
        <w:br/>
        <w:t>Comisión  también  presentó   sus   observaciones   al   reconocimiento   de</w:t>
        <w:br/>
        <w:t>responsabilidad del Estado. Sin embargo, los representantes  no  presentaron</w:t>
        <w:br/>
        <w:t>observaciones respecto de dicho reconocimiento.</w:t>
        <w:br/>
        <w:br/>
        <w:t>El 16 de marzo de 2012 el Presidente de la Corte emitió  una  Resolución[7],</w:t>
        <w:br/>
        <w:t>mediante  la  cual  convocó  a  una  audiencia   pública   a   la   Comisión</w:t>
        <w:br/>
        <w:t>Interamericana, a los representantes y al  Estado  (infra  párr.  11),  para</w:t>
        <w:br/>
        <w:t>recibir las declaraciones de una presunta víctima y dos testigos;  así  como</w:t>
        <w:br/>
        <w:t>para escuchar los alegatos  finales  orales  de  los  representantes  y  del</w:t>
        <w:br/>
        <w:t>Estado, y  las  observaciones  finales  orales  de  la  Comisión,  sobre  la</w:t>
        <w:br/>
        <w:t>excepción preliminar,  el  reconocimiento  de  responsabilidad  estatal,  el</w:t>
        <w:br/>
        <w:t>fondo, las  reparaciones  y  las  costas.  Asimismo,  el  Presidente  ordenó</w:t>
        <w:br/>
        <w:t>recibir las declaraciones rendidas ante  fedatario  público  (affidávit)  de</w:t>
        <w:br/>
        <w:t>una presunta víctima y de un testigo, las cuales fueron presentadas el 18  y</w:t>
        <w:br/>
        <w:t>el 20 de  abril  de  2012.  Los  representantes  y  el  Estado  tuvieron  la</w:t>
        <w:br/>
        <w:t>oportunidad  de  formular  preguntas  y  observaciones  a  los   declarantes</w:t>
        <w:br/>
        <w:t>ofrecidos por la contraparte.</w:t>
        <w:br/>
        <w:br/>
        <w:t>El 24 de abril de 2012 el Estado comunicó a la Corte que el 20 de  abril  de</w:t>
        <w:br/>
        <w:t>2012 se había celebrado un  acuerdo  entre  Guatemala  y  las  víctimas  del</w:t>
        <w:br/>
        <w:t>presente caso,  a  través  de  sus  representantes,  sobre  las  medidas  de</w:t>
        <w:br/>
        <w:t>reparación solicitadas y entregó una copia de dicho documento  (infra  párr.</w:t>
        <w:br/>
        <w:t>13.e).</w:t>
        <w:br/>
        <w:br/>
        <w:t>La audiencia pública fue celebrada el 26 de abril  de  2012  durante  el  45</w:t>
        <w:br/>
        <w:t>Período  Extraordinario  de  Sesiones  de  la  Corte,  llevado  a  cabo   en</w:t>
        <w:br/>
        <w:t>Guayaquil, Ecuador[8]. Previo a dicha  audiencia,  el  Estado  desistió  del</w:t>
        <w:br/>
        <w:t>testimonio de Marco  Tulio  Álvarez  Bobadilla.  Al  respecto,  la  Comisión</w:t>
        <w:br/>
        <w:t>solicitó que se trasladara y  tomara  en  cuenta  en  la  consideración  del</w:t>
        <w:br/>
        <w:t>presente caso la declaración que el referido  perito  había  rendido  en  el</w:t>
        <w:br/>
        <w:t>marco del caso Gudiel Álvarez y  otros  (“Diario  Militar”)  Vs.  Guatemala.</w:t>
        <w:br/>
        <w:t>Además, en dicha audiencia  la  testigo  Velia  Muralles  Bautista  presentó</w:t>
        <w:br/>
        <w:t>documentación del Archivo Histórico de la Policía Nacional  relacionada  con</w:t>
        <w:br/>
        <w:t>este caso, la cual fue entregada a las partes y a la Comisión.</w:t>
        <w:br/>
        <w:br/>
        <w:t>El 31 de mayo  de  2012  los  representantes  y  el  Estado  remitieron  sus</w:t>
        <w:br/>
        <w:t>alegatos  finales  escritos  y  la  Comisión  Interamericana  presentó   sus</w:t>
        <w:br/>
        <w:t>observaciones finales escritas el 1 de junio 2012. En dicha oportunidad,  el</w:t>
        <w:br/>
        <w:t>Estado presentó nuevamente una  copia  del  acuerdo  sobre  las  medidas  de</w:t>
        <w:br/>
        <w:t>reparación realizado entre las partes, y la Comisión Interamericana  reiteró</w:t>
        <w:br/>
        <w:t>su solicitud para que se trasladara la declaración del testigo  Marco  Tulio</w:t>
        <w:br/>
        <w:t>Álvarez Bobadilla (supra párr. 11).</w:t>
        <w:br/>
        <w:br/>
        <w:t>III</w:t>
        <w:br/>
        <w:t>RECONOCIMIENTO PARCIAL DE RESPONSABILIDAD INTERNACIONAL</w:t>
        <w:br/>
        <w:t>Y HOMOLOGACIÓN DEL ACUERDO DE REPARACIONES</w:t>
        <w:br/>
        <w:br/>
        <w:t xml:space="preserve">     A) Reconocimiento parcial de responsabilidad del Estado</w:t>
        <w:br/>
        <w:br/>
        <w:br/>
        <w:t>El Estado reconoció parcialmente  su  responsabilidad  internacional  en  el</w:t>
        <w:br/>
        <w:t>presente caso, en los siguientes términos:</w:t>
        <w:br/>
        <w:br/>
        <w:t xml:space="preserve">   a) Con respecto a las pretensiones alegadas por los representantes  y  la</w:t>
        <w:br/>
        <w:t xml:space="preserve">      Comisión Interamericana en el presente caso, el  Estado  manifestó  su</w:t>
        <w:br/>
        <w:t xml:space="preserve">      “aceptación total” respecto de:</w:t>
        <w:br/>
        <w:br/>
        <w:br/>
        <w:t xml:space="preserve">        1. “los hechos denunciados en relación con la supuesta violación de</w:t>
        <w:br/>
        <w:t xml:space="preserve">           los derechos humanos contenidos en los artículos 3 […], 4 […], 5</w:t>
        <w:br/>
        <w:t xml:space="preserve">           […] y 7 […] de la Convención  Americana”,  en  relación  con  el</w:t>
        <w:br/>
        <w:t xml:space="preserve">           artículo 1.1 de la misma. Asimismo, indicó  considerar  que  “ha</w:t>
        <w:br/>
        <w:t xml:space="preserve">           incumplido con la obligación  contenida  en  el  inciso  a)  del</w:t>
        <w:br/>
        <w:t xml:space="preserve">           artículo I de la Convención  Interamericana  sobre  Desaparición</w:t>
        <w:br/>
        <w:t xml:space="preserve">           Forzada”, en perjuicio de Edgar Fernando García, y</w:t>
        <w:br/>
        <w:t xml:space="preserve">        2. los artículos 13 y 16 de la Convención  Americana,  en  relación</w:t>
        <w:br/>
        <w:t xml:space="preserve">           con el artículo 1.1 de la misma, “únicamente en lo  concerniente</w:t>
        <w:br/>
        <w:t xml:space="preserve">           a Edgar Fernando García”.</w:t>
        <w:br/>
        <w:br/>
        <w:t xml:space="preserve">   b) Asimismo, expresó su “aceptación parcial”  respecto  de  las  alegadas</w:t>
        <w:br/>
        <w:t xml:space="preserve">      violaciones de:</w:t>
        <w:br/>
        <w:br/>
        <w:t xml:space="preserve">        1. los artículos 8 y  25  de  la  Convención,  en  relación  a  los</w:t>
        <w:br/>
        <w:t xml:space="preserve">           artículos 1.1 y 2 de la misma, en perjuicio  de  Edgar  Fernando</w:t>
        <w:br/>
        <w:t xml:space="preserve">           García,  Nineth  Varenca  Montenegro  Cottom,  Alejandra  García</w:t>
        <w:br/>
        <w:t xml:space="preserve">           Montenegro y María Emilia García;</w:t>
        <w:br/>
        <w:t xml:space="preserve">        2. el artículo  5  de  la  Convención  Americana,  en  relación  al</w:t>
        <w:br/>
        <w:t xml:space="preserve">           artículo 1.1  de  la  misma,  en  perjuicio  de  Nineth  Varenca</w:t>
        <w:br/>
        <w:t xml:space="preserve">           Montenegro Cottom, Alejandra García Montenegro  y  María  Emilia</w:t>
        <w:br/>
        <w:t xml:space="preserve">           García;</w:t>
        <w:br/>
        <w:t xml:space="preserve">        3. los artículos 13.1, 13.2 y 23 de  la  Convención  Americana,  en</w:t>
        <w:br/>
        <w:t xml:space="preserve">           relación con el artículo  1.1  de  la  misma,  por  la  presunta</w:t>
        <w:br/>
        <w:t xml:space="preserve">           violación del derecho de acceso a la información,  en  perjuicio</w:t>
        <w:br/>
        <w:t xml:space="preserve">           Nineth Varenca Montenegro Cottom, Alejandra García Montenegro  y</w:t>
        <w:br/>
        <w:t xml:space="preserve">           María Emilia García. No obstante, manifestó “su oposición a  que</w:t>
        <w:br/>
        <w:t xml:space="preserve">           se declare [el] incumplimiento” del artículo 2 de la  Convención</w:t>
        <w:br/>
        <w:t xml:space="preserve">           Americana, debido “a que  en  la  actualidad  existen  distintos</w:t>
        <w:br/>
        <w:t xml:space="preserve">           cuerpos normativos internos que garantizan el pleno ejercicio de</w:t>
        <w:br/>
        <w:t xml:space="preserve">           los derechos en referencia”, y</w:t>
        <w:br/>
        <w:t xml:space="preserve">        4. los artículos 13 y 16 de la Convención Americana,  con  relación</w:t>
        <w:br/>
        <w:t xml:space="preserve">           al artículo 1.1 de la misma,  en  perjuicio  de  Nineth  Varenca</w:t>
        <w:br/>
        <w:t xml:space="preserve">           Montenegro Cottom, Alejandra García Montenegro  y  María  Emilia</w:t>
        <w:br/>
        <w:t xml:space="preserve">           García. Dicha aceptación parcial fue realizada en  los  alegatos</w:t>
        <w:br/>
        <w:t xml:space="preserve">           finales.  En  su  escrito  de  contestación,  el  Estado   había</w:t>
        <w:br/>
        <w:t xml:space="preserve">           manifestado su “oposición total” respecto de estas violaciones.</w:t>
        <w:br/>
        <w:br/>
        <w:br/>
        <w:t xml:space="preserve">   c) Además, manifestó  su  “oposición  total”  respecto  de  las  alegadas</w:t>
        <w:br/>
        <w:t xml:space="preserve">      violaciones de:</w:t>
        <w:br/>
        <w:br/>
        <w:t xml:space="preserve">        1. el artículo I incisos b), c)  y  d)  y  el  artículo  II  de  la</w:t>
        <w:br/>
        <w:t xml:space="preserve">           Convención Interamericana sobre Desaparición Forzada;</w:t>
        <w:br/>
        <w:t xml:space="preserve">        2. los artículos 17 y 19 de la Convención  Americana,  en  relación</w:t>
        <w:br/>
        <w:t xml:space="preserve">           con el artículo 1.1 de la misma, en perjuicio de Edgar  Fernando</w:t>
        <w:br/>
        <w:t xml:space="preserve">           García,  Nineth  Varenca  Montenegro  Cottom,  Alejandra  García</w:t>
        <w:br/>
        <w:t xml:space="preserve">           Montenegro y María Emilia García;</w:t>
        <w:br/>
        <w:t xml:space="preserve">        3. los artículos 12  y  18  de  la  Convención,  alegados  por  los</w:t>
        <w:br/>
        <w:t xml:space="preserve">           representantes, y</w:t>
        <w:br/>
        <w:t xml:space="preserve">        4. la “supuesta violación al Derecho a la Verdad”, alegada por  los</w:t>
        <w:br/>
        <w:t xml:space="preserve">           representantes.</w:t>
        <w:br/>
        <w:br/>
        <w:br/>
        <w:t xml:space="preserve">   d) Además, el Estado “acept[ó]” como víctimas del presente caso  a  Edgar</w:t>
        <w:br/>
        <w:t xml:space="preserve">      Fernando García, Nineth Varenca Montenegro  Cottom,  Alejandra  García</w:t>
        <w:br/>
        <w:t xml:space="preserve">      Montenegro y  María  Emilia  García.  Asimismo,  manifestó  su  “total</w:t>
        <w:br/>
        <w:t xml:space="preserve">      oposición” a que  fueran  considerados  como  víctimas  Mario  Alcides</w:t>
        <w:br/>
        <w:t xml:space="preserve">      Polanco Pérez y Andrea Polanco Montenegro. No obstante, en su  escrito</w:t>
        <w:br/>
        <w:t xml:space="preserve">      de contestación indicó  que  “en  consideración  al  vínculo  familiar</w:t>
        <w:br/>
        <w:t xml:space="preserve">      existente  [entre  Andrea  Polanco  Montenegro]  con  Nineth   Varenca</w:t>
        <w:br/>
        <w:t xml:space="preserve">      Montenegro Cotttom y la posible afectación colateral  que  provocó  el</w:t>
        <w:br/>
        <w:t xml:space="preserve">      sufrimiento de su […] madre, el Estado expresa su aceptación a que  se</w:t>
        <w:br/>
        <w:t xml:space="preserve">      considere como víctima  en  el  presente  caso,  únicamente  para  los</w:t>
        <w:br/>
        <w:t xml:space="preserve">      efectos de la medida de reparación de tratamiento psicológico”.</w:t>
        <w:br/>
        <w:br/>
        <w:br/>
        <w:t xml:space="preserve">   e) Con respecto a las medidas de reparación solicitadas, el 24  de  abril</w:t>
        <w:br/>
        <w:t xml:space="preserve">      de 2012 antes de la celebración de la audiencia pública  del  presente</w:t>
        <w:br/>
        <w:t xml:space="preserve">      caso (supra párr. 10), el Estado presentó “un acuerdo en relación  con</w:t>
        <w:br/>
        <w:t xml:space="preserve">      las medidas de reparación por el daño material e inmaterial producidos</w:t>
        <w:br/>
        <w:t xml:space="preserve">      y las costas ocasionadas” celebrado entre las víctimas,  a  través  de</w:t>
        <w:br/>
        <w:t xml:space="preserve">      sus representantes, y Guatemala el 20 de abril de 2012 “[e]n el  marco</w:t>
        <w:br/>
        <w:t xml:space="preserve">      de un arreglo amistoso dentro [de este] proceso” (en adelante “acuerdo</w:t>
        <w:br/>
        <w:t xml:space="preserve">      de reparaciones”)[9]. El  Estado  solicitó  que  dicho  acuerdo  fuera</w:t>
        <w:br/>
        <w:t xml:space="preserve">      considerado en la Sentencia que eventualmente emitiera  la  Corte.  De</w:t>
        <w:br/>
        <w:t xml:space="preserve">      acuerdo a lo indicado en el referido acuerdo, las  partes  llevaron  a</w:t>
        <w:br/>
        <w:t xml:space="preserve">      cabo “reuniones de trabajo en aras de llegar a un acuerdo en cuanto al</w:t>
        <w:br/>
        <w:t xml:space="preserve">      tema  de  reparaciones  morales  y  materiales  solicitadas  por   los</w:t>
        <w:br/>
        <w:t xml:space="preserve">      peticionarios y representantes legales en [este] caso”, luego  de  ser</w:t>
        <w:br/>
        <w:t xml:space="preserve">      convocados a la audiencia pública. En  dicho  acuerdo,  el  Estado  se</w:t>
        <w:br/>
        <w:t xml:space="preserve">      comprometió a adoptar determinadas medidas de reparación (infra  párr.</w:t>
        <w:br/>
        <w:t xml:space="preserve">      23 y capítulo IX). En sus alegatos finales, el Estado solicitó que  se</w:t>
        <w:br/>
        <w:t xml:space="preserve">      “consideren por satisfechas las pretensiones de los  peticionarios  de</w:t>
        <w:br/>
        <w:t xml:space="preserve">      conformidad con los términos del acuerdo” llevado  a  cabo  entre  las</w:t>
        <w:br/>
        <w:t xml:space="preserve">      partes el 20 de abril de 2012[10].</w:t>
        <w:br/>
        <w:br/>
        <w:t xml:space="preserve">      B) Observaciones de la Comisión y de los representantes</w:t>
        <w:br/>
        <w:br/>
        <w:t>La  Comisión  “valor[ó]  positivamente  el  reconocimiento  de  los   hechos</w:t>
        <w:br/>
        <w:t>efectuados por el Estado y [de] su  responsabilidad  internacional  respecto</w:t>
        <w:br/>
        <w:t>de ciertos derechos  establecidos  en  el  sometimiento  del  caso”.  Indicó</w:t>
        <w:br/>
        <w:t>entender que, al aceptar totalmente ciertas  violaciones,  el  Estado  “está</w:t>
        <w:br/>
        <w:t>aceptando los hechos en los que se fundamentan los mismos”, por lo cual  “no</w:t>
        <w:br/>
        <w:t>existe controversia alguna  sobre  el  marco  fáctico  que  sustenta  dichas</w:t>
        <w:br/>
        <w:t>violaciones, ni de las consecuencias jurídicas planteadas”. Además,  observó</w:t>
        <w:br/>
        <w:t>que “aún persisten algunas violaciones respecto de las cuales el  Estado  ha</w:t>
        <w:br/>
        <w:t>aceptado responsabilidad parcial y otras que ha rechazado en su  totalidad”,</w:t>
        <w:br/>
        <w:t>por lo cual corresponde que la Corte se pronuncie en su totalidad sobre  los</w:t>
        <w:br/>
        <w:t>hechos y violaciones alegadas. La Comisión solicitó a la Corte  que  “admita</w:t>
        <w:br/>
        <w:t>la aceptación de responsabilidad internacional efectuada por el Estado”.  De</w:t>
        <w:br/>
        <w:t>igual manera, resaltó que el Estado reconoció “la totalidad de las  víctimas</w:t>
        <w:br/>
        <w:t>presentadas por la  Comisión”.  Respecto  al  acuerdo  de  reparaciones,  la</w:t>
        <w:br/>
        <w:t>Comisión Interamericana “valor[ó] que las partes  h[ubieran]  llegado  a  un</w:t>
        <w:br/>
        <w:t>acuerdo […] y solicit[ó] a la Corte que  lo  tome  en  consideración  en  la</w:t>
        <w:br/>
        <w:t>[S]entencia”, y que “de considerarlo pertinente,  ordene  otras  medidas  de</w:t>
        <w:br/>
        <w:t>reparación”.</w:t>
        <w:br/>
        <w:br/>
        <w:t>Los  representantes  no  se  refirieron   al   reconocimiento   parcial   de</w:t>
        <w:br/>
        <w:t>responsabilidad realizado por  el  Estado.  No  obstante,  en  sus  alegatos</w:t>
        <w:br/>
        <w:t>finales escritos solicitaron que el acuerdo de reparaciones  sea  homologado</w:t>
        <w:br/>
        <w:t>por la Corte.</w:t>
        <w:br/>
        <w:br/>
        <w:t xml:space="preserve">      C) Consideraciones de la Corte</w:t>
        <w:br/>
        <w:br/>
        <w:t>De conformidad con los artículos  62,  63  y  64  del  Reglamento[11]  y  en</w:t>
        <w:br/>
        <w:t>ejercicio de sus  poderes  de  tutela  judicial  internacional  de  derechos</w:t>
        <w:br/>
        <w:t>humanos, cuestión de orden público internacional que trasciende la  voluntad</w:t>
        <w:br/>
        <w:t>de las partes, incumbe al Tribunal velar porque los actos de  reconocimiento</w:t>
        <w:br/>
        <w:t>de responsabilidad  y  los  posibles  acuerdos  entre  las  partes  resulten</w:t>
        <w:br/>
        <w:t>aceptables para los fines que busca cumplir el Sistema Interamericano.  Esta</w:t>
        <w:br/>
        <w:t>tarea no se limita únicamente  a  constatar,  registrar  o  tomar  nota  del</w:t>
        <w:br/>
        <w:t>reconocimiento efectuado por  el  Estado,  o  a  verificar  las  condiciones</w:t>
        <w:br/>
        <w:t>formales de los mencionados actos, sino  que  los  debe  confrontar  con  la</w:t>
        <w:br/>
        <w:t>naturaleza y gravedad de las violaciones alegadas, las exigencias e  interés</w:t>
        <w:br/>
        <w:t>de la justicia, las circunstancias  particulares  del  caso  concreto  y  la</w:t>
        <w:br/>
        <w:t>actitud y posición de las partes[12], de manera tal que pueda  precisar,  en</w:t>
        <w:br/>
        <w:t>cuanto sea posible y en el ejercicio de su  competencia,  la  verdad  de  lo</w:t>
        <w:br/>
        <w:t>acontecido[13]. Por consiguiente, el  Tribunal  procederá  a  determinar  la</w:t>
        <w:br/>
        <w:t>procedencia  y  efectos  jurídicos  del  reconocimiento  de  responsabilidad</w:t>
        <w:br/>
        <w:t>internacional del Estado y del acuerdo de reparaciones entre las partes.</w:t>
        <w:br/>
        <w:br/>
        <w:t>El artículo 41.1.a) del Reglamento señala que el Estado deberá  indicar,  en</w:t>
        <w:br/>
        <w:t>su  contestación,  si  acepta  los  hechos  y  las  pretensiones  o  si  los</w:t>
        <w:br/>
        <w:t>contradice. Además, en el mismo artículo 41.3 del Reglamento se  señala  que</w:t>
        <w:br/>
        <w:t>la Corte “podrá considerar aceptados  aquellos  hechos  que  no  hayan  sido</w:t>
        <w:br/>
        <w:t>expresamente negados y las  pretensiones  que  no  hayan  sido  expresamente</w:t>
        <w:br/>
        <w:t>controvertidas”.</w:t>
        <w:br/>
        <w:br/>
        <w:t xml:space="preserve"> En el presente caso, la Corte  observa  que  el  Estado  admitió  de  forma</w:t>
        <w:br/>
        <w:t>expresa los  hechos  relacionados  con  la  desaparición  forzada  de  Edgar</w:t>
        <w:br/>
        <w:t>Fernando García (supra párr. 13.a.1). El  Estado  no  realizó  una  admisión</w:t>
        <w:br/>
        <w:t>específica y expresa de los demás hechos descritos en el  Informe  de  Fondo</w:t>
        <w:br/>
        <w:t>de la Comisión  ni  en  el  escrito  de  solicitudes  y  argumentos  de  los</w:t>
        <w:br/>
        <w:t>representantes, ni aclaró los hechos sometidos a conocimiento  del  Tribunal</w:t>
        <w:br/>
        <w:t>que  dan  sustento  a  su  reconocimiento  parcial  de  responsabilidad.  No</w:t>
        <w:br/>
        <w:t>obstante, como lo ha hecho en otros casos[14], el Tribunal entiende  que  el</w:t>
        <w:br/>
        <w:t>Estado  admitió  todos  los  hechos  en  los  cuales  se   fundamentan   las</w:t>
        <w:br/>
        <w:t>violaciones  por  las  cuales  “acept[ó]  totalmente”   su   responsabilidad</w:t>
        <w:br/>
        <w:t>internacional.  En  consecuencia,  la  Corte  considera  que  ha  cesado  la</w:t>
        <w:br/>
        <w:t>controversia respecto de la desaparición forzada de Edgar Fernando García  y</w:t>
        <w:br/>
        <w:t>de la consecuente violación de los artículos  3,  4,  5,  7,  13  y  16,  en</w:t>
        <w:br/>
        <w:t>relación con el artículo 1.1 de la Convención Americana y el  artículos  I.a</w:t>
        <w:br/>
        <w:t>de la Convención Interamericana sobre Desaparición Forzada, en perjuicio  de</w:t>
        <w:br/>
        <w:t>Edgar Fernando García.</w:t>
        <w:br/>
        <w:br/>
        <w:t>Por otra  parte,  el  Tribunal  observa  que  se  mantiene  la  controversia</w:t>
        <w:br/>
        <w:t>respecto a  las  alegadas  violaciones  de  los  artículos  8  y  25  de  la</w:t>
        <w:br/>
        <w:t>Convención Americana, en relación a los artículos 1.1 y 2 de la misma y  los</w:t>
        <w:br/>
        <w:t>artículos I, literales b, c y d y II de la Convención  Interamericana  sobre</w:t>
        <w:br/>
        <w:t>Desaparición Forzada, así como la alegada violación del  derecho  a  conocer</w:t>
        <w:br/>
        <w:t>la  verdad,  en  perjuicio  de  Edgar  Fernando  García  y  sus  familiares.</w:t>
        <w:br/>
        <w:t>Asimismo, subsiste la controversia respecto de la alegada violación  de  los</w:t>
        <w:br/>
        <w:t>artículos 5, 13, 16, 17, 19 y 23 de  la  Convención,  en  relación  con  los</w:t>
        <w:br/>
        <w:t>artículos 1.1 y 2 de  la  misma,  respectivamente,  el  artículo  II  de  la</w:t>
        <w:br/>
        <w:t>Convención Interamericana sobre Desaparición Forzada y la alegada  violación</w:t>
        <w:br/>
        <w:t>autónoma del artículo 2 de la Convención, en  perjuicio  de  Nineth  Varenca</w:t>
        <w:br/>
        <w:t>Montenegro Cottom, Alejandra García Montenegro y María Emilia García.</w:t>
        <w:br/>
        <w:br/>
        <w:t>Por otra parte, la Corte observa que  el  Estado  se  opuso  a  la  presunta</w:t>
        <w:br/>
        <w:t>violación  de  los  artículos  12  y  18   de   la   Convención   Americana,</w:t>
        <w:br/>
        <w:t>supuestamente alegada por  los  representantes.  Al  respecto,  el  Tribunal</w:t>
        <w:br/>
        <w:t>observa que en el petitorio del escrito de solicitudes y argumentos y en  su</w:t>
        <w:br/>
        <w:t>escrito de alegatos finales, los representantes erróneamente  indicaron  que</w:t>
        <w:br/>
        <w:t>el  derecho  a  la  libertad  de  expresión  y  los  derechos  del  niño  se</w:t>
        <w:br/>
        <w:t>encontraban  establecidos  en  los  artículos  12  y  18  de  la  Convención</w:t>
        <w:br/>
        <w:t>Americana, respectivamente[15]. No obstante,  la  Corte  considera  que  del</w:t>
        <w:br/>
        <w:t>texto de ambos escritos se desprende que la referencia a los artículos 12  y</w:t>
        <w:br/>
        <w:t>18 constituyó un error  material  de  los  representantes,  puesto  que  sus</w:t>
        <w:br/>
        <w:t>fundamentos de derecho y el texto de su  petitorio  (con  exclusión  de  los</w:t>
        <w:br/>
        <w:t>números de los  artículos  referidos)  fueron  realizados  con  base  en  la</w:t>
        <w:br/>
        <w:t>presunta violación del derecho a la libertad de expresión y de los  derechos</w:t>
        <w:br/>
        <w:t>del niño. La Corte se pronunció respecto al estado  de  la  controversia  en</w:t>
        <w:br/>
        <w:t>relación con estas alegadas violaciones supra.</w:t>
        <w:br/>
        <w:br/>
        <w:t>Adicionalmente, la Corte observa que el Estado se opuso a  la  inclusión  de</w:t>
        <w:br/>
        <w:t>Mario Alcides Polando Pérez  y  Andrea  Polanco  Montenegro  como  presuntas</w:t>
        <w:br/>
        <w:t>víctimas del presente caso (supra párr. 13.d).  La  Corte  advierte  que  se</w:t>
        <w:br/>
        <w:t>pronunciará sobre  el  carácter  de  presuntas  víctimas  de  las  referidas</w:t>
        <w:br/>
        <w:t>personas en la consideración previa correspondiente en el capítulo V  infra.</w:t>
        <w:br/>
        <w:br/>
        <w:br/>
        <w:t>La Corte estima que el reconocimiento parcial de  responsabilidad  realizado</w:t>
        <w:br/>
        <w:t>por el Estado, constituye una contribución positiva al  desarrollo  de  este</w:t>
        <w:br/>
        <w:t>proceso y a la  vigencia  de  los  principios  que  inspiran  la  Convención</w:t>
        <w:br/>
        <w:t>Americana[16]. Asimismo, la Corte considera, como en  otros  casos[17],  que</w:t>
        <w:br/>
        <w:t>tal reconocimiento  produce  plenos  efectos  jurídicos  de  acuerdo  a  los</w:t>
        <w:br/>
        <w:t>artículos 62 y 64 del Reglamento de la Corte ya mencionados y tiene un  alto</w:t>
        <w:br/>
        <w:t>valor simbólico en aras de que no se repitan hechos similares.</w:t>
        <w:br/>
        <w:br/>
        <w:t>Por otra parte, el Tribunal valora positivamente el acuerdo de  reparaciones</w:t>
        <w:br/>
        <w:t>alcanzado entre las partes, lo  cual  refleja  la  voluntad  del  Estado  de</w:t>
        <w:br/>
        <w:t>reparar los daños ocasionados a las víctimas por las violaciones  producidas</w:t>
        <w:br/>
        <w:t>en el presente caso. La Corte ha establecido  que  alcanzar  acuerdos  entre</w:t>
        <w:br/>
        <w:t>las  partes  contribuye  a  la  realización  de  los   fines   del   Sistema</w:t>
        <w:br/>
        <w:t>Interamericano de Protección de los Derechos Humanos, especialmente  con  el</w:t>
        <w:br/>
        <w:t>propósito de encontrar soluciones justas  a  los  problemas  particulares  y</w:t>
        <w:br/>
        <w:t>estructurales de un caso[18]. La Corte homologa las  medidas  de  reparación</w:t>
        <w:br/>
        <w:t>descritas en el acuerdo convenido por el Estado y los representantes de  las</w:t>
        <w:br/>
        <w:t>víctimas, en los términos descritos en la presente Sentencia por  contribuir</w:t>
        <w:br/>
        <w:t>a la realización del objeto y fin de la Convención Americana.  No  obstante,</w:t>
        <w:br/>
        <w:t>la Corte analizará  dichas  medidas  en  el  Capítulo  IX,  con  el  fin  de</w:t>
        <w:br/>
        <w:t>determinar su alcance y formas de ejecución.</w:t>
        <w:br/>
        <w:br/>
        <w:t>Finalmente, en  consideración  de  la  gravedad  de  los  hechos  y  de  las</w:t>
        <w:br/>
        <w:t>violaciones alegadas, así como  teniendo  en  cuenta  las  atribuciones  que</w:t>
        <w:br/>
        <w:t>incumben a este Tribunal como órgano  internacional  de  protección  de  los</w:t>
        <w:br/>
        <w:t>derechos humanos, la Corte procederá a la determinación amplia y puntual  de</w:t>
        <w:br/>
        <w:t>los hechos ocurridos, toda vez que ello contribuye a la  reparación  de  las</w:t>
        <w:br/>
        <w:t>víctimas, a evitar que se repitan hechos similares y a satisfacer, en  suma,</w:t>
        <w:br/>
        <w:t>los fines de la jurisdicción interamericana sobre derechos  humanos[19].  De</w:t>
        <w:br/>
        <w:t>igual modo, la Corte abrirá los capítulos correspondientes para  analizar  y</w:t>
        <w:br/>
        <w:t>precisar en lo que corresponda el alcance de las  violaciones  alegadas  por</w:t>
        <w:br/>
        <w:t>la Comisión o los representantes.</w:t>
        <w:br/>
        <w:br/>
        <w:t xml:space="preserve">                                     IV</w:t>
        <w:br/>
        <w:t xml:space="preserve">                                 COMPETENCIA</w:t>
        <w:br/>
        <w:br/>
        <w:t>La Corte Interamericana es competente, en los términos del artículo 62.3  de</w:t>
        <w:br/>
        <w:t>la Convención  Americana  para  conocer  el  presente  caso,  debido  a  que</w:t>
        <w:br/>
        <w:t>Guatemala es Estado Parte de la Convención Americana desde el 25 de mayo  de</w:t>
        <w:br/>
        <w:t>1978 y reconoció la competencia contenciosa de la Corte el  9  de  marzo  de</w:t>
        <w:br/>
        <w:t>1987.  Además,  Guatemala  ratificó  la  Convención   Interamericana   sobre</w:t>
        <w:br/>
        <w:t>Desaparición Forzada el 25 de febrero de 2000.</w:t>
        <w:br/>
        <w:br/>
        <w:t>La Corte recuerda que tiene competencia  temporal,  como  regla  general,  a</w:t>
        <w:br/>
        <w:t>partir de la fecha de ratificación de los  instrumentos  respectivos  y  del</w:t>
        <w:br/>
        <w:t>reconocimiento de su competencia contenciosa, de acuerdo a los  términos  en</w:t>
        <w:br/>
        <w:t>que se  hayan  formulado  dichas  ratificaciones  y  reconocimiento[20].  No</w:t>
        <w:br/>
        <w:t>obstante,  observa  que  en  el  presente  caso  el  Estado   reconoció   su</w:t>
        <w:br/>
        <w:t>responsabilidad internacional por la alegada violación  de  la  libertad  de</w:t>
        <w:br/>
        <w:t>pensamiento y expresión y  la  libertad  de  asociación  como  móvil  de  la</w:t>
        <w:br/>
        <w:t>desaparición forzada de Edgar Fernando García (supra  párr.  13.a.2).  Dicha</w:t>
        <w:br/>
        <w:t>alegada violación ocurrió y cesó antes de  la  fecha  de  reconocimiento  de</w:t>
        <w:br/>
        <w:t>competencia del Tribunal.</w:t>
        <w:br/>
        <w:br/>
        <w:t>La Corte ha establecido que cuando un  Estado  reconoce  su  responsabilidad</w:t>
        <w:br/>
        <w:t>internacional por violaciones a la Convención Americana ocurridas antes  del</w:t>
        <w:br/>
        <w:t>reconocimiento de la competencia de la Corte, dicho  Estado  renuncia  a  la</w:t>
        <w:br/>
        <w:t>limitación temporal al ejercicio de su competencia, respecto de  los  hechos</w:t>
        <w:br/>
        <w:t>o las violaciones reconocidas, otorgando así su consentimiento para  que  el</w:t>
        <w:br/>
        <w:t>Tribunal examine los hechos ocurridos y se pronuncie sobre  las  violaciones</w:t>
        <w:br/>
        <w:t>que se configuren al respecto[21]. Por tanto, en virtud  del  reconocimiento</w:t>
        <w:br/>
        <w:t>de responsabilidad del Estado, el Tribunal  considera  que  en  el  presente</w:t>
        <w:br/>
        <w:t>caso  tiene  competencia  para  conocer  de  la  alegada  violación  de  los</w:t>
        <w:br/>
        <w:t>artículos 13 y 16 de la Convención, alegadas en perjuicio de Edgar  Fernando</w:t>
        <w:br/>
        <w:t>García.</w:t>
        <w:br/>
        <w:br/>
        <w:t xml:space="preserve">                                      V</w:t>
        <w:br/>
        <w:t xml:space="preserve">                           CONSIDERACIONES PREVIAS</w:t>
        <w:br/>
        <w:br/>
        <w:br/>
        <w:t xml:space="preserve">      A) Sobre la alegada excepción preliminar</w:t>
        <w:br/>
        <w:br/>
        <w:t>En su escrito de contestación, el Estado indicó que “en el presente caso  no</w:t>
        <w:br/>
        <w:t>se han agotado los recursos de la jurisdicción interna”, lo que unido  a  la</w:t>
        <w:br/>
        <w:t>“naturaleza […] coadyuvante o complementaria [del Sistema Interamericano  …]</w:t>
        <w:br/>
        <w:t>motiva[ba]  la  interposición  del  no  agotamiento  de  los   recursos   de</w:t>
        <w:br/>
        <w:t>jurisdicción interna como excepción previa”. En  la  audiencia  pública,  el</w:t>
        <w:br/>
        <w:t>Estado  “retir[ó]  la  excepción  previa  de  no  agotamiento  de   recursos</w:t>
        <w:br/>
        <w:t>internos”.  No  obstante,  en  sus  alegatos  finales  escritos,  el  Estado</w:t>
        <w:br/>
        <w:t>“reiter[ó] la excepción previa de falta de agotamiento de  los  recursos  de</w:t>
        <w:br/>
        <w:t>la jurisdicción interna planteada en el escrito de contestación”.</w:t>
        <w:br/>
        <w:br/>
        <w:t>En sus observaciones finales la Comisión “destac[ó] que, en  [la]  audiencia</w:t>
        <w:br/>
        <w:t>pública,  el  Estado  retiró  la  excepción  preliminar  presentada  en   su</w:t>
        <w:br/>
        <w:t>contestación”, por lo cual solicitó a  la  Corte  que  “tom[ara]  en  cuenta</w:t>
        <w:br/>
        <w:t>[dicho] desistimiento del Estado al respecto y proceda a analizar  el  fondo</w:t>
        <w:br/>
        <w:t>del caso”. Los representantes no se refirieron al  retiro  de  la  excepción</w:t>
        <w:br/>
        <w:t>preliminar por parte del Estado.</w:t>
        <w:br/>
        <w:br/>
        <w:t xml:space="preserve">      Consideraciones de la Corte</w:t>
        <w:br/>
        <w:br/>
        <w:t>El artículo 42.1 del Reglamento de la Corte establece  que  las  excepciones</w:t>
        <w:br/>
        <w:t>preliminares solo pueden ser opuestas en  el  escrito  de  contestación.  La</w:t>
        <w:br/>
        <w:t>interposición de la excepción preliminar de no agotamiento de  los  recursos</w:t>
        <w:br/>
        <w:t>internos es un derecho procesal del Estado. Por lo tanto,  el  Estado  puede</w:t>
        <w:br/>
        <w:t>renunciar a este derecho en cualquier momento del procedimiento[22].</w:t>
        <w:br/>
        <w:br/>
        <w:t>En el presente caso, el Estado interpuso  una  excepción  preliminar  de  no</w:t>
        <w:br/>
        <w:t>agotamiento de los recursos internos en su escrito de  contestación.  En  la</w:t>
        <w:br/>
        <w:t>siguiente oportunidad procesal, la audiencia pública,  el  Estado  manifestó</w:t>
        <w:br/>
        <w:t>claramente y en términos precisos que retiraba dicha  excepción  preliminar.</w:t>
        <w:br/>
        <w:t>No obstante, posteriormente en sus  alegatos  finales  escritos,  el  Estado</w:t>
        <w:br/>
        <w:t>“reiter[ó]” dicha excepción preliminar. Esta Corte  recuerda  que  según  la</w:t>
        <w:br/>
        <w:t>práctica internacional y conforme con su jurisprudencia,  cuando  una  parte</w:t>
        <w:br/>
        <w:t>en un litigio ha adoptado una actitud determinada que redunda  en  deterioro</w:t>
        <w:br/>
        <w:t>propio o en beneficio de  la  contraria,  no  puede  luego,  en  virtud  del</w:t>
        <w:br/>
        <w:t>principio del estoppel, asumir otra conducta que sea contradictoria  con  la</w:t>
        <w:br/>
        <w:t>primera[23].</w:t>
        <w:br/>
        <w:br/>
        <w:t>La Corte ha valorado las manifestaciones realizadas por los Estados  durante</w:t>
        <w:br/>
        <w:t>las audiencias públicas de la misma forma que las  manifestaciones  escritas</w:t>
        <w:br/>
        <w:t>y considera que éstas producen los mismos efectos jurídicos[24]. El acto  de</w:t>
        <w:br/>
        <w:t>desistimiento de la excepción preliminar realizado por Guatemala durante  la</w:t>
        <w:br/>
        <w:t>audiencia pública resulta necesariamente relevante para la determinación  de</w:t>
        <w:br/>
        <w:t>la aplicación del principio de estoppel respecto de  la  posición  contraria</w:t>
        <w:br/>
        <w:t>expuesta por el Estado en sus alegatos finales escritos. La Corte  considera</w:t>
        <w:br/>
        <w:t>que la renuncia a la excepción preliminar realizada por  el  Estado  durante</w:t>
        <w:br/>
        <w:t>la audiencia pública generó un efecto jurídico sobre el cual actuaron  tanto</w:t>
        <w:br/>
        <w:t>los representantes como la Comisión, por lo  cual  Guatemala  está  impedida</w:t>
        <w:br/>
        <w:t>–en virtud del mencionado principio- de volver  a  interponer  o  “reiterar”</w:t>
        <w:br/>
        <w:t>dicha excepción preliminar en sus alegatos finales escritos. Por  tanto,  la</w:t>
        <w:br/>
        <w:t>Corte considera que el Estado desistió de la referida  excepción  preliminar</w:t>
        <w:br/>
        <w:t>y, en consecuencia, estima que no necesario el análisis de su procedencia.</w:t>
        <w:br/>
        <w:br/>
        <w:t>De igual manera, el Tribunal recuerda que las  excepciones  preliminares  no</w:t>
        <w:br/>
        <w:t>pueden limitar, contradecir o  vaciar  de  contenido  el  reconocimiento  de</w:t>
        <w:br/>
        <w:t>responsabilidad de un Estado[25] y, menos aún, el  acuerdo  de  reparaciones</w:t>
        <w:br/>
        <w:t>ya alcanzado con las víctimas. En este sentido, la Corte hace notar  que  la</w:t>
        <w:br/>
        <w:t>alegada excepción preliminar de falta agotamiento de  recursos  internos  no</w:t>
        <w:br/>
        <w:t>resultaría compatible con el reconocimiento parcial  de  responsabilidad  de</w:t>
        <w:br/>
        <w:t>Guatemala y el acuerdo de reparaciones ya firmado entre  las  partes  en  el</w:t>
        <w:br/>
        <w:t>presente caso.</w:t>
        <w:br/>
        <w:br/>
        <w:t xml:space="preserve">      B) Sobre la determinación de las presuntas víctimas</w:t>
        <w:br/>
        <w:br/>
        <w:t>La Corte ha establecido que las presuntas víctimas deben estar señaladas  en</w:t>
        <w:br/>
        <w:t>el Informe de Fondo de la Comisión  emitido  según  el  artículo  50  de  la</w:t>
        <w:br/>
        <w:t>Convención y en la presentación del caso ante esta Corte, de acuerdo con  el</w:t>
        <w:br/>
        <w:t>artículo 35.1 del  Reglamento[26].  Además,  de  conformidad  con  el  mismo</w:t>
        <w:br/>
        <w:t>artículo, corresponde a la Comisión y no a este  Tribunal,  identificar  con</w:t>
        <w:br/>
        <w:t>precisión y en la debida oportunidad procesal a las  presuntas  víctimas  en</w:t>
        <w:br/>
        <w:t>un caso ante la Corte[27]. La seguridad jurídica exige, como regla  general,</w:t>
        <w:br/>
        <w:t>que todas las presuntas víctimas estén debidamente  identificadas  en  ambos</w:t>
        <w:br/>
        <w:t>escritos, no siendo posible  añadir  nuevas  presuntas  víctimas  luego  del</w:t>
        <w:br/>
        <w:t>Informe de Fondo, salvo en la circunstancia excepcional  contemplada  en  el</w:t>
        <w:br/>
        <w:t>artículo 35.2 del Reglamento de la Corte[28]. El Tribunal hace notar que  el</w:t>
        <w:br/>
        <w:t>presente caso no se trata de uno de  los  supuestos  del  referido  artículo</w:t>
        <w:br/>
        <w:t>35.2 que podría justificar  la  identificación  de  presuntas  víctimas  con</w:t>
        <w:br/>
        <w:t>posterioridad al Informe de Fondo o sometimiento del caso.</w:t>
        <w:br/>
        <w:br/>
        <w:t>En ese sentido, este Tribunal resalta que los representantes  deben  señalar</w:t>
        <w:br/>
        <w:t>a todas las presuntas víctimas durante el trámite ante la Comisión y  evitar</w:t>
        <w:br/>
        <w:t>hacerlo con posterioridad a la emisión  del  Informe  de  Fondo  al  que  se</w:t>
        <w:br/>
        <w:t>refiere el artículo 50 de la Convención, como sucedió en el  presente  caso.</w:t>
        <w:br/>
        <w:t>Esto, pues la Comisión al momento de emitir el referido informe debe  contar</w:t>
        <w:br/>
        <w:t>con todos los elementos para la determinación las cuestiones de hecho  y  de</w:t>
        <w:br/>
        <w:t>derecho del caso, inclusive a quienes debe considerarse  como  víctimas,  lo</w:t>
        <w:br/>
        <w:t>que no ocurrió en el presente caso.</w:t>
        <w:br/>
        <w:br/>
        <w:t>De acuerdo a lo dispuesto en el artículo 35.1 del Reglamento  de  la  Corte,</w:t>
        <w:br/>
        <w:t>la Comisión Interamericana consignó en su escrito de  sometimiento  que  las</w:t>
        <w:br/>
        <w:t>presuntas víctimas de este  caso  eran  Edgar  Fernando  García,  su  esposa</w:t>
        <w:br/>
        <w:t>Nineth Varenca Montenegro Cottom, su hija Alejandra García Montenegro  y  su</w:t>
        <w:br/>
        <w:t>madre María Emilia  García.  No  obstante,  la  Comisión  advirtió  que  los</w:t>
        <w:br/>
        <w:t>representantes, con posterioridad a la notificación del  Informe  No.117/10,</w:t>
        <w:br/>
        <w:t>indicaron que también deberían  ser  considerados  como  víctimas  el  señor</w:t>
        <w:br/>
        <w:t>Mario Alcides Polanco Pérez y Andrea Polanco Montenegro (supra párr. 3).  En</w:t>
        <w:br/>
        <w:t>su escrito de solicitudes y argumentos, los  representantes  indicaron  como</w:t>
        <w:br/>
        <w:t>víctimas  Edgar  Fernando  García,  María  Emilia  García,  Nineth   Varenca</w:t>
        <w:br/>
        <w:t>Montenegro Cottom y Alejandra García Montenegro.  No  obstante,  solicitaron</w:t>
        <w:br/>
        <w:t>que la medida de rehabilitación psicológica fuera brindada también  a  Mario</w:t>
        <w:br/>
        <w:t>Alcides Polanco y a Andrea Polanco Montenegro.  El  Estado  se  opuso  a  la</w:t>
        <w:br/>
        <w:t>inclusión de estas personas como presuntas víctimas, aunque  en  su  escrito</w:t>
        <w:br/>
        <w:t>de  contestación  aceptó  otorgar  atención  psicológica  a  Andrea  Polanco</w:t>
        <w:br/>
        <w:t>Montenegro (supra párr. 13.d).</w:t>
        <w:br/>
        <w:br/>
        <w:t>De conformidad con el criterio jurisprudencial señalado, el Tribunal estima</w:t>
        <w:br/>
        <w:t>conveniente aclarar que los familiares adicionales indicados por los</w:t>
        <w:br/>
        <w:t>representantes no serán considerados como presuntas víctimas en el presente</w:t>
        <w:br/>
        <w:t>caso. Por tanto, la Corte declara que serán considerados como presuntas</w:t>
        <w:br/>
        <w:t>víctimas en este caso: Edgar Fernando García, Nineth Varenca Montenegro</w:t>
        <w:br/>
        <w:t>Cottom, Alejandra García Montenegro y María Emilia García.</w:t>
        <w:br/>
        <w:br/>
        <w:t xml:space="preserve">                                     VI</w:t>
        <w:br/>
        <w:t xml:space="preserve">                                   PRUEBA</w:t>
        <w:br/>
        <w:br/>
        <w:t>Con base en lo establecido en los artículos 50, 57 y 58 del Reglamento,  así</w:t>
        <w:br/>
        <w:t>como en su jurisprudencia respecto de la prueba  y  su  apreciación[29],  la</w:t>
        <w:br/>
        <w:t>Corte examinará y valorará los elementos probatorios documentales  remitidos</w:t>
        <w:br/>
        <w:t>por las partes en diversas oportunidades  procesales,  las  declaraciones  y</w:t>
        <w:br/>
        <w:t>testimonios rendidos mediante  declaración  jurada  ante  fedatario  público</w:t>
        <w:br/>
        <w:t>(affidávit) y en la audiencia pública ante la Corte, así  como  las  pruebas</w:t>
        <w:br/>
        <w:t>para mejor resolver incorporadas de oficio  por  el  Tribunal  (infra  párr.</w:t>
        <w:br/>
        <w:t>44). Para ello el Tribunal se atendrá a los principios de la  sana  crítica,</w:t>
        <w:br/>
        <w:t>dentro del marco normativo correspondiente[30].</w:t>
        <w:br/>
        <w:br/>
        <w:t xml:space="preserve">      A) Prueba documental y testimonial</w:t>
        <w:br/>
        <w:br/>
        <w:t>El Tribunal recibió diversos  documentos  presentados  como  prueba  por  la</w:t>
        <w:br/>
        <w:t>Comisión Interamericana, los representantes y  el  Estado,  adjuntos  a  sus</w:t>
        <w:br/>
        <w:t>escritos principales (supra párrs. 1, 5 y 7).  Asimismo,  la  Corte  recibió</w:t>
        <w:br/>
        <w:t>las  declaraciones  rendidas  ante  fedatario  público  (affidávit)  de   la</w:t>
        <w:br/>
        <w:t>presunta  víctima,  Alejandra  García  Montenegro,  y  del  testigo,  Manuel</w:t>
        <w:br/>
        <w:t>Giovanni Vásquez Vicente.  En  cuanto  a  la  prueba  rendida  en  audiencia</w:t>
        <w:br/>
        <w:t>pública, la Corte escuchó las declaraciones de la presunta  víctima,  Nineth</w:t>
        <w:br/>
        <w:t>Varenca Montenegro Cottom y de la testigo, Velia Muralles Bautista[31].</w:t>
        <w:br/>
        <w:br/>
        <w:t xml:space="preserve">      B) Admisión de la prueba</w:t>
        <w:br/>
        <w:br/>
        <w:t xml:space="preserve">            B.1) Admisión de la prueba documental</w:t>
        <w:br/>
        <w:br/>
        <w:t>En el presente caso, como en otros, el Tribunal otorga  valor  probatorio  a</w:t>
        <w:br/>
        <w:t>aquellos documentos presentados oportunamente por las partes y  la  Comisión</w:t>
        <w:br/>
        <w:t>que no fueron controvertidos ni objetados, ni cuya autenticidad  fue  puesta</w:t>
        <w:br/>
        <w:t>en duda[32]. La Corte  observa  que  el  Estado  presentó  extemporáneamente</w:t>
        <w:br/>
        <w:t>parte de la prueba documental ofrecida en su  escrito  de  contestación[33].</w:t>
        <w:br/>
        <w:t>No obstante, en aplicación  del  artículo  58.a  del  Reglamento,  la  Corte</w:t>
        <w:br/>
        <w:t>decide admitir tales documentos por considerarlos útiles para la  resolución</w:t>
        <w:br/>
        <w:t>del presente caso.</w:t>
        <w:br/>
        <w:br/>
        <w:t>En cuanto a las notas de prensa presentadas por las  partes  y  la  Comisión</w:t>
        <w:br/>
        <w:t>junto con sus distintos escritos, este Tribunal ha  considerado  que  podrán</w:t>
        <w:br/>
        <w:t>ser apreciadas cuando recojan hechos públicos y notorios o declaraciones  de</w:t>
        <w:br/>
        <w:t>funcionarios del Estado, o cuando corroboren aspectos  relacionados  con  el</w:t>
        <w:br/>
        <w:t>caso[34]. El Tribunal decide admitir aquellos documentos que  se  encuentren</w:t>
        <w:br/>
        <w:t>completos o que, por lo menos, permitan  constatar  su  fuente  y  fecha  de</w:t>
        <w:br/>
        <w:t>publicación, y los  valorará  tomando  en  cuenta  el  conjunto  del  acervo</w:t>
        <w:br/>
        <w:t>probatorio, las observaciones  de  las  partes  y  las  reglas  de  la  sana</w:t>
        <w:br/>
        <w:t>crítica.</w:t>
        <w:br/>
        <w:br/>
        <w:t>Igualmente, con respecto a algunos documentos señalados por las partes y  la</w:t>
        <w:br/>
        <w:t>Comisión por medio de enlaces electrónicos, el Tribunal ha establecido  que,</w:t>
        <w:br/>
        <w:t>si una  parte  proporciona  al  menos  el  enlace  electrónico  directo  del</w:t>
        <w:br/>
        <w:t>documento que cita como prueba y  es  posible  acceder  a  éste,  no  se  ve</w:t>
        <w:br/>
        <w:t>afectada  la  seguridad  jurídica  ni  el  equilibrio  procesal,  porque  es</w:t>
        <w:br/>
        <w:t>inmediatamente localizable por el Tribunal y por las  otras  partes[35].  En</w:t>
        <w:br/>
        <w:t>este caso, no hubo oposición u  observaciones  de  las  otras  partes  o  la</w:t>
        <w:br/>
        <w:t>Comisión sobre el contenido y autenticidad de tales documentos.</w:t>
        <w:br/>
        <w:br/>
        <w:t>Durante la audiencia pública, la testigo  Velia  Muralles  Bautista  entregó</w:t>
        <w:br/>
        <w:t>una carpeta de documentos del  Archivo  Histórico  de  la  Policía  Nacional</w:t>
        <w:br/>
        <w:t>(supra párr. 11), la cual fue entregada a las partes y  la  Comisión  en  la</w:t>
        <w:br/>
        <w:t>audiencia. El Tribunal admite dicha documentación,  porque  la  estima  útil</w:t>
        <w:br/>
        <w:t>para la presente causa y no fue objetada, ni  su  autenticidad  o  veracidad</w:t>
        <w:br/>
        <w:t>puesta en duda.</w:t>
        <w:br/>
        <w:br/>
        <w:t>Finalmente, el Tribunal agrega al acervo probatorio, de conformidad  con  el</w:t>
        <w:br/>
        <w:t>artículo 58.a del Reglamento de la Corte y por estimar que son  útiles  para</w:t>
        <w:br/>
        <w:t>la resolución del presente caso, los siguientes  documentos:  a)  una  copia</w:t>
        <w:br/>
        <w:t>del documento conocido como “Diario Militar”[36]; b) copia  del  Decreto-Ley</w:t>
        <w:br/>
        <w:t>51-92, por el cual se dictó el Código Procesal Penal[37],  y  c)  copia  del</w:t>
        <w:br/>
        <w:t>Decreto-Ley 145-96, por el cual se dictó la Ley de Reconciliación  Nacional.</w:t>
        <w:br/>
        <w:t>Dichos documentos fueron señalados por las partes en sus  escritos  sin  ser</w:t>
        <w:br/>
        <w:t>aportados directamente, pero fueron aportados como prueba en el Caso  Gudiel</w:t>
        <w:br/>
        <w:t>Álvarez (“Diario Militar”) y otros vs. Guatemala,  de  cuyo  expediente  los</w:t>
        <w:br/>
        <w:t>traslada el Tribunal al presente caso[38]. Asimismo, de conformidad  con  el</w:t>
        <w:br/>
        <w:t>referido artículo 58.a del Reglamento y por estimar que son útiles  para  la</w:t>
        <w:br/>
        <w:t>resolución del presente caso, el Tribunal agrega al acervo  probatorio,  los</w:t>
        <w:br/>
        <w:t>siguientes documentos:  a)  una  copia  del  Acuerdo  sobre  bases  para  la</w:t>
        <w:br/>
        <w:t>incorporación  de  la  Unidad  Revolucionaria  Nacional  Guatemalteco  a  la</w:t>
        <w:br/>
        <w:t>Legalidad[39] y b) una copia del Acuerdo de Paz Firme y Duradera[40].</w:t>
        <w:br/>
        <w:br/>
        <w:t xml:space="preserve">        B.2) Admisión de las declaraciones de presuntas víctimas  y  de  la</w:t>
        <w:br/>
        <w:t xml:space="preserve">        prueba testimonial</w:t>
        <w:br/>
        <w:br/>
        <w:t>En cuanto a las declaraciones de  las  presuntas  víctimas  y  los  testigos</w:t>
        <w:br/>
        <w:t>rendidos en la audiencia pública  y  mediante  declaraciones  rendidas  ante</w:t>
        <w:br/>
        <w:t>fedatario público, la Corte  los  estima  pertinentes  sólo  en  lo  que  se</w:t>
        <w:br/>
        <w:t>ajusten al objeto que fue definido por el  Presidente  del  Tribunal  en  la</w:t>
        <w:br/>
        <w:t>Resolución mediante la cual  se  ordenó  recibirlos[41]  (supra  párr.  39).</w:t>
        <w:br/>
        <w:t>Éstos serán valorados en el capítulo que corresponda, en  conjunto  con  los</w:t>
        <w:br/>
        <w:t>demás elementos del acervo probatorio y tomando en cuenta las  observaciones</w:t>
        <w:br/>
        <w:t>formuladas por las partes.</w:t>
        <w:br/>
        <w:br/>
        <w:t>Conforme a la  jurisprudencia  de  esta  Corte,  las  declaraciones  de  las</w:t>
        <w:br/>
        <w:t>presuntas víctimas no pueden ser  valoradas  aisladamente  sino  dentro  del</w:t>
        <w:br/>
        <w:t>conjunto de las pruebas del proceso, ya que son útiles en la medida  en  que</w:t>
        <w:br/>
        <w:t>pueden proporcionar mayor información sobre las alegadas violaciones  y  sus</w:t>
        <w:br/>
        <w:t>consecuencias[42]. Con base  en  lo  anterior,  el  Tribunal  admite  dichas</w:t>
        <w:br/>
        <w:t>declaraciones (supra párrs. 39), cuya valoración se hará  con  base  en  los</w:t>
        <w:br/>
        <w:t>criterios señalados.</w:t>
        <w:br/>
        <w:br/>
        <w:t>Por último, la Corte nota que  la  Comisión  solicitó  la  incorporación  al</w:t>
        <w:br/>
        <w:t>acervo probatorio del presente caso del testimonio rendido por  Marco  Tulio</w:t>
        <w:br/>
        <w:t>Álvarez Bobadilla en el marco del caso Gudiel Álvarez (“Diario  Militar”)  y</w:t>
        <w:br/>
        <w:t>otros vs. Guatemala (supra párrs. 11 y 12). Al respecto, la Corte  considera</w:t>
        <w:br/>
        <w:t>que no es necesaria la incorporación de dicha declaración testimonial,  dado</w:t>
        <w:br/>
        <w:t>que no resulta indispensable para la resolución de este caso, en virtud  del</w:t>
        <w:br/>
        <w:t>reconocimiento parcial de responsabilidad realizado por el Estado y  que  el</w:t>
        <w:br/>
        <w:t>conjunto del acervo probatorio disponible proporciona elementos  suficientes</w:t>
        <w:br/>
        <w:t>para resolver el fondo del presente caso[43].</w:t>
        <w:br/>
        <w:br/>
        <w:t xml:space="preserve">                                     VII</w:t>
        <w:br/>
        <w:t xml:space="preserve">                                   HECHOS</w:t>
        <w:br/>
        <w:br/>
        <w:t>Dada la importancia que reviste para el presente caso el establecimiento  de</w:t>
        <w:br/>
        <w:t>los hechos que generaron la responsabilidad estatal, a fin de  preservar  la</w:t>
        <w:br/>
        <w:t>memoria histórica y evitar que se repitan hechos similares y como una  forma</w:t>
        <w:br/>
        <w:t>de reparación a las víctimas, en este  capítulo  la  Corte  establecerá  los</w:t>
        <w:br/>
        <w:t>hechos del presente caso, con base en los hechos  sometidos  a  conocimiento</w:t>
        <w:br/>
        <w:t>de  la  Corte  por  la  Comisión  y  el  reconocimiento  de  responsabilidad</w:t>
        <w:br/>
        <w:t>efectuado por el Estado, tomando en consideración el escrito de  solicitudes</w:t>
        <w:br/>
        <w:t>y argumentos de las representantes, así como el acervo probatorio del  caso.</w:t>
        <w:br/>
        <w:br/>
        <w:br/>
        <w:t>La Corte recuerda  que,  conforme  a  su  jurisprudencia,  el  principio  de</w:t>
        <w:br/>
        <w:t>irretroactividad  y  la  cláusula  facultativa  de  reconocimiento   de   la</w:t>
        <w:br/>
        <w:t>competencia contenciosa de esta Corte no  implican  que  un  hecho  ocurrido</w:t>
        <w:br/>
        <w:t>antes de la misma deba ser excluido de toda consideración cuando  pueda  ser</w:t>
        <w:br/>
        <w:t>relevante para la determinación de los hechos y las violaciones de  derechos</w:t>
        <w:br/>
        <w:t>humanos que están dentro de su competencia temporal. Asimismo,  el  Tribunal</w:t>
        <w:br/>
        <w:t>advierte que, de conformidad con el  artículo  41.3  del  Reglamento,  podrá</w:t>
        <w:br/>
        <w:t>considerar aceptados los hechos que no hayan  sido  expresamente  negados  y</w:t>
        <w:br/>
        <w:t>las pretensiones que no hayan sido expresamente controvertidas.  Igualmente,</w:t>
        <w:br/>
        <w:t>la Corte recuerda que para resolver  los  distintos  casos  sometidos  a  su</w:t>
        <w:br/>
        <w:t>conocimiento ha requerido tomar en cuenta el contexto y otros hechos que  se</w:t>
        <w:br/>
        <w:t>encuentran fuera  de  su  competencia,  como  antecedentes  relevantes  para</w:t>
        <w:br/>
        <w:t>entender  las  circunstancias  en  las  cuales   ocurrieron   las   alegadas</w:t>
        <w:br/>
        <w:t>violaciones sometidas a su conocimiento[44].</w:t>
        <w:br/>
        <w:br/>
        <w:t>A continuación el Tribunal se referirá a los  hechos  relacionados  con  las</w:t>
        <w:br/>
        <w:t>violaciones alegadas en el presente caso, a saber: A) el contexto en que  se</w:t>
        <w:br/>
        <w:t>enmarcaron los hechos del presente caso; B) la aparición del Diario  Militar</w:t>
        <w:br/>
        <w:t>y el Archivo Histórico de la Policía Nacional; C) los hechos relativos a  la</w:t>
        <w:br/>
        <w:t>desaparición forzada de Edgar Fernando García, así como  las  circunstancias</w:t>
        <w:br/>
        <w:t>que rodearon la misma; D) la búsqueda de la  víctima  e  investigaciones  de</w:t>
        <w:br/>
        <w:t>los hechos, y E) los hechos relativos al Grupo de Apoyo Mutuo.</w:t>
        <w:br/>
        <w:br/>
        <w:t xml:space="preserve">      A) Contexto general</w:t>
        <w:br/>
        <w:br/>
        <w:t>Entre los años 1962 y  1996  tuvo  lugar  un  conflicto  armado  interno  en</w:t>
        <w:br/>
        <w:t>Guatemala que provocó grandes costos humanos, materiales, institucionales  y</w:t>
        <w:br/>
        <w:t>morales. La Comisión para el Esclarecimiento Histórico (infra párr.  55,  en</w:t>
        <w:br/>
        <w:t>adelante también “CEH”) estimó que “el saldo en muertos y desaparecidos  del</w:t>
        <w:br/>
        <w:t>enfrentamiento armado interno llegó a más de doscientas  mil  personas”.  En</w:t>
        <w:br/>
        <w:t>el marco de dicho conflicto, el Estado aplicó lo que denominó  la  “Doctrina</w:t>
        <w:br/>
        <w:t>de Seguridad Nacional”, con base en la cual utilizó la  noción  de  “enemigo</w:t>
        <w:br/>
        <w:t>interno”, que inicialmente incluía a las  organizaciones  guerrilleras  pero</w:t>
        <w:br/>
        <w:t>fue  ampliándose  para  incluir  a   “todas   aquellas   personas   que   se</w:t>
        <w:br/>
        <w:t>identifica[ban] con  la  ideología  comunista  o  que  pertenecieron  a  una</w:t>
        <w:br/>
        <w:t>organización -sindical, social, religiosa, estudiantil-, o  a  aquéllos  que</w:t>
        <w:br/>
        <w:t>por cualquier causa no estuvieran a favor del régimen establecido”[45].</w:t>
        <w:br/>
        <w:br/>
        <w:t>Durante el conflicto interno  los  servicios  de  inteligencia  tuvieron  un</w:t>
        <w:br/>
        <w:t>papel  particularmente  importante.  Los  dos  organismos   principales   de</w:t>
        <w:br/>
        <w:t>inteligencia militar eran la Sección  de  Inteligencia  del  Ejército  o  la</w:t>
        <w:br/>
        <w:t>Dirección de Inteligencia del Estado Mayor de la Defensa  Nacional  conocido</w:t>
        <w:br/>
        <w:t>como  la  “G-2”  y  una  unidad  del  Estado  Mayor  Presidencial,  conocido</w:t>
        <w:br/>
        <w:t>popularmente como “La Regional” o “El Archivo”. La inteligencia militar  era</w:t>
        <w:br/>
        <w:t>responsable de  recolectar  y  examinar  información  de  aquellas  personas</w:t>
        <w:br/>
        <w:t>consideradas como enemigos internos, en base a la cual se  planificaban  las</w:t>
        <w:br/>
        <w:t>operaciones contrainsurgentes[46].</w:t>
        <w:br/>
        <w:br/>
        <w:t>El sistema de inteligencia militar incluía a la Policía  Nacional,  la  cual</w:t>
        <w:br/>
        <w:t>apoyaba al Ejército y  sus  entes  de  inteligencia  en  los  operativos  de</w:t>
        <w:br/>
        <w:t>contrainsurgencia, incluyendo  desapariciones forzadas  como  las  ocurridas</w:t>
        <w:br/>
        <w:t>en el presente caso[47]. De acuerdo a fuentes oficiales, los  directores  de</w:t>
        <w:br/>
        <w:t>la Policía eran frecuentemente miembros del Ejército, lo  cual  afectaba  la</w:t>
        <w:br/>
        <w:t>cadena  de  mando.  Entre  ambos   entes   además   existía   una   continúa</w:t>
        <w:br/>
        <w:t>comunicación. De acuerdo a la  Secretaría  de  la  Paz  de  Guatemala,  esta</w:t>
        <w:br/>
        <w:t>situación “demuestra que los distintos  cuerpos  policiales,  unos  más  que</w:t>
        <w:br/>
        <w:t>otros, se constituyeron en brazos operativos de  las  fuerzas  armadas,  que</w:t>
        <w:br/>
        <w:t>siempre tuvieron a su cargo la toma de decisiones”[48].</w:t>
        <w:br/>
        <w:br/>
        <w:t>Como ha sido establecido en otros casos sobre Guatemala conocidos  por  este</w:t>
        <w:br/>
        <w:t>Tribunal, la desaparición forzada de personas en  ese  país  constituyó  una</w:t>
        <w:br/>
        <w:t>práctica del Estado durante la época del conflicto armado  interno,  llevada</w:t>
        <w:br/>
        <w:t>a cabo principalmente por agentes de sus fuerzas de seguridad, por  la  cual</w:t>
        <w:br/>
        <w:t>se capturaba a miembros de movimientos insurgentes o personas  identificadas</w:t>
        <w:br/>
        <w:t>como proclives a la insurgencia[49]. Según la CEH, las fuerzas del Estado  y</w:t>
        <w:br/>
        <w:t>grupos  paramilitares  afines   fueron   responsables   del   92%   de   las</w:t>
        <w:br/>
        <w:t>desapariciones forzadas registradas por la CEH [50].</w:t>
        <w:br/>
        <w:br/>
        <w:t>En el año 1990 se inició el proceso de negociaciones de  paz  en  Guatemala,</w:t>
        <w:br/>
        <w:t>el cual culminó en  1996.  Dentro  de  este  período  fueron  firmados  doce</w:t>
        <w:br/>
        <w:t>acuerdos,  entre  ellos   uno   que   estableció   la   Comisión   para   el</w:t>
        <w:br/>
        <w:t>Esclarecimiento Histórico, la cual inició su labor el 31 de julio de 1997  y</w:t>
        <w:br/>
        <w:t>entregó su informe el 25 de  febrero  de  1999.  La  Ley  de  Reconciliación</w:t>
        <w:br/>
        <w:t>Nacional estableció que las autoridades del  Estado  “tenían  la  obligación</w:t>
        <w:br/>
        <w:t>legal de apoyar a la [CEH]”. No obstante,  la  CEH  reprochó  que  entidades</w:t>
        <w:br/>
        <w:t>estatales no permitieron acceso a información relevante.  En  este  sentido,</w:t>
        <w:br/>
        <w:t>la  CEH  “calific[ó]  como  precaria  y  no  satisfactoria  la  colaboración</w:t>
        <w:br/>
        <w:t>brindada por parte del Ej[é]rcito Nacional” y destacó que “no recibió ni  un</w:t>
        <w:br/>
        <w:t>solo documento informándola  sobre  las  actividades  de  los  servicios  de</w:t>
        <w:br/>
        <w:t>Inteligencia”, a pesar de haberlos solicitado[51]. De acuerdo a la CEH,  “el</w:t>
        <w:br/>
        <w:t>Ejecutivo  —a  través  de  diversas  dependencias,  entre  las   cuales   se</w:t>
        <w:br/>
        <w:t>encuentran el Ejército Nacional y la Secretaría Privada  del  Presidente  de</w:t>
        <w:br/>
        <w:t>la  República—  dio   diversas   justificaciones   para   no   entregar   la</w:t>
        <w:br/>
        <w:t>documentación requerida por la CEH. Inicialmente indicó que  se  trataba  de</w:t>
        <w:br/>
        <w:t>documentos bajo reserva constitucional;  posteriormente  […],  señal[ó]  que</w:t>
        <w:br/>
        <w:t>los documentos requeridos nunca  existieron  o  habían  sido  extraviados  o</w:t>
        <w:br/>
        <w:t>destruidos”, a pesar de que “la Comisión ha[bía] comprobado que  algunos  de</w:t>
        <w:br/>
        <w:t>[estos]  documentos  […]  existen  efectivamente  y  están   archivados   en</w:t>
        <w:br/>
        <w:t>dependencias  del  Ejercito  Nacional”[52].  Respecto  de  esto  último,  el</w:t>
        <w:br/>
        <w:t>Tribunal resalta que el Ministerio de la Defensa Nacional negó a la  CEH  la</w:t>
        <w:br/>
        <w:t>existencia de documentos tales como el Diario Militar, el cual apareció  por</w:t>
        <w:br/>
        <w:t>vías extraoficiales tres meses después de que dicha  comisión  publicara  su</w:t>
        <w:br/>
        <w:t>informe final[53] (infra párr. 56). Esta falta de acceso  a  la  información</w:t>
        <w:br/>
        <w:t>impactó desfavorablemente el trabajo de la CEH[54].  No  obstante,  respecto</w:t>
        <w:br/>
        <w:t>del presente caso, la CEH logró  obtener  otros  “elementos  de  convicción”</w:t>
        <w:br/>
        <w:t>sobre lo sucedido a Edgar Fernando Garcia, a través de testigos  directos  y</w:t>
        <w:br/>
        <w:t>referenciales (infra párr. 68).</w:t>
        <w:br/>
        <w:br/>
        <w:t xml:space="preserve">      B) El Diario Militar y el Archivo Histórico de la Policía Nacional</w:t>
        <w:br/>
        <w:br/>
        <w:t xml:space="preserve">      B.1) El Diario Militar</w:t>
        <w:br/>
        <w:br/>
        <w:t>En  mayo  de  1999,  National  Security   Archive,   una   organización   no</w:t>
        <w:br/>
        <w:t>gubernamental estadounidense, hizo  público  un  documento  confidencial  de</w:t>
        <w:br/>
        <w:t>inteligencia estatal  guatemalteca  conocido  como  el  Diario  Militar  (en</w:t>
        <w:br/>
        <w:t>adelante  “Diario  Militar”).  Dicha  organización  tuvo   acceso   a   este</w:t>
        <w:br/>
        <w:t>documento, de forma extraoficial, a  través  de  un  empleado  del  Ejército</w:t>
        <w:br/>
        <w:t>guatemalteco, quien previamente lo había sustraído de los archivos  de  esta</w:t>
        <w:br/>
        <w:t>institución[55]. De acuerdo  con  los  estudios  realizados  por  organismos</w:t>
        <w:br/>
        <w:t>estatales, no gubernamentales, así como la prueba  pericial  aportada  a  la</w:t>
        <w:br/>
        <w:t>Corte, el Diario Militar fue elaborado por una  estructura  de  inteligencia</w:t>
        <w:br/>
        <w:t>militar, la cual presumiblemente estuvo también involucrada en las  acciones</w:t>
        <w:br/>
        <w:t>descritas en dicho documento[56]. Esto  no  ha  sido  controvertido  por  el</w:t>
        <w:br/>
        <w:t>Estado.</w:t>
        <w:br/>
        <w:br/>
        <w:t>El Diario Militar consta de 73 hojas tamaño oficio y está dividido  en  seis</w:t>
        <w:br/>
        <w:t>secciones. Las primeras cinco secciones contienen, inter  alia,  información</w:t>
        <w:br/>
        <w:t>sobre la organización de archivos de inteligencia,  así  como  listas  sobre</w:t>
        <w:br/>
        <w:t>diversas organizaciones de derechos humanos. La sexta  sección  contiene  un</w:t>
        <w:br/>
        <w:t>listado  de  183  personas  con  sus  datos   personales,   afiliaciones   a</w:t>
        <w:br/>
        <w:t>organizaciones, actividades y, en la mayoría de los casos, también una  foto</w:t>
        <w:br/>
        <w:t>tipo carnet  de  la  persona.  Cada  registro  indica  además  las  acciones</w:t>
        <w:br/>
        <w:t>perpetradas  contra  cada   persona,   incluyendo:   detenciones   secretas,</w:t>
        <w:br/>
        <w:t>secuestros y asesinatos. Estos  hechos  registrados  en  el  Diario  Militar</w:t>
        <w:br/>
        <w:t>ocurrieron entre agosto de 1983 y marzo de 1985[57].</w:t>
        <w:br/>
        <w:br/>
        <w:t>Al analizar el Diario Militar, la Secretaría de la Paz  de  Guatemala  y  la</w:t>
        <w:br/>
        <w:t>organización National Security  Archive  determinaron  que  dicho  documento</w:t>
        <w:br/>
        <w:t>utiliza códigos para explicar los hechos, así como el destino de algunas  de</w:t>
        <w:br/>
        <w:t>las personas a las cuales hace referencia. Por ejemplo, se  ha  interpretado</w:t>
        <w:br/>
        <w:t>que los códigos “300”, “se fue con Pancho”, “se lo llevó Pancho”, y “se  fue</w:t>
        <w:br/>
        <w:t>(+)” colocados al final del  registro  de  una  persona  significan  que  la</w:t>
        <w:br/>
        <w:t>persona fue ejecutada o falleció. Siguiendo estos  códigos  se  puede  notar</w:t>
        <w:br/>
        <w:t>que la mayoría de las  personas  fueron  ejecutadas  y  que,  en  ocasiones,</w:t>
        <w:br/>
        <w:t>grupos de personas eran ejecutadas el mismo día. Por otro lado,  también  se</w:t>
        <w:br/>
        <w:t>ha interpretado que códigos tales como “libre para contactos” o “recobró  su</w:t>
        <w:br/>
        <w:t>libertad” significan  que  las  personas  habían  sido  liberadas  para  que</w:t>
        <w:br/>
        <w:t>obtuvieran   información   sobre   “otros   militantes   de   organizaciones</w:t>
        <w:br/>
        <w:t>guerrilleras”. Asimismo, ciertas anotaciones en el  Diario  Militar  se  han</w:t>
        <w:br/>
        <w:t>interpretado como que las personas fueron trasladadas a  unidades  militares</w:t>
        <w:br/>
        <w:t>distintas a aquellas donde fueron inicialmente detenidas.  Se  desconoce  el</w:t>
        <w:br/>
        <w:t>paradero final de la mayoría  de  las  personas  registradas  en  el  Diario</w:t>
        <w:br/>
        <w:t>Militar y/o sus restos[58].</w:t>
        <w:br/>
        <w:br/>
        <w:t>De acuerdo a los estudios realizados al Diario Militar, varios expertos  han</w:t>
        <w:br/>
        <w:t>indicado que, dentro del Ejército, posiblemente el ente responsable  por  el</w:t>
        <w:br/>
        <w:t>Diario  Militar  fue  el  servicio  de  inteligencia  presidencial[59].  Sin</w:t>
        <w:br/>
        <w:t>perjuicio de ello, la autenticidad del Diario Militar no  ha  sido  objetada</w:t>
        <w:br/>
        <w:t>por el Estado ante la Corte y ha sido verificada al  corroborar  los  hechos</w:t>
        <w:br/>
        <w:t>allí  registrados  con  otros  documentos  de  la  época   provenientes   de</w:t>
        <w:br/>
        <w:t>organismos estatales y no gubernamentales[60].</w:t>
        <w:br/>
        <w:br/>
        <w:t xml:space="preserve">            B.2) El Archivo Histórico de la Policía Nacional</w:t>
        <w:br/>
        <w:br/>
        <w:t>En julio de 2005 empleados  de  la  Procuraduría  de  Derechos  Humanos  (en</w:t>
        <w:br/>
        <w:t>adelante también “PDH”) descubrieron por accidente en una  antigua  base  de</w:t>
        <w:br/>
        <w:t>la  Policía  Nacional  en  la  Ciudad  de   Guatemala,   videos,   fotos   y</w:t>
        <w:br/>
        <w:t>aproximadamente 80 millones de folios, entre otros  objetos,  que  registran</w:t>
        <w:br/>
        <w:t>las acciones de la Policía Nacional por  más  de  100  años,  desde  1882  a</w:t>
        <w:br/>
        <w:t>1997[61]. Este cúmulo de información se ha denominado el  Archivo  Histórico</w:t>
        <w:br/>
        <w:t>de la Policía  Nacional  (en  adelante  también  “Archivo  Histórico  de  la</w:t>
        <w:br/>
        <w:t>Policía”).</w:t>
        <w:br/>
        <w:br/>
        <w:t>El Archivo Histórico de la Policía  Nacional  contiene  planes  militares  y</w:t>
        <w:br/>
        <w:t>policiales de operaciones  contrainsurgentes,  órdenes  desde  la  dirección</w:t>
        <w:br/>
        <w:t>general, fichas políticas sobre individuos, informes de la vigilancia de  la</w:t>
        <w:br/>
        <w:t>población,  trascripciones  de  interrogaciones,  recursos   de   exhibición</w:t>
        <w:br/>
        <w:t>personal,  telegramas,  novedades,  y  circulares[62].  La  existencia   del</w:t>
        <w:br/>
        <w:t>Archivo  Histórico  de  la  Policía  Nacional  había  sido  negada  por  las</w:t>
        <w:br/>
        <w:t>autoridades antes de su aparición. La información contenida  en  el  Archivo</w:t>
        <w:br/>
        <w:t>Histórico de la Policía Nacional confirma y complementa  lo  registrado  por</w:t>
        <w:br/>
        <w:t>el Diario Militar[63].</w:t>
        <w:br/>
        <w:br/>
        <w:t xml:space="preserve">      C) La desaparición forzada de Edgar Fernando García</w:t>
        <w:br/>
        <w:br/>
        <w:br/>
        <w:t>Edgar Fernando García tenía 26 años  y  estaba  casado  con  Nineth  Varenca</w:t>
        <w:br/>
        <w:t>Montenegro Cottom, con quien tuvo una hija[64].  Era  maestro  de  educación</w:t>
        <w:br/>
        <w:t>primaria y trabajador administrativo de la  Industria  Centro  Americana  de</w:t>
        <w:br/>
        <w:t>Vidrio S.A. (en adelante “CAVISA”), donde ocupaba el cargo de Secretario  de</w:t>
        <w:br/>
        <w:t>Actas y Acuerdos del sindicato de trabajadores. En el  momento  en  que  fue</w:t>
        <w:br/>
        <w:t>detenido, pertenecía a  la  Comisión  Negociadora  del  Pacto  Colectivo  de</w:t>
        <w:br/>
        <w:t>Condiciones de Trabajo.  Adicionalmente,  estaba  vinculado  a  la  Juventud</w:t>
        <w:br/>
        <w:t>Patriótica del Trabajo del Partido Guatemalteco  del  Trabajo  (en  adelante</w:t>
        <w:br/>
        <w:t>“PGT”), a la Universidad de San Carlos de Guatemala y  a  la  Asociación  de</w:t>
        <w:br/>
        <w:t>Estudiantes  Universitarios  “Oliverio  Castañeda  de  León”[65].  Según  su</w:t>
        <w:br/>
        <w:t>esposa,  Edgar  Fernando  García  estaba  siendo  vigilado   antes   de   su</w:t>
        <w:br/>
        <w:t>desaparición[66].</w:t>
        <w:br/>
        <w:br/>
        <w:t>El Diario Militar registra a Edgar Fernando García en tres ocasiones. En  la</w:t>
        <w:br/>
        <w:t>primera sección aparece en un documento  titulado  “control  de  folders  de</w:t>
        <w:br/>
        <w:t>elementos  ya  trabajados  que  se  encuentran  clasificados  por   paquetes</w:t>
        <w:br/>
        <w:t>numerados” que contiene  una  lista  de  nombres  ordenados  alfabéticamente</w:t>
        <w:br/>
        <w:t>divididos en once grupos denominados “paquetes”. En el “Paquete  No.  4”  se</w:t>
        <w:br/>
        <w:t>registra a Edgar Fernando García con  el  seudónimo,  “Xicara,  33”[67].  La</w:t>
        <w:br/>
        <w:t>tercera sección del Diario Militar señala en manuscrito “Apoyo Mutuo”,  está</w:t>
        <w:br/>
        <w:t>fechada 20 de noviembre de 1984 y  señala  entre  otras  nueve  personas,  a</w:t>
        <w:br/>
        <w:t>“Edgar Fernando García (s)  ‘Xicara’  y  33.  Miembro  del  Comité  Regional</w:t>
        <w:br/>
        <w:t>Central del PGT-PC [PGT-Partido Comunista] y  Sindicalista  de  CAVISA”[68].</w:t>
        <w:br/>
        <w:t>Asimismo, en el folio siguiente se establece:</w:t>
        <w:br/>
        <w:br/>
        <w:t xml:space="preserve">    Edgar Fernando García:</w:t>
        <w:br/>
        <w:t xml:space="preserve">    Hijo de María Emilia García, ojos cafés,  cabello  negro,  tez  morena,</w:t>
        <w:br/>
        <w:t xml:space="preserve">    1.72 de estatura, soltero, maestro de educación primaria, nació  en  la</w:t>
        <w:br/>
        <w:t xml:space="preserve">    ciudad capital de Guatemala el 25 de noviembre de 1957.  Posteriormente</w:t>
        <w:br/>
        <w:t xml:space="preserve">    contrajo matrimonio con la señora Nineth Montenegro, reside  en  la  13</w:t>
        <w:br/>
        <w:t xml:space="preserve">    calle “B” 29-78 Zona 7.</w:t>
        <w:br/>
        <w:t xml:space="preserve">    29-07-77 Propuesto para  ocupar  plaza  en  el  Instituto  Nacional  de</w:t>
        <w:br/>
        <w:t xml:space="preserve">    Sismología, Vulcanología, Meteorología é Hidrología – INSIVUMEH</w:t>
        <w:br/>
        <w:t xml:space="preserve">    19-07-79 Se le extendió el pasaporte No. 606929.</w:t>
        <w:br/>
        <w:t xml:space="preserve">    00-04-84 Miembro activo del sindicato de  CAVISA,  perteneciente  a  la</w:t>
        <w:br/>
        <w:t xml:space="preserve">    Junta Negociadora de Condiciones de Trabajo.</w:t>
        <w:br/>
        <w:t xml:space="preserve">    18-04-84 Fue secuestrado a inmediaciones de la 3ra. Avenida y 7ª. calle</w:t>
        <w:br/>
        <w:t xml:space="preserve">    de la Zona 11, por hombres desconocidos, sin  que  hasta  la  fecha  se</w:t>
        <w:br/>
        <w:t xml:space="preserve">    conozca de su paradero[69].</w:t>
        <w:br/>
        <w:br/>
        <w:t>Por otro lado, en el Archivo Histórico de la  Policía  Nacional  aparecieron</w:t>
        <w:br/>
        <w:t>constancias, según las cuales Edgar Fernando García fue  arrestado  en  1978</w:t>
        <w:br/>
        <w:t>por alteración al orden público por levantar barricadas en la calle  en  una</w:t>
        <w:br/>
        <w:t>manifestación[70].  En  1980  se   le   concedió   al   señor   García,   en</w:t>
        <w:br/>
        <w:t>representación de una Asociación de Estudiantes Universitarios,  un  permiso</w:t>
        <w:br/>
        <w:t>para realizar  un  desfile,  lo  cual  apareció  registrado  en  el  Archivo</w:t>
        <w:br/>
        <w:t>Histórico de la Policía[71]. Adicionalmente, también apareció una  ficha  de</w:t>
        <w:br/>
        <w:t>Edgar Fernando García y una nota  donde  se  indican  ciertas  acciones  del</w:t>
        <w:br/>
        <w:t>sindicato de CAVISA, por las cuales  relacionan  a  dicha  organización  con</w:t>
        <w:br/>
        <w:t>grupos subversivos[72].</w:t>
        <w:br/>
        <w:br/>
        <w:t>El sábado 18 de febrero de 1984 a las diez de la mañana el  señor  García  y</w:t>
        <w:br/>
        <w:t>Danilo Chinchilla  Fuentes  estaban  caminando  por  la  tercera  avenida  y</w:t>
        <w:br/>
        <w:t>séptima calle, zona 11, cuando  fueron  interceptados  por  varios  policías</w:t>
        <w:br/>
        <w:t>uniformados. Ambos lograron salir corriendo. Danilo  Chinchilla  fue  herido</w:t>
        <w:br/>
        <w:t>de bala, testigos se aglomeraron a  su  alrededor  y  fue  llevado  por  los</w:t>
        <w:br/>
        <w:t>bomberos al Hospital Roosevelt. El  señor  García  también  resultó  herido,</w:t>
        <w:br/>
        <w:t>pero  fue  seguidamente  detenido[73].  Al  registrar  al  señor  García  le</w:t>
        <w:br/>
        <w:t>encontraron papeles del sindicato  de  CAVISA  por  los  cuales  lo  habrían</w:t>
        <w:br/>
        <w:t>identificado como comunista[74], mientras que a  Danilo  Chinchilla  Fuentes</w:t>
        <w:br/>
        <w:t>le encontraron unos “periódicos” del PGT[75].</w:t>
        <w:br/>
        <w:br/>
        <w:t>En el Archivo Histórico de la Policía Nacional aparecieron documentos  donde</w:t>
        <w:br/>
        <w:t>se registra un “Operativo de Limpieza y Patrullaje” realizado del 17  al  19</w:t>
        <w:br/>
        <w:t>de febrero de 1984, ejecutado por la Policía Nacional. Dicho  operativo  era</w:t>
        <w:br/>
        <w:t>parte de un plan de “Control  Básico  de  Seguridad”,  realizado  debido  al</w:t>
        <w:br/>
        <w:t>aumento del tráfico de  armas,  municiones  y  alimentos  hacia  los  grupos</w:t>
        <w:br/>
        <w:t>subversivos y para el cual se  recibió  capacitación  de  parte  del  Estado</w:t>
        <w:br/>
        <w:t>Mayor de la Defensa Nacional. En  dicho  operativo  participaron  todos  los</w:t>
        <w:br/>
        <w:t>cuerpos de la Policía Nacional. El  mapa  de  la  Ciudad  de  Guatemala  fue</w:t>
        <w:br/>
        <w:t>dividido en siete sectores, cada uno de los cuales fue asignado a un  cuerpo</w:t>
        <w:br/>
        <w:t>de la Policía. En la planificación de  la  operación  se  dispuso  que  “las</w:t>
        <w:br/>
        <w:t>personas  que  [fueran]  detenidas  ser[ían]  conducidas  al  cuerpo   donde</w:t>
        <w:br/>
        <w:t>corresponde el sector”. Según estos  registros,  el  cuerpo  de  la  Policía</w:t>
        <w:br/>
        <w:t>Nacional encargado de la Operación de Limpieza y Patrullaje en  la  zona  11</w:t>
        <w:br/>
        <w:t>de la mañana del 18 de febrero de  1984  era  el  Cuarto  Cuerpo[76].  Edgar</w:t>
        <w:br/>
        <w:t>Fernando Garcia fue capturado en esta operación[77].</w:t>
        <w:br/>
        <w:br/>
        <w:t>A las tres de la mañana del día siguiente, la señora Montenegro, esposa  del</w:t>
        <w:br/>
        <w:t>señor García, escuchó un silbido como el que hacía su  esposo  para  que  le</w:t>
        <w:br/>
        <w:t>abriera la puerta. No obstante, al abrir la puerta se encontró  con  hombres</w:t>
        <w:br/>
        <w:t>fuertemente armados, quienes registraron la casa y se llevaron, entre  otras</w:t>
        <w:br/>
        <w:t>cosas, documentos del  señor  García.  La  familia  recibió  información  de</w:t>
        <w:br/>
        <w:t>terceros, según la cual Edgar Fernando García se encontraba con  vida  hasta</w:t>
        <w:br/>
        <w:t>diciembre de 1984 y que lo habían visto en cárceles secretas[78].</w:t>
        <w:br/>
        <w:br/>
        <w:t>El caso del señor García fue incluido en el informe de la CEH dentro de  los</w:t>
        <w:br/>
        <w:t>casos ilustrativos. Al respecto, dicha Comisión indicó que “lleg[aba]  a  la</w:t>
        <w:br/>
        <w:t>convicción de que agentes del Estado capturaron  e  hicieron  desaparecer  a</w:t>
        <w:br/>
        <w:t>Edgar Fernando García”. La CEH precisó que  dicha  “captura  fue  practicada</w:t>
        <w:br/>
        <w:t>por efectivos de la Brigada de Operaciones Especiales (BROE) de  la  Policía</w:t>
        <w:br/>
        <w:t>Nacional”, en un retén instalado “[a] la  altura  del  mercado  El  Guarda”,</w:t>
        <w:br/>
        <w:t>cuando aquél se encontraba con Danilo Chinchilla,  donde  los  “obligaron  a</w:t>
        <w:br/>
        <w:t>[…] detenerse, pero [al] intenta[r] huir[, …] respondieron disparándoles,  y</w:t>
        <w:br/>
        <w:t>los dos resultaron heridos”. De  acuerdo  a  la  CEH,  posteriormente  Edgar</w:t>
        <w:br/>
        <w:t>Fernando García “fue trasladado al Quinto Cuerpo de la PN”, mientras que  el</w:t>
        <w:br/>
        <w:t>señor Chinchilla fue conducido a un hospital y  “[p]robablemente  [...  fue]</w:t>
        <w:br/>
        <w:t>capturado de nuevo” en septiembre de ese año, luego de lo cual no se  volvió</w:t>
        <w:br/>
        <w:t>a saber de él[79]. Adicionalmente, el informe de la CEH recogió  información</w:t>
        <w:br/>
        <w:t>de testigos, según los cuales el  señor  García  habría  sido  visto  en  un</w:t>
        <w:br/>
        <w:t>centro de detención que “pudo haber sido tras el colegio  Liceo  Guatemala”,</w:t>
        <w:br/>
        <w:t>así como que “pudo haber estado cautivo en una cárcel  clandestina,  por  la</w:t>
        <w:br/>
        <w:t>Villa de Guadalupe, zona  10,  ciudad  de  Guatemala”,  donde  presuntamente</w:t>
        <w:br/>
        <w:t>“[s]e encontraba muy mal, muy torturado”[80].  La CEH concluyó que se  podía</w:t>
        <w:br/>
        <w:t>presumir que Edgar Fernando García fue “ejecutad[o] por agentes del  Estado,</w:t>
        <w:br/>
        <w:t>por orden o con la aquiescencia de autoridades superiores” y que dicho  caso</w:t>
        <w:br/>
        <w:t>era “ilustrativo de la creación de un sistema clandestino de justicia  para-</w:t>
        <w:br/>
        <w:t>estatal,  […]  contra  opositores  políticos  o   sociales   que   no   eran</w:t>
        <w:br/>
        <w:t>combatientes” y “correspond[e] a la  aplicación  de  una  política  criminal</w:t>
        <w:br/>
        <w:t>destinada  a  la  eliminación  de  dirigentes  opositores  vinculados  a  la</w:t>
        <w:br/>
        <w:t>Universidad de San Carlos de Guatemala”[81].</w:t>
        <w:br/>
        <w:br/>
        <w:t xml:space="preserve">      D) Búsqueda e Investigaciones de los hechos</w:t>
        <w:br/>
        <w:br/>
        <w:br/>
        <w:t>El lunes siguiente a su detención la  señora  Montenegro  acudió  a  CAVISA,</w:t>
        <w:br/>
        <w:t>donde trabajaba el señor García para solicitar ayuda y el miércoles,  22  de</w:t>
        <w:br/>
        <w:t>febrero de 1984, la empresa interpuso un recurso de  exhibición  personal  a</w:t>
        <w:br/>
        <w:t>su favor. En respuesta, la Corte Suprema de  Justicia  solicitó  información</w:t>
        <w:br/>
        <w:t>sobre si el señor García se encontraba detenido a los  jefes  de  los  cinco</w:t>
        <w:br/>
        <w:t>cuerpos  de  la  Policía  Nacional,  al  Departamento   de   Investigaciones</w:t>
        <w:br/>
        <w:t>Internas, a la Sección de Drogas y Narcóticos, así como al  Departamento  de</w:t>
        <w:br/>
        <w:t>Investigaciones Técnicas del Ramo[82].</w:t>
        <w:br/>
        <w:br/>
        <w:t>Al ver que no había respuesta, la señora Montenegro dio una rueda de  prensa</w:t>
        <w:br/>
        <w:t>el 23 de febrero de 1984[83]. Asimismo, el 2 de marzo de  ese  año  denunció</w:t>
        <w:br/>
        <w:t>los hechos ante el  Vice-Ministro  de  Defensa  Nacional,  quien  a  su  vez</w:t>
        <w:br/>
        <w:t>solicitó información de  los  hechos  al  Director  General  de  la  Policía</w:t>
        <w:br/>
        <w:t>Nacional. El Quinto Cuerpo de la Policía Nacional  respondió  indicando  que</w:t>
        <w:br/>
        <w:t>“[n]inguna persona de ese nombre” había sido detenida el 18  de  febrero  de</w:t>
        <w:br/>
        <w:t>1984 por dicho  cuerpo,  pero  que  se  “realiza[rían]  las  investigaciones</w:t>
        <w:br/>
        <w:t>correspondientes”[84]. La familia además publicó notas en  la  prensa  sobre</w:t>
        <w:br/>
        <w:t>la desaparición del señor García.  Al  menos  dos  de  dichas  publicaciones</w:t>
        <w:br/>
        <w:t>fueron remitidas por el Ministro de Gobernación al Director  de  la  Policía</w:t>
        <w:br/>
        <w:t>Nacional el 15  de  marzo  de  1984  para  que  se  investigase  los  hechos</w:t>
        <w:br/>
        <w:t>denunciados[85]. El 27 de ese mismo mes, el Departamento de  Investigaciones</w:t>
        <w:br/>
        <w:t>Técnicas de la Policía Nacional (en adelante “DIT”)  registró,  inter  alia,</w:t>
        <w:br/>
        <w:t>que “toda diligencia encaminada ha sido con  resultado  negativo,  visitando</w:t>
        <w:br/>
        <w:t>para el efecto: Centros de Detención, Hospitales del Estado y [p]rivados,  y</w:t>
        <w:br/>
        <w:t>consultando Archivos de Anfiteatros. […] Así también se trató  de  localizar</w:t>
        <w:br/>
        <w:t>a familiares […] para obtener información al respecto, pero ninguna  persona</w:t>
        <w:br/>
        <w:t>los conoce”, por lo que las investigaciones continuarían abiertas[86].</w:t>
        <w:br/>
        <w:br/>
        <w:t>Según la señora Montenegro, “[v]einte días después” de la  desaparición  del</w:t>
        <w:br/>
        <w:t>señor García, un coronel habría mostrado en  una  rueda  de  prensa  objetos</w:t>
        <w:br/>
        <w:t>extraídos de su casa, indicando que habían sido extraídos  de  una  casa  de</w:t>
        <w:br/>
        <w:t>seguridad de la guerrilla[87]. No obstante, en  julio  de  1984,  el  Estado</w:t>
        <w:br/>
        <w:t>Mayor de la Defensa Nacional respondió a una solicitud de información de  la</w:t>
        <w:br/>
        <w:t>señora Montenegro, indicándole que la “situación  no  correspond[ía]  a  las</w:t>
        <w:br/>
        <w:t>Fuerzas Militares, por cuya razón y  de  manera  atenta,  [le]  sug[irieron]</w:t>
        <w:br/>
        <w:t>encaminar  sus  gestiones  directamente   ante   las   autoridades   civiles</w:t>
        <w:br/>
        <w:t>respectivas”[88].  Paralelamente,  ese  mismo  mes,  la  señora   Montenegro</w:t>
        <w:br/>
        <w:t>denunció los hechos ante el entonces Jefe de Estado, quien le  comunicó  que</w:t>
        <w:br/>
        <w:t>había “girado instrucciones [a] efecto[s de] agilizar [las]  investigaciones</w:t>
        <w:br/>
        <w:t>[para] esclarecer [el] paradero [de] su esposo”.  Asimismo,  interpuso  otro</w:t>
        <w:br/>
        <w:t>recurso de exhibición personal y el juzgado  encargado  envió  un  telegrama</w:t>
        <w:br/>
        <w:t>solicitando información al DIT, el cual respondió que Edgar Fernando  García</w:t>
        <w:br/>
        <w:t>no había sido detenido por ese departamento[89].</w:t>
        <w:br/>
        <w:br/>
        <w:t>Adicionalmente, en el Archivo Histórico de la Policía Nacional  se  encontró</w:t>
        <w:br/>
        <w:t>que, tras una solicitud de información  de  la  Inspectoría  General  de  la</w:t>
        <w:br/>
        <w:t>Policía Nacional, el Comandante  del  Cuarto  Cuerpo  respondió  que  “[p]or</w:t>
        <w:br/>
        <w:t>parte de este cuerpo no se efectuó ninguna Operación [de]  registro  en  [la</w:t>
        <w:br/>
        <w:t>3ra Av. y 7ª. calle de la zona 11 el 18 de febrero  de  1984],  ni  ha  sido</w:t>
        <w:br/>
        <w:t>detenido en este cuerpo el señor Edgar Fernando  García”.  No  obstante,  en</w:t>
        <w:br/>
        <w:t>otro registro encontrado en el Archivo Histórico de la Policía  Nacional  se</w:t>
        <w:br/>
        <w:t>señala que en esa fecha efectivamente se realizó el operativo  de  limpieza,</w:t>
        <w:br/>
        <w:t>el cual se indicó fue llevado a cabo “sin novedades”[90]. En agosto  de  ese</w:t>
        <w:br/>
        <w:t>año y en 1985 el juzgado encargado de los recursos  de  exhibición  personal</w:t>
        <w:br/>
        <w:t>continuó solicitando información a  distintas  autoridades,  sin  resultados</w:t>
        <w:br/>
        <w:t>positivos[91].</w:t>
        <w:br/>
        <w:br/>
        <w:t>Por otro lado,  la  señora  Montenegro  aseguró  que  “recorr[ió]  cárceles,</w:t>
        <w:br/>
        <w:t>cementerios, vi[o] cadáveres, fu[e] a morgues, con  los  bomberos,  fu[e]  a</w:t>
        <w:br/>
        <w:t>los hospitales y hasta los manicomios fu[e], porque [l]e decían  en  aquella</w:t>
        <w:br/>
        <w:t>época que eso podría  ocurrir”.  Relató  además  que,  en  una  oportunidad,</w:t>
        <w:br/>
        <w:t>acudió a los “Torreones del Palacio Nacional” donde un hombre, que  “[t]enía</w:t>
        <w:br/>
        <w:t>puesto algo en la cabeza que le cubría  hasta  los  hombros”,  le  dijo  que</w:t>
        <w:br/>
        <w:t>“[ellos] nunca secuestra[ban] a una persona, vigila[ban]  a  la  ciudadanía;</w:t>
        <w:br/>
        <w:t>pero sí secuestra[ban] a subversivos,  comunistas,  entonces,  ¿Cómo  cre[ía</w:t>
        <w:br/>
        <w:t>ella] que su esposo[,] una persona ho[n]rada y honesta[,] fuera  secuestrado</w:t>
        <w:br/>
        <w:t>por [ellos]?”[92].</w:t>
        <w:br/>
        <w:br/>
        <w:t>En 1988, la señora Montenegro denunció los hechos  ante  PDH.  En  1997,  el</w:t>
        <w:br/>
        <w:t>representante del Grupo de Apoyo Mutuo presentó tres recursos de  exhibición</w:t>
        <w:br/>
        <w:t>a favor de Edgar Fernando García. En diciembre de 1997,  el  juez  encargado</w:t>
        <w:br/>
        <w:t>se apersonó para practicar uno de dichos recursos en “el  Centro  preventivo</w:t>
        <w:br/>
        <w:t>para Hombres […] y al Cuartel General del Ejército  de  Guatemala,  […]  con</w:t>
        <w:br/>
        <w:t>resultados negativos”. Ese mismo mes el Ministerio de  la  Defensa  Nacional</w:t>
        <w:br/>
        <w:t>le respondió al juzgado encargado que el señor García “no  fue  detenido  ni</w:t>
        <w:br/>
        <w:t>perseguido en la fecha que indica o posteriormente, toda vez que no  existió</w:t>
        <w:br/>
        <w:t>la orden del [Ó]rgano Jurisdiccional  competente  para  llevar  a  cabo  tal</w:t>
        <w:br/>
        <w:t>acción”. En el mismo sentido, el Ministerio  de  Gobernación  respondió  que</w:t>
        <w:br/>
        <w:t>“fueron recibidos los  informes  de  la  Dirección  General  de  la  Policía</w:t>
        <w:br/>
        <w:t>Nacional y de la Guardia de Hacienda, en los que indican que de  conformidad</w:t>
        <w:br/>
        <w:t>con los registros respectivos de esas Direcciones Generales, el señor  Edgar</w:t>
        <w:br/>
        <w:t>Fernando García no ha sido detenido”[93].</w:t>
        <w:br/>
        <w:br/>
        <w:t>En vista de la falta de respuesta a los recursos de exhibición personal,  en</w:t>
        <w:br/>
        <w:t>noviembre de 1997 el  GAM  solicitó  “[q]ue  se  instruy[era]  procedimiento</w:t>
        <w:br/>
        <w:t>[e]special de [a]veriguación a favor de Edgar Fernando  García”.  En  virtud</w:t>
        <w:br/>
        <w:t>de dicho  procedimiento,  la  Corte  Suprema  puede  intimar  al  Ministerio</w:t>
        <w:br/>
        <w:t>Público para que  investigue,  así  como  encargar  la  investigación  a  la</w:t>
        <w:br/>
        <w:t>PDH[94]. El 17 de abril de 1998 la  Corte  Suprema  de  Justicia  intimó  al</w:t>
        <w:br/>
        <w:t>Ministerio Público para que “investig[ase] lo manifestado” en  la  solicitud</w:t>
        <w:br/>
        <w:t>de  apertura  del  procedimiento  de   averiguación   especial.   Tras   una</w:t>
        <w:br/>
        <w:t>reiteración, el Ministerio Público respondió en  marzo  de  1999,  indicando</w:t>
        <w:br/>
        <w:t>que  había  entrevistado  a  la  madre  del  señor  García.  Dentro  de   la</w:t>
        <w:br/>
        <w:t>investigación, el  Ministerio  Público  además  solicitó  información  a  la</w:t>
        <w:br/>
        <w:t>Policía Nacional Civil sobre las personas que integraron la operación de  la</w:t>
        <w:br/>
        <w:t>Brigada de Operaciones  Especiales  de  la  Policía  Nacional  (en  adelante</w:t>
        <w:br/>
        <w:t>“BROE”) el día en que ocurrió el hecho. La Policía Nacional informó  que  no</w:t>
        <w:br/>
        <w:t>se  había  “encontrado  ninguna  [d]ocumentación  [r]elacionad[a]   con   el</w:t>
        <w:br/>
        <w:t>[o]perativo realizado por el BROE”[95].</w:t>
        <w:br/>
        <w:br/>
        <w:t>El 8 y el 22 de abril de 1999 se  llevaron  a  cabo  audiencias  dentro  del</w:t>
        <w:br/>
        <w:t>procedimiento de averiguación especial.  En  la  segunda  de  las  referidas</w:t>
        <w:br/>
        <w:t>audiencias se declaró  con  lugar  la  referida  solicitud  de  averiguación</w:t>
        <w:br/>
        <w:t>especial y se decidió encargar  de  dicha  investigación  al  Procurador  de</w:t>
        <w:br/>
        <w:t>Derechos  Humanos[96].  En  marzo  de  2000,  la  Corte   Suprema   solicitó</w:t>
        <w:br/>
        <w:t>información al Juzgado Penal a cargo de la investigación y en abril de  2000</w:t>
        <w:br/>
        <w:t>éste informó que había resuelto “citar y recibir en calidad de  sindicado[s]</w:t>
        <w:br/>
        <w:t>las declaraciones” de las personas que, al momento de los  hechos,  eran  el</w:t>
        <w:br/>
        <w:t>Jefe de Estado, el Jefe del Quinto Cuerpo de la Policía  Nacional,  el  Jefe</w:t>
        <w:br/>
        <w:t>del DIT, el Jefe del BROE, el Ministro de  Gobernación  y  el  Director  del</w:t>
        <w:br/>
        <w:t>Departamento de Inteligencia Militar G-2[97].  Trece  meses  después,  dicha</w:t>
        <w:br/>
        <w:t>citación no se había realizado, ya que la PDH debía informar al  Juzgado  la</w:t>
        <w:br/>
        <w:t>dirección o lugar exacto de localización de los cinco primeros sindicados  y</w:t>
        <w:br/>
        <w:t>sobre el último se solicitó un  informe  a  otro  tribunal  frente  al  cual</w:t>
        <w:br/>
        <w:t>estaba siendo procesado[98].</w:t>
        <w:br/>
        <w:br/>
        <w:t>En noviembre de 2001, el Juzgado Penal encargado informó a la Corte  Suprema</w:t>
        <w:br/>
        <w:t>que el  Procurador  de  Derechos  Humanos  había  solicitado  que  le  fuera</w:t>
        <w:br/>
        <w:t>revocado  el  mandato  de  investigación   dentro   del   procedimiento   de</w:t>
        <w:br/>
        <w:t>averiguación especial. En septiembre de 2003, la Corte Suprema encargó a  un</w:t>
        <w:br/>
        <w:t>nuevo  Procurador  de  Derechos  Humanos  para   que   continuase   con   la</w:t>
        <w:br/>
        <w:t>averiguación especial[99].</w:t>
        <w:br/>
        <w:br/>
        <w:t>En marzo de 2004, la Corte Suprema de Justicia  solicitó  información  sobre</w:t>
        <w:br/>
        <w:t>la investigación del caso al Juzgado penal encargado y a la  PDH.  En  abril</w:t>
        <w:br/>
        <w:t>se reiteró la solicitud al Juzgado encargado y en diciembre  a  la  PDH.  En</w:t>
        <w:br/>
        <w:t>febrero de 2005, la  PDH  respondió  indicando  que  “[l]as  investigaciones</w:t>
        <w:br/>
        <w:t>realizadas […] permit[ían] concluir que el señor [García] fue objeto de  una</w:t>
        <w:br/>
        <w:t>detención arbitraria por parte de las fuerzas  de  seguridad  del  Estado[,]</w:t>
        <w:br/>
        <w:t>las cuales procedieron a su internamiento [i]legal en un centro  clandestino</w:t>
        <w:br/>
        <w:t>de detención”, por lo cual “se evidencia que […] fue objeto de un delito  de</w:t>
        <w:br/>
        <w:t>desaparición forzada”.  Teniendo  en  cuenta  dichas  conclusiones,  la  PDH</w:t>
        <w:br/>
        <w:t>solicitó una  prórroga  para  continuar  con  la  investigación[100].  Entre</w:t>
        <w:br/>
        <w:t>febrero de 2005 y febrero de 2007, la PDH solicitó prorrogar el plazo de  la</w:t>
        <w:br/>
        <w:t>investigación al menos nueve veces, lo cual le fue  otorgado  en  todas  las</w:t>
        <w:br/>
        <w:t>oportunidades[101]. Dentro de dicha investigación,  la  PDH  inspeccionó  el</w:t>
        <w:br/>
        <w:t>Archivo Histórico de la Policía Nacional[102]. En julio de  2004,  la  Corte</w:t>
        <w:br/>
        <w:t>Suprema remitió el expediente del procedimiento de averiguación  especial  a</w:t>
        <w:br/>
        <w:t>la oficina del Ministerio Público que llevaba  el  caso  de  Edgar  Fernando</w:t>
        <w:br/>
        <w:t>García[103].</w:t>
        <w:br/>
        <w:br/>
        <w:t>En el Archivo Histórico de la Policía Nacional se  encontraron  los  nombres</w:t>
        <w:br/>
        <w:t>de los agentes que realizaron la captura de  Edgar  Fernando  García  en  un</w:t>
        <w:br/>
        <w:t>listado de personas propuestas para recibir un homenaje  por  sus  acciones.</w:t>
        <w:br/>
        <w:t>En particular, el registro indica que “[e]l 18 de febrero  de  1984,  a  las</w:t>
        <w:br/>
        <w:t>11.00 horas, haciendo un Operativo en el Mercado del Guarda zona 11,  fueron</w:t>
        <w:br/>
        <w:t>atacados  por  dos  subversivos,  a  quienes  se  les   incautó   propaganda</w:t>
        <w:br/>
        <w:t>subversiva y armas de fuego”[104]. Por estas acciones, se les  propuso  para</w:t>
        <w:br/>
        <w:t>recibir una condecoración. De acuerdo a la testigo Velia Muralles  Bautista,</w:t>
        <w:br/>
        <w:t>al final dicha “condecoración no fue asignada [porque,  de  hacerlo,]  debía</w:t>
        <w:br/>
        <w:t>ser publicada en las órdenes generales de la  institución  y  en  el  Diario</w:t>
        <w:br/>
        <w:t>Oficial[, lo cual resultaba] muy complicado [si estaban negando el hecho  de</w:t>
        <w:br/>
        <w:t>la detención]”.  Además  de  los  cuatro  agentes  que  participaron  en  la</w:t>
        <w:br/>
        <w:t>captura, los documentos encontrados en el Archivo Histórico  de  la  Policía</w:t>
        <w:br/>
        <w:t>incluyen el nombre del comandante del cuerpo de la Policía que  supervisaría</w:t>
        <w:br/>
        <w:t>el área donde fue capturado Edgar Fernando García, así como los  nombres  de</w:t>
        <w:br/>
        <w:t>otras personas  que  presuntamente  participaron  en  la  planificación  del</w:t>
        <w:br/>
        <w:t>Operativo de Limpieza[105].</w:t>
        <w:br/>
        <w:br/>
        <w:t>Los hallazgos en el Archivo Histórico de la Policía hicieron posible que  se</w:t>
        <w:br/>
        <w:t>juzgara y condenara a dos de los policías que  participaron  en  la  captura</w:t>
        <w:br/>
        <w:t>del señor García. En este sentido, el 28 de octubre de  2010  se  condenó  a</w:t>
        <w:br/>
        <w:t>“cuarenta años de  prisión  inconmutables”  a  dos  agentes  de  la  Policía</w:t>
        <w:br/>
        <w:t>Nacional por el “delito de desaparición forzada, cometido en  contra  de  la</w:t>
        <w:br/>
        <w:t>libertad individual  de  Edgar  Fernando  García”.  En  dicha  sentencia  se</w:t>
        <w:br/>
        <w:t>concluyó, inter alia, que debido a la vinculación de Edgar  Fernando  García</w:t>
        <w:br/>
        <w:t>a movimientos sindicales, estudiantiles,  a  la  Juventud  Patriótica  y  al</w:t>
        <w:br/>
        <w:t>Partido Guatemalteco del  Trabajo,  “se  le  consideraba  enemigo,  pues  no</w:t>
        <w:br/>
        <w:t>compartía la ideología del Estado, de ese momento”. El 9 de mayo de 2011  la</w:t>
        <w:br/>
        <w:t>Corte de  Apelaciones  decidió  “[n]o  acoger[r]  el  recurso  de  apelación</w:t>
        <w:br/>
        <w:t>especial[, interpuesto por la defensa,] por  motivo  de  forma”[106].  Según</w:t>
        <w:br/>
        <w:t>explicó el fiscal Manuel Giovanni Vázquez Vicente,  esto  significa  que  la</w:t>
        <w:br/>
        <w:t>sentencia condenatoria se encuentra firme[107].</w:t>
        <w:br/>
        <w:br/>
        <w:t>Las partes no aportaron copia del expediente penal de  dicho  proceso,  sino</w:t>
        <w:br/>
        <w:t>solamente copias de las sentencias de primera y segunda instancia, así  como</w:t>
        <w:br/>
        <w:t>de  los  peritajes  presentadas  en  el  proceso  penal  interno  y  de   la</w:t>
        <w:br/>
        <w:t>declaración de  Danilo  Chinchilla  Fuentes.  No  obstante,  el  fiscal  del</w:t>
        <w:br/>
        <w:t>Ministerio Público, Manuel Giovanni Vásquez  Vicente,  informó  que  existen</w:t>
        <w:br/>
        <w:t>dos órdenes de captura  pendientes  de  ejecutar  en  contra  de  otros  dos</w:t>
        <w:br/>
        <w:t>agentes que participaron en el operativo donde se detuvo al señor  García  y</w:t>
        <w:br/>
        <w:t>que “se encuentran pendientes de enfrentar juicio oral y público [quien  era</w:t>
        <w:br/>
        <w:t>en la época] Director General de la Policía Nacional y […] quien ocupada  el</w:t>
        <w:br/>
        <w:t>cargo de comandante general del  cuarto  cuerpo  de  la  Policía  Nacional”.</w:t>
        <w:br/>
        <w:t>Según   Manuel   Giovanni   Vásquez   Vicente,   estas   personas   tuvieron</w:t>
        <w:br/>
        <w:t>“participación por ser parte de la cadena de mando”. Además, señaló que  “la</w:t>
        <w:br/>
        <w:t>Fiscalía de Derechos Humanos, se halla  en  la  elaboración  de  patrones  y</w:t>
        <w:br/>
        <w:t>ubicación de puestos de mando[, tanto dentro  de  la  Policía  como  de  las</w:t>
        <w:br/>
        <w:t>dependencias    militares,]    con    el    objeto    de    determinar    su</w:t>
        <w:br/>
        <w:t>responsabilidad”[108]. No obstante, explicó que:</w:t>
        <w:br/>
        <w:br/>
        <w:t xml:space="preserve">   Dentro del procedimiento judicial se han dictado resoluciones no  acordes</w:t>
        <w:br/>
        <w:t xml:space="preserve">   a las prescripciones legales, siendo sintomático el favoritismo  a  altos</w:t>
        <w:br/>
        <w:t xml:space="preserve">   mandos como la situación de[l entonces Director  General  de  la  Policía</w:t>
        <w:br/>
        <w:t xml:space="preserve">   Nacional] a quien le fue concedido el beneficio de una medida sustitutiva</w:t>
        <w:br/>
        <w:t xml:space="preserve">   de arresto domiciliario con vigilancia, sin haber sustentado el  criterio</w:t>
        <w:br/>
        <w:t xml:space="preserve">   del peligro de fuga y obstaculización de la averiguación. El abuso de los</w:t>
        <w:br/>
        <w:t xml:space="preserve">   recursos legales tales como la utilización del amparo, que a pesar de ser</w:t>
        <w:br/>
        <w:t xml:space="preserve">   un medio legal de defensa ha sido consentido por los Tribunales  como  un</w:t>
        <w:br/>
        <w:t xml:space="preserve">   medio dilatorio para la obtención de una sentencia[109].</w:t>
        <w:br/>
        <w:br/>
        <w:t>En relación con los restos de Edgar Fernando García,  el  referido  testigo,</w:t>
        <w:br/>
        <w:t>indicó que “[e]l Ministerio Público ha coordinado acciones con la  Fundación</w:t>
        <w:br/>
        <w:t>de Antropología Forense con el fin de darles  calidad  de  peritos  [y]  por</w:t>
        <w:br/>
        <w:t>tanto[,] atribuciones legales para la búsqueda, ubicación  e  identificación</w:t>
        <w:br/>
        <w:t>de los restos  mortales  de  personas  desaparecidas  durante  el  conflicto</w:t>
        <w:br/>
        <w:t>armado interno”. En este sentido, precisó que se han  ordenado  exhumaciones</w:t>
        <w:br/>
        <w:t>en cementerios públicos, fosas  clandestinas,  fosas  ubicadas  en  zonas  y</w:t>
        <w:br/>
        <w:t>destacamentos militares y se han hecho comparaciones  con  muestras  de  ADN</w:t>
        <w:br/>
        <w:t>tomadas de los familiares de personas desaparecidas. En  el  caso  de  Edgar</w:t>
        <w:br/>
        <w:t>Fernando García tomaron muestras de su madre e hija, pero no han  encontrado</w:t>
        <w:br/>
        <w:t>coincidencias[110].</w:t>
        <w:br/>
        <w:br/>
        <w:t xml:space="preserve">         E) El Grupo de Apoyo Mutuo</w:t>
        <w:br/>
        <w:br/>
        <w:t>La señora Montenegro relató que, al inicio de  la  desaparición  forzada  de</w:t>
        <w:br/>
        <w:t>Edgar Fernando García, otros familiares  de  personas  desaparecidas  se  le</w:t>
        <w:br/>
        <w:t>acercaron en búsqueda de apoyo, a partir de lo cual surgió  la  idea  de  la</w:t>
        <w:br/>
        <w:t>creación del Grupo de Apoyo Mutuo. El GAM se fundó el 4  de  junio  de  1984</w:t>
        <w:br/>
        <w:t>como “una respuesta al drama que  sufrían  miles  de  guatemaltecos  por  la</w:t>
        <w:br/>
        <w:t>desaparición  forzada  de  sus  parientes  y   amigos”.   Fue   la   primera</w:t>
        <w:br/>
        <w:t>organización de su tipo en Guatemala. Tanto la  señora  Montenegro  como  la</w:t>
        <w:br/>
        <w:t>madre del señor García fueron miembros fundadoras del GAM[111].</w:t>
        <w:br/>
        <w:br/>
        <w:t>En dos resúmenes de  actividad  policíaca  que  aparecieron  en  el  Archivo</w:t>
        <w:br/>
        <w:t>Histórico de la Policía  Nacional  se  registró  que  “en  el  fondo,  [los]</w:t>
        <w:br/>
        <w:t>promotores [del GAM] tienen el conocido propósito  de  causar  problemas  al</w:t>
        <w:br/>
        <w:t>Gobierno y a las Fuerzas de Seguridad”, y que “e[ra] la pantalla  ideal  […]</w:t>
        <w:br/>
        <w:t>para  llevar  a  la   práctica   en   el   propio   terreno   programas   de</w:t>
        <w:br/>
        <w:t>desestabilización y de  desgaste  en  contra  del  Gobierno  Militar  en  lo</w:t>
        <w:br/>
        <w:t>particular  y  las  Fuerzas  de  Seguridad  en  lo  general”[112].  En   las</w:t>
        <w:br/>
        <w:t>observaciones finales de uno de  estos  resúmenes,  se  concluyó  que  “[e]s</w:t>
        <w:br/>
        <w:t>evidente que los promotores y dirigentes intelectuales del  Grupo  de  Apoyo</w:t>
        <w:br/>
        <w:t>M[u]tuo, son auténticos enemigos del Gobierno Militar y de  sus  Fuerzas  de</w:t>
        <w:br/>
        <w:t>Seguridad en General. Por tal motivo, actuando en legítima defensa, hay  que</w:t>
        <w:br/>
        <w:t>proceder en su contra, para neutralizarlos o anularlos”[113].</w:t>
        <w:br/>
        <w:br/>
        <w:br/>
        <w:t>En el mismo  sentido,  la  Comisión  Interamericana  reportó  en  el  Tercer</w:t>
        <w:br/>
        <w:t>Informe sobre la Situación de los Derechos  Humanos  en  Guatemala  de  1985</w:t>
        <w:br/>
        <w:t>que:</w:t>
        <w:br/>
        <w:br/>
        <w:t xml:space="preserve">    el 14 de marzo de 1985, en un acto oficial realizado en la base militar</w:t>
        <w:br/>
        <w:t xml:space="preserve">    del Departamento de Jutiapa, transmitido por televisión, el  [entonces]</w:t>
        <w:br/>
        <w:t xml:space="preserve">    Jefe de Estado […] formuló ciertas declaraciones según  las  cuales  el</w:t>
        <w:br/>
        <w:t xml:space="preserve">    “GAM” estaba siendo  manipulado  por  la  subversión  y  por  un  grupo</w:t>
        <w:br/>
        <w:t xml:space="preserve">    internacional y que, dentro de este contexto,  gestionar  la  aparición</w:t>
        <w:br/>
        <w:t xml:space="preserve">    con vida de los desaparecidos era un acto subversivo, que se adoptarían</w:t>
        <w:br/>
        <w:t xml:space="preserve">    las medidas para contrarrestarlo y que en adelante no se le  tolerarían</w:t>
        <w:br/>
        <w:t xml:space="preserve">    más demostraciones[114].</w:t>
        <w:br/>
        <w:br/>
        <w:br/>
        <w:t>Los miembros del GAM fueron objeto de fuertes  amenazas  y  agresiones,  así</w:t>
        <w:br/>
        <w:t>como de una campaña de descalificación y desprestigio. Según  la  CEH,  esta</w:t>
        <w:br/>
        <w:t>situación se tradujo en “el asesinato de  dos  activistas  del  GAM”  y  dos</w:t>
        <w:br/>
        <w:t>familiares de uno de éstos en 1985. Los  cuerpos  habrían  sido  encontrados</w:t>
        <w:br/>
        <w:t>con “señales de tortura”[115]. La señora Montenegro explicó que uno  de  los</w:t>
        <w:br/>
        <w:t>cuerpos le habrían “arrancad[o] la lengua y lo dejaron [casi] enfrente  [del</w:t>
        <w:br/>
        <w:t>GAM] para que [ellos] supiera[n] lo que [les] iba  a  ocurrir  si  seguía[n]</w:t>
        <w:br/>
        <w:t>actuando de esa forma”[116]. Asimismo, la CEH reportó que entre 1989 y  1993</w:t>
        <w:br/>
        <w:t>se  habrían  presentado  situaciones,  tales  como:  el  secuestro  de   dos</w:t>
        <w:br/>
        <w:t>activistas,  el  secuestro  y  asesinato  de  otros   cinco   miembros,   la</w:t>
        <w:br/>
        <w:t>desaparición forzada de un  activista,  así  como  dos  allanamientos  y  la</w:t>
        <w:br/>
        <w:t>explosión de una bomba en las instalaciones de la organización, entre  otros</w:t>
        <w:br/>
        <w:t>atentados al GAM[117].</w:t>
        <w:br/>
        <w:br/>
        <w:t>Dentro de este contexto, la señora Montenegro  fue  objeto  de  amenazas  de</w:t>
        <w:br/>
        <w:t>muerte y vigilancia[118]. En este sentido, la señora Montenegro declaró  que</w:t>
        <w:br/>
        <w:t>en varias ocasiones dispararon a su casa y “estuv[o] a punto  de  perder  la</w:t>
        <w:br/>
        <w:t>vida muchas veces”, razón por la cual buscó protección  de  la  organización</w:t>
        <w:br/>
        <w:t>Brigadas Internacionales de Paz y, por los nueve años que duró la  situación</w:t>
        <w:br/>
        <w:t>de  peligro,  siempre  tuvo  que  estar   acompañada   de   protección[119].</w:t>
        <w:br/>
        <w:t>Adicionalmente, la hija del señor García relató que cuando “tenía tres  años</w:t>
        <w:br/>
        <w:t>de edad, [fueron] a una manifestación cuando vi[o] que la policía  detuvo  a</w:t>
        <w:br/>
        <w:t>[su] mamá [y…] motivada por el miedo de  quedar[se]  completamente  huérfana</w:t>
        <w:br/>
        <w:t>corr[ió] hacia ella, [s]e solt[ó] de la mano de quien [la] cuidaba, [y]  uno</w:t>
        <w:br/>
        <w:t>de los miembros de la policía anti motín [la] detuvo […] y [le] pegó  en  la</w:t>
        <w:br/>
        <w:t>espalda con uno de los palos de madera que ellos mantenían”, por lo cual  su</w:t>
        <w:br/>
        <w:t>madre decidió no  llevarla  más  a  las  manifestaciones,  a  pesar  de  sus</w:t>
        <w:br/>
        <w:t>súplicas[120].</w:t>
        <w:br/>
        <w:br/>
        <w:t xml:space="preserve">                                    VIII</w:t>
        <w:br/>
        <w:t xml:space="preserve">                                    FONDO</w:t>
        <w:br/>
        <w:br/>
        <w:t>A  continuación  la  Corte  procede  a   pronunciarse   sobre   la   alegada</w:t>
        <w:br/>
        <w:t>responsabilidad internacional del Estado por: (1)  la  desaparición  forzada</w:t>
        <w:br/>
        <w:t>de  Edgar  Fernando  García  y  el  móvil  de  dicha  desaparición;  (2)  la</w:t>
        <w:br/>
        <w:t>obligación de investigar dicha desaparición, y (3) las alegadas  violaciones</w:t>
        <w:br/>
        <w:t>de los derechos a la  integridad  personal,  la  protección  a  la  familia,</w:t>
        <w:br/>
        <w:t>derechos del niño y libertad de asociación, en perjuicio de  los  familiares</w:t>
        <w:br/>
        <w:t>de Edgar Fernando García.</w:t>
        <w:br/>
        <w:br/>
        <w:t xml:space="preserve">                                   VIII-1</w:t>
        <w:br/>
        <w:t xml:space="preserve">                DESAPARICIÓN FORZADA DE EDGAR FERNANDO GARCÍA</w:t>
        <w:br/>
        <w:br/>
        <w:t>En el presente capítulo, la  Corte  analizará  la  desaparición  forzada  de</w:t>
        <w:br/>
        <w:t>Edgar Fernando García cuyo paradero se desconoce hasta el momento, así  como</w:t>
        <w:br/>
        <w:t>las alegadas violaciones a sus libertades de asociación y de expresión  como</w:t>
        <w:br/>
        <w:t>móvil de dicha desaparición.</w:t>
        <w:br/>
        <w:br/>
        <w:t xml:space="preserve">      I. Respecto a la desaparición forzada de Edgar Fernando García</w:t>
        <w:br/>
        <w:br/>
        <w:t xml:space="preserve">     A) Argumentos de la Comisión Interamericana y alegatos de las partes</w:t>
        <w:br/>
        <w:br/>
        <w:t>La Comisión indicó que “el 18 de febrero de 1984 Edgar Fernando  García  fue</w:t>
        <w:br/>
        <w:t>detenido ilegal, arbitraria y violentamente por miembros de la  […]  Policía</w:t>
        <w:br/>
        <w:t>Nacional, quienes le  dispararon  e  introdujeron  en  un  vehículo  de  las</w:t>
        <w:br/>
        <w:t>fuerzas de seguridad”. En particular, señaló  que  la  detención  del  señor</w:t>
        <w:br/>
        <w:t>García “constituyó un paso previo a [su]  desaparición  [forzada]”,  por  lo</w:t>
        <w:br/>
        <w:t>que no es necesario analizar si se cumplen los extremos del  artículo  7  de</w:t>
        <w:br/>
        <w:t>la Convención. Expresó que “los testimonios disponibles,  así  como  el  […]</w:t>
        <w:br/>
        <w:t>modus operandi de las desapariciones forzadas” utilizado en la época  de  la</w:t>
        <w:br/>
        <w:t>captura, “permiten concluir […] que la víctima fue  mantenida  en  detención</w:t>
        <w:br/>
        <w:t>clandestina por  un  período  de  tiempo  prolongado  con  la  finalidad  de</w:t>
        <w:br/>
        <w:t>sustraerle información”, por lo que, al tomar  en  cuenta  la  razón  de  su</w:t>
        <w:br/>
        <w:t>detención, es posible concluir que  “las  fuerzas  de  seguridad  cometieron</w:t>
        <w:br/>
        <w:t>actos de tortura contra [el señor García]”. La Comisión  además  alegó  que,</w:t>
        <w:br/>
        <w:t>la falta de investigación de lo ocurrido  constituye  un  incumplimiento  al</w:t>
        <w:br/>
        <w:t>deber de garantizar el derecho a la  vida.  Adicionalmente,  indicó  que  se</w:t>
        <w:br/>
        <w:t>imposibilitó que la víctima y sus familiares  “busca[sen]  tutela  judicial,</w:t>
        <w:br/>
        <w:t>frente  a  la  ausencia  constante  y  sistemática  de  toda   investigación</w:t>
        <w:br/>
        <w:t>relacionada a su  paradero”.  En  sus  observaciones  finales  escritas,  la</w:t>
        <w:br/>
        <w:t>Comisión resaltó que la desaparición forzada “en el  presente  caso  form[a]</w:t>
        <w:br/>
        <w:t>parte del patrón sistemático de desapariciones forzadas en Guatemala y  que,</w:t>
        <w:br/>
        <w:t>por tanto, constituy[e un] crime[n] de lesa humanidad”.</w:t>
        <w:br/>
        <w:br/>
        <w:t>Los representantes alegaron que Edgar Fernando  García  fue  “detenido,  con</w:t>
        <w:br/>
        <w:t>violencia, y herido” por agentes del Estado. Resaltaron que la “práctica  de</w:t>
        <w:br/>
        <w:t>tortura existente en el país en esa  misma  época,  hacen  presumir  que  la</w:t>
        <w:br/>
        <w:t>presunta víctima también  fue  torturada”  y  que  “cabe  presumir  que  fue</w:t>
        <w:br/>
        <w:t>privado de su  vida  arbitraria  e  ilegalmente”.  Asimismo,  señalaron  que</w:t>
        <w:br/>
        <w:t>“desde su captura y posterior desaparición forzada,  Edgar  Fernando  García</w:t>
        <w:br/>
        <w:t>fue inhabilitado para ejercer sus derechos  y  en  el  caso  de  haber  sido</w:t>
        <w:br/>
        <w:t>ejecutado  extrajudicialmente,  recibir  una  sepultura  de  acuerdo  a   su</w:t>
        <w:br/>
        <w:t>religión y costumbr[e]”, lo cual  constituye una violación  del  artículo  3</w:t>
        <w:br/>
        <w:t>de  la  Convención  Americana.  Resaltaron  que  existió   una   “falta   de</w:t>
        <w:br/>
        <w:t>información y negativa de reconocer la privación de libertad y  de  informar</w:t>
        <w:br/>
        <w:t>sobre el paradero de la víctima”, así como un impedimento al  “ejercicio  de</w:t>
        <w:br/>
        <w:t>recursos legales que se interponían, como […]  las  Exhibiciones  Personales</w:t>
        <w:br/>
        <w:t>que […] eran declarados improcedentes”.</w:t>
        <w:br/>
        <w:br/>
        <w:t>El Estado, por su parte, “acept[ó] los hechos denunciados” referentes a  los</w:t>
        <w:br/>
        <w:t>artículos 3, 4, 5 y 7 de la Convención en  relación  con  la  obligación  de</w:t>
        <w:br/>
        <w:t>respeto, incluida en el artículo 1.1 de la  misma,  en  perjuicio  de  Edgar</w:t>
        <w:br/>
        <w:t>Fernando García. Igualmente, reconoció la violación al artículo  I,  literal</w:t>
        <w:br/>
        <w:t>a) de la Convención Interamericana sobre Desaparición Forzada, en  perjuicio</w:t>
        <w:br/>
        <w:t>de la víctima, debido “a que no cumplió con la obligación de  no  practicar,</w:t>
        <w:br/>
        <w:t>no permitir y no tolerar la desaparición forzada”. En cuanto a la  violación</w:t>
        <w:br/>
        <w:t>del artículo II de la Convención Interamericana sobre Desaparición  Forzada,</w:t>
        <w:br/>
        <w:t>el Estado indicó que el mismo se refiere a “una definición  de  desaparición</w:t>
        <w:br/>
        <w:t>forzada y no una obligación en sí misma”.</w:t>
        <w:br/>
        <w:br/>
        <w:t xml:space="preserve">     B) Consideraciones de la Corte</w:t>
        <w:br/>
        <w:br/>
        <w:br/>
        <w:t>En el presente caso  no  existe  controversia  entre  las  partes  sobre  la</w:t>
        <w:br/>
        <w:t>responsabilidad internacional del Estado  por  la  desaparición  forzada  de</w:t>
        <w:br/>
        <w:t>Edgar Fernando García, cuyo paradero se desconoce hasta la  presente  fecha.</w:t>
        <w:br/>
        <w:t>Asimismo, el sólo hecho del registro de la desaparición  de  Edgar  Fernando</w:t>
        <w:br/>
        <w:t>García en la sección de “elementos ya trabajados” del Diario  Militar,  cuya</w:t>
        <w:br/>
        <w:t>autenticidad ha sido reconocida por el Estado,  demuestra  la  participación</w:t>
        <w:br/>
        <w:t>estatal en dichas desapariciones (supra párr. 63). En el mismo  sentido,  la</w:t>
        <w:br/>
        <w:t>Corte recuerda que la CEH concluyó que los hechos  ocurridos  en  este  caso</w:t>
        <w:br/>
        <w:t>constituyeron una desaparición forzada (supra párr. 68).  Además,  la  Corte</w:t>
        <w:br/>
        <w:t>resalta que en el proceso penal desarrollado a nivel interno  se  condenó  a</w:t>
        <w:br/>
        <w:t>dos de los autores materiales por la desaparición forzada de Edgar  Fernando</w:t>
        <w:br/>
        <w:t>García y se concluyó, inter alia:</w:t>
        <w:br/>
        <w:br/>
        <w:t xml:space="preserve">   b) que es evidente que esta desaparición forzada, fue  ordenada  por  las</w:t>
        <w:br/>
        <w:t xml:space="preserve">   instituciones  del  Estado,  extremos  que  se  acreditan  de  la  prueba</w:t>
        <w:br/>
        <w:t xml:space="preserve">   documental ya analizada; c) que se dio con la  autorización  o  apoyo  de</w:t>
        <w:br/>
        <w:t xml:space="preserve">   autoridades del Estado, pues en  ella  intervinieron  el  Ejército  y  la</w:t>
        <w:br/>
        <w:t xml:space="preserve">   Policía Nacional; d) que se privó en forma violenta  de  la  libertad  de</w:t>
        <w:br/>
        <w:t xml:space="preserve">   Edgar Fernando García, acción realizada también por los acusados  la  que</w:t>
        <w:br/>
        <w:t xml:space="preserve">   se debe a motivos  políticos[,]  pues  el  sujeto  pasivo  era  dirigente</w:t>
        <w:br/>
        <w:t xml:space="preserve">   estudiantil, sindical y pertenecía a la Juventud Patriótica del Trabajo y</w:t>
        <w:br/>
        <w:t xml:space="preserve">   al Partido Guatemalteco del Trabajo, asociaciones que estaban  proscritas</w:t>
        <w:br/>
        <w:t xml:space="preserve">   por el Estado[, y] e) que el Estado se ha negado a revelar el destino del</w:t>
        <w:br/>
        <w:t xml:space="preserve">   sujeto pasivo y a reconocer su detención pues a la fecha se desconoce  el</w:t>
        <w:br/>
        <w:t xml:space="preserve">   paradero de éste[121].</w:t>
        <w:br/>
        <w:br/>
        <w:t>En consecuencia, en el presente capítulo la Corte analizará, a  la  luz  del</w:t>
        <w:br/>
        <w:t>reconocimiento de responsabilidad internacional,  las  alegadas  violaciones</w:t>
        <w:br/>
        <w:t>de los derechos al reconocimiento de la  personalidad  jurídica[122],  a  la</w:t>
        <w:br/>
        <w:t>vida[123], a la integridad personal[124] y a la libertad  personal[125],  en</w:t>
        <w:br/>
        <w:t>relación con la obligación de  respeto[126]  establecida  en  la  Convención</w:t>
        <w:br/>
        <w:t>Americana, así como de los artículos  I[127]  y  II[128]  de  la  Convención</w:t>
        <w:br/>
        <w:t>Interamericana sobre Desaparición Forzada, en perjuicio  de  Edgar  Fernando</w:t>
        <w:br/>
        <w:t>García.</w:t>
        <w:br/>
        <w:br/>
        <w:t>En su jurisprudencia desde 1988[129], la Corte ha  establecido  el  carácter</w:t>
        <w:br/>
        <w:t>permanente o continuado de la  desaparición  forzada  de  personas[130],  el</w:t>
        <w:br/>
        <w:t>cual ha sido reconocido de manera reiterada por el Derecho Internacional  de</w:t>
        <w:br/>
        <w:t>los Derechos Humanos[131]. Asimismo, la jurisprudencia de este  Tribunal  ha</w:t>
        <w:br/>
        <w:t>sido precursora en la consolidación de una  perspectiva  comprensiva  de  la</w:t>
        <w:br/>
        <w:t>pluriofensividad de los derechos afectados y el carácter  permanente  de  la</w:t>
        <w:br/>
        <w:t>figura de la desaparición forzada de personas[132], en la cual  el  acto  de</w:t>
        <w:br/>
        <w:t>desaparición y su ejecución inician con la privación de la  libertad  de  la</w:t>
        <w:br/>
        <w:t>persona  y  la  subsiguiente  falta  de  información  sobre  su  destino,  y</w:t>
        <w:br/>
        <w:t>permanece mientras no se conozca el paradero de la  persona  desaparecida  o</w:t>
        <w:br/>
        <w:t>se identifiquen con certeza sus restos[133].</w:t>
        <w:br/>
        <w:br/>
        <w:t>En el mismo sentido, la Corte ha indicado que  esta  violación  múltiple  de</w:t>
        <w:br/>
        <w:t>varios derechos protegidos por la Convención Americana coloca a  la  víctima</w:t>
        <w:br/>
        <w:t>en  un  estado  de  completa  indefensión,  acarreando  otras  vulneraciones</w:t>
        <w:br/>
        <w:t>conexas, siendo particularmente  grave  cuando  forma  parte  de  un  patrón</w:t>
        <w:br/>
        <w:t>sistemático o práctica aplicada o tolerada por el Estado[134]. Asimismo,  la</w:t>
        <w:br/>
        <w:t>Convención Interamericana sobre Desaparición Forzada además reafirma  en  su</w:t>
        <w:br/>
        <w:t>preámbulo “que  la  práctica  sistemática  de  la  desaparición  forzada  de</w:t>
        <w:br/>
        <w:t>personas constituye un crimen de lesa humanidad”. En suma,  la  práctica  de</w:t>
        <w:br/>
        <w:t>desaparición forzada implica un craso abandono de los principios  esenciales</w:t>
        <w:br/>
        <w:t>en que se fundamenta el Sistema Interamericano de  Derechos  Humanos[135]  y</w:t>
        <w:br/>
        <w:t>su prohibición ha alcanzado carácter de jus cogens[136].</w:t>
        <w:br/>
        <w:br/>
        <w:t>En este sentido se ha señalado como elementos concurrentes  y  constitutivos</w:t>
        <w:br/>
        <w:t>de  la  desaparición  forzada:  a)  la  privación  de  la  libertad;  b)  la</w:t>
        <w:br/>
        <w:t>intervención directa de agentes estatales o la aquiescencia de éstos,  y  c)</w:t>
        <w:br/>
        <w:t>la negativa de reconocer la detención y de revelar la suerte o  el  paradero</w:t>
        <w:br/>
        <w:t>de la persona interesada[137]. Esta Corte realizó dicha  caracterización  de</w:t>
        <w:br/>
        <w:t>la desaparición forzada incluso con anterioridad a la  definición  contenida</w:t>
        <w:br/>
        <w:t>en el  artículo  II  de  la  Convención  Interamericana  sobre  Desaparición</w:t>
        <w:br/>
        <w:t>Forzada y es consistente con otras  definiciones  contenidas  en  diferentes</w:t>
        <w:br/>
        <w:t>instrumentos internacionales[138], la jurisprudencia del Sistema Europeo  de</w:t>
        <w:br/>
        <w:t>Derechos Humanos[139], decisiones del Comité de Derechos Humanos  del  Pacto</w:t>
        <w:br/>
        <w:t>Internacional de Derechos Civiles y Políticos[140], y  decisiones  de  altos</w:t>
        <w:br/>
        <w:t>tribunales nacionales[141].</w:t>
        <w:br/>
        <w:br/>
        <w:t>De conformidad con el  artículo  I,  incisos  a)  y  b),  de  la  Convención</w:t>
        <w:br/>
        <w:t>Interamericana  sobre  Desaparición   Forzada,   los   Estados   Partes   se</w:t>
        <w:br/>
        <w:t>comprometen a no practicar ni tolerar la desaparición  forzada  de  personas</w:t>
        <w:br/>
        <w:t>en cualquier circunstancia, y a sancionar a los responsables de la misma  en</w:t>
        <w:br/>
        <w:t>el ámbito de su jurisdicción,  lo  que  es  consecuente  con  la  obligación</w:t>
        <w:br/>
        <w:t>estatal de respetar y garantizar los derechos contenidos en el artículo  1.1</w:t>
        <w:br/>
        <w:t>de la Convención  Americana,  la  cual  puede  ser  cumplida  de  diferentes</w:t>
        <w:br/>
        <w:t>maneras, en función del derecho específico que el Estado deba  garantizar  y</w:t>
        <w:br/>
        <w:t>de las necesidades particulares de protección[142].</w:t>
        <w:br/>
        <w:br/>
        <w:t>El Tribunal estima adecuado recordar el  fundamento  jurídico  que  sustenta</w:t>
        <w:br/>
        <w:t>una perspectiva integral sobre la desaparición forzada de personas en  razón</w:t>
        <w:br/>
        <w:t>de la pluralidad de conductas que, cohesionadas por un único  fin,  vulneran</w:t>
        <w:br/>
        <w:t>de manera permanente, mientras subsistan, bienes  jurídicos  protegidos  por</w:t>
        <w:br/>
        <w:t>la Convención[143]. De este modo,  el  análisis  legal  de  la  desaparición</w:t>
        <w:br/>
        <w:t>forzada debe ser consecuente con la violación compleja de  derechos  humanos</w:t>
        <w:br/>
        <w:t>que ésta  conlleva[144].  En  este  sentido,  al  analizar  un  supuesto  de</w:t>
        <w:br/>
        <w:t>desaparición forzada se  debe  tener  en  cuenta  que  la  privación  de  la</w:t>
        <w:br/>
        <w:t>libertad del individuo  sólo  debe  ser  entendida  como  el  inicio  de  la</w:t>
        <w:br/>
        <w:t>configuración de una violación compleja que se prolonga en el  tiempo  hasta</w:t>
        <w:br/>
        <w:t>que se conoce la suerte y el paradero de la  víctima.  El  análisis  de  una</w:t>
        <w:br/>
        <w:t>posible desaparición forzada no debe enfocarse de manera  aislada,  dividida</w:t>
        <w:br/>
        <w:t>y fragmentada sólo en la detención, o la posible tortura,  o  el  riesgo  de</w:t>
        <w:br/>
        <w:t>perder la vida, sino más bien el enfoque debe ser  en  el  conjunto  de  los</w:t>
        <w:br/>
        <w:t>hechos que se presentan en el caso en consideración ante la  Corte,  tomando</w:t>
        <w:br/>
        <w:t>en cuenta la  jurisprudencia  del  Tribunal  al  interpretar  la  Convención</w:t>
        <w:br/>
        <w:t>Americana[145].</w:t>
        <w:br/>
        <w:br/>
        <w:t>Respecto del artículo 7 de la Convención Americana, la  Corte  ha  reiterado</w:t>
        <w:br/>
        <w:t>que cualquier restricción al derecho  a  la  libertad  personal  debe  darse</w:t>
        <w:br/>
        <w:t>únicamente por las causas y en las condiciones fijadas de antemano  por  las</w:t>
        <w:br/>
        <w:t>Constituciones Políticas o por las leyes dictadas conforme a ellas  (aspecto</w:t>
        <w:br/>
        <w:t>material),  y  además,  con   estricta   sujeción   a   los   procedimientos</w:t>
        <w:br/>
        <w:t>objetivamente definidos en la  misma  (aspecto  formal)[146].  Asimismo,  el</w:t>
        <w:br/>
        <w:t>Tribunal ha considerado que toda detención, independientemente del motivo  o</w:t>
        <w:br/>
        <w:t>duración de la misma, tiene que ser debidamente registrada en  el  documento</w:t>
        <w:br/>
        <w:t>pertinente, señalando con claridad las causas  de  la  detención,  quién  la</w:t>
        <w:br/>
        <w:t>realizó, la hora de detención y la hora de su puesta en libertad,  así  como</w:t>
        <w:br/>
        <w:t>la constancia de que se dio aviso al juez competente, como mínimo, a fin  de</w:t>
        <w:br/>
        <w:t>proteger contra toda  interferencia  ilegal  o  arbitraria  de  la  libertad</w:t>
        <w:br/>
        <w:t>física[147].  Lo  contrario  constituye  una  violación  de   los   derechos</w:t>
        <w:br/>
        <w:t>consagrados en los artículos 7.1  y  7.2  de  la  Convención  Americana,  en</w:t>
        <w:br/>
        <w:t>relación con el artículo 1.1 de este instrumento[148].</w:t>
        <w:br/>
        <w:br/>
        <w:t>La privación de libertad  con  la  cual  inicia  una  desaparición  forzada,</w:t>
        <w:br/>
        <w:t>cualquiera que fuere su forma, es contraria al artículo 7 de  la  Convención</w:t>
        <w:br/>
        <w:t>Americana. En el presente caso, ha quedado  demostrado  que  Edgar  Fernando</w:t>
        <w:br/>
        <w:t>García fue detenido el 18 de febrero  de  1984  durante  una  “Operación  de</w:t>
        <w:br/>
        <w:t>Limpieza y Patrullaje” realizada por la Policía Nacional  en  la  Ciudad  de</w:t>
        <w:br/>
        <w:t>Guatemala (supra párr. 66). De la información aportada por  las  partes,  la</w:t>
        <w:br/>
        <w:t>Corte observa que no existen datos claros sobre  el  lugar  al  cual  habría</w:t>
        <w:br/>
        <w:t>sido  trasladado  el  señor  García  tras  su  captura.  De  acuerdo  a   la</w:t>
        <w:br/>
        <w:t>información encontrada en el Archivo Histórico de la Policía Nacional  sobre</w:t>
        <w:br/>
        <w:t>la planificación de dicha operación, las personas que fueron  capturadas  en</w:t>
        <w:br/>
        <w:t>la zona donde se detuvo al señor García, serían conducidas al cuarto  cuerpo</w:t>
        <w:br/>
        <w:t>de la Policía Nacional,[149] mientras que la CEH, basándose  en  un  testigo</w:t>
        <w:br/>
        <w:t>referencial, estableció que el  señor  García  habría  sido  “trasladado  al</w:t>
        <w:br/>
        <w:t>Quinto Cuerpo de la PN” (supra párr. 68)[150]. No obstante  tales  versiones</w:t>
        <w:br/>
        <w:t>diferentes,  el  Tribunal  observa  que  el  señor  García  fue  detenido  y</w:t>
        <w:br/>
        <w:t>trasladado a un cuerpo de la Policía Nacional, donde permaneció en poder  de</w:t>
        <w:br/>
        <w:t>agentes  estatales.  Además,  según  información  recibida  por  la   señora</w:t>
        <w:br/>
        <w:t>Montenegro y la CEH, el señor García habría sido  visto  por  al  menos  dos</w:t>
        <w:br/>
        <w:t>testigos en centros de detención no  oficial  y  habría  estado  vivo  hasta</w:t>
        <w:br/>
        <w:t>diciembre de 1984[151]. En suma, esta Corte considera que  la  detención  de</w:t>
        <w:br/>
        <w:t>Edgar Fernando García implicó una  afectación  a  la  libertad,  en  el  más</w:t>
        <w:br/>
        <w:t>amplio sentido del artículo 7.1 de la Convención, siendo que desde la  fecha</w:t>
        <w:br/>
        <w:t>de su detención y luego de más de 28 años se desconoce su paradero.</w:t>
        <w:br/>
        <w:br/>
        <w:t>La Corte recuerda que el Estado se encuentra en  una  posición  especial  de</w:t>
        <w:br/>
        <w:t>garante de los derechos de los detenidos[152], por lo cual la  privación  de</w:t>
        <w:br/>
        <w:t>libertad en centros legalmente reconocidos y la existencia de  registros  de</w:t>
        <w:br/>
        <w:t>detenidos, constituyen salvaguardas fundamentales,  inter  alia,  contra  la</w:t>
        <w:br/>
        <w:t>desaparición forzada[153]. A contrario sensu la puesta en  funcionamiento  y</w:t>
        <w:br/>
        <w:t>el mantenimiento de centros clandestinos de detención configura per  se  una</w:t>
        <w:br/>
        <w:t>falta a la obligación de  garantía,  por  atentar  directamente  contra  los</w:t>
        <w:br/>
        <w:t>derechos a la libertad personal, integridad personal,  vida  y  personalidad</w:t>
        <w:br/>
        <w:t>jurídica[154]. Este principio, reiterado de forma constante  por  la  Corte,</w:t>
        <w:br/>
        <w:t>está codificado en el artículo XI  de  la  Convención  Interamericana  sobre</w:t>
        <w:br/>
        <w:t>Desaparición Forzada.</w:t>
        <w:br/>
        <w:br/>
        <w:t>La Corte resalta la posible utilización de cárceles clandestinas como  parte</w:t>
        <w:br/>
        <w:t>de la negativa de las autoridades a reconocer la privación  de  libertad  de</w:t>
        <w:br/>
        <w:t>la víctima y de  proporcionar  información  sobre  su  destino  o  paradero,</w:t>
        <w:br/>
        <w:t>inclusive frente a las diligencias realizadas por sus familiares y  por  los</w:t>
        <w:br/>
        <w:t>órganos a cargo  de  las  investigaciones[155].  En  el  presente  caso,  se</w:t>
        <w:br/>
        <w:t>interpusieron al menos siete recursos de exhibición  personal  a  favor  del</w:t>
        <w:br/>
        <w:t>señor García, se denunciaron los hechos  al  entonces  Jefe  de  Estado,  al</w:t>
        <w:br/>
        <w:t>Ministerio de la Defensa Nacional y en medios de comunicación (supra  párrs.</w:t>
        <w:br/>
        <w:t>69 a 75). No obstante, los  familiares  no  recibieron  información  oficial</w:t>
        <w:br/>
        <w:t>sobre la detención o destino de Edgar Fernando  García.  Por  el  contrario,</w:t>
        <w:br/>
        <w:t>existen registros o constancias de las respuestas  de  dichos  recursos  que</w:t>
        <w:br/>
        <w:t>aparecieron en el Archivo  Histórico  de  la  Policía  Nacional,  según  los</w:t>
        <w:br/>
        <w:t>cuales el señor  García  no  se  encontraba  detenido.  Asimismo,  la  Corte</w:t>
        <w:br/>
        <w:t>resalta que en el reporte del Operativo de Limpieza y  Patrullaje  realizado</w:t>
        <w:br/>
        <w:t>el 18 de febrero de 1984 no fue registrada  la  captura  de  Edgar  Fernando</w:t>
        <w:br/>
        <w:t>García, sino que, por el contrario, se  anotó  que  el  operativo  se  había</w:t>
        <w:br/>
        <w:t>llevado a cabo “sin novedades”[156]. En el mismo sentido, existen  registros</w:t>
        <w:br/>
        <w:t>indicando que al solicitársele información al respecto, la Policía  Nacional</w:t>
        <w:br/>
        <w:t>negó haber realizado un operativo en la zona y fecha donde fue capturado  el</w:t>
        <w:br/>
        <w:t>señor García (supra párr. 75).</w:t>
        <w:br/>
        <w:br/>
        <w:t>Al respecto, el Tribunal resalta la declaración  de  la  señora  Montenegro,</w:t>
        <w:br/>
        <w:t>quien indicó que “jamás, jamás hubo una  sola  respuesta.  Nunca,  todo  era</w:t>
        <w:br/>
        <w:t>mentira.  Todo  era  engaño.  Siempre  [les]  decían  que  los  recursos  de</w:t>
        <w:br/>
        <w:t>exhibición personales se declaraban desiertos, que Fernando no  estaba,  que</w:t>
        <w:br/>
        <w:t>no aparecía, que no existía, que se había  ido  a  Canadá,  simplemente  era</w:t>
        <w:br/>
        <w:t>alguien que no existía”[157]. Efectivamente, el Tribunal observa que, en  la</w:t>
        <w:br/>
        <w:t>época del inicio de la desaparición  del  señor  García,  en  Guatemala  las</w:t>
        <w:br/>
        <w:t>autoridades no reconocían haber realizado las privaciones de  libertad,  con</w:t>
        <w:br/>
        <w:t>las  cuales  iniciaban  las  desapariciones  forzadas  y  no  proporcionaban</w:t>
        <w:br/>
        <w:t>información sobre el paradero o destino de las  víctimas,  a  pesar  de  las</w:t>
        <w:br/>
        <w:t>diligencias realizadas por sus familias y por los órganos  a  cargo  de  las</w:t>
        <w:br/>
        <w:t>investigaciones penales[158]. Esta falta de información sobre el  destino  o</w:t>
        <w:br/>
        <w:t>paradero del señor García ha continuado hasta la presente fecha  y  verifica</w:t>
        <w:br/>
        <w:t>la negativa del Estado de brindar información.</w:t>
        <w:br/>
        <w:br/>
        <w:t>En relación con el artículo 5 de la Convención Americana, este  Tribunal  ha</w:t>
        <w:br/>
        <w:t>sostenido que la  desaparición  forzada  es  violatoria  del  derecho  a  la</w:t>
        <w:br/>
        <w:t>integridad personal porque el solo hecho del aislamiento prolongado y de  la</w:t>
        <w:br/>
        <w:t>incomunicación coactiva  representa  un  tratamiento  cruel  e  inhumano  en</w:t>
        <w:br/>
        <w:t>contradicción con los párrafos 1 y 2 del artículo 5 de  la  Convención,  por</w:t>
        <w:br/>
        <w:t>lo que resulta evidente que en una desaparición forzada la víctima  de  ésta</w:t>
        <w:br/>
        <w:t>vea vulnerada su integridad personal en todas sus dimensiones[159].</w:t>
        <w:br/>
        <w:br/>
        <w:t>En cualquier caso, la Corte ha establecido que el sometimiento de  detenidos</w:t>
        <w:br/>
        <w:t>a cuerpos represivos oficiales, agentes estatales o particulares que  actúen</w:t>
        <w:br/>
        <w:t>con su aquiescencia o tolerancia, que impunemente practiquen  la  tortura  y</w:t>
        <w:br/>
        <w:t>el  asesinato,  representa,  por  sí  mismo,  una  infracción  al  deber  de</w:t>
        <w:br/>
        <w:t>prevención de violaciones al derecho a la integridad personal y a  la  vida,</w:t>
        <w:br/>
        <w:t>aún en el supuesto de que no puedan demostrarse los  hechos  violatorios  en</w:t>
        <w:br/>
        <w:t>el caso concreto[160]. Estas circunstancias implican una  violación  de  los</w:t>
        <w:br/>
        <w:t>artículos 5.1 y 5.2 de la Convención Americana.</w:t>
        <w:br/>
        <w:br/>
        <w:t>En lo que se refiere al artículo 4 de la Convención Americana, la  Corte  ha</w:t>
        <w:br/>
        <w:t>considerado que por la naturaleza misma  de  la  desaparición  forzada,  las</w:t>
        <w:br/>
        <w:t>víctimas se encuentran en una situación agravada de  vulnerabilidad,  de  la</w:t>
        <w:br/>
        <w:t>cual surge el riesgo de que se violen diversos  derechos,  entre  ellos,  el</w:t>
        <w:br/>
        <w:t>derecho a la vida. Además, el Tribunal ha establecido  que  la  desaparición</w:t>
        <w:br/>
        <w:t>forzada ha incluido  con  frecuencia  la  ejecución  de  los  detenidos,  en</w:t>
        <w:br/>
        <w:t>secreto y sin fórmula de juicio, seguida del ocultamiento  del  cadáver  con</w:t>
        <w:br/>
        <w:t>el objeto de borrar toda huella material del crimen y procurar la  impunidad</w:t>
        <w:br/>
        <w:t>de quienes lo cometieron, lo que significa una violación del  derecho  a  la</w:t>
        <w:br/>
        <w:t>vida, reconocido en el artículo 4  de  la  Convención[161].  En  efecto,  la</w:t>
        <w:br/>
        <w:t>Corte ha constatado que la ejecución de los desaparecidos  era  la  práctica</w:t>
        <w:br/>
        <w:t>durante el conflicto armado interno en Guatemala[162].</w:t>
        <w:br/>
        <w:br/>
        <w:t>Por otro lado, este Tribunal ha  estimado  que,  en  casos  de  desaparición</w:t>
        <w:br/>
        <w:t>forzada, atendiendo al carácter múltiple y complejo de esta grave  violación</w:t>
        <w:br/>
        <w:t>de derechos humanos, su ejecución conlleva  la  vulneración  específica  del</w:t>
        <w:br/>
        <w:t>derecho al reconocimiento de la  personalidad  jurídica,  debido  a  que  la</w:t>
        <w:br/>
        <w:t>consecuencia de la negativa a reconocer la privación de libertad o  paradero</w:t>
        <w:br/>
        <w:t>de la persona es, en conjunto con los otros elementos  de  la  desaparición,</w:t>
        <w:br/>
        <w:t>la “sustracción de la protección de la ley” o  bien  la  vulneración  de  la</w:t>
        <w:br/>
        <w:t>seguridad personal y jurídica  del  individuo  que  impide  directamente  el</w:t>
        <w:br/>
        <w:t>reconocimiento de la personalidad jurídica[163].</w:t>
        <w:br/>
        <w:br/>
        <w:t>En tal sentido, la Corte ha considerado que el contenido propio del  derecho</w:t>
        <w:br/>
        <w:t>al reconocimiento de la  personalidad  jurídica  es  que,  precisamente,  se</w:t>
        <w:br/>
        <w:t>reconozca a la  persona  en  cualquier  parte  como  sujeto  de  derechos  y</w:t>
        <w:br/>
        <w:t>obligaciones, y que pueda ésta gozar de los derechos civiles  fundamentales,</w:t>
        <w:br/>
        <w:t>lo cual implica la capacidad de ser titular de derechos (capacidad  y  goce)</w:t>
        <w:br/>
        <w:t>y de deberes; la violación de  aquel  reconocimiento  supone  desconocer  en</w:t>
        <w:br/>
        <w:t>términos absolutos la posibilidad de ser titular de los derechos  y  deberes</w:t>
        <w:br/>
        <w:t>civiles y fundamentales[164]. Más allá de que  la  persona  desaparecida  no</w:t>
        <w:br/>
        <w:t>pueda continuar gozando y  ejerciendo  otros,  y  eventualmente  todos,  los</w:t>
        <w:br/>
        <w:t>derechos de los cuales también es titular, su  desaparición  busca  no  sólo</w:t>
        <w:br/>
        <w:t>una de las más graves formas de sustracción de una persona  de  todo  ámbito</w:t>
        <w:br/>
        <w:t>del ordenamiento jurídico, sino también negar su existencia misma y  dejarla</w:t>
        <w:br/>
        <w:t>en una suerte de limbo o  situación  de  indeterminación  jurídica  ante  la</w:t>
        <w:br/>
        <w:t>sociedad y el Estado[165].</w:t>
        <w:br/>
        <w:br/>
        <w:t>El Tribunal considera que Edgar  Fernando  García  ha  sido  puesto  en  una</w:t>
        <w:br/>
        <w:t>situación de indeterminación jurídica, que ha  impedido  la  posibilidad  de</w:t>
        <w:br/>
        <w:t>ser titular o ejercer en forma efectiva sus derechos  en  general,  lo  cual</w:t>
        <w:br/>
        <w:t>implica una violación de su derecho al  reconocimiento  de  la  personalidad</w:t>
        <w:br/>
        <w:t>jurídica. En relación con el alegato  de  los  representantes  referente  al</w:t>
        <w:br/>
        <w:t>derecho del señor García “de recibir una sepultura de acuerdo a su  religión</w:t>
        <w:br/>
        <w:t>o costumbre”, la Corte resalta que el hecho de que una persona  desaparecida</w:t>
        <w:br/>
        <w:t>no puede ejercer todos los derechos de los cuales  también  es  titular,  no</w:t>
        <w:br/>
        <w:t>significa que la desaparición forzada, como violación múltiple  y  compleja,</w:t>
        <w:br/>
        <w:t>implique  la  violación  de  todos  aquellos   derechos   que   la   persona</w:t>
        <w:br/>
        <w:t>desaparecida se ve imposibilitada de ejercer.</w:t>
        <w:br/>
        <w:br/>
        <w:t>Asimismo, como consecuencia de las acciones estatales expuestas a  lo  largo</w:t>
        <w:br/>
        <w:t>de este  capítulo  la  Corte  considera  que  el  Estado  incumplió  con  la</w:t>
        <w:br/>
        <w:t>obligación de no practicar ni tolerar la desaparición  forzada  de  personas</w:t>
        <w:br/>
        <w:t>en  cualquier  circunstancia,  establecida  en  el  artículo  I.a)   de   la</w:t>
        <w:br/>
        <w:t>Convención Interamericana sobre Desaparición Forzada.</w:t>
        <w:br/>
        <w:br/>
        <w:t>La Corte Interamericana  destaca  la  gravedad  de  los  hechos  sub  judice</w:t>
        <w:br/>
        <w:t>ocurridos a partir de 1984, los cuales se enmarcan dentro  de  una  práctica</w:t>
        <w:br/>
        <w:t>de  Estado  sistemática  de  desapariciones  forzadas,  constatada  por   la</w:t>
        <w:br/>
        <w:t>jurisprudencia del Tribunal (supra párr. 54). Igualmente, la  Corte  observa</w:t>
        <w:br/>
        <w:t>que las desapariciones forzadas en esa época formaban parte de una  política</w:t>
        <w:br/>
        <w:t>estatal en contra de  las  personas  identificadas  como  enemigos  internos</w:t>
        <w:br/>
        <w:t>dentro de la Doctrina de Seguridad  Nacional  (supra  párr.  51).  En  dicha</w:t>
        <w:br/>
        <w:t>política participaron diversas fuerzas de seguridad estatal,  incluyendo  la</w:t>
        <w:br/>
        <w:t>Policía y el Ejército (supra párrs. 52). Asimismo, la Corte no  puede  dejar</w:t>
        <w:br/>
        <w:t>de notar que la existencia de documentos oficiales como el Diario Militar  y</w:t>
        <w:br/>
        <w:t>los registros de la realización de “Operativos  de  Limpieza  y  Patrullaje”</w:t>
        <w:br/>
        <w:t>evidencian la organización y planificación con  la  que  se  realizaban  las</w:t>
        <w:br/>
        <w:t>desapariciones forzadas,  así  como  la  coordinación  existente  entre  las</w:t>
        <w:br/>
        <w:t>autoridades políticas y/o militares de alto nivel. Al respecto,  el  informe</w:t>
        <w:br/>
        <w:t>de la Secretaría de la Paz, tomando en cuenta la información  encontrada  en</w:t>
        <w:br/>
        <w:t>el Archivo Histórico de la Policía Nacional, señaló que  las  capturas  eran</w:t>
        <w:br/>
        <w:t>planificadas  con  información  previamente   recolectada   por   diferentes</w:t>
        <w:br/>
        <w:t>estructuras estatales. En el presente caso es necesario resaltar que la  CEH</w:t>
        <w:br/>
        <w:t>concluyó  que  durante  el  conflicto  armado  interno  las   desapariciones</w:t>
        <w:br/>
        <w:t>forzadas  fueron  “aplicada[s]  sistemáticamente  en  distintas  regiones  y</w:t>
        <w:br/>
        <w:t>afectó a una gran parte de la población, constituyendo  un  crimen  de  lesa</w:t>
        <w:br/>
        <w:t>humanidad”[166].</w:t>
        <w:br/>
        <w:br/>
        <w:t>Por  otro  lado,  los  representantes  también  alegaron  la  violación  del</w:t>
        <w:br/>
        <w:t>artículo II de la Convención Interamericana sobre Desaparición  Forzada.  La</w:t>
        <w:br/>
        <w:t>Corte ha establecido que el artículo II de  esta  convención  no  constituye</w:t>
        <w:br/>
        <w:t>una obligación en sí misma sino una definición del concepto de  desaparición</w:t>
        <w:br/>
        <w:t>forzada, por lo que, tal como alegó el Estado, este Tribunal  considera  que</w:t>
        <w:br/>
        <w:t>no procede declarar su incumplimiento en el presente caso[167].</w:t>
        <w:br/>
        <w:br/>
        <w:t>En virtud de todas las consideraciones anteriores, la Corte concluye que  el</w:t>
        <w:br/>
        <w:t>Estado es responsable por  la  violación  de  los  derechos  a  la  libertad</w:t>
        <w:br/>
        <w:t>personal, la  integridad  personal,  la  vida  y  el  reconocimiento  de  la</w:t>
        <w:br/>
        <w:t>personalidad jurídica, reconocidos en los artículos 7.1, 5.1 y  5.2,  4.1  y</w:t>
        <w:br/>
        <w:t>3, en razón del incumplimiento de su obligación de respetar  esos  derechos,</w:t>
        <w:br/>
        <w:t>establecida en el artículo 1.1,  todos  de  la  Convención  Americana  y  en</w:t>
        <w:br/>
        <w:t>relación con los  artículos  I.a)  de  la  Convención  Interamericana  sobre</w:t>
        <w:br/>
        <w:t>Desaparición Forzada, en perjuicio de Edgar Fernando García.  La  evaluación</w:t>
        <w:br/>
        <w:t>acerca de la obligación de garantizar los referidos derechos por la  vía  de</w:t>
        <w:br/>
        <w:t>una investigación diligente y efectiva de  lo  ocurrido  se  realiza  en  el</w:t>
        <w:br/>
        <w:t>Capítulo VIII-2 de esta Sentencia.</w:t>
        <w:br/>
        <w:br/>
        <w:t xml:space="preserve">   II. Respecto a las libertades de asociación[168] y de expresión[169] de</w:t>
        <w:br/>
        <w:t xml:space="preserve">   Edgar Fernando García</w:t>
        <w:br/>
        <w:br/>
        <w:t>La Comisión señaló que “la desaparición forzada  de  Edgar  Fernando  García</w:t>
        <w:br/>
        <w:t>constituyó una violación a su derecho a la  libertad  de  expresión  y  tuvo</w:t>
        <w:br/>
        <w:t>como objetivo  suprimir  el  ejercicio  de  su  derecho  a  la  libertad  de</w:t>
        <w:br/>
        <w:t>asociación en  un  escenario  de  represión  y  aniquilación  de  líderes  y</w:t>
        <w:br/>
        <w:t>miembros de toda organización opositora”, lo cual se demuestra, inter  alia,</w:t>
        <w:br/>
        <w:t>por su registro en el Diario Militar. Los  representantes  coincidieron  con</w:t>
        <w:br/>
        <w:t>lo señalado con la  Comisión.  Por  su  parte,  el  Estado  “manifest[ó]  su</w:t>
        <w:br/>
        <w:t>aceptación  total”  en  relación  con  las  violaciones  a  la  libertad  de</w:t>
        <w:br/>
        <w:t>pensamiento y expresión y a la  libertad  de  asociación,  en  perjuicio  de</w:t>
        <w:br/>
        <w:t>Edgar Fernando García.</w:t>
        <w:br/>
        <w:br/>
        <w:t>El Tribunal ha reconocido que cuando la violación del derecho a la vida,  la</w:t>
        <w:br/>
        <w:t>integridad o la libertad personal tiene como objetivo impedir  el  ejercicio</w:t>
        <w:br/>
        <w:t>legítimo  de  otro  derecho  protegido  en  la  Convención,  tal  como   las</w:t>
        <w:br/>
        <w:t>libertades de asociación[170] o de expresión[171], se  configura  a  su  vez</w:t>
        <w:br/>
        <w:t>una violación autónoma a este derecho protegido en la Convención  Americana.</w:t>
        <w:br/>
        <w:t>Respecto a la libertad de asociación,  este  Tribunal  ha  señalado  que  el</w:t>
        <w:br/>
        <w:t>artículo 16.1 de la Convención Americana establece que  quienes  están  bajo</w:t>
        <w:br/>
        <w:t>la jurisdicción de los Estados Partes tienen el derecho  y  la  libertad  de</w:t>
        <w:br/>
        <w:t>asociarse  libremente  con  otras  personas,   sin   intervención   de   las</w:t>
        <w:br/>
        <w:t>autoridades públicas que limiten o entorpezcan  el  ejercicio  del  referido</w:t>
        <w:br/>
        <w:t>derecho. Se trata, pues, del derecho a agruparse con la finalidad de  buscar</w:t>
        <w:br/>
        <w:t>la realización común de un fin lícito, sin  presiones  o  intromisiones  que</w:t>
        <w:br/>
        <w:t>puedan alterar o desnaturalizar dicha finalidad[172]. Al  igual  que  dichas</w:t>
        <w:br/>
        <w:t>obligaciones negativas, la Corte  Interamericana  ha  observado  que  de  la</w:t>
        <w:br/>
        <w:t>libertad  de  asociación  también  se  derivan  obligaciones  positivas   de</w:t>
        <w:br/>
        <w:t>prevenir los atentados contra la misma, proteger  a  quienes  la  ejercen  e</w:t>
        <w:br/>
        <w:t>investigar las violaciones de dicha libertad[173].</w:t>
        <w:br/>
        <w:br/>
        <w:t>En el mismo  sentido,  este  Tribunal  considera  que  el  contenido  de  la</w:t>
        <w:br/>
        <w:t>libertad sindical, una forma  de  la  libertad  de  asociación,  implica  la</w:t>
        <w:br/>
        <w:t>potestad de elección  respecto  de  cómo  ejercerla.  En  este  sentido,  un</w:t>
        <w:br/>
        <w:t>individuo no  goza  del  pleno  ejercicio  del  derecho  a  la  libertad  de</w:t>
        <w:br/>
        <w:t>asociación, si en realidad esta potestad es inexistente o se reduce  de  tal</w:t>
        <w:br/>
        <w:t>forma que no pueda ponerla en práctica. El Estado debe  garantizar  que  las</w:t>
        <w:br/>
        <w:t>personas puedan ejercer libremente su libertad sindical  sin  temor  de  que</w:t>
        <w:br/>
        <w:t>serán sujetos a violencia alguna, de lo contrario, se  podría  disminuir  la</w:t>
        <w:br/>
        <w:t>capacidad de las agrupaciones de  organizarse  para  la  protección  de  sus</w:t>
        <w:br/>
        <w:t>intereses[174].</w:t>
        <w:br/>
        <w:br/>
        <w:t>La Corte constató que Edgar Fernando García era  un  líder  sindical  de  la</w:t>
        <w:br/>
        <w:t>empresa CAVISA donde trabajaba, estaba vinculado al PGT y a  una  asociación</w:t>
        <w:br/>
        <w:t>de  estudiantes  universitarios  (supra  párr.  62).  Asimismo,  ha  quedado</w:t>
        <w:br/>
        <w:t>demostrado que este tipo de  organizaciones  fueron  consideradas  “enemigos</w:t>
        <w:br/>
        <w:t>internos” durante el conflicto armado interno en Guatemala (supra párrs.  51</w:t>
        <w:br/>
        <w:t>y 54). El Tribunal resalta que,  en  virtud  de  dichos  hechos,  el  Estado</w:t>
        <w:br/>
        <w:t>reconoció su responsabilidad internacional por la violación  del  derecho  a</w:t>
        <w:br/>
        <w:t>la libertad de asociación y libertad de expresión del señor García.</w:t>
        <w:br/>
        <w:br/>
        <w:t>En efecto, el Tribunal observa que la intención de  restringir  la  libertad</w:t>
        <w:br/>
        <w:t>de asociación,  y  concretamente  la  libertad  sindical,  del  señor  Edgar</w:t>
        <w:br/>
        <w:t>Fernando García, por medio  de  su  desaparición  forzada  se  desprende  de</w:t>
        <w:br/>
        <w:t>distintos factores y elementos aportados al expediente. En este sentido,  el</w:t>
        <w:br/>
        <w:t>Tribunal toma nota  de  lo  indicado  por  el  perito  Marco  Tulio  Álvarez</w:t>
        <w:br/>
        <w:t>Bobadilla en el procedimiento penal interno. De acuerdo a  dicho  perito,  a</w:t>
        <w:br/>
        <w:t>partir de documentos hallados en el Archivo  Histórico  de  la  Policía,  se</w:t>
        <w:br/>
        <w:t>desprende que las notificaciones que se hicieron sobre un permiso  concedido</w:t>
        <w:br/>
        <w:t>al señor García en 1980 para realizar un desfile  (supra  párr.  64)  fueron</w:t>
        <w:br/>
        <w:t>más allá de lo rutinario, lo cual “denota más que la  pretensión  de  lograr</w:t>
        <w:br/>
        <w:t>seguridad, la intención de ejercer control en  este  tipo  de  actividades”,</w:t>
        <w:br/>
        <w:t>pues, por ejemplo en una de los oficios está escrito a mano “que tomen  nota</w:t>
        <w:br/>
        <w:t>todos los cuerpos”[175]. El perito concluyó que “dado  el  protagonismo  que</w:t>
        <w:br/>
        <w:t>tenía el señor Edgar Fernando García, era  muy  lógico  considerar  que  las</w:t>
        <w:br/>
        <w:t>fuerzas de seguridad [lo] perseguían”[176]. En este sentido, en  el  Archivo</w:t>
        <w:br/>
        <w:t>Histórico de la Policía Nacional también se encontró un  oficio  del  Cuarto</w:t>
        <w:br/>
        <w:t>Cuerpo de la Policía Nacional al Director de la misma,  donde,  inter  alia,</w:t>
        <w:br/>
        <w:t>se reporta que los dirigentes de CAVISA habían  solicitado  la  construcción</w:t>
        <w:br/>
        <w:t>de un hospital para “curar a los que  resulten  heridos  en  los  encuentros</w:t>
        <w:br/>
        <w:t>armados contra las Fuerzas de Seguridad del Gobierno  en  el  área  urbana”,</w:t>
        <w:br/>
        <w:t>relacionando así al sindicato con grupos subversivos (supra párr. 64 y  nota</w:t>
        <w:br/>
        <w:t>72). Asimismo, apareció una ficha con información de Edgar Fernando  García,</w:t>
        <w:br/>
        <w:t>la cual según dos peritos en el procedimiento penal interno,  constituía  la</w:t>
        <w:br/>
        <w:t>manera   como   se   registraba   a   las   personas    consideradas    como</w:t>
        <w:br/>
        <w:t>subversivas[177].</w:t>
        <w:br/>
        <w:br/>
        <w:t>El Tribunal nota que durante  el  conflicto  armado  existió  un  patrón  de</w:t>
        <w:br/>
        <w:t>acciones por parte del Estado dirigido a capturar o eliminar  a  líderes  de</w:t>
        <w:br/>
        <w:t>sindicatos y organizaciones estudiantiles por no compartir la ideología  del</w:t>
        <w:br/>
        <w:t>Estado[178].  Las  desapariciones  forzadas,  como  parte  de  la   política</w:t>
        <w:br/>
        <w:t>contrainsurgente  del  Estado,  tenían  la  finalidad  de  desarticular  los</w:t>
        <w:br/>
        <w:t>movimientos u organizaciones que el Estado identificaba como proclives a  la</w:t>
        <w:br/>
        <w:t>“insurgencia” y extender el terror en la población[179]. Dicha  política  se</w:t>
        <w:br/>
        <w:t>ve además reflejada en el Diario  Militar,  donde  se  registró  información</w:t>
        <w:br/>
        <w:t>sobre dirigentes de  organizaciones  sociales,  entre  otras,  la  cual  era</w:t>
        <w:br/>
        <w:t>recolectada previamente y  utilizada  para  planificar  las  operaciones  de</w:t>
        <w:br/>
        <w:t>contrainsurgencia[180], así como por la información recopilada  sobre  Edgar</w:t>
        <w:br/>
        <w:t>Fernando García en el Archivo Histórico de la  Policía  Nacional.  Asimismo,</w:t>
        <w:br/>
        <w:t>la Corte resalta que, de acuerdo a lo declarado por Danilo Chichilla,  quien</w:t>
        <w:br/>
        <w:t>se encontraba con el señor García el día de su  captura,  los  policías  los</w:t>
        <w:br/>
        <w:t>detuvieron luego de registrarlos y encontrarles documentos del  PGT  y  unos</w:t>
        <w:br/>
        <w:t>papeles de CAVISA (supra párr. 65). La Corte resalta que, al analizar  estas</w:t>
        <w:br/>
        <w:t>y otras pruebas el juzgado penal en el procedimiento interno estableció  que</w:t>
        <w:br/>
        <w:t>“el  objetivo  [de  la  captura]  fue  obtener  de  Edgar  Fernando  García,</w:t>
        <w:br/>
        <w:t>información de sus actividades que tenía  como  estudiante,  sindicalista  y</w:t>
        <w:br/>
        <w:t>miembros de la Juventud  Patriótica  del  Trabajo  y  del  [PGT]”[181].  Por</w:t>
        <w:br/>
        <w:t>tanto, esta Corte considera  demostrado  que  la  desaparición  forzada  del</w:t>
        <w:br/>
        <w:t>señor García estuvo motivada en su participación en asociaciones  sindicales</w:t>
        <w:br/>
        <w:t>y  estudiantiles  calificadas  como  “opositoras  y/o  insurgentes”  en   el</w:t>
        <w:br/>
        <w:t>contexto del conflicto armado interno en Guatemala.</w:t>
        <w:br/>
        <w:br/>
        <w:t>Adicionalmente, el Tribunal resalta que la desaparición  forzada  del  señor</w:t>
        <w:br/>
        <w:t>García muy probablemente tuvo un efecto amedrentador e  intimidante  en  los</w:t>
        <w:br/>
        <w:t>demás miembros de las organizaciones sociales a las  cuales  pertenecía,  lo</w:t>
        <w:br/>
        <w:t>cual se vio acentuado por el contexto de impunidad que  rodeó  al  caso  por</w:t>
        <w:br/>
        <w:t>muchos años (infra párr. 154). Esta  Corte  resalta  que  el  efecto  de  la</w:t>
        <w:br/>
        <w:t>desaparición del señor García en otros sindicatos se puede  observar  en  la</w:t>
        <w:br/>
        <w:t>preocupación manifestada de forma activa por  los  sindicatos  de  CAVISA  y</w:t>
        <w:br/>
        <w:t>otras  empresas,  organizaciones  o  federaciones  sindicales,  las   cuales</w:t>
        <w:br/>
        <w:t>publicaron campos pagados en la prensa nacional denunciando lo  sucedido  al</w:t>
        <w:br/>
        <w:t>señor García y  reclamando  su  aparición,  hasta  un  año  después  de  los</w:t>
        <w:br/>
        <w:t>hechos[182]. En virtud de las consideraciones anteriores, la Corte  concluye</w:t>
        <w:br/>
        <w:t>que el Estado violó el derecho a la libertad de  asociación,  consagrado  en</w:t>
        <w:br/>
        <w:t>el artículo 16.1 de la Convención Americana, en  relación  con  el  1.1  del</w:t>
        <w:br/>
        <w:t>mismo  instrumento,  en  perjuicio  del  señor   García,   puesto   que   su</w:t>
        <w:br/>
        <w:t>desaparición tuvo como propósito restringir el ejercicio  de  su  derecho  a</w:t>
        <w:br/>
        <w:t>asociarse libremente.</w:t>
        <w:br/>
        <w:br/>
        <w:t>Por otra parte, en relación con  la  alegada  violación  a  la  libertad  de</w:t>
        <w:br/>
        <w:t>expresión como móvil  de  su  desaparición,  la  Corte  advierte  que  ambas</w:t>
        <w:br/>
        <w:t>libertades (de asociación  y  de  expresión)  son  derechos  intrínsecamente</w:t>
        <w:br/>
        <w:t>relacionados.  En  efecto,  el  Tribunal  Europeo  ha  reconocido   que   la</w:t>
        <w:br/>
        <w:t>protección  a  la  libertad  de  pensamiento  y  expresión  es  uno  de  los</w:t>
        <w:br/>
        <w:t>propósitos de la libertad de asociación[183].  Sin  perjuicio  de  esto,  la</w:t>
        <w:br/>
        <w:t>Corte considera que cada uno de los derechos  contenidos  en  la  Convención</w:t>
        <w:br/>
        <w:t>tiene su ámbito, sentido y alcance propios[184]. A juicio de  la  Corte,  la</w:t>
        <w:br/>
        <w:t>violación del  derecho  a  la  libertad  de  asociación  puede  generar  una</w:t>
        <w:br/>
        <w:t>afectación a la libertad de expresión. No  obstante  el  reconocimiento  del</w:t>
        <w:br/>
        <w:t>Estado respecto de dicha violación, el Tribunal considera que  para  que  se</w:t>
        <w:br/>
        <w:t>configure una violación  del  derecho  a  la  libertad  de  expresión  sería</w:t>
        <w:br/>
        <w:t>necesario demostrar que el mismo fue afectado  más  allá  de  la  afectación</w:t>
        <w:br/>
        <w:t>intrínseca  a  la  violación  declarada  del  derecho  a  la   libertad   de</w:t>
        <w:br/>
        <w:t>asociación, lo cual no ha  sucedido  en  el  presente  caso.  Por  ende,  no</w:t>
        <w:br/>
        <w:t>corresponde declarar que el  Estado  violó  el  derecho  a  la  libertad  de</w:t>
        <w:br/>
        <w:t>pensamiento y expresión de Edgar Fernando García, como parte  del  móvil  de</w:t>
        <w:br/>
        <w:t>su desaparición forzada.</w:t>
        <w:br/>
        <w:br/>
        <w:t xml:space="preserve">                                   VIII-2</w:t>
        <w:br/>
        <w:t xml:space="preserve">              obligación de investigar LA DESAPARICIón FORZADA</w:t>
        <w:br/>
        <w:t xml:space="preserve">                          de edgar fernando garcía</w:t>
        <w:br/>
        <w:br/>
        <w:t>En el presente capítulo la Corte sintetizará los argumentos de  la  Comisión</w:t>
        <w:br/>
        <w:t>Interamericana y los alegatos de las partes, para luego  pronunciarse  sobre</w:t>
        <w:br/>
        <w:t>las alegadas  violaciones  a  los  artículos  8.1[185]  y  25.1[186]  de  la</w:t>
        <w:br/>
        <w:t>Convención Americana, en relación con el artículo 1.1 del mismo tratado,  el</w:t>
        <w:br/>
        <w:t>artículo  I.b   de   la   Convención   Interamericana   sobre   Desaparición</w:t>
        <w:br/>
        <w:t>Forzada[187], en perjuicio de Nineth Varenca  Montenegro  Cottom,  Alejandra</w:t>
        <w:br/>
        <w:t>García Montenegro y María Emilia García, así como las  alegadas  violaciones</w:t>
        <w:br/>
        <w:t>a la obligación de garantizar los derechos consagrados en los  artículos  3,</w:t>
        <w:br/>
        <w:t>4, 5 y 7 de la Convención Americana, en perjuicio de Edgar Fernando  García.</w:t>
        <w:br/>
        <w:t>Asimismo, la  Corte  se  pronunciará  en  este  capítulo  sobre  la  alegada</w:t>
        <w:br/>
        <w:t>violación  del  derecho  de  acceso  a   la   información   y   el   alegado</w:t>
        <w:br/>
        <w:t>incumplimiento del artículo de 2 de la Convención[188].</w:t>
        <w:br/>
        <w:br/>
        <w:t>La Corte recuerda  que,  en  virtud  de  su  competencia  ratione  temporis,</w:t>
        <w:br/>
        <w:t>solamente  puede  pronunciarse  sobre  aquellos  hechos  relativos   a   las</w:t>
        <w:br/>
        <w:t>investigaciones que hubieran ocurrido luego del 9 de marzo  de  1987  (supra</w:t>
        <w:br/>
        <w:t>párr. 26). Los hechos ocurridos con anterioridad a esa fecha  serán  tomados</w:t>
        <w:br/>
        <w:t>en cuenta como antecedentes del caso, respecto de los cuales esta  Corte  no</w:t>
        <w:br/>
        <w:t>puede  determinar  consecuencias  jurídicas  en  relación  con  la   alegada</w:t>
        <w:br/>
        <w:t>responsabilidad internacional del Estado.</w:t>
        <w:br/>
        <w:br/>
        <w:t>A) Argumentos de la Comisión Interamericana y alegatos de las partes</w:t>
        <w:br/>
        <w:br/>
        <w:t>La Comisión indicó que el Estado es responsable  por  la  violación  de  los</w:t>
        <w:br/>
        <w:t>artículos 8 y 25 de la Convención, en perjuicio de Edgar Fernando  García  y</w:t>
        <w:br/>
        <w:t>de  sus  familiares,  al  no  llevar  a  cabo  “una  investigación  seria  y</w:t>
        <w:br/>
        <w:t>diligente, en un plazo razonable, ni asegur[ar] los derechos  a  la  verdad,</w:t>
        <w:br/>
        <w:t>justicia y reparación de sus familiares”. Además, señaló que, con motivo  de</w:t>
        <w:br/>
        <w:t>la  desaparición  de  la  víctima,  se  interpusieron  varios  recursos   de</w:t>
        <w:br/>
        <w:t>exhibición personal, sobre los cuales no se obtuvo respuesta y, a  pesar  de</w:t>
        <w:br/>
        <w:t>que los  familiares  “asumieron  el  riesgo  de  denunciar  formalmente  los</w:t>
        <w:br/>
        <w:t>hechos, ello no dio lugar a acciones serias por  parte  de  las  autoridades</w:t>
        <w:br/>
        <w:t>judiciales”.  Asimismo,  en  relación  con  el  procedimiento  especial   de</w:t>
        <w:br/>
        <w:t>averiguación, indicó que  “las  autoridades  estatales  involucradas  en  el</w:t>
        <w:br/>
        <w:t>proceso no realizaron acciones dirigidas  a  lograr  la  efectividad  de  la</w:t>
        <w:br/>
        <w:t>acción judicial”. A su vez, la Comisión reconoció que el presente  caso  “es</w:t>
        <w:br/>
        <w:t>excepcional en cuanto a los avances en la investigación y en la  sanción  de</w:t>
        <w:br/>
        <w:t>dos de los autores materiales de la detención  de  Edgar  Fernando  García”,</w:t>
        <w:br/>
        <w:t>sin embargo, resaltó que hasta el descubrimiento del  Archivo  Histórico  de</w:t>
        <w:br/>
        <w:t>la Policía, el caso permaneció en total impunidad.  Igualmente,  indicó  que</w:t>
        <w:br/>
        <w:t>aún se debe “determin[ar] quiénes son los  [demás]  responsables”,  teniendo</w:t>
        <w:br/>
        <w:t>en  cuenta  que  la  desaparición  de  Edgar  Fernando  García  “supuso   el</w:t>
        <w:br/>
        <w:t>involucramiento de una  serie  de  entidades  estatales  que  van  desde  la</w:t>
        <w:br/>
        <w:t>inteligencia militar del Estado Mayor Presidencial […]  hasta  elementos  de</w:t>
        <w:br/>
        <w:t>la Policía Nacional”.</w:t>
        <w:br/>
        <w:br/>
        <w:t>Los representantes alegaron que “por más de veintisiete […] años  el  Estado</w:t>
        <w:br/>
        <w:t>[…] ha negado toda información  que  logre  establecer  el  paradero  de  la</w:t>
        <w:br/>
        <w:t>víctima [al] negar  información  oficial  y  no  permitir  el  acceso  a  la</w:t>
        <w:br/>
        <w:t>justicia”. Señalaron que los recursos de  exhibición  personal  interpuestos</w:t>
        <w:br/>
        <w:t>por los familiares eran declarados improcedentes “prácticamente  al  momento</w:t>
        <w:br/>
        <w:t>[de ser interpuestos]” y “no  derivaron  en  una  investigación  debidamente</w:t>
        <w:br/>
        <w:t>conducida”.  Según  los  representantes,  el  Estado   “incumplió   con   la</w:t>
        <w:br/>
        <w:t>obligación de suministrar un recurso judicial sencillo, rápido y efectivo  a</w:t>
        <w:br/>
        <w:t>los familiares de la víctima […] que se consumó tanto por comisión como  por</w:t>
        <w:br/>
        <w:t>omisión”, “al abstenerse de recibir denuncias, al no iniciar  de  oficio  la</w:t>
        <w:br/>
        <w:t>investigación de los hechos, al denegar la justicia  a  los  denunciantes  o</w:t>
        <w:br/>
        <w:t>interponente[s] de  habeas  corpus”.  Destacaron  que  la  investigación  ha</w:t>
        <w:br/>
        <w:t>sobrepasado el plazo razonable, al punto que “Alejandra García [quien  tenía</w:t>
        <w:br/>
        <w:t>un año al inicio de la  desaparición…]  le  dio  tiempo  de  graduarse  como</w:t>
        <w:br/>
        <w:t>abogada de la universidad y ella  misma  ser  la  abogada”  que  actuó  como</w:t>
        <w:br/>
        <w:t>querellante en el proceso penal interno por la  desaparición  de  su  padre.</w:t>
        <w:br/>
        <w:t>Resaltaron que el Estado no ha  sancionado  a  “los  autores  intelectuales,</w:t>
        <w:br/>
        <w:t>cómplices y encubridores  del  delito  de  desaparición  forzada”  de  Edgar</w:t>
        <w:br/>
        <w:t>Fernando García. Finalmente, alegaron que el Estado violó el artículo  2  de</w:t>
        <w:br/>
        <w:t>la Convención “al no legislar para crear instrumentos legales que  faciliten</w:t>
        <w:br/>
        <w:t>la búsqueda de personas desaparecidas forzadamente”,  pues  “[h]a  retardado</w:t>
        <w:br/>
        <w:t>la  aprobación  de  la  iniciativa  de  ley  35-90  impulsada   por   varias</w:t>
        <w:br/>
        <w:t>organizaciones sociales, [para crear una Comisión Nacional  de  Búsqueda  de</w:t>
        <w:br/>
        <w:t>Personas Desaparecidas]”.</w:t>
        <w:br/>
        <w:br/>
        <w:t>El Estado aceptó parcialmente su responsabilidad por  la  violación  de  los</w:t>
        <w:br/>
        <w:t>artículos 8 y 25 de la Convención. Indicó que “las  acciones  estatales  […]</w:t>
        <w:br/>
        <w:t>deben analizarse a la luz de la complejidad del desarrollo de los  hechos  y</w:t>
        <w:br/>
        <w:t>las dificultades con las que se han enfrentado las autoridades para  cumplir</w:t>
        <w:br/>
        <w:t>su función”. Señaló que “consciente de  la  grave  situación  vivida  en  el</w:t>
        <w:br/>
        <w:t>país” llevó a cabo diversas  acciones  para  cumplir  con  sus  obligaciones</w:t>
        <w:br/>
        <w:t>internacionales, tales  como  la  creación  del  procedimiento  especial  de</w:t>
        <w:br/>
        <w:t>averiguación y la inclusión del delito de desaparición forzada en el  Código</w:t>
        <w:br/>
        <w:t>Penal. Indicó que, “a pesar [de estos]  insumos  legales  […]  la  actividad</w:t>
        <w:br/>
        <w:t>procesal de los interesados fue retomada hasta 1997”, luego de dos  recursos</w:t>
        <w:br/>
        <w:t>de exhibición personal interpuestos en 1984.  Alegó  que  ha  realizado  las</w:t>
        <w:br/>
        <w:t>“diligencias necesarias” para investigar e identificar  a  los  responsables</w:t>
        <w:br/>
        <w:t>de la desaparición forzada de Edgar Fernando García, ya que a partir de  los</w:t>
        <w:br/>
        <w:t>recursos  de  exhibición  personal  interpuestos  en  1997,  “se  inició  un</w:t>
        <w:br/>
        <w:t>procedimiento especial de averiguación […], el cual  permitió  concluir  con</w:t>
        <w:br/>
        <w:t>una acusación debidamente fundamentada en contra de agentes  de  la  antigua</w:t>
        <w:br/>
        <w:t>Policía Nacional”. Además, destacó que, “aunque no  fue  el  Estado  el  que</w:t>
        <w:br/>
        <w:t>divulgó” el Diario Militar “se han realizado  considerables  esfuerzos  para</w:t>
        <w:br/>
        <w:t>demostrar [su] autenticidad”. Asimismo, resaltó que el Archivo Histórico  de</w:t>
        <w:br/>
        <w:t>la Policía Nacional fue  divulgado  por  la  Procuraduría  de  los  Derechos</w:t>
        <w:br/>
        <w:t>Humanos, lo cual demuestra “la importancia de los esfuerzos  estatales  para</w:t>
        <w:br/>
        <w:t>recuperar la memoria histórica del país y con  ello  el  esclarecimiento  de</w:t>
        <w:br/>
        <w:t>los hechos”. Por otra parte, el  Estado  indicó  que  se  han  dado  avances</w:t>
        <w:br/>
        <w:t>notables para el procesamiento de los posibles autores intelectuales de  los</w:t>
        <w:br/>
        <w:t>hechos e informó que “quienes fungían como Director del Cuarto Cuerpo de  la</w:t>
        <w:br/>
        <w:t>Policía Nacional y  Director  General  de  dicha  institución”,  actualmente</w:t>
        <w:br/>
        <w:t>están siendo procesados.</w:t>
        <w:br/>
        <w:br/>
        <w:t xml:space="preserve">            B) Consideraciones de la Corte</w:t>
        <w:br/>
        <w:br/>
        <w:t>La Corte recuerda que desde el inicio  de  la  desaparición  forzada  de  la</w:t>
        <w:br/>
        <w:t>víctima se han interpuesto múltiples recursos de exhibición  personal  y  se</w:t>
        <w:br/>
        <w:t>han desarrollado distintos procesos  destinados  al  esclarecimiento  de  lo</w:t>
        <w:br/>
        <w:t>ocurrido  a  Edgar  Fernando  García.  Luego  del   reconocimiento   de   la</w:t>
        <w:br/>
        <w:t>competencia de  la  Corte,  se  denunciaron  los  hechos  ante  la  PDH,  se</w:t>
        <w:br/>
        <w:t>interpusieron  tres  recursos  de  exhibición  personal  y  se   inició   un</w:t>
        <w:br/>
        <w:t>procedimiento de averiguación especial ante la Corte Suprema de  Justicia  a</w:t>
        <w:br/>
        <w:t>cargo de la PDH. En 2009, luego del descubrimiento del Archivo Histórico  de</w:t>
        <w:br/>
        <w:t>la Policía Nacional, el Ministerio Público acusó formalmente a  dos  autores</w:t>
        <w:br/>
        <w:t>materiales de la desaparición  de  Edgar  Fernando  García,  quienes  fueron</w:t>
        <w:br/>
        <w:t>condenados en octubre de 2010, mediante sentencia  que  se  encuentra  firme</w:t>
        <w:br/>
        <w:t>actualmente. Además, a partir de la información que apareció en  el  Archivo</w:t>
        <w:br/>
        <w:t>Histórico de la Policía, también  se  identificaron  a  otras  dos  personas</w:t>
        <w:br/>
        <w:t>señaladas como presuntos autores materiales, quienes se encuentran  prófugos</w:t>
        <w:br/>
        <w:t>de la justicia desde 2009[189] y otras dos personas que han  sido  señaladas</w:t>
        <w:br/>
        <w:t>como  presuntos  autores  intelectuales,  quienes  están  siendo  procesados</w:t>
        <w:br/>
        <w:t>actualmente[190], sin que el Tribunal conozca el  Estado  exacto  de  dichos</w:t>
        <w:br/>
        <w:t>procesos.</w:t>
        <w:br/>
        <w:br/>
        <w:t>La Corte  recuerda  que,  en  virtud  de  la  protección  otorgada  por  los</w:t>
        <w:br/>
        <w:t>artículos  8  y  25  de  la  Convención,  los  Estados  están  obligados   a</w:t>
        <w:br/>
        <w:t>suministrar recursos judiciales efectivos a las víctimas de  violaciones  de</w:t>
        <w:br/>
        <w:t>los derechos humanos, que deben ser  sustanciados  de  conformidad  con  las</w:t>
        <w:br/>
        <w:t>reglas del debido proceso legal[191]. Asimismo, el Tribunal ha señalado  que</w:t>
        <w:br/>
        <w:t>el derecho de acceso a la justicia debe asegurar, en  tiempo  razonable,  el</w:t>
        <w:br/>
        <w:t>derecho de las presuntas víctimas o sus familiares a que  se  haga  todo  lo</w:t>
        <w:br/>
        <w:t>necesario para conocer la  verdad  de  lo  sucedido  y  se  sancione  a  los</w:t>
        <w:br/>
        <w:t>eventuales responsables[192].</w:t>
        <w:br/>
        <w:br/>
        <w:t>La obligación de investigar violaciones de derechos humanos es  una  de  las</w:t>
        <w:br/>
        <w:t>medidas  positivas  que  deben  adoptar  los  Estados  para  garantizar  los</w:t>
        <w:br/>
        <w:t>derechos reconocidos  en  la  Convención[193].  Además,  resulta  pertinente</w:t>
        <w:br/>
        <w:t>recordar que la práctica sistemática de la desaparición  forzada  supone  el</w:t>
        <w:br/>
        <w:t>desconocimiento  del  deber  de  organizar  el  aparato  del   Estado   para</w:t>
        <w:br/>
        <w:t>garantizar los derechos reconocidos en la Convención, lo cual reproduce  las</w:t>
        <w:br/>
        <w:t>condiciones  de  impunidad  para  que  este  tipo  de   hechos   vuelvan   a</w:t>
        <w:br/>
        <w:t>repetirse[194]. De ahí,  la  importancia  de  que  aquél  adopte  todas  las</w:t>
        <w:br/>
        <w:t>medidas  necesarias  para  investigar  y,  en  su  caso,  sancionar  a   los</w:t>
        <w:br/>
        <w:t>responsables; establecer la verdad de lo sucedido; localizar el paradero  de</w:t>
        <w:br/>
        <w:t>las  víctimas  e  informar  a  los  familiares  sobre  el  mismo;  así  como</w:t>
        <w:br/>
        <w:t>repararlos justa y adecuadamente en su caso[195].</w:t>
        <w:br/>
        <w:br/>
        <w:t>La Corte recuerda que, al ser la prohibición  de  desaparición  forzada  una</w:t>
        <w:br/>
        <w:t>norma  con  el  carácter  de  jus  cogens,  la  correlativa  obligación   de</w:t>
        <w:br/>
        <w:t>investigar, y en su caso enjuiciar y sancionar a sus responsables,  adquiere</w:t>
        <w:br/>
        <w:t>particular  intensidad  e  importancia  ante  la  gravedad  de  los  delitos</w:t>
        <w:br/>
        <w:t>cometidos y la naturaleza de los derechos lesionados[196] (supra párr.  96).</w:t>
        <w:br/>
        <w:br/>
        <w:br/>
        <w:t>La Corte ha establecido que el deber de  investigar  es  una  obligación  de</w:t>
        <w:br/>
        <w:t>medio y no de resultado, que debe ser asumida por el Estado  como  un  deber</w:t>
        <w:br/>
        <w:t>jurídico propio y no como una simple formalidad condenada de antemano a  ser</w:t>
        <w:br/>
        <w:t>infructuosa, o como una mera gestión de intereses particulares, que  dependa</w:t>
        <w:br/>
        <w:t>de la iniciativa procesal de las víctimas  o  de  sus  familiares  o  de  la</w:t>
        <w:br/>
        <w:t>aportación privada de elementos probatorios[197]. La obligación  del  Estado</w:t>
        <w:br/>
        <w:t>de investigar debe cumplirse diligentemente para evitar la impunidad  y  que</w:t>
        <w:br/>
        <w:t>este tipo de hechos vuelvan a repetirse. En este sentido, la Corte  recuerda</w:t>
        <w:br/>
        <w:t>que la impunidad fomenta  la  repetición  de  las  violaciones  de  derechos</w:t>
        <w:br/>
        <w:t>humanos[198].</w:t>
        <w:br/>
        <w:br/>
        <w:t>Conforme a la  jurisprudencia  de  este  Tribunal,  los  familiares  de  las</w:t>
        <w:br/>
        <w:t>víctimas tienen el derecho, y los Estados la obligación, a que  lo  sucedido</w:t>
        <w:br/>
        <w:t>a éstas sea efectivamente investigado por las  autoridades  del  Estado;  se</w:t>
        <w:br/>
        <w:t>siga un proceso contra los presuntos responsables de estos ilícitos;  en  su</w:t>
        <w:br/>
        <w:t>caso, se les impongan las sanciones pertinentes, y se reparen  los  daños  y</w:t>
        <w:br/>
        <w:t>perjuicios que dichos  familiares  han  sufrido[199].  Además,  el  Tribunal</w:t>
        <w:br/>
        <w:t>reitera que, tratándose de una desaparición forzada, entre  cuyos  objetivos</w:t>
        <w:br/>
        <w:t>está impedir el ejercicio  de  los  recursos  legales  y  de  las  garantías</w:t>
        <w:br/>
        <w:t>procesales pertinentes, si la víctima misma no puede acceder a los  recursos</w:t>
        <w:br/>
        <w:t>disponibles,  resulta  fundamental  que  los  familiares  u  otras  personas</w:t>
        <w:br/>
        <w:t>allegadas puedan acceder a procedimientos o recursos  judiciales  rápidos  y</w:t>
        <w:br/>
        <w:t>eficaces como medio para determinar su paradero o  su  estado  de  salud,  o</w:t>
        <w:br/>
        <w:t>para individualizar a la autoridad que ordenó la privación de libertad o  la</w:t>
        <w:br/>
        <w:t>hizo efectiva[200].</w:t>
        <w:br/>
        <w:br/>
        <w:t>Además,  la  investigación  tendrá  ciertas  connotaciones  específicas  que</w:t>
        <w:br/>
        <w:t>surgen de la propia naturaleza y complejidad del fenómeno investigado,  esto</w:t>
        <w:br/>
        <w:t>es que, adicionalmente, la investigación  debe  incluir  la  realización  de</w:t>
        <w:br/>
        <w:t>todas las acciones necesarias con  el  objeto  de  determinar  la  suerte  o</w:t>
        <w:br/>
        <w:t>destino de la víctima y la localización de su paradero[201]. El Tribunal  ya</w:t>
        <w:br/>
        <w:t>ha aclarado que el deber de investigar hechos de  esta  naturaleza  subsiste</w:t>
        <w:br/>
        <w:t>mientras se mantenga la incertidumbre sobre la suerte final  de  la  persona</w:t>
        <w:br/>
        <w:t>desaparecida, pues el derecho de los familiares de  la  víctima  de  conocer</w:t>
        <w:br/>
        <w:t>cuál fue el destino de ésta y, en su caso, dónde se encuentran  sus  restos,</w:t>
        <w:br/>
        <w:t>representa una justa expectativa que el Estado  debe  satisfacer  con  todos</w:t>
        <w:br/>
        <w:t>los medios a su alcance[202].</w:t>
        <w:br/>
        <w:br/>
        <w:t>La Corte ha resaltado que los  bienes  jurídicos  sobre  los  que  recae  la</w:t>
        <w:br/>
        <w:t>investigación de una desaparición forzada obligan a  redoblar  esfuerzos  en</w:t>
        <w:br/>
        <w:t>las medidas que deban practicarse para cumplir su  objetivo,  pues  el  paso</w:t>
        <w:br/>
        <w:t>del tiempo guarda una relación directamente proporcional con  la  limitación</w:t>
        <w:br/>
        <w:t>–y en  algunos  casos,  la  imposibilidad-  para  obtener  las  pruebas  y/o</w:t>
        <w:br/>
        <w:t>testimonios, dificultando y aún tornando nugatoria o ineficaz,  la  práctica</w:t>
        <w:br/>
        <w:t>de diligencias probatorias  a  fin  de  esclarecer  los  hechos  materia  de</w:t>
        <w:br/>
        <w:t>investigación,  identificar  a  los  posibles  autores   y   partícipes,   y</w:t>
        <w:br/>
        <w:t>determinar las eventuales responsabilidades penales[203].  La  investigación</w:t>
        <w:br/>
        <w:t>debe ser realizada por todos los medios legales disponibles  y  orientada  a</w:t>
        <w:br/>
        <w:t>la determinación de la verdad y la persecución, captura,  enjuiciamiento  y,</w:t>
        <w:br/>
        <w:t>eventual, castigo de todos los responsables intelectuales  y  materiales  de</w:t>
        <w:br/>
        <w:t>los hechos, especialmente cuando están involucrados agentes estatales[204].</w:t>
        <w:br/>
        <w:br/>
        <w:t>Además, la Corte recuerda que la obligación de investigar, juzgar y,  en  su</w:t>
        <w:br/>
        <w:t>caso, sancionar a los responsables de hechos  violatorios  de  los  derechos</w:t>
        <w:br/>
        <w:t>humanos, en determinadas circunstancias y dependiendo de  la  naturaleza  de</w:t>
        <w:br/>
        <w:t>los hechos, también se desprende de otros instrumentos  interamericanos  que</w:t>
        <w:br/>
        <w:t>establecen la obligación a cargo de los Estados  Partes  de  investigar  las</w:t>
        <w:br/>
        <w:t>conductas prohibidas por tales tratados[205]. En  relación  con  los  hechos</w:t>
        <w:br/>
        <w:t>del presente caso, el artículo I.b) de la  Convención  Interamericana  sobre</w:t>
        <w:br/>
        <w:t>Desaparición Forzada impone a los Estados el deber  de  “[s]ancionar  en  el</w:t>
        <w:br/>
        <w:t>ámbito de su jurisdicción  a  los  autores,  cómplices  y  encubridores  del</w:t>
        <w:br/>
        <w:t>delito de desaparición  forzada  de  personas,  así  como  la  tentativa  de</w:t>
        <w:br/>
        <w:t>comisión del mismo”. Por lo tanto, conforme  a  la  jurisprudencia  de  este</w:t>
        <w:br/>
        <w:t>Tribunal, en casos de desaparición forzada, la obligación de los Estados  de</w:t>
        <w:br/>
        <w:t>iniciar  de  oficio  una  investigación  también  se  deriva  del   referido</w:t>
        <w:br/>
        <w:t>instrumento  para  los  Estados  parte  de  dicha   convención[206].   Estas</w:t>
        <w:br/>
        <w:t>obligaciones específicas son exigibles al Estado a partir  de  la  fecha  de</w:t>
        <w:br/>
        <w:t>depósito de su instrumento de ratificación (supra párr. 25), aún  cuando  no</w:t>
        <w:br/>
        <w:t>estuviera vigente al momento del inicio  de  ejecución  de  la  desaparición</w:t>
        <w:br/>
        <w:t>forzada[207].</w:t>
        <w:br/>
        <w:br/>
        <w:t>Teniendo en cuenta los criterios anteriores,  en  el  presente  capítulo  el</w:t>
        <w:br/>
        <w:t>Tribunal analizará la obligación del Estado de  realizar  una  investigación</w:t>
        <w:br/>
        <w:t>de  oficio,  la  efectividad  de  los  recursos   de   exhibición   personal</w:t>
        <w:br/>
        <w:t>interpuestos en 1997  y  del  procedimiento  de  averiguación  especial,  la</w:t>
        <w:br/>
        <w:t>debida diligencia y el cumplimiento del principio  del  plazo  razonable  en</w:t>
        <w:br/>
        <w:t>las investigaciones desarrolladas por  la  desaparición  de  Edgar  Fernando</w:t>
        <w:br/>
        <w:t>García.</w:t>
        <w:br/>
        <w:br/>
        <w:t xml:space="preserve">      1. Obligación de iniciar una investigación de oficio</w:t>
        <w:br/>
        <w:br/>
        <w:t>El  Tribunal  recuerda  que  toda  vez  que  haya  motivos  razonables  para</w:t>
        <w:br/>
        <w:t>sospechar que una persona ha  sido  sometida  a  desaparición  forzada  debe</w:t>
        <w:br/>
        <w:t>iniciarse una investigación ex oficio, sin dilación, y de una manera  seria,</w:t>
        <w:br/>
        <w:t>imparcial y efectiva[208]. Este Tribunal ha indicado que  es  imprescindible</w:t>
        <w:br/>
        <w:t>la  actuación  pronta  e  inmediata  de  las  autoridades  ministeriales   y</w:t>
        <w:br/>
        <w:t>judiciales  ordenando  medidas  oportunas  y  necesarias  dirigidas   a   la</w:t>
        <w:br/>
        <w:t>determinación del paradero de la víctima o el lugar donde pueda  encontrarse</w:t>
        <w:br/>
        <w:t>privada de  libertad[209].  Esta  obligación  es  independiente  de  que  se</w:t>
        <w:br/>
        <w:t>presente una denuncia, pues en casos  de  desaparición  forzada  el  derecho</w:t>
        <w:br/>
        <w:t>internacional y el deber general  de  garantía,  imponen  la  obligación  de</w:t>
        <w:br/>
        <w:t>investigar el caso  ex  officio,  sin  dilación,  y  de  una  manera  seria,</w:t>
        <w:br/>
        <w:t>imparcial y efectiva[210], de modo tal  que  no  dependa  de  la  iniciativa</w:t>
        <w:br/>
        <w:t>procesal de la víctima o de sus familiares o de  la  aportación  privada  de</w:t>
        <w:br/>
        <w:t>elementos probatorios[211].  En  cualquier  caso,  toda  autoridad  estatal,</w:t>
        <w:br/>
        <w:t>funcionario  público  o  particular  que  haya  tenido  noticia   de   actos</w:t>
        <w:br/>
        <w:t>destinados  a  la  desaparición  forzada  de  personas,  deberá  denunciarlo</w:t>
        <w:br/>
        <w:t>inmediatamente[212].</w:t>
        <w:br/>
        <w:br/>
        <w:t>La Corte observa que, al inicio  de  la  desaparición,  los  familiares  del</w:t>
        <w:br/>
        <w:t>señor Edgar Fernando García interpusieron múltiples recursos  de  exhibición</w:t>
        <w:br/>
        <w:t>personal, realizaron denuncias públicas en periódicos y mediante  ruedas  de</w:t>
        <w:br/>
        <w:t>prensa, se reunieron con  altas  autoridades  del  gobierno  como  el  Vice-</w:t>
        <w:br/>
        <w:t>Ministro de la Defensa Nacional y el entonces Jefe  de  Estado.  Además,  lo</w:t>
        <w:br/>
        <w:t>buscaron  activamente  en   centros   oficiales   de   detención,   morgues,</w:t>
        <w:br/>
        <w:t>hospitales, “manicomios” y cementerios, entre otros  lugares  (supra  párrs.</w:t>
        <w:br/>
        <w:t>69 a 73). Las respuestas a todas estas acciones de  los  familiares  fue  la</w:t>
        <w:br/>
        <w:t>negativa de las autoridades a reconocer la detención del señor García  y  el</w:t>
        <w:br/>
        <w:t>fracaso en la obtención de su  libertad.  Aún  cuando,  por  motivos  de  su</w:t>
        <w:br/>
        <w:t>competencia ratione  temporis,  la  Corte  no  puede  derivar  consecuencias</w:t>
        <w:br/>
        <w:t>jurídicas de las acciones del Estado anteriores a  marzo  de  1987,  resulta</w:t>
        <w:br/>
        <w:t>indispensable señalar que las omisiones en  que  hubieran  incurrido  dichas</w:t>
        <w:br/>
        <w:t>autoridades condicionan o limitan las  posteriores  investigaciones  de  los</w:t>
        <w:br/>
        <w:t>hechos.</w:t>
        <w:br/>
        <w:br/>
        <w:t>Con posterioridad al reconocimiento  de  la  competencia  de  la  Corte,  la</w:t>
        <w:br/>
        <w:t>esposa del señor García denunció su desaparición ante la PDH en  1988  y  en</w:t>
        <w:br/>
        <w:t>1997, por medio de  sus  representantes,  se  intentaron  tres  recursos  de</w:t>
        <w:br/>
        <w:t>exhibición personal. Ante la ausencia de resultados, en  noviembre  de  1997</w:t>
        <w:br/>
        <w:t>los  representantes  solicitaron  la  apertura  de   un   procedimiento   de</w:t>
        <w:br/>
        <w:t>averiguación especial ante la Corte Suprema de Justicia[213].  A  partir  de</w:t>
        <w:br/>
        <w:t>1999 se iniciaron algunas diligencias investigativas, primero por parte  del</w:t>
        <w:br/>
        <w:t>Ministerio Público, quien fue intimado por la Corte Suprema  conforme  a  la</w:t>
        <w:br/>
        <w:t>normativa procesal penal aplicable y luego por la Procuraduría  de  Derechos</w:t>
        <w:br/>
        <w:t>Humanos, quien fue encargada del procedimiento de averiguación especial.  No</w:t>
        <w:br/>
        <w:t>obstante, dichas investigaciones no avanzaron hasta el  descubrimiento,  por</w:t>
        <w:br/>
        <w:t>accidente, del Archivo Histórico de la Policía en  2005  (supra  párr.  60).</w:t>
        <w:br/>
        <w:t>Además de las acciones y  recursos  impulsados  por  los  familiares  de  la</w:t>
        <w:br/>
        <w:t>víctima, el Tribunal resalta  que  desde  febrero  de  1999,  la  CEH  había</w:t>
        <w:br/>
        <w:t>concluido en su informe final que Edgar Fernando García  había  sido  objeto</w:t>
        <w:br/>
        <w:t>de  desaparición  forzada  “por  efectivos  de  la  Brigada  de  Operaciones</w:t>
        <w:br/>
        <w:t>Especiales (BROE) de la Policía  Nacional”[214].  Luego,  en  mayo  de  1999</w:t>
        <w:br/>
        <w:t>apareció el Diario Militar, el cual ha sido  reconocido  como  un  documento</w:t>
        <w:br/>
        <w:t>auténtico  de  inteligencia  militar,  donde  se  hace   referencia   a   la</w:t>
        <w:br/>
        <w:t>desaparición del señor García y, de acuerdo a los peritos que han  estudiado</w:t>
        <w:br/>
        <w:t>el documento, se revela “que fu[e] sujet[o] a una intensiva  vigilancia  del</w:t>
        <w:br/>
        <w:t>Ejército y la  Policía  […  lo  cual,  junto  a  documentos  desclasificados</w:t>
        <w:br/>
        <w:t>estadounidenses revela que su desaparición  formaba  parte]  de  la  campaña</w:t>
        <w:br/>
        <w:t>gubernamental [para] desmantelar al movimiento sindical en  Guatemala”[215].</w:t>
        <w:br/>
        <w:br/>
        <w:br/>
        <w:t>La Corte considera que en el presente caso está  demostrado  que  el  Estado</w:t>
        <w:br/>
        <w:t>tuvo conocimiento de la desaparición de Edgar Fernando García desde 1984,  a</w:t>
        <w:br/>
        <w:t>pesar de lo cual no actuó de manera consecuente  con  su  deber  de  iniciar</w:t>
        <w:br/>
        <w:t>inmediatamente una  investigación  seria,  diligente  y  exhaustiva.  De  la</w:t>
        <w:br/>
        <w:t>información aportada al expediente, no existe evidencia de que, más allá  de</w:t>
        <w:br/>
        <w:t>las respuestas y verificaciones formales en relación  con  los  recursos  de</w:t>
        <w:br/>
        <w:t>exhibición  personal  y  solicitudes  de  información  presentadas  por  los</w:t>
        <w:br/>
        <w:t>familiares, se hubiera realizado alguna diligencia  de  investigación  o  de</w:t>
        <w:br/>
        <w:t>búsqueda del señor García hasta 1999, cuando  la  Corte  Suprema  intimó  al</w:t>
        <w:br/>
        <w:t>Ministerio  Público   para   que   investigara   lo   denunciado   por   los</w:t>
        <w:br/>
        <w:t>representantes (supra párr. 75). Por tanto, el Tribunal considera  que,  aún</w:t>
        <w:br/>
        <w:t>frente a  la  interposición  formal  de  recursos  judiciales,  denuncias  o</w:t>
        <w:br/>
        <w:t>pronunciamientos  oficiales,  el  Estado  no  inició  una  investigación  ex</w:t>
        <w:br/>
        <w:t>officio para determinar el paradero de Edgar Fernando García, esclarecer  lo</w:t>
        <w:br/>
        <w:t>sucedido y, en su caso, identificar, juzgar y sancionar a los  responsables.</w:t>
        <w:br/>
        <w:br/>
        <w:br/>
        <w:t xml:space="preserve">      2. Efectividad del recurso de exhibición personal y del procedimiento</w:t>
        <w:br/>
        <w:t xml:space="preserve">      de averiguación especial</w:t>
        <w:br/>
        <w:br/>
        <w:t>Por otra parte, este Tribunal ha establecido que para que el  Estado  cumpla</w:t>
        <w:br/>
        <w:t>lo dispuesto en el artículo 25  de  la  Convención  no  basta  con  que  los</w:t>
        <w:br/>
        <w:t>recursos estén previstos por la  Constitución  o  la  ley  o  con  que  sean</w:t>
        <w:br/>
        <w:t>formalmente admisibles, sino que es preciso que tengan  efectividad  en  los</w:t>
        <w:br/>
        <w:t>términos de aquel precepto[216]. Dicha efectividad supone que, además de  la</w:t>
        <w:br/>
        <w:t>existencia formal de los recursos, éstos den resultados o respuestas  a  las</w:t>
        <w:br/>
        <w:t>violaciones de derechos[217], lo cual implica  que  el  recurso  sea  idóneo</w:t>
        <w:br/>
        <w:t>para combatir la  violación,  y  que  sea  efectiva  su  aplicación  por  la</w:t>
        <w:br/>
        <w:t>autoridad competente[218]. En particular, el  recurso  de  habeas  corpus  o</w:t>
        <w:br/>
        <w:t>exhibición personal ha sido  considerado  por  el  Tribunal  como  el  medio</w:t>
        <w:br/>
        <w:t>idóneo para garantizar la  libertad,  controlar  el  respeto  a  la  vida  e</w:t>
        <w:br/>
        <w:t>integridad de la persona, e impedir su desaparición o la indeterminación  de</w:t>
        <w:br/>
        <w:t>su lugar de detención[219]. No obstante, no  pueden  considerarse  efectivos</w:t>
        <w:br/>
        <w:t>aquellos recursos que, por las condiciones generales del país o incluso  por</w:t>
        <w:br/>
        <w:t>las circunstancias particulares de un caso dado, resulten ilusorios[220].</w:t>
        <w:br/>
        <w:br/>
        <w:t>El  Tribunal  observa  que  en   el   presente   caso   los   representantes</w:t>
        <w:br/>
        <w:t>interpusieron tres recursos de exhibición personal a favor del señor  García</w:t>
        <w:br/>
        <w:t>en 1997. De la información aportada a la Corte, se observa que  en  repuesta</w:t>
        <w:br/>
        <w:t>a dichos recursos  las  autoridades  judiciales  solicitaron  información  a</w:t>
        <w:br/>
        <w:t>algunos organismos de seguridad del Estado, tales como el Ministerio  de  la</w:t>
        <w:br/>
        <w:t>Defensa Nacional, la Dirección General de la Policía Nacional y  la  Guardia</w:t>
        <w:br/>
        <w:t>de Hacienda, así como realizaron verificaciones y registros en un centro  de</w:t>
        <w:br/>
        <w:t>detención y en el Cuartel General  del  Ejército.  Todas  estas  diligencias</w:t>
        <w:br/>
        <w:t>tuvieron resultados negativos (supra párr. 74).  El  Tribunal  recuerda  que</w:t>
        <w:br/>
        <w:t>uno  de  los  elementos  característicos  de  una  desaparición  forzada  es</w:t>
        <w:br/>
        <w:t>precisamente “la negativa de reconocer la detención y de revelar  la  suerte</w:t>
        <w:br/>
        <w:t>o el paradero de la persona interesada” (supra párr. 97),  por  lo  cual  no</w:t>
        <w:br/>
        <w:t>resulta razonable o diligente ni constituye  un  recurso  efectivo  la  mera</w:t>
        <w:br/>
        <w:t>verificación formal  con  los  registros  oficiales  de  detenidos  como  la</w:t>
        <w:br/>
        <w:t>ocurrida en el presente caso, o la aceptación como verdadera de la  negación</w:t>
        <w:br/>
        <w:t>de  la  detención  por  los  presuntos  responsables  sin  una  verificación</w:t>
        <w:br/>
        <w:t>objetiva, imparcial e independiente de la misma.  Además,  debe  tenerse  en</w:t>
        <w:br/>
        <w:t>cuenta el  contexto  en  que  fue  cometida  la  presunta  detención  y  las</w:t>
        <w:br/>
        <w:t>características de la misma,  por  lo  cual  no  resulta  efectivo  la  mera</w:t>
        <w:br/>
        <w:t>revisión a “viva voz” de las personas detenidas en un  centro  de  detención</w:t>
        <w:br/>
        <w:t>seleccionado  al  azar,  más  de  10  años  después  de  la  fecha  en   que</w:t>
        <w:br/>
        <w:t>presuntamente  ocurrió  la  detención[221].  En  la  investigación  de   una</w:t>
        <w:br/>
        <w:t>presunta desaparición forzada  las  autoridades  estatales  deben  tomar  en</w:t>
        <w:br/>
        <w:t>cuenta los elementos característicos de este tipo de delito[222],  así  como</w:t>
        <w:br/>
        <w:t>el contexto en que ocurrieron los hechos y sus características.</w:t>
        <w:br/>
        <w:br/>
        <w:t>Por otra parte, la Corte observa que el ordenamiento  jurídico  guatemalteco</w:t>
        <w:br/>
        <w:t>prevé  el  procedimiento  de  averiguación  especial  cuando   “se   hubiere</w:t>
        <w:br/>
        <w:t>interpuesto un recurso de exhibición personal, sin hallar  a  la  persona  a</w:t>
        <w:br/>
        <w:t>cuyo favor se solicitó y existieron motivos  de  sospecha  suficientes  para</w:t>
        <w:br/>
        <w:t>afirmar que ella ha sido detenida  o  mantenida  ilegalmente  en  detención”</w:t>
        <w:br/>
        <w:t>(supra nota 213), lo cual fue precisamente lo que  ocurrió  en  el  presente</w:t>
        <w:br/>
        <w:t>caso. Sin embargo, el Tribunal nota que dicho procedimiento tampoco  resultó</w:t>
        <w:br/>
        <w:t>efectivo. En efecto, en  el  marco  de  dicho  procedimiento  se  intimó  al</w:t>
        <w:br/>
        <w:t>Ministerio Público para que éste investigase sobre la  detención  del  señor</w:t>
        <w:br/>
        <w:t>García y nuevamente las autoridades estatales no  desarrollaron  acciones  o</w:t>
        <w:br/>
        <w:t>diligencias  adecuadas  para  garantizar  la  efectividad  de  los  recursos</w:t>
        <w:br/>
        <w:t>formalmente establecidos. En este sentido, de  la  información  aportada  se</w:t>
        <w:br/>
        <w:t>desprende que el Ministerio Público se limitó a entrevistar a la  madre  del</w:t>
        <w:br/>
        <w:t>señor García y a solicitar información a la Policía Nacional, la  cual  negó</w:t>
        <w:br/>
        <w:t>tener información correspondiente a 1984 y, en particular, en  relación  con</w:t>
        <w:br/>
        <w:t>un operativo del BROE el día de la detención de Edgar  Fernando  García[223]</w:t>
        <w:br/>
        <w:t>(supra párrs. 75 y 76). Posteriormente, dicho procedimiento de  averiguación</w:t>
        <w:br/>
        <w:t>especial fue encargado a la PDH, la cual no logró mayores avances  hasta  el</w:t>
        <w:br/>
        <w:t>descubrimiento fortuito del Archivo Histórico de la Policía en 2005.</w:t>
        <w:br/>
        <w:br/>
        <w:t>La Corte resalta que en el presente caso, la inefectividad de  la  forma  de</w:t>
        <w:br/>
        <w:t>tramitación de los recursos de exhibición personal y  del  procedimiento  de</w:t>
        <w:br/>
        <w:t>averiguación  especial  resulta  particularmente  evidente,  en  virtud  del</w:t>
        <w:br/>
        <w:t>descubrimiento del Diario Militar Archivo y  del  Histórico  de  la  Policía</w:t>
        <w:br/>
        <w:t>Nacional. A partir de los documentos, constancias  y  registros  encontrados</w:t>
        <w:br/>
        <w:t>en dicho Archivo se reveló que la  Policía  Nacional  sí  tenía  información</w:t>
        <w:br/>
        <w:t>sobre el operativo de detención del señor García, contrario a  lo  informado</w:t>
        <w:br/>
        <w:t>en respuesta a las solicitudes de información de las autoridades  judiciales</w:t>
        <w:br/>
        <w:t>y del Ministerio Público, frente a los recursos de exhibición personal y  en</w:t>
        <w:br/>
        <w:t>el procedimiento  de  averiguación  especial.  Asimismo,  la  aparición  del</w:t>
        <w:br/>
        <w:t>Diario Militar en 1999 también reveló  que  las  autoridades  militares  muy</w:t>
        <w:br/>
        <w:t>probablemente estaban al tanto de la detención del señor García, a pesar  de</w:t>
        <w:br/>
        <w:t>la negativa de su detención  que  fue  remitida  en  diciembre  de  1997  en</w:t>
        <w:br/>
        <w:t>respuesta al recurso de exhibición personal.</w:t>
        <w:br/>
        <w:br/>
        <w:t xml:space="preserve">            3. Debida diligencia en las investigaciones</w:t>
        <w:br/>
        <w:br/>
        <w:t>Respecto al procedimiento de averiguación especial, el Tribunal resalta  que</w:t>
        <w:br/>
        <w:t>el mismo fue solicitado en noviembre de 1997, se  tuvo  por  “planteado”  en</w:t>
        <w:br/>
        <w:t>febrero de 1998 y finalmente se declaró con lugar y  encargó  a  la  PDH  en</w:t>
        <w:br/>
        <w:t>abril de 1999 (supra párrs. 75 y 76 y nota 94). La Corte hace notar  que  no</w:t>
        <w:br/>
        <w:t>le fue aportada  información  precisa  y  detallada  sobre  las  diligencias</w:t>
        <w:br/>
        <w:t>realizadas por la PDH en cumplimiento de dicho  mandato[224],  pero  observa</w:t>
        <w:br/>
        <w:t>que del expediente ante la Corte  Suprema  de  Justicia  sobre  el  referido</w:t>
        <w:br/>
        <w:t>procedimiento se evidencian  largos  períodos  de  inactividad  y  múltiples</w:t>
        <w:br/>
        <w:t>solicitudes de prórroga (supra párr. 78),  sin  que  se  hubieran  reportado</w:t>
        <w:br/>
        <w:t>avances en la investigación hasta 2005 cuando apareció el Archivo  Histórico</w:t>
        <w:br/>
        <w:t>de la Policía. No obstante ello, observa que no fue sino hasta el  2009  que</w:t>
        <w:br/>
        <w:t>se identificó a cuatro presuntos autores materiales, se  expidieron  órdenes</w:t>
        <w:br/>
        <w:t>de captura en su contra y se formuló acusación formal en contra  de  dos  de</w:t>
        <w:br/>
        <w:t>ellos, a partir de la información encontrada en el Archivo Histórico  de  la</w:t>
        <w:br/>
        <w:t>Policía.</w:t>
        <w:br/>
        <w:br/>
        <w:t>Al respecto, el Tribunal advierte que las  partes  no  aportaron  copia  del</w:t>
        <w:br/>
        <w:t>expediente judicial de dicho proceso penal, sino  solamente  copias  de  los</w:t>
        <w:br/>
        <w:t>peritajes rendidos ante el  respectivo  juzgado  penal,  de  la  declaración</w:t>
        <w:br/>
        <w:t>grabada de Danilo Chinchilla Fuentes y de  las  correspondientes  sentencias</w:t>
        <w:br/>
        <w:t>de primera y segunda  instancia,  mediante  las  cuales  se  condena  a  los</w:t>
        <w:br/>
        <w:t>referidos dos autores  materiales  por  la  desaparición  forzada  de  Edgar</w:t>
        <w:br/>
        <w:t>Fernando García (supra párr. 81). La Corte valora altamente los avances  que</w:t>
        <w:br/>
        <w:t>se  han  logrado  en  la  identificación  y  sanción  de  algunos   de   los</w:t>
        <w:br/>
        <w:t>responsables en el presente caso, así como  toma  nota  de  las  diligencias</w:t>
        <w:br/>
        <w:t>realizadas por el  Ministerio  Público[225]  y  las  autoridades  judiciales</w:t>
        <w:br/>
        <w:t>guatemaltecas para la acusación  y  procesamiento  de  dos  de  los  autores</w:t>
        <w:br/>
        <w:t>materiales de los hechos. Asimismo,  el  Tribunal  toma  nota  del  esfuerzo</w:t>
        <w:br/>
        <w:t>realizado por el Estado para verificar la autenticidad del  Diario  Militar,</w:t>
        <w:br/>
        <w:t>así como la labor de sistematización, registro  y  selección  de  documentos</w:t>
        <w:br/>
        <w:t>realizada por la  Procuraduría  de  Derechos  Humanos  en  relación  con  el</w:t>
        <w:br/>
        <w:t>presente caso, lo cual  ha  permitido,  hasta  ahora,  el  enjuiciamiento  y</w:t>
        <w:br/>
        <w:t>sanción de dos autores materiales. No  obstante,  la  Corte  observa  que  a</w:t>
        <w:br/>
        <w:t>partir de esta información se identificaron a otras cuatro personas que  han</w:t>
        <w:br/>
        <w:t>sido señaladas como autores materiales e  intelectuales.  De  acuerdo  a  la</w:t>
        <w:br/>
        <w:t>última información remitida a la Corte,  dos  de  ellos  (presuntos  autores</w:t>
        <w:br/>
        <w:t>materiales) se encuentran prófugos desde 2009 y  los  otros  dos  (presuntos</w:t>
        <w:br/>
        <w:t>autores intelectuales) están siendo procesados, sin que el Tribunal  conozca</w:t>
        <w:br/>
        <w:t>el Estado exacto de dichos procesamientos (supra párr. 128).</w:t>
        <w:br/>
        <w:br/>
        <w:t>Por otra parte, la Corte recuerda que, en casos complejos, la obligación  de</w:t>
        <w:br/>
        <w:t>investigar conlleva el deber de dirigir los esfuerzos  del  aparato  estatal</w:t>
        <w:br/>
        <w:t>para desentrañar las  estructuras  que  permitieron  esas  violaciones,  sus</w:t>
        <w:br/>
        <w:t>causas,  sus  beneficiarios  y  sus  consecuencias,  y  no  sólo  descubrir,</w:t>
        <w:br/>
        <w:t>enjuiciar y en su caso sancionar a los perpetradores inmediatos.  Es  decir,</w:t>
        <w:br/>
        <w:t>la protección de derechos humanos debe ser uno de los  fines  centrales  que</w:t>
        <w:br/>
        <w:t>determine el actuar estatal en cualquier tipo de investigación[226]. De  tal</w:t>
        <w:br/>
        <w:t>forma, la determinación sobre los perpetradores de la desaparición de  Edgar</w:t>
        <w:br/>
        <w:t>Fernando García sólo puede resultar efectiva si se realiza a partir  de  una</w:t>
        <w:br/>
        <w:t>visión comprehensiva de los hechos, que tenga en cuenta los  antecedentes  y</w:t>
        <w:br/>
        <w:t>el contexto en que ocurrieron, y  que  busque  develar  las  estructuras  de</w:t>
        <w:br/>
        <w:t>participación.</w:t>
        <w:br/>
        <w:br/>
        <w:t>Al respecto, la Corte toma nota de lo indicado por el testigo del  Estado  y</w:t>
        <w:br/>
        <w:t>fiscal del Ministerio Público,  según  el  cual  “la  Fiscalía  de  Derechos</w:t>
        <w:br/>
        <w:t>Humanos, se halla en la elaboración de patrones y ubicación  de  puestos  de</w:t>
        <w:br/>
        <w:t>mando con el objeto de determinar  su  responsabilidad”[227].  Sin  embargo,</w:t>
        <w:br/>
        <w:t>resalta que, de la información aportada, no  se  desprende  que  se  hubiera</w:t>
        <w:br/>
        <w:t>efectivamente  iniciado  una  línea  de   investigación   respecto   de   la</w:t>
        <w:br/>
        <w:t>participación de autoridades militares en la desaparición forzada  de  Edgar</w:t>
        <w:br/>
        <w:t>Fernando García. De acuerdo a la información aportada, la  investigación  se</w:t>
        <w:br/>
        <w:t>ha  centrado  en  la  determinación  de  las  responsabilidades  de  quienes</w:t>
        <w:br/>
        <w:t>pertenecían  a  la  Policía  Nacional,  llevaron  a  cabo  la  detención   y</w:t>
        <w:br/>
        <w:t>ejecutaron el operativo de  “limpieza  y  patrullaje”  donde  fue  capturado</w:t>
        <w:br/>
        <w:t>Edgar Fernando García (supra párr. 66). No obstante, la  Corte  observa  que</w:t>
        <w:br/>
        <w:t>en el Archivo Histórico de la Policía Nacional  surgieron  documentos  según</w:t>
        <w:br/>
        <w:t>los cuales dicho operativo era parte  de  un  plan  de  “Control  Básico  de</w:t>
        <w:br/>
        <w:t>Seguridad”, para el cual se recibió capacitación  del  Estado  Mayor  de  la</w:t>
        <w:br/>
        <w:t>Defensa Nacional  (supra  párr.  66).  Además,  observa  que  en  la  propia</w:t>
        <w:br/>
        <w:t>sentencia de primera instancia que condenó a dos de los  autores  materiales</w:t>
        <w:br/>
        <w:t>se establece que “es evidente que esta desaparición  forzada,  fue  ordenada</w:t>
        <w:br/>
        <w:t>por las instituciones del Estado, [y] que en ella intervinieron el  Ejército</w:t>
        <w:br/>
        <w:t>y la Policía Nacional”[228]. En este sentido,  también  se  indica  que  “la</w:t>
        <w:br/>
        <w:t>desaparición [de Edgar Fernando García] fue cometida por agentes del  Estado</w:t>
        <w:br/>
        <w:t>(Ejército) y agentes de la Policía Nacional que ejecutaron  la  orden”[229].</w:t>
        <w:br/>
        <w:t>Asimismo, en  el  Diario  Militar,  un  documento  de  inteligencia  militar</w:t>
        <w:br/>
        <w:t>reconocido como auténtico por el  Estado,  se  evidencia  que  se  recolectó</w:t>
        <w:br/>
        <w:t>información  de  inteligencia  sobre  Edgar  Fernando  García,   sobre   sus</w:t>
        <w:br/>
        <w:t>afiliaciones al PGT y al sindicato de CAVISA (supra párr. 63). Respecto  del</w:t>
        <w:br/>
        <w:t>registro de esta información en el Diario Militar, la referida sentencia  de</w:t>
        <w:br/>
        <w:t>primera instancia concluyó  que  “[n]o  existe  la  menor  duda  que  [Edgar</w:t>
        <w:br/>
        <w:t>Fernando García] era objeto de  investigación  por  considerarlo  el  Estado</w:t>
        <w:br/>
        <w:t>como enemigo”[230].</w:t>
        <w:br/>
        <w:br/>
        <w:t>Como parte de la obligación de investigar desapariciones  forzadas  como  la</w:t>
        <w:br/>
        <w:t>del presente caso, las autoridades estatales deben determinar  procesalmente</w:t>
        <w:br/>
        <w:t>los patrones de actuación conjunta y todas  las  personas  que  de  diversas</w:t>
        <w:br/>
        <w:t>formas  participaron  en   dichas   violaciones   y   sus   correspondientes</w:t>
        <w:br/>
        <w:t>responsabilidades[231]. No  basta  el  conocimiento  de  las  circunstancias</w:t>
        <w:br/>
        <w:t>materiales  del  crimen,  sino  que  resulta  imprescindible   analizar   el</w:t>
        <w:br/>
        <w:t>conocimiento de las estructuras de poder que  lo  permitieron,  diseñaron  y</w:t>
        <w:br/>
        <w:t>ejecutaron intelectual y materialmente, así como de las  personas  o  grupos</w:t>
        <w:br/>
        <w:t>que estaban interesados o se beneficiarían del  crimen  (beneficiarios).  En</w:t>
        <w:br/>
        <w:t>consecuencia, no se trata sólo del análisis de un crimen de manera  aislada,</w:t>
        <w:br/>
        <w:t>sino inserto en un contexto que proporcione los  elementos  necesarios  para</w:t>
        <w:br/>
        <w:t>comprender su estructura de operación[232].</w:t>
        <w:br/>
        <w:br/>
        <w:t>La Corte reconoce que en el presente caso se han  dado  importantes  avances</w:t>
        <w:br/>
        <w:t>en la investigación de la desaparición forzada de Edgar Fernando García.  No</w:t>
        <w:br/>
        <w:t>obstante, resalta que por más de veinticinco años no  se  adoptaron  medidas</w:t>
        <w:br/>
        <w:t>encaminadas a investigar con una debida diligencia su desaparición.  Además,</w:t>
        <w:br/>
        <w:t>en la investigación seguida actualmente por  el  Ministerio  Público  no  se</w:t>
        <w:br/>
        <w:t>evidencia que se estén siguiendo todas las líneas lógicas  de  investigación</w:t>
        <w:br/>
        <w:t>que surgen  de  la  abundante  prueba  que  ha  aportado  tanto  el  Archivo</w:t>
        <w:br/>
        <w:t>Histórico de la Policía Nacional como el Diario Militar.</w:t>
        <w:br/>
        <w:br/>
        <w:t>4. Plazo razonable</w:t>
        <w:br/>
        <w:br/>
        <w:t>Para que la investigación sea conducida de manera seria,  imparcial  y  como</w:t>
        <w:br/>
        <w:t>un deber jurídico propio, el derecho de acceso a la  justicia  requiere  que</w:t>
        <w:br/>
        <w:t>se haga efectiva la determinación de los hechos que se investigan en  tiempo</w:t>
        <w:br/>
        <w:t>razonable[233]. Este Tribunal ha señalado que el “plazo  razonable”  al  que</w:t>
        <w:br/>
        <w:t>se refiere el artículo 8.1 de la Convención se  debe  apreciar  en  relación</w:t>
        <w:br/>
        <w:t>con la duración total del procedimiento  que  se  desarrolla  hasta  que  se</w:t>
        <w:br/>
        <w:t>dicta la sentencia  definitiva[234].  La  Corte  considera  que  una  demora</w:t>
        <w:br/>
        <w:t>prolongada, como la que se ha dado en este caso,  constituye  en  principio,</w:t>
        <w:br/>
        <w:t>por sí misma, una violación a las garantías judiciales[235].</w:t>
        <w:br/>
        <w:br/>
        <w:t>La Corte usualmente ha considerado los siguientes elementos para  determinar</w:t>
        <w:br/>
        <w:t>la  razonabilidad  del  plazo:  a)  complejidad  del  asunto;  b)  actividad</w:t>
        <w:br/>
        <w:t>procesal del interesado; c) conducta de las  autoridades  judiciales,  y  d)</w:t>
        <w:br/>
        <w:t>afectación generada en la situación jurídica de la  persona  involucrada  en</w:t>
        <w:br/>
        <w:t>el proceso. No obstante, en el presente caso, la  Corte  ha  constatado  que</w:t>
        <w:br/>
        <w:t>han transcurrido 25 años y 8 meses desde desde la  fecha  de  reconocimiento</w:t>
        <w:br/>
        <w:t>de competencia del Tribunal hasta la presente  fecha[236]  y  más  de  siete</w:t>
        <w:br/>
        <w:t>años desde el descubrimiento del Archivo Histórico de la  Policía  Nacional,</w:t>
        <w:br/>
        <w:t>donde  quedó  plenamente  acreditada  la  detención  del  señor  García  por</w:t>
        <w:br/>
        <w:t>funcionarios policiales en un “Operativo de Limpieza y Patrullaje”  sin  que</w:t>
        <w:br/>
        <w:t>todavía se hubiera determinado el paradero del señor García ni  identificado</w:t>
        <w:br/>
        <w:t>y  eventualmente  sancionado  a  todos   los   responsables   materiales   e</w:t>
        <w:br/>
        <w:t>intelectuales. La Corte resalta que la investigación del  presente  caso  no</w:t>
        <w:br/>
        <w:t>avanzó de su fase inicial hasta el 2009, 25 años después del  inicio  de  la</w:t>
        <w:br/>
        <w:t>desaparición  del  señor  García,  a  pesar  de  los  múltiples  recursos  y</w:t>
        <w:br/>
        <w:t>denuncias  presentadas  por  los  familiares,  los  testigos  que  relataron</w:t>
        <w:br/>
        <w:t>haberlo visto detenido, las conclusiones de la CEH, la aparición del  Diario</w:t>
        <w:br/>
        <w:t>Militar y el descubrimiento del Archivo Histórico de  la  Policía  Nacional.</w:t>
        <w:br/>
        <w:t>En consecuencia, para la Corte no es necesario realizar el análisis  de  los</w:t>
        <w:br/>
        <w:t>criterios mencionados dado  que  es  evidente  que  el  tiempo  transcurrido</w:t>
        <w:br/>
        <w:t>sobrepasa excesivamente el plazo que  pudiera  considerarse  razonable  para</w:t>
        <w:br/>
        <w:t>que el Estado investigara los hechos del presente caso, máxime si  se  tiene</w:t>
        <w:br/>
        <w:t>en cuenta  que  a  ese  tiempo  se  deberá  sumar  el  tiempo  que  tome  el</w:t>
        <w:br/>
        <w:t>procesamiento,  individualización  e  identificación   de   otros   posibles</w:t>
        <w:br/>
        <w:t>responsables y el trámite del proceso penal en sus distintas  etapas,  hasta</w:t>
        <w:br/>
        <w:t>la obtención de una sentencia firme. Esta  falta  de  investigación  durante</w:t>
        <w:br/>
        <w:t>tan largo período configura una  flagrante  denegación  de  justicia  y  una</w:t>
        <w:br/>
        <w:t>violación al derecho de acceso a la justicia de las víctimas.</w:t>
        <w:br/>
        <w:br/>
        <w:t xml:space="preserve">      5. Conclusión</w:t>
        <w:br/>
        <w:br/>
        <w:t>La Corte toma nota de los antecedentes contextuales en que se  enmarcan  los</w:t>
        <w:br/>
        <w:t>inicios de la desaparición  de  la  víctima,  no  obstante  observa  que  la</w:t>
        <w:br/>
        <w:t>impunidad que caracterizó el presente caso por veintiséis años (hasta  2010,</w:t>
        <w:br/>
        <w:t>cuando se condenó a dos autores materiales) se mantiene  de  forma  parcial,</w:t>
        <w:br/>
        <w:t>pues a pesar de la prueba que obra en el expediente  aún  no  se  conoce  el</w:t>
        <w:br/>
        <w:t>destino o paradero del señor García, ni se han esclarecido todos los  hechos</w:t>
        <w:br/>
        <w:t>o identificado a todos los responsables (autores materiales,  intelectuales,</w:t>
        <w:br/>
        <w:t>partícipes y encubridores). El Tribunal recuerda que en virtud del  carácter</w:t>
        <w:br/>
        <w:t>sistemático de las violaciones cometidas en  el  presente  caso,  el  Estado</w:t>
        <w:br/>
        <w:t>debe adoptar todas las medidas necesarias para investigar  y,  en  su  caso,</w:t>
        <w:br/>
        <w:t>sancionar  a  los  responsables;  establecer  la  verdad  de  lo   sucedido;</w:t>
        <w:br/>
        <w:t>localizar el  paradero  de  la  víctima  e  informar  a  sus  familiares  al</w:t>
        <w:br/>
        <w:t>respecto. Dicha obligación subsiste hasta tanto se determine  el  destino  o</w:t>
        <w:br/>
        <w:t>paradero de la persona desaparecida (supra párrs. 129 y 134).</w:t>
        <w:br/>
        <w:br/>
        <w:t>Sin  perjuicio  de  los  avances  alcanzados  luego  de  2009,  el  Tribunal</w:t>
        <w:br/>
        <w:t>considera  que  el  Estado  incumplió   su   obligación   de   iniciar   una</w:t>
        <w:br/>
        <w:t>investigación de oficio, por todos los medios legales disponibles y  con  la</w:t>
        <w:br/>
        <w:t>debida diligencia sobre la desaparición forzada de  Edgar  Fernando  García,</w:t>
        <w:br/>
        <w:t>así como tampoco ha respetado la garantía del plazo razonable. Asimismo,  la</w:t>
        <w:br/>
        <w:t>Corte considera que los recursos disponibles no han constituido  un  recurso</w:t>
        <w:br/>
        <w:t>efectivo  para  la  determinación  del   paradero   de   la   víctima.   Por</w:t>
        <w:br/>
        <w:t>consiguiente, el Estado  incumplió  su  deber  de  garantizar  los  derechos</w:t>
        <w:br/>
        <w:t>consagrados en los  artículos  7,  5.1,  5.2,  4.1  y  3  de  la  Convención</w:t>
        <w:br/>
        <w:t>Americana, a través de una  investigación  efectiva,  en  relación  con  los</w:t>
        <w:br/>
        <w:t>artículos 1.1 de la  misma  y  el  artículo  I.b)  de  la  Convención  sobre</w:t>
        <w:br/>
        <w:t>Desaparición Forzada de Personas, en perjuicio  de  Edgar  Fernando  García.</w:t>
        <w:br/>
        <w:t>Asimismo, la Corte concluye que debido a la ausencia  de  una  investigación</w:t>
        <w:br/>
        <w:t>efectiva de los hechos, juzgamiento y sanción de todos los responsables,  el</w:t>
        <w:br/>
        <w:t>Estado violó los derechos a las  garantías  judiciales  y  a  la  protección</w:t>
        <w:br/>
        <w:t>judicial,  consagrados  en  los  artículos  8.1  y  25.1  de  la  Convención</w:t>
        <w:br/>
        <w:t>Americana, en relación con el artículo 1.1 de la misma y  el  artículo  I.b)</w:t>
        <w:br/>
        <w:t>de la Convención Interamericana sobre Desaparición Forzada, en perjuicio  de</w:t>
        <w:br/>
        <w:t>Nineth Varenca Montengro Cottom, Alejandra García Montenegro y María  Emilia</w:t>
        <w:br/>
        <w:t>García.</w:t>
        <w:br/>
        <w:br/>
        <w:t xml:space="preserve">      6. Alegadas violaciones del deber de adoptar disposiciones de  derecho</w:t>
        <w:br/>
        <w:t xml:space="preserve">      interno y del derecho de acceso a la información</w:t>
        <w:br/>
        <w:br/>
        <w:t>La Corte observa que tanto la Comisión como los representantes  alegaron  el</w:t>
        <w:br/>
        <w:t>incumplimiento del artículo 2 de la Convención Americana,  en  relación  con</w:t>
        <w:br/>
        <w:t>las investigaciones. No obstante,  el  Tribunal  resalta  que,  si  bien  la</w:t>
        <w:br/>
        <w:t>Comisión incluyó dicha violación en las conclusiones de su Informe de  Fondo</w:t>
        <w:br/>
        <w:t>y en las pretensiones que presentó a la Corte, no  señaló  los  alegatos  de</w:t>
        <w:br/>
        <w:t>hecho y de derecho  que  fundamentarían  dicha  violación.  En  cambio,  los</w:t>
        <w:br/>
        <w:t>representantes indicaron que dicha violación se debe a  que  el  Estado  “no</w:t>
        <w:br/>
        <w:t>[ha] legisla[do] para crear instrumentos legales que faciliten  la  búsqueda</w:t>
        <w:br/>
        <w:t>de personas desaparecidas forzadamente”.  Al  respecto,  la  Corte  recuerda</w:t>
        <w:br/>
        <w:t>que, en casos de desaparición forzada,  la  investigación  debe  incluir  la</w:t>
        <w:br/>
        <w:t>realización de las acciones necesarias para determinar la suerte  o  destino</w:t>
        <w:br/>
        <w:t>de la víctima y localizar su paradero, lo cual es una obligación de medio  y</w:t>
        <w:br/>
        <w:t>no de resultado (supra párr. 134). En relación  con  el  presente  caso,  la</w:t>
        <w:br/>
        <w:t>Corte toma nota de lo indicado por el testigo Manuel  Giovanni  Vásquez,  en</w:t>
        <w:br/>
        <w:t>el sentido de que se han realizado  exhumaciones  en  distintos  cementerios</w:t>
        <w:br/>
        <w:t>pero ninguno de los restos  encontrados  ha  coincidido  con  los  de  Edgar</w:t>
        <w:br/>
        <w:t>Fernando García. Además, observa que  de  acuerdo  a  lo  informado  por  el</w:t>
        <w:br/>
        <w:t>propio Estado, el proyecto de  ley  que  crearía  la  Comisión  Nacional  de</w:t>
        <w:br/>
        <w:t>Búsqueda de Personas Víctimas de Desaparición  Forzada  y  otras  Formas  de</w:t>
        <w:br/>
        <w:t>Desaparición se encuentra en trámite ante el Congreso desde  2006.  Teniendo</w:t>
        <w:br/>
        <w:t>en cuenta dicha información, la  Corte  considera  que  no  cuenta  con  los</w:t>
        <w:br/>
        <w:t>elementos suficientes que le permitan constatar que la falta de  efectividad</w:t>
        <w:br/>
        <w:t>en la búsqueda del paradero o  de  los  restos  de  Edgar  Fernando  García,</w:t>
        <w:br/>
        <w:t>constituyan un incumplimiento del deber general del  Estado  establecido  en</w:t>
        <w:br/>
        <w:t>el referido artículo 2 de la Convención. Además, el Tribunal resalta que  la</w:t>
        <w:br/>
        <w:t>falta de efectividad de las investigaciones,  lo cual  incluye  la  ausencia</w:t>
        <w:br/>
        <w:t>de efectividad para la determinación del paradero de  la  víctimas,  ya  fue</w:t>
        <w:br/>
        <w:t>analizado por este Tribunal en relación  con  la  obligación  de  investigar</w:t>
        <w:br/>
        <w:t>examinada supra.</w:t>
        <w:br/>
        <w:br/>
        <w:t>Por otra parte, respecto a la alegada violación del derecho de acceso  a  la</w:t>
        <w:br/>
        <w:t>información, la Corte observa que en el presente  caso  la  Comisión  y  los</w:t>
        <w:br/>
        <w:t>representantes  fundamentaron  dicha  pretensión,  principalmente,   en   la</w:t>
        <w:br/>
        <w:t>negativa de información ante los recursos y denuncias  presentados  por  los</w:t>
        <w:br/>
        <w:t>familiares. Al respecto, la Corte considera que dichos  alegatos  ya  fueron</w:t>
        <w:br/>
        <w:t>examinados,  en  lo   sustancial,   en   el   acápite   de   este   capítulo</w:t>
        <w:br/>
        <w:t>correspondiente  al  análisis  de  las  investigaciones  y  su  efectividad.</w:t>
        <w:br/>
        <w:t>Además, la Comisión hizo referencia a supuestas negativas del Ministerio  de</w:t>
        <w:br/>
        <w:t>la Defensa Nacional de brindar información. Al respecto, esta Corte  resalta</w:t>
        <w:br/>
        <w:t>lo indicado por el testigo Manuel Giovanni  Vásquez,  en  el  sentido  “[e]n</w:t>
        <w:br/>
        <w:t>este caso no se ha requerido información al Ministerio de la Defensa” en  el</w:t>
        <w:br/>
        <w:t>marco  de  la  investigación  ante  el  Ministerio  Público[237].  La  Corte</w:t>
        <w:br/>
        <w:t>considera que una violación del derecho de acceso a la información  requiere</w:t>
        <w:br/>
        <w:t>la  denegatoria  de  una  solicitud  concreta  dirigida  por  las  presuntas</w:t>
        <w:br/>
        <w:t>víctimas a las autoridades estatales  para  obtener  dicha  información.  La</w:t>
        <w:br/>
        <w:t>posible falta  de  colaboración  entre  órganos  estatales  constituiría  un</w:t>
        <w:br/>
        <w:t>obstáculo para el esclarecimiento de los hechos,  que  afectaría  la  debida</w:t>
        <w:br/>
        <w:t>diligencia y efectividad de las  investigaciones,  pero  no  constituye  una</w:t>
        <w:br/>
        <w:t>violación autónoma al derecho de acceso a la información de  los  familiares</w:t>
        <w:br/>
        <w:t>de la  víctima  desaparecida.  Por  tanto,  el  Tribunal  considera  que  no</w:t>
        <w:br/>
        <w:t>corresponde analizar la  alegada  violación  del  derecho  de  acceso  a  la</w:t>
        <w:br/>
        <w:t>información, presuntamente  contenido  en  los  artículos  13  y  23  de  la</w:t>
        <w:br/>
        <w:t>Convención, en perjuicio de los familiares de Edgar Fernando García.</w:t>
        <w:br/>
        <w:br/>
        <w:t xml:space="preserve">                                   VIII-3</w:t>
        <w:br/>
        <w:t xml:space="preserve">   VIOLACIONES ALEGADAS EN PERJUICIO DE Nineth Varenca Montenegro Cottom,</w:t>
        <w:br/>
        <w:t xml:space="preserve">              Alejandra García Montenegro y María Emilia García</w:t>
        <w:br/>
        <w:br/>
        <w:t>La Corte ha afirmado en reiteradas oportunidades que los familiares  de  las</w:t>
        <w:br/>
        <w:t>víctimas de violaciones de los  derechos  humanos  pueden  ser,  a  su  vez,</w:t>
        <w:br/>
        <w:t>víctimas[238]. En ese sentido, la Corte abordará  en  el  presente  capítulo</w:t>
        <w:br/>
        <w:t>las violaciones alegadas en perjuicio de los familiares  de  Edgar  Fernando</w:t>
        <w:br/>
        <w:t>García,  a  saber:  Nineth  Varenca  Montenegro  Cottom,  Alejandra   García</w:t>
        <w:br/>
        <w:t>Montenegro y María  Emilia  García.  Para  ello,  el  Tribunal  dividirá  su</w:t>
        <w:br/>
        <w:t>análisis en el presente capítulo, de acuerdo a las violaciones  alegadas  en</w:t>
        <w:br/>
        <w:t>su perjuicio, de la siguiente forma: a) derecho a  la  integridad  personal,</w:t>
        <w:br/>
        <w:t>la protección a la familia[239] y derechos del niño[240], y b)  libertad  de</w:t>
        <w:br/>
        <w:t>pensamiento y expresión y libertad de asociación.</w:t>
        <w:br/>
        <w:br/>
        <w:t xml:space="preserve">     A) Respecto al derecho a la integridad personal, a la protección a  la</w:t>
        <w:br/>
        <w:t xml:space="preserve">        familia y los derechos del niño</w:t>
        <w:br/>
        <w:br/>
        <w:t>La Comisión y  los  representantes  consideraron  que  el  Estado  violó  el</w:t>
        <w:br/>
        <w:t>derecho a la  integridad  personal  de  las  familiares  de  Edgar  Fernando</w:t>
        <w:br/>
        <w:t>García. La Comisión sostuvo que las afectaciones se deben a la  negativa  de</w:t>
        <w:br/>
        <w:t>las autoridades de atender los recursos interpuestos para llevar a cabo  una</w:t>
        <w:br/>
        <w:t>investigación  efectiva;  así  como  por  los  “hostigamientos  y   amenazas</w:t>
        <w:br/>
        <w:t>provenientes de agentes estatales” de  las  cuales  fueron  objeto  por  las</w:t>
        <w:br/>
        <w:t>acciones emprendidas para la búsqueda de justicia y del  paradero  de  Edgar</w:t>
        <w:br/>
        <w:t>Fernando García. Por su parte, el Estado manifestó su  “aceptación  parcial”</w:t>
        <w:br/>
        <w:t>respecto  de  dicha  violación,  ya  que  las  acciones  para  investigar  y</w:t>
        <w:br/>
        <w:t>sancionar a los responsables deben analizarse tomando  en  consideración  la</w:t>
        <w:br/>
        <w:t>complejidad  de  los  hechos  y  las  dificultades  a  las  cuales  se   han</w:t>
        <w:br/>
        <w:t>enfrentado. Además, alegó que los “avances en materia de  justicia  logrados</w:t>
        <w:br/>
        <w:t>en el presente caso […] incide[n] positivamente en la integridad psíquica  y</w:t>
        <w:br/>
        <w:t>moral” de sus familiares.</w:t>
        <w:br/>
        <w:br/>
        <w:t>En cuanto a la violación al derecho a la familia y a los derechos  del  niño</w:t>
        <w:br/>
        <w:t>en el presente caso, la Comisión manifestó en su Informe de  Fondo  que  “no</w:t>
        <w:br/>
        <w:t>c[ontaba] con elementos suficientes para fundamentar una violación  autónoma</w:t>
        <w:br/>
        <w:t>de los mismos”. No obstante, en sus observaciones  finales  escritas  indicó</w:t>
        <w:br/>
        <w:t>que  de  la  información  brindada  por  los  representantes  y  la   señora</w:t>
        <w:br/>
        <w:t>Montenegro en la audiencia pública “se desprende  que  existirían  elementos</w:t>
        <w:br/>
        <w:t>de juicio para que la Corte  valore  la  posibilidad  de  considerar  dichas</w:t>
        <w:br/>
        <w:t>violaciones”.  Los  representantes  indicaron  que,   al   momento   de   la</w:t>
        <w:br/>
        <w:t>desaparición, Edgar Fernando García estaba casado y tenía  una  hija  de  un</w:t>
        <w:br/>
        <w:t>año y ocho meses, por lo cual el Estado incumplió “con  sus  fines  ante  la</w:t>
        <w:br/>
        <w:t>sociedad [al no proteger el derecho a la familia]  y  dej[ar]  prácticamente</w:t>
        <w:br/>
        <w:t>en la orfandad a Alejandra García  Montenegro”.  Por  su  parte,  el  Estado</w:t>
        <w:br/>
        <w:t>indicó que los representantes  alegaron  nuevamente  la  violación  a  éstos</w:t>
        <w:br/>
        <w:t>derechos pese a que la Comisión en su Informe de Fondo había  concluido  que</w:t>
        <w:br/>
        <w:t>no tenía motivos suficientes para  declarar  su  violación.  Por  lo  tanto,</w:t>
        <w:br/>
        <w:t>manifestó su “oposición total” a  que  la  Corte  declare  la  violación  de</w:t>
        <w:br/>
        <w:t>dichos derechos.</w:t>
        <w:br/>
        <w:br/>
        <w:t>La Corte ha considerado que en casos que involucran la desaparición  forzada</w:t>
        <w:br/>
        <w:t>de personas,  es  posible  entender  que  la  violación  del  derecho  a  la</w:t>
        <w:br/>
        <w:t>integridad psíquica  y  moral  de  los  familiares  de  la  víctima  es  una</w:t>
        <w:br/>
        <w:t>consecuencia directa de ese fenómeno, que les causa  un  severo  sufrimiento</w:t>
        <w:br/>
        <w:t>por el hecho  mismo,  que  se  acrecienta,  entre  otros  factores,  por  la</w:t>
        <w:br/>
        <w:t>constante negativa de las autoridades estatales de proporcionar  información</w:t>
        <w:br/>
        <w:t>acerca del paradero de la víctima o de  realizar  una  investigación  eficaz</w:t>
        <w:br/>
        <w:t>para lograr el esclarecimiento de lo sucedido[241].  Por  otra  parte,  esta</w:t>
        <w:br/>
        <w:t>Corte ha establecido que la privación de la verdad acerca  del  paradero  de</w:t>
        <w:br/>
        <w:t>una víctima de desaparición forzada acarrea  una  forma  de  trato  cruel  e</w:t>
        <w:br/>
        <w:t>inhumano para los familiares cercanos[242], lo que hacen presumir un daño  a</w:t>
        <w:br/>
        <w:t>la integridad psíquica y moral de los familiares[243]. Dicha  presunción  se</w:t>
        <w:br/>
        <w:t>establece  juris  tantum  respecto  de  madres  y  padres,  hijas  e  hijos,</w:t>
        <w:br/>
        <w:t>cónyuges, compañeros y compañeras permanentes,  siempre  que  corresponda  a</w:t>
        <w:br/>
        <w:t>las  circunstancias  particulares  del  caso[244].  En  el  caso  de   tales</w:t>
        <w:br/>
        <w:t>familiares, corresponde al Estado desvirtuar dicha presunción[245], la  cual</w:t>
        <w:br/>
        <w:t>no ha sido desvirtuada por Guatemala en el presente caso. Por el  contrario,</w:t>
        <w:br/>
        <w:t>el Estado aceptó parcialmente su responsabilidad por esta violación.</w:t>
        <w:br/>
        <w:br/>
        <w:t>Aún  frente  a  la  referida  presunción,  la   Corte   resalta   que,   las</w:t>
        <w:br/>
        <w:t>declaraciones rendidas a nivel interno y ante la Corte, así como  el  acervo</w:t>
        <w:br/>
        <w:t>probatorio[246] muestran que Nineth  Varenca  Montenegro  Cottom,  Alejandra</w:t>
        <w:br/>
        <w:t>García  Montenegro  y  María  Emilia   García   (esposa,   hija   y   madre,</w:t>
        <w:br/>
        <w:t>respectivamente, de Edgar Fernando García), han padecido gran  incertidumbre</w:t>
        <w:br/>
        <w:t>y profundo sufrimiento y angustia en detrimento  de  su  integridad  física,</w:t>
        <w:br/>
        <w:t>psíquica y moral debido a la desaparición forzada de su ser querido y  a  la</w:t>
        <w:br/>
        <w:t>actuación de las autoridades estatales respecto de la  investigación  de  lo</w:t>
        <w:br/>
        <w:t>sucedido. Tal afectación se produjo no solo a nivel  personal  sino  también</w:t>
        <w:br/>
        <w:t>implicó un grave menoscabo en la dinámica familiar.</w:t>
        <w:br/>
        <w:br/>
        <w:t>Al  respecto,  el  Tribunal  nota  que  desde  su  desaparición   hasta   la</w:t>
        <w:br/>
        <w:t>actualidad, sus  familiares  se  han  involucrado  activamente  en  diversas</w:t>
        <w:br/>
        <w:t>acciones para la búsqueda de justicia y la  determinación  de  su  paradero,</w:t>
        <w:br/>
        <w:t>mediante iniciativas individuales y a través del GAM, del cual su  esposa  y</w:t>
        <w:br/>
        <w:t>madre fueron fundadoras, así como a través de la interposición  de  recursos</w:t>
        <w:br/>
        <w:t>y denuncias  en  la  jurisdicción  interna  o  internacional.  Si  bien  sus</w:t>
        <w:br/>
        <w:t>familiares reconocen que en los últimos años se han dado ciertos avances  en</w:t>
        <w:br/>
        <w:t>la investigación y en la determinación de algunos de los  responsables,  por</w:t>
        <w:br/>
        <w:t>muchos años su proceso de búsqueda se enfrentó a la negativa y  a  la  falta</w:t>
        <w:br/>
        <w:t>de respuesta de las autoridades,  pese  a  que  el  Estado  contaba  con  la</w:t>
        <w:br/>
        <w:t>información necesaria para iniciar la  investigación.  En  ese  sentido,  la</w:t>
        <w:br/>
        <w:t>esposa de Edgar Fernando  García  manifestó  en  la  audiencia  pública  que</w:t>
        <w:br/>
        <w:t>“todos sabemos que cuando la justicia es tan tardía, ya  no  tiene  sabor  a</w:t>
        <w:br/>
        <w:t>justicia”. Asimismo, la Corte observa que  la  falta  de  determinación  del</w:t>
        <w:br/>
        <w:t>paradero de Edgar Fernando García o de localización e identificación de  sus</w:t>
        <w:br/>
        <w:t>restos, les ha impedido sepultarlo dignamente de acuerdo con sus  creencias,</w:t>
        <w:br/>
        <w:t>alterando de esta forma su proceso de duelo, y perpetuando el sufrimiento  y</w:t>
        <w:br/>
        <w:t>la incertidumbre.</w:t>
        <w:br/>
        <w:br/>
        <w:t>La Corte ha manifestado que recibir el cuerpo de  una  persona  desaparecida</w:t>
        <w:br/>
        <w:t>forzadamente es de suma importancia para sus familiares, ya que les  permite</w:t>
        <w:br/>
        <w:t>sepultarlo de acuerdo a sus creencias, así como cerrar el proceso  de  duelo</w:t>
        <w:br/>
        <w:t>que han estado viviendo a lo largo de  estos  años[247].  Además,  la  Corte</w:t>
        <w:br/>
        <w:t>recuerda  que  la  constante  negativa  de  las  autoridades  estatales   de</w:t>
        <w:br/>
        <w:t>proporcionar información acerca del paradero de las víctimas  o  de  iniciar</w:t>
        <w:br/>
        <w:t>una investigación eficaz para lograr el esclarecimiento de  lo  sucedido  ha</w:t>
        <w:br/>
        <w:t>sido considerada, por este Tribunal, como una causa de  acrecentamiento  del</w:t>
        <w:br/>
        <w:t>sufrimiento de los  familiares[248].  Al  respecto,  la  Corte  constata  el</w:t>
        <w:br/>
        <w:t>sufrimiento adicional generado a la esposa, hija y  madre  del  señor  Edgar</w:t>
        <w:br/>
        <w:t>Fernando García, en virtud de la ausencia de una  investigación  efectiva  y</w:t>
        <w:br/>
        <w:t>diligente, así como la incertidumbre al  paradero  de  su  esposo,  padre  e</w:t>
        <w:br/>
        <w:t>hijo.</w:t>
        <w:br/>
        <w:br/>
        <w:t>Adicionalmente, la Corte observa que, en los años siguientes  al  inicio  de</w:t>
        <w:br/>
        <w:t>la desaparición de Edgar Fernando  García,  los  familiares  de  la  víctima</w:t>
        <w:br/>
        <w:t>sufrieron  circunstancias  adicionales  que   agravaron   sus   afectaciones</w:t>
        <w:br/>
        <w:t>psíquicas, tales como aislamiento social y  la  estigmatización  asociada  a</w:t>
        <w:br/>
        <w:t>tener un familiar desaparecido. En ese sentido, la señora Montenegro  Cottom</w:t>
        <w:br/>
        <w:t>afirmó  durante  la  audiencia  pública  que   como   consecuencia   de   la</w:t>
        <w:br/>
        <w:t>desaparición de Edgar Fernando García y de  la  búsqueda  de  justicia  hubo</w:t>
        <w:br/>
        <w:t>“una campaña sistemática de descalificación y desprestigio que  para  [ella,</w:t>
        <w:br/>
        <w:t>que] t[uvo] una connotación […] enorme porque [los]  aisló,  [los]  marginó,</w:t>
        <w:br/>
        <w:t>[los] hizo ver como sediciosos, como mentirosos, locos, perdi[eron]  amigos,</w:t>
        <w:br/>
        <w:t>familiares, era[n] como los apestados de la sociedad, […] que  la  gente  no</w:t>
        <w:br/>
        <w:t>quería acercarse  a  [ellos]  y  [su]  propia  hija  […]  nunca  pudo  tener</w:t>
        <w:br/>
        <w:t>amistades”[249]. En el mismo sentido, Alejandra  manifestó  que  los  hechos</w:t>
        <w:br/>
        <w:t>“generaron miedo en muchas personas cercanas a [ellas], quienes optaron  por</w:t>
        <w:br/>
        <w:t>alejarse a pesar que […] en algunos casos se trató  de  la  misma  familia”.</w:t>
        <w:br/>
        <w:t>Asimismo, indicó que durante su infancia, en el colegio se  le  rechazó  por</w:t>
        <w:br/>
        <w:t>ser “hija de la guerrillera”, y por la  condición  de  hija  de  una  “madre</w:t>
        <w:br/>
        <w:t>soltera”[250].</w:t>
        <w:br/>
        <w:br/>
        <w:t>De igual manera, la Corte nota que los hechos han  causado  secuelas  en  el</w:t>
        <w:br/>
        <w:t>proceso de desarrollo de su  hija  Alejandra,  quien  se  encontraba  en  su</w:t>
        <w:br/>
        <w:t>primera infancia, y por tanto tuvo que crecer en un entorno  dedicado  a  la</w:t>
        <w:br/>
        <w:t>búsqueda de justicia y el sufrimiento y la incertidumbre  por  la  falta  de</w:t>
        <w:br/>
        <w:t>determinación del paradero de su padre[251]. En ese sentido, la  Corte  nota</w:t>
        <w:br/>
        <w:t>que Alejandra García declaró que  la  poca  participación  que  tuvo  en  la</w:t>
        <w:br/>
        <w:t>búsqueda de justicia durante su infancia  le  generaban  un  sentimiento  de</w:t>
        <w:br/>
        <w:t>culpabilidad (supra párr. 87).</w:t>
        <w:br/>
        <w:br/>
        <w:t>En virtud de las consideraciones anteriores, ha quedado demostrado  para  la</w:t>
        <w:br/>
        <w:t>Corte que las circunstancias existentes han generado a las familiares de  la</w:t>
        <w:br/>
        <w:t>víctima sentimientos de tristeza,  frustración,  impotencia,  inseguridad  y</w:t>
        <w:br/>
        <w:t>angustia. En consecuencia,  la  Corte  considera  que  el  Estado  violó  el</w:t>
        <w:br/>
        <w:t>derecho a la integridad personal establecido en el artículo 5.1 y 5.2 de  la</w:t>
        <w:br/>
        <w:t>Convención  Americana,  en  relación  con  el  artículo   1.1.   del   mismo</w:t>
        <w:br/>
        <w:t>instrumento, en perjuicio de Nineth  Varenca  Montenegro  Cottom,  Alejandra</w:t>
        <w:br/>
        <w:t>García Montenegro y María Emilia García.</w:t>
        <w:br/>
        <w:br/>
        <w:t>Adicionalmente, en relación  con  las  alegadas  amenazas  y  hostigamientos</w:t>
        <w:br/>
        <w:t>sufridos por los familiares de Edgar Fernando García, la Corte recuerda  que</w:t>
        <w:br/>
        <w:t>debido a su competencia ratione temporis sólo puede conocer aquellos  hechos</w:t>
        <w:br/>
        <w:t>ocurridos con posterioridad a la aceptación de la competencia de  la  Corte.</w:t>
        <w:br/>
        <w:t>El Tribunal observa que, de la  prueba  aportada  por  las  partes[252],  se</w:t>
        <w:br/>
        <w:t>desprende que la esposa e hija de Edgar Fernando  García  fueron  objeto  de</w:t>
        <w:br/>
        <w:t>amenazas  y  hostigamientos  debido  a  las  acciones  emprendidas  para  la</w:t>
        <w:br/>
        <w:t>búsqueda de justicia y del señor García. Estas amenazas  estaban  asociadas,</w:t>
        <w:br/>
        <w:t>principalmente, a la pertenencia de la señora Montenegro  al  GAM,  lo  cual</w:t>
        <w:br/>
        <w:t>hizo que vivieran en una situación de inseguridad  y  temor  en  su  casa  y</w:t>
        <w:br/>
        <w:t>trabajo, por lo cual tuvieran que buscar protección en Brigadas de  Paz.  De</w:t>
        <w:br/>
        <w:t>acuerdo a lo declarado por la señora Montenegro, esta situación se  prolongó</w:t>
        <w:br/>
        <w:t>por nueve  años,  hasta  1993  cuando  presuntamente  cesó  la  práctica  de</w:t>
        <w:br/>
        <w:t>desapariciones forzadas y comenzó el período de transición.  La  Corte  nota</w:t>
        <w:br/>
        <w:t>que la CEH  determinó  que  la  señora  Montenegro  habría  sido  objeto  de</w:t>
        <w:br/>
        <w:t>amenazas de muerte y vigilancia[253].</w:t>
        <w:br/>
        <w:br/>
        <w:t>Al respecto, esta Corte ha sostenido que la mera amenaza de que  ocurra  una</w:t>
        <w:br/>
        <w:t>conducta  prohibida  por  el  artículo  5  de  la  Convención,  cuando   sea</w:t>
        <w:br/>
        <w:t>suficientemente real e inminente, puede en sí misma estar en  conflicto  con</w:t>
        <w:br/>
        <w:t>el derecho a la integridad personal[254], por  lo  cual  considera  que  las</w:t>
        <w:br/>
        <w:t>amenazas y hostigamientos sufridos por Nineth Montenegro Cottom y  Alejandra</w:t>
        <w:br/>
        <w:t>García Montenegro constituyen una violación adicional de  su  derecho  a  la</w:t>
        <w:br/>
        <w:t>integridad personal.</w:t>
        <w:br/>
        <w:br/>
        <w:t>Por otra parte, respecto a la alegada  violación  de  la  protección  de  la</w:t>
        <w:br/>
        <w:t>familia y derechos del niño, la Corte reitera que las presuntas  víctimas  o</w:t>
        <w:br/>
        <w:t>sus representantes pueden invocar la violación de otros  derechos  distintos</w:t>
        <w:br/>
        <w:t>a los comprendidos en el Informe de Fondo de la Comisión[255]. No  obstante,</w:t>
        <w:br/>
        <w:t>el Tribunal considera que los alegatos planteados por los representantes  se</w:t>
        <w:br/>
        <w:t>refieren a afectaciones que, en lo  sustancial,  fueron  examinadas  por  la</w:t>
        <w:br/>
        <w:t>Corte al declarar la violación a la integridad personal  de  las  familiares</w:t>
        <w:br/>
        <w:t>de  Edgar  Fernando  García,  por  lo  que  no  estima  necesario  hacer  un</w:t>
        <w:br/>
        <w:t>pronunciamiento adicional al respecto.</w:t>
        <w:br/>
        <w:br/>
        <w:t xml:space="preserve">      B) Respecto del derecho a conocer la verdad</w:t>
        <w:br/>
        <w:br/>
        <w:t>Adicionalmente,  en  el  presente  caso,  los  representantes  alegaron   la</w:t>
        <w:br/>
        <w:t>violación del derecho a la  verdad  de  los  familiares  de  Edgar  Fernando</w:t>
        <w:br/>
        <w:t>García. Al respecto, Guatemala  indicó que no resultaba procedente  declarar</w:t>
        <w:br/>
        <w:t>su incumplimiento, en tanto dicho derecho no se encuentra contemplado en  la</w:t>
        <w:br/>
        <w:t>Convención Americana.</w:t>
        <w:br/>
        <w:br/>
        <w:t>Primeramente, la Corte reitera su jurisprudencia  sobre  la  posibilidad  de</w:t>
        <w:br/>
        <w:t>que las presuntas víctimas o sus representantes invoquen derechos  distintos</w:t>
        <w:br/>
        <w:t>de los comprendidos en el informe de la Comisión (supra párr. 170).</w:t>
        <w:br/>
        <w:br/>
        <w:t>Respecto a la alegada violación del derecho a conocer la  verdad,  la  Corte</w:t>
        <w:br/>
        <w:t>observa que en los Acuerdos de Paz firmados para poner término al  conflicto</w:t>
        <w:br/>
        <w:t>armado interno (supra párr. 55), se “reconoc[ió]  el  derecho  […]  de  toda</w:t>
        <w:br/>
        <w:t>sociedad a conocer la verdad”[256]. Para ello,  se  estableció  la  Comisión</w:t>
        <w:br/>
        <w:t>para el Esclarecimiento Histórico, con  el  fin  de  “[e]sclarecer  […]  las</w:t>
        <w:br/>
        <w:t>violaciones a los derechos  humanos  y  los  hechos  de  violencia  que  han</w:t>
        <w:br/>
        <w:t>causado  sufrimientos  a  la  población  guatemalteca,  vinculados  con   el</w:t>
        <w:br/>
        <w:t>enfrentamiento  armado”[257].   Asimismo,   por   medio   de   la   Ley   de</w:t>
        <w:br/>
        <w:t>Reconciliación Nacional de 27 de  diciembre  de  1996  se  “encarg[ó]  a  la</w:t>
        <w:br/>
        <w:t>Comisión para el Esclarecimiento Histórico  […]  el  diseño  de  los  medios</w:t>
        <w:br/>
        <w:t>encaminados a hacer posible el conocimiento y reconocimiento  de  la  verdad</w:t>
        <w:br/>
        <w:t>histórica acerca del período de enfrentamiento  armando  interno  a  fin  de</w:t>
        <w:br/>
        <w:t>evitar que tales hechos se repitan”.  Para  ello,  se  estableció  que  “los</w:t>
        <w:br/>
        <w:t>Organismos o entidades del Estado deberán prestar a  la  Comisión  el  apoyo</w:t>
        <w:br/>
        <w:t>que ésta requiera”[258].</w:t>
        <w:br/>
        <w:br/>
        <w:t>No obstante dicho mandato y disposiciones de colaboración, la Corte  observa</w:t>
        <w:br/>
        <w:t>que,  en  su  informe,  la  propia  CEH  “calific[ó]  como  precaria  y   no</w:t>
        <w:br/>
        <w:t>satisfactoria la colaboración brindada por parte del  Ejército  Nacional”  y</w:t>
        <w:br/>
        <w:t>“también [por el] Ministerio  de  Gobernación”.  Indicó  que  “[d]urante  el</w:t>
        <w:br/>
        <w:t>período de trabajo de la  Comisión,  el  Ejecutivo  —a  través  de  diversas</w:t>
        <w:br/>
        <w:t>dependencias, entre las cuales se  encuentran  el  Ejército  Nacional  y  la</w:t>
        <w:br/>
        <w:t>Secretaría  Privada  del  Presidente   de   la   República—   dio   diversas</w:t>
        <w:br/>
        <w:t>justificaciones  para  no  entregar  la  documentación  requerida   por   la</w:t>
        <w:br/>
        <w:t>[Comisión  para  el  Esclarecimiento  Histórico]”[259]  (supra  párr.   55).</w:t>
        <w:br/>
        <w:t>Igualmente, la CEH indicó que  “la  cartera  de  Gobernación,  […]  ante  la</w:t>
        <w:br/>
        <w:t>carencia  de  documentación,  no  […]  indag[ó]  activamente  en  busca   de</w:t>
        <w:br/>
        <w:t>antecedentes respecto a varios casos sobre los  que  se  ha[bía]  solicitado</w:t>
        <w:br/>
        <w:t>información, ni se [c]onvoc[ó] a personas  que  laboraron  para  la  Policía</w:t>
        <w:br/>
        <w:t>Nacional, con la finalidad de apoyar [la] tarea [de la CEH] y  para  que  la</w:t>
        <w:br/>
        <w:t>sociedad  conozca  la  verdad  de  lo  sucedido  en  estos  casos  de   gran</w:t>
        <w:br/>
        <w:t>impacto”[260]. El Tribunal recuerda que el Ministerio de la Defensa  negó  a</w:t>
        <w:br/>
        <w:t>la CEH la existencia de documentos como el Diario Militar, el cual  apareció</w:t>
        <w:br/>
        <w:t>por vías extraoficiales tres meses después de que dicha  comisión  publicara</w:t>
        <w:br/>
        <w:t>su informe final (supra párrs. 55 y 56). Igualmente,  la  Policía  Nacional,</w:t>
        <w:br/>
        <w:t>adscrita al Ministerio de Gobernación, no entregó a la CEH  información  que</w:t>
        <w:br/>
        <w:t>posteriormente apareció en el Archivo  Histórico  de  la  Policía,  lo  cual</w:t>
        <w:br/>
        <w:t>confirma que “no se indag[ó] activamente en busca de antecedentes  respecto”</w:t>
        <w:br/>
        <w:t>de la información solicitada por dicha Comisión.</w:t>
        <w:br/>
        <w:br/>
        <w:t>De acuerdo a la Comisión de  Esclarecimiento  Histórico,  esta  ausencia  de</w:t>
        <w:br/>
        <w:t>información impactó desfavorablemente en el cumplimiento de su mandato,  por</w:t>
        <w:br/>
        <w:t>lo cual no pudo, inter alia, determinar con precisión  la  cadena  de  mando</w:t>
        <w:br/>
        <w:t>respecto a  las  desapariciones  forzadas  cometidas  durante  el  conflicto</w:t>
        <w:br/>
        <w:t>(supra párr. 55).</w:t>
        <w:br/>
        <w:br/>
        <w:t>Teniendo en cuenta que los hechos propios  de  este  caso  se  desarrollaron</w:t>
        <w:br/>
        <w:t>dentro de un conflicto armado no internacional,  el  esclarecimiento  de  la</w:t>
        <w:br/>
        <w:t>verdad de lo sucedido adquiere una relevancia particular. La Corte  recuerda</w:t>
        <w:br/>
        <w:t>que toda persona, incluyendo  los  familiares  de  las  víctimas  de  graves</w:t>
        <w:br/>
        <w:t>violaciones a derechos humanos, tienen el derecho a conocer la  verdad,  por</w:t>
        <w:br/>
        <w:t>lo  que  aquéllos  y  la  sociedad  toda  deben   ser   informados   de   lo</w:t>
        <w:br/>
        <w:t>sucedido[261].  Asimismo, la Corte considera pertinente  reiterar,  como  lo</w:t>
        <w:br/>
        <w:t>ha hecho en otros casos, que los Estados pueden establecer comisiones de  la</w:t>
        <w:br/>
        <w:t>verdad, las que contribuyen a la construcción y preservación de  la  memoria</w:t>
        <w:br/>
        <w:t>histórica,  el   esclarecimiento   de   hechos   y   la   determinación   de</w:t>
        <w:br/>
        <w:t>responsabilidades institucionales,  sociales  y  políticas  en  determinados</w:t>
        <w:br/>
        <w:t>períodos  históricos  de  una  sociedad[262].  Aún  cuando   se   trata   de</w:t>
        <w:br/>
        <w:t>determinaciones de la verdad que son complementarias  entre  sí,  pues  cada</w:t>
        <w:br/>
        <w:t>una tiene un sentido y alcance propios, así como potencialidades  y  límites</w:t>
        <w:br/>
        <w:t>particulares, que dependen del contexto en el que surgen y de  los  casos  y</w:t>
        <w:br/>
        <w:t>circunstancias concretas que analicen[263], la Corte  ha  establecido  estas</w:t>
        <w:br/>
        <w:t>comisiones no sustituyan la obligación del Estado de establecer la verdad  a</w:t>
        <w:br/>
        <w:t>través de procesos judiciales[264].</w:t>
        <w:br/>
        <w:br/>
        <w:t>Respecto del presente caso, a pesar de las limitaciones reseñadas en  cuanto</w:t>
        <w:br/>
        <w:t>a  la  recepción  de  información  (supra  párr.  174),   la   Comisión   de</w:t>
        <w:br/>
        <w:t>Esclarecimiento Histórico contó con suficientes  elementos  para  establecer</w:t>
        <w:br/>
        <w:t>que lo ocurrido al señor García había constituido una  desaparición  forzada</w:t>
        <w:br/>
        <w:t>cometida por agentes estatales, específicamente,  miembros  del  Brigada  de</w:t>
        <w:br/>
        <w:t>Operaciones Especiales de la Policía Nacional  (BROE),  quienes  lo  habrían</w:t>
        <w:br/>
        <w:t>herido al momento de su detención, luego de lo cual  habría  sido  mantenido</w:t>
        <w:br/>
        <w:t>en centros clandestinos de detención (supra párr. 68).  Además,  esa  verdad</w:t>
        <w:br/>
        <w:t>histórica, establecida por la CEH en 1999, complementa  la  verdad  judicial</w:t>
        <w:br/>
        <w:t>que ha sido parcialmente  establecida  en  el  proceso  penal  donde,  hasta</w:t>
        <w:br/>
        <w:t>ahora, han sido condenados dos autores materiales y están siendo  procesados</w:t>
        <w:br/>
        <w:t>dos presuntos autores intelectuales (supra párrs. 78 a 81,  93  y  128).  Si</w:t>
        <w:br/>
        <w:t>bien con la aparición del Diario Militar en 1999 y del Archivo Histórico  de</w:t>
        <w:br/>
        <w:t>la  Policía  en  2005,  ambos  por  vías  extraoficiales,  se  evidenció  el</w:t>
        <w:br/>
        <w:t>ocultamiento de información estatal (supra párrs. 55, 56  y  60),  la  Corte</w:t>
        <w:br/>
        <w:t>observa que, en el caso concreto, ello no impidió a la CEH la  determinación</w:t>
        <w:br/>
        <w:t>esencial de una verdad extrajudicial sobre  lo  sucedido  a  Edgar  Fernando</w:t>
        <w:br/>
        <w:t>García, ni tampoco impidió que  años  después  se  estableciera  una  verdad</w:t>
        <w:br/>
        <w:t>judicial dentro del proceso penal aún abierto a nivel interno.  A  pesar  de</w:t>
        <w:br/>
        <w:t>que  la  Corte  ha  identificado  ciertas  falencias  en  el   procedimiento</w:t>
        <w:br/>
        <w:t>judicial,  considera  que  dichos  alegatos  ya  fueron  analizados,  en  lo</w:t>
        <w:br/>
        <w:t>sustancial, en el  análisis  realizado  bajo  el  derecho  de  acceso  a  la</w:t>
        <w:br/>
        <w:t>justicia y la obligación  de  investigar  en  el  capítulo  VIII-2  de  esta</w:t>
        <w:br/>
        <w:t>Sentencia. En consecuencia, el Tribunal  no  considera  necesario  hacer  un</w:t>
        <w:br/>
        <w:t>pronunciamiento adicional respecto de la alegada violación del derecho a  la</w:t>
        <w:br/>
        <w:t>verdad formulada por las representantes.</w:t>
        <w:br/>
        <w:br/>
        <w:br/>
        <w:t xml:space="preserve">      C) Respecto de las Libertades de Asociación y de Expresión</w:t>
        <w:br/>
        <w:br/>
        <w:t>La Comisión señaló  que  “con  posterioridad  a  la  desaparición  de  Edgar</w:t>
        <w:br/>
        <w:t>Fernando García, sus familiares vieron restringido su  derecho  a  denunciar</w:t>
        <w:br/>
        <w:t>lo ocurrido, por las constantes amenazas y  hostigamientos  en  su  contra”.</w:t>
        <w:br/>
        <w:t>Asimismo,  consideró  que,  “[s]i  bien  no  consta  que  el   Estado   haya</w:t>
        <w:br/>
        <w:t>restringido de modo formal el ejercicio  [del]  derecho  a  la  libertad  de</w:t>
        <w:br/>
        <w:t>asociación [de la señora Nineth  Montenegro  y  María  Emilia  García,  como</w:t>
        <w:br/>
        <w:t>miembros del GAM,] esta libertad se  vio  gravemente  restringida  de  facto</w:t>
        <w:br/>
        <w:t>como consecuencia de las amenazas  y  hostigamientos  que  recibieron”.  Los</w:t>
        <w:br/>
        <w:t>representantes concordaron con la Comisión e indicaron que  en  respuesta  a</w:t>
        <w:br/>
        <w:t>las solicitudes del GAM fueron criminalizados e  incluso  “algunos  miembros</w:t>
        <w:br/>
        <w:t>de la junta directiva del Grupo de Apoyo Mutuo fueron  asesinados”.  Por  su</w:t>
        <w:br/>
        <w:t>parte, el Estado, si bien indicó en su escrito  de  contestación  indicó  su</w:t>
        <w:br/>
        <w:t>“oposición total” a la supuesta violación a la libertad de expresión y a  la</w:t>
        <w:br/>
        <w:t>libertad de asociación de los familiares de Edgar  Fernando  García,  en  la</w:t>
        <w:br/>
        <w:t>audiencia  pública  y  en  sus  alegatos  finales  escritos   manifestó   su</w:t>
        <w:br/>
        <w:t>aceptación parcial de la supuesta violación de dichos derechos  respecto  de</w:t>
        <w:br/>
        <w:t>éstas[265].</w:t>
        <w:br/>
        <w:br/>
        <w:t>La Corte toma nota del reconocimiento parcial de  responsabilidad  realizado</w:t>
        <w:br/>
        <w:t>por el Estado (supra párrs. 13.b.4 y 178). Al respecto, el Tribunal  observa</w:t>
        <w:br/>
        <w:t>que a raíz de la desaparición forzada de Edgar Fernando García, su  madre  y</w:t>
        <w:br/>
        <w:t>la  señora  Montenegro  se  unieron  con  otros   familiares   de   personas</w:t>
        <w:br/>
        <w:t>desaparecidas y crearon el Grupo de Apoyo Mutuo, en búsqueda de  justicia  y</w:t>
        <w:br/>
        <w:t>en defensa de los derechos humanos[266] (supra párr. 83).  En  consecuencia,</w:t>
        <w:br/>
        <w:t>conjuntamente con las consideraciones ya establecidas sobre la  libertad  de</w:t>
        <w:br/>
        <w:t>asociación (supra párrs. 116 y 117), la alegada violación a este derecho  en</w:t>
        <w:br/>
        <w:t>relación con los familiares de Edgar Fernando García, debe analizarse en  el</w:t>
        <w:br/>
        <w:t>contexto de la relación que existe entre el ejercicio de dicho  derecho  con</w:t>
        <w:br/>
        <w:t>el trabajo de promoción y defensa de  los  derechos  humanos.  Al  respecto,</w:t>
        <w:br/>
        <w:t>este Tribunal ha establecido que los Estados tienen el  deber  de  facilitar</w:t>
        <w:br/>
        <w:t>los medios necesarios para que los defensores de derechos  humanos  realicen</w:t>
        <w:br/>
        <w:t>libremente sus actividades; protegerlos cuando son objeto de  amenazas  para</w:t>
        <w:br/>
        <w:t>evitar  los  atentados  a  su  vida  e  integridad;  abstenerse  de  imponer</w:t>
        <w:br/>
        <w:t>obstáculos que dificulten la realización de su labor, e investigar  seria  y</w:t>
        <w:br/>
        <w:t>eficazmente  las  violaciones  cometidas  en  su  contra,   combatiendo   la</w:t>
        <w:br/>
        <w:t>impunidad[267].</w:t>
        <w:br/>
        <w:br/>
        <w:t>La Corte resalta que a  partir  de  documentos  encontrados  en  el  Archivo</w:t>
        <w:br/>
        <w:t>Histórico de la Policía Nacional, surgió evidencia que en  1984  la  Policía</w:t>
        <w:br/>
        <w:t>Nacional consideraba a los miembros del GAM como  “auténticos  enemigos  del</w:t>
        <w:br/>
        <w:t>Gobierno Militar y de sus Fuerzas de Seguridad  en  General”,  por  lo  cual</w:t>
        <w:br/>
        <w:t>consideraban que “actuando en legítima defensa, ha[bía] que proceder  en  su</w:t>
        <w:br/>
        <w:t>contra, para neutralizarlos o anularlos”  (supra  párr.  84).  En  el  mismo</w:t>
        <w:br/>
        <w:t>sentido, la tercera sección del Diario Militar señala en  manuscrito  “Apoyo</w:t>
        <w:br/>
        <w:t>Mutuo”, está fechada 20 de noviembre  de  1984  y  lista  a  Edgar  Fernando</w:t>
        <w:br/>
        <w:t>García junto con otras nueve personas,  indicando,  ente  otros,  su  alias,</w:t>
        <w:br/>
        <w:t>presunta afiliación, fecha de secuestro por desconocidos y el nombre  de  su</w:t>
        <w:br/>
        <w:t>esposa y su madre. El informe de la Secretaría de la  Paz,  explicó  que  en</w:t>
        <w:br/>
        <w:t>esta sección se listaba  a  las  personas  “cuyas  familias  se  encontraban</w:t>
        <w:br/>
        <w:t>organizadas en el Grupo de Apoyo Mutuo”[268]. Asimismo,  la  cuarta  sección</w:t>
        <w:br/>
        <w:t>del Diario Militar incluye al GAM dentro de una lista titulada “N[ó]mina  de</w:t>
        <w:br/>
        <w:t>Organizaciones  de  ‘Fachada’  al   servicio   de   la   subversi[ó]n”[269].</w:t>
        <w:br/>
        <w:t>Adicionalmente, en 1985 el entonces Jefe de  Estado  declaró  en  televisión</w:t>
        <w:br/>
        <w:t>que “el ‘GAM’ estaba siendo manipulado por la subversión”, por lo  cual  “se</w:t>
        <w:br/>
        <w:t>adoptarían las medidas para contrarrestarlo y  que  en  adelante  no  se  le</w:t>
        <w:br/>
        <w:t>tolerarían más demostraciones”[270] (supra párr. 85). En el  Tercer  Informe</w:t>
        <w:br/>
        <w:t>sobre  la  Situación  de  Derechos  Humanos  en   Guatemala,   la   Comisión</w:t>
        <w:br/>
        <w:t>Interamericana resaltó que “inmediatamente después de  tales  declaraciones,</w:t>
        <w:br/>
        <w:t>el ‘GAM’ empezó a ser severamente hostilizado”, reportando además que en  el</w:t>
        <w:br/>
        <w:t>mes  siguiente  habrían  sido  asesinados  dos  dirigentes  del  GAM  y  los</w:t>
        <w:br/>
        <w:t>familiares de una de éstas[271].</w:t>
        <w:br/>
        <w:br/>
        <w:t>Los referidos antecedentes demuestran la percepción que  tenía  el  gobierno</w:t>
        <w:br/>
        <w:t>de 1984 y 1985 sobre el GAM. No obstante, el Tribunal constató  que  durante</w:t>
        <w:br/>
        <w:t>el conflicto armado interno en Guatemala el concepto de  “enemigo  interno”,</w:t>
        <w:br/>
        <w:t>contra quienes  se  dirigían  las  acciones  contrainsurgentes  del  Estado,</w:t>
        <w:br/>
        <w:t>incluía a “aquéllos que por  cualquier  causa  no  estuvieran  a  favor  del</w:t>
        <w:br/>
        <w:t>régimen establecido” (supra párr. 51). En este sentido,  las  organizaciones</w:t>
        <w:br/>
        <w:t>que buscaban justicia también comenzaron a ser consideradas  como  “enemigos</w:t>
        <w:br/>
        <w:t>internos”,  por  lo  cual  sus  miembros   fueron   objeto   de   represión,</w:t>
        <w:br/>
        <w:t>deslegitimación,  acciones  intimidatorias,  amenazas   y   violaciones   de</w:t>
        <w:br/>
        <w:t>derechos humanos. Al  respecto,  la  CEH  indicó  que  “[a]nte  el  carácter</w:t>
        <w:br/>
        <w:t>contestatario de estas organizaciones, el  Ejército  y  los  gobernantes  de</w:t>
        <w:br/>
        <w:t>turno respondieron con acciones intimidatorias que incluían las  acusaciones</w:t>
        <w:br/>
        <w:t>públicas de pertenecer a la guerrilla o, en casos extremos, el  asesinato  y</w:t>
        <w:br/>
        <w:t>la desaparición de sus miembros”[272]. De acuerdo  a  la  CEH,  el  GAM  fue</w:t>
        <w:br/>
        <w:t>precisamente una de las organizaciones más afectadas[273].</w:t>
        <w:br/>
        <w:br/>
        <w:t>El Tribunal resalta que, según la CEH, entre 1989 y 1993  habría  continuado</w:t>
        <w:br/>
        <w:t>la situación de riesgo y persecución en contra de los miembros del  GAM.  En</w:t>
        <w:br/>
        <w:t>particular, en el informe de la CEH se reportó que en dicho período  habrían</w:t>
        <w:br/>
        <w:t>secuestrado o desaparecido a tres activistas del GAM  y  cinco  más  habrían</w:t>
        <w:br/>
        <w:t>sido secuestrados y asesinados.  Asimismo,  en  1989  habría  explotado  una</w:t>
        <w:br/>
        <w:t>bomba frente a las instalaciones del GAM, entre otros atentados, y el  27  y</w:t>
        <w:br/>
        <w:t>29 de octubre de 1993 las oficinas habrían sido allanadas (supra párr.  86).</w:t>
        <w:br/>
        <w:t>En consecuencia es evidente que la situación de peligro  para  los  miembros</w:t>
        <w:br/>
        <w:t>del GAM se prolongó tras la aceptación de la competencia de la  Corte  hasta</w:t>
        <w:br/>
        <w:t>al menos  1993.  Es  claro  para  el  Tribunal  el  efecto  intimidatorio  o</w:t>
        <w:br/>
        <w:t>amedrentador que este contexto pudo generar, tanto en la  señora  Montenegro</w:t>
        <w:br/>
        <w:t>como  en  la  señora  García,  ambas  miembros   y   fundadoras   del   GAM.</w:t>
        <w:br/>
        <w:t>Adicionalmente, la señora Montenegro fue objeto  de  amenazas  de  muerte  y</w:t>
        <w:br/>
        <w:t>vigilancia. La Corte considera que, esta  situación  de  peligro  representó</w:t>
        <w:br/>
        <w:t>una restricción de facto al derecho de la libertad de  asociación.  En  este</w:t>
        <w:br/>
        <w:t>sentido, el Tribunal no considera admisible el alegato del Estado  según  el</w:t>
        <w:br/>
        <w:t>cual no  se  habría  violado  la  libertad  de  asociación  de  las  señoras</w:t>
        <w:br/>
        <w:t>Montenegro y García por el hecho de que pudieron  fundar  el  GAM  en  1984.</w:t>
        <w:br/>
        <w:t>Asimismo, la Corte recuerda que es  deber  del  Estado  no  sólo  crear  las</w:t>
        <w:br/>
        <w:t>condiciones legales y formales,  sino  también  garantizar  las  condiciones</w:t>
        <w:br/>
        <w:t>fácticas  en  las  cuales  los  defensores  de   derechos   humanos   puedan</w:t>
        <w:br/>
        <w:t>desarrollar libremente su función. Por tanto, el Tribunal considera  que  el</w:t>
        <w:br/>
        <w:t>Estado no generó las condiciones necesarias ni brindó las debidas  garantías</w:t>
        <w:br/>
        <w:t>para que,  como  defensoras  de  derechos  humanos,  pudieran  realizar  sus</w:t>
        <w:br/>
        <w:t>actividades libremente.</w:t>
        <w:br/>
        <w:br/>
        <w:t>En cuanto a la alegada violación  al  derecho  de  asociación  de  Alejandra</w:t>
        <w:br/>
        <w:t>García Montenegro, quien tenía  tres  años  y  nueve  meses  al  momento  de</w:t>
        <w:br/>
        <w:t>reconocimiento de competencia por parte de  Guatemala,  la  Corte  considera</w:t>
        <w:br/>
        <w:t>necesario recordar que ha reconocido que  los  niños  y  niñas  ejercen  sus</w:t>
        <w:br/>
        <w:t>derechos de manera progresiva a medida que desarrollan  un  mayor  nivel  de</w:t>
        <w:br/>
        <w:t>autonomía personal, por lo  que  en  su  primera  infancia  actúan  en  este</w:t>
        <w:br/>
        <w:t>sentido por conducto de sus familiares. Evidentemente, hay gran variedad  en</w:t>
        <w:br/>
        <w:t>el grado de desarrollo físico e intelectual,  en  la  experiencia  y  en  la</w:t>
        <w:br/>
        <w:t>información que poseen cada niña o niño[274].</w:t>
        <w:br/>
        <w:br/>
        <w:t>Asimismo, la Corte señala, tal como lo ha hecho en otros  casos,  que  tanto</w:t>
        <w:br/>
        <w:t>la Convención Americana como la  Convención  sobre  los  Derechos  del  Niño</w:t>
        <w:br/>
        <w:t>forman parte de un muy comprensivo corpus juris internacional de  protección</w:t>
        <w:br/>
        <w:t>de los niños que sirve a esta Corte para fijar el contenido y  los  alcances</w:t>
        <w:br/>
        <w:t>de la disposición general definidas en  el  artículo  19  de  la  Convención</w:t>
        <w:br/>
        <w:t>Americana[275]. La Convención sobre los Derechos del Niño, la cual  ha  sido</w:t>
        <w:br/>
        <w:t>ratificada   de   forma   prácticamente   universal,    contiene    diversas</w:t>
        <w:br/>
        <w:t>disposiciones que se refieren a las obligaciones del Estado en relación  con</w:t>
        <w:br/>
        <w:t>los menores de edad. En ese sentido, su artículo 15 reconoce  “los  derechos</w:t>
        <w:br/>
        <w:t>de los niños a la libertad de asociación”, sin mayores  restricciones  a  su</w:t>
        <w:br/>
        <w:t>ejercicio que aquellas “establecidas de conformidad con la ley  y  que  sean</w:t>
        <w:br/>
        <w:t>necesarias en una sociedad democrática, en interés de la seguridad  nacional</w:t>
        <w:br/>
        <w:t>o pública, el orden público, la protección de la salud y la  moral  públicas</w:t>
        <w:br/>
        <w:t>o la protección de los derechos y libertad de los demás”.</w:t>
        <w:br/>
        <w:br/>
        <w:t>La Corte observa que,  respecto  de  la  alegada  violación  al  derecho  de</w:t>
        <w:br/>
        <w:t>asociación  de  Alejandra  García  Montenegro,  no  cuenta   con   elementos</w:t>
        <w:br/>
        <w:t>suficientes para sostener que se generó dicha violación en su perjuicio.  La</w:t>
        <w:br/>
        <w:t>información aportada  al  respecto  revela  la  violación  a  la  integridad</w:t>
        <w:br/>
        <w:t>personal de Alejandra García Montenegro por el sufrimiento que le  causó  la</w:t>
        <w:br/>
        <w:t>situación vivida  en  su  familia,  como  consecuencia  de  la  desaparición</w:t>
        <w:br/>
        <w:t>forzada de su  padre  y  el  haber  podido  acompañar  a  su  madre  en  las</w:t>
        <w:br/>
        <w:t>actividades de búsqueda de su  padre  durante  su  primera  infancia  (supra</w:t>
        <w:br/>
        <w:t>párr. 87), lo cual fue analizado por el Tribunal en el acápite  A  supra  de</w:t>
        <w:br/>
        <w:t>este capítulo.</w:t>
        <w:br/>
        <w:br/>
        <w:t>En virtud de las consideraciones anteriores, la Corte declara que el  Estado</w:t>
        <w:br/>
        <w:t>violó el derecho a la libertad de  asociación,  consagrado  en  el  artículo</w:t>
        <w:br/>
        <w:t>16.1 de la Convención Americana, en relación con  el  deber  de  respetar  y</w:t>
        <w:br/>
        <w:t>garantizar lo establecido en el  artículo  1.1  del  mismo  instrumento,  en</w:t>
        <w:br/>
        <w:t>perjuicio de Nineth Varenca Montenegro Cottom y María Emilia García.</w:t>
        <w:br/>
        <w:br/>
        <w:t>Por último, respecto a la alegada violación de la libertad de expresión,  la</w:t>
        <w:br/>
        <w:t>Corte reitera que las partes tienen la carga de demostrar que dicha  alegada</w:t>
        <w:br/>
        <w:t>violación se configura  por  motivos  distintos  a  la  relación  intrínseca</w:t>
        <w:br/>
        <w:t>existente entre este derecho y la libertad de asociación (supra párr.  122).</w:t>
        <w:br/>
        <w:t>Por tanto, el Tribunal advierte que no corresponde declarar una violación  a</w:t>
        <w:br/>
        <w:t>la libertad de expresión por los  mismos  motivos  por  los  cuales  ya  fue</w:t>
        <w:br/>
        <w:t>establecida la violación de la libertad de asociación. En este  sentido,  la</w:t>
        <w:br/>
        <w:t>Corte  considera  que,  si  bien  en  el  presente  caso  existen  elementos</w:t>
        <w:br/>
        <w:t>contextuales que evidencian un grado de riesgo a la libertad  de  expresión,</w:t>
        <w:br/>
        <w:t>no fueron aportados elementos suficientes para determinar  que  existió  una</w:t>
        <w:br/>
        <w:t>violación autónoma al derecho a la libertad de  expresión  en  perjuicio  de</w:t>
        <w:br/>
        <w:t>los familiares de Edgar Fernando García en relación con este punto.</w:t>
        <w:br/>
        <w:br/>
        <w:t xml:space="preserve">                                     IX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Americana[276], la Corte ha indicado que toda violación  de  una  obligación</w:t>
        <w:br/>
        <w:t>internacional que  haya  producido  daño  comporta  el  deber  de  repararlo</w:t>
        <w:br/>
        <w:t>adecuadamente[277] y que esa disposición recoge  una  norma  consuetudinaria</w:t>
        <w:br/>
        <w:t>que  constituye  uno   de   los   principios   fundamentales   del   Derecho</w:t>
        <w:br/>
        <w:t>Internacional contemporáneo sobre responsabilidad de un Estado[278].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De no ser esto factible, como ocurre en  la  mayoría  de</w:t>
        <w:br/>
        <w:t>los casos de violaciones a derechos humanos, el Tribunal  determinará  otras</w:t>
        <w:br/>
        <w:t>medidas  para  garantizar   los   derechos   conculcados   y   reparar   las</w:t>
        <w:br/>
        <w:t>consecuencias que las infracciones produjeron[279]. Por tanto, la  Corte  ha</w:t>
        <w:br/>
        <w:t>considerado la necesidad de otorgar diversas medidas de  reparación,  a  fin</w:t>
        <w:br/>
        <w:t>de resarcir los  daños  de  manera  integral,  por  lo  que  además  de  las</w:t>
        <w:br/>
        <w:t>compensaciones pecuniarias,  las  medidas  de  restitución,  satisfacción  y</w:t>
        <w:br/>
        <w:t>garantías  de  no  repetición  tienen  especial  relevancia  por  los  daños</w:t>
        <w:br/>
        <w:t>ocasionados[280].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 como  las  medidas  solicitadas  para  reparar  los  daños</w:t>
        <w:br/>
        <w:t>respectivos. Por lo tanto, la Corte deberá observar dicha concurrencia  para</w:t>
        <w:br/>
        <w:t>pronunciarse debidamente y conforme a derecho[281].</w:t>
        <w:br/>
        <w:br/>
        <w:t>En consideración del acuerdo de reparaciones alcanzado entre las  partes  en</w:t>
        <w:br/>
        <w:t>el presente caso, el cual ha sido previamente homologado por  este  Tribunal</w:t>
        <w:br/>
        <w:t>(supra párr. 23), corresponde a la Corte determinar el alcance y  formas  de</w:t>
        <w:br/>
        <w:t>ejecución de las reparaciones acordadas, a la luz de los  criterios  fijados</w:t>
        <w:br/>
        <w:t>en su jurisprudencia y en relación con la naturaleza, objeto  y  fin  de  la</w:t>
        <w:br/>
        <w:t>obligación  de  reparar  integralmente   los   daños   ocasionados   a   las</w:t>
        <w:br/>
        <w:t>víctimas[282].  La  Corte  realizará  dicho  análisis  de  acuerdo  con   el</w:t>
        <w:br/>
        <w:t>reconocimiento parcial de responsabilidad efectuado  por  el  Estado  (supra</w:t>
        <w:br/>
        <w:t>capítulo III), las consideraciones sobre el fondo y  las  violaciones  a  la</w:t>
        <w:br/>
        <w:t>Convención Americana declaradas en los capítulos anteriores.</w:t>
        <w:br/>
        <w:br/>
        <w:t xml:space="preserve">      A)    Parte Lesionada</w:t>
        <w:br/>
        <w:br/>
        <w:t>El Tribunal reitera que considera  parte  lesionada,  en  los  términos  del</w:t>
        <w:br/>
        <w:t>artículo 63.1 de la Convención, a quienes han sido declarados víctima de  la</w:t>
        <w:br/>
        <w:t>violación de algún derecho reconocido en la misma. Por lo tanto, esta  Corte</w:t>
        <w:br/>
        <w:t>considera como “parte lesionada” a Edgar Fernando García, y sus  familiares,</w:t>
        <w:br/>
        <w:t>Nineth Varenca  Montenegro  Cottom,  Alejandra  García  Montenegro  y  María</w:t>
        <w:br/>
        <w:t>Emilia García, quienes  en  su  carácter  de  víctimas  de  las  violaciones</w:t>
        <w:br/>
        <w:t>declaradas en los capítulos VIII-1,  VIII-2  y  VIII-3,  serán  considerados</w:t>
        <w:br/>
        <w:t>beneficiarios de las reparaciones que ordene el Tribunal.</w:t>
        <w:br/>
        <w:br/>
        <w:t xml:space="preserve">       B)     Obligación  de  investigar  los  hechos  que   generaron   las</w:t>
        <w:br/>
        <w:t xml:space="preserve">      violaciones e identificar, juzgar y,  en  su  caso,  sancionar  a  los</w:t>
        <w:br/>
        <w:t xml:space="preserve">      responsables, así como determinar el paradero de la víctima</w:t>
        <w:br/>
        <w:br/>
        <w:br/>
        <w:t xml:space="preserve">           B.1)  Obligación de investigar los hechos,  identificar,  juzgar</w:t>
        <w:br/>
        <w:t xml:space="preserve">           y, en  su  caso,  sancionar  a  los  responsables  materiales  e</w:t>
        <w:br/>
        <w:t xml:space="preserve">           intelectuales</w:t>
        <w:br/>
        <w:br/>
        <w:t>La  Comisión  solicitó  a  la  Corte  que  ordene  al  Estado   “[c]ompletar</w:t>
        <w:br/>
        <w:t>eficazmente, en un  plazo  razonable,  la  investigación  para  identificar,</w:t>
        <w:br/>
        <w:t>juzgar y sancionar a todos los responsables materiales  e  intelectuales  de</w:t>
        <w:br/>
        <w:t>las violaciones a los derechos humanos cometidas en perjuicio de la  víctima</w:t>
        <w:br/>
        <w:t>del presente caso”. Los representantes reconocieron los avances y  esfuerzos</w:t>
        <w:br/>
        <w:t>en relación con la justicia. No obstante, solicitaron a la Corte que  ordene</w:t>
        <w:br/>
        <w:t>al Estado a “continu[ar] las investigaciones, tendientes  a  dar  con  todos</w:t>
        <w:br/>
        <w:t>los responsables materiales e intelectuales por la desaparición forzada”,  y</w:t>
        <w:br/>
        <w:t>que el Estado se comprometa a informar  a  los  familiares,  cada  3  meses,</w:t>
        <w:br/>
        <w:t>acerca de los avances en la investigación.</w:t>
        <w:br/>
        <w:br/>
        <w:t>En el acuerdo de reparaciones el Estado  se  comprometió  a  “continuar  […]</w:t>
        <w:br/>
        <w:t>promoviendo la investigación del caso a  través  de  un  Comité  de  Impulso</w:t>
        <w:br/>
        <w:t>integrado  por  el  Ministerio  Público,  [el]  Organismo   Judicial,   [la]</w:t>
        <w:br/>
        <w:t>Procuraduría de Derechos Humanos y los representantes de los  peticionarios;</w:t>
        <w:br/>
        <w:t>[el cual] será convocado por la Comisión  Presidencial  Coordinadora  de  la</w:t>
        <w:br/>
        <w:t>Política del Ejecutivo en  Materia  de  Derechos  Humanos  –COPREDEH-  y  se</w:t>
        <w:br/>
        <w:t>reunirá cada seis meses para informar a la familia  y  representantes  sobre</w:t>
        <w:br/>
        <w:t>los avances en la materia”.</w:t>
        <w:br/>
        <w:br/>
        <w:t>La Corte valora positivamente  la  voluntad  demostrada  por  el  Estado  de</w:t>
        <w:br/>
        <w:t>avanzar en la investigación de los hechos del  presente  caso  (supra  párr.</w:t>
        <w:br/>
        <w:t>194). Asimismo, el Tribunal valora el compromiso adquirido por Guatemala  de</w:t>
        <w:br/>
        <w:t>conformar un Comité de Impulso integrado por diferentes  entidades,  por  lo</w:t>
        <w:br/>
        <w:t>cual homologa esta medida, en los términos del acuerdo de reparaciones.</w:t>
        <w:br/>
        <w:br/>
        <w:t>Teniendo en cuenta este compromiso del Estado,  así  como  las  conclusiones</w:t>
        <w:br/>
        <w:t>señaladas en el Capítulo VIII-2,  la  Corte  recuerda  que  el  Estado  debe</w:t>
        <w:br/>
        <w:t>continuar  y  concluir  eficazmente  y   con   la   mayor   diligencia   las</w:t>
        <w:br/>
        <w:t>investigaciones que sean necesarias para determinar y en su  caso  sancionar</w:t>
        <w:br/>
        <w:t>a los  demás  responsables,  tanto  materiales  como  intelectuales,  de  la</w:t>
        <w:br/>
        <w:t>desaparición forzada de Edgar Fernando García.  Dicha  obligación  debe  ser</w:t>
        <w:br/>
        <w:t>cumplida en un plazo razonable a fin de establecer la verdad de los  hechos,</w:t>
        <w:br/>
        <w:t>tomando en cuenta que han trascurrido aproximadamente más de 28  años  desde</w:t>
        <w:br/>
        <w:t>su desaparición. En particular, el Estado deberá velar  porque  se  observen</w:t>
        <w:br/>
        <w:t>los siguientes criterios:</w:t>
        <w:br/>
        <w:br/>
        <w:t xml:space="preserve">      a)    continuar y concluir la o  las  investigaciones  pertinentes  en</w:t>
        <w:br/>
        <w:t xml:space="preserve">      relación con los hechos del presente caso, con el  objeto  de  que  el</w:t>
        <w:br/>
        <w:t xml:space="preserve">      proceso y las investigaciones sean conducidas en consideración  de  la</w:t>
        <w:br/>
        <w:t xml:space="preserve">      complejidad de los hechos y contexto de violaciones sistemáticas a los</w:t>
        <w:br/>
        <w:t xml:space="preserve">      derechos humanos en que ocurrieron, con la debida diligencia  evitando</w:t>
        <w:br/>
        <w:t xml:space="preserve">      omisiones en la recolección de prueba y en el  seguimiento  de  líneas</w:t>
        <w:br/>
        <w:t xml:space="preserve">      lógicas de investigación;</w:t>
        <w:br/>
        <w:br/>
        <w:br/>
        <w:t xml:space="preserve">      b)     por tratarse de una violación grave a los derechos  humanos  el</w:t>
        <w:br/>
        <w:t xml:space="preserve">      Estado deberá abstenerse de recurrir a figuras como  la  amnistía,  ni</w:t>
        <w:br/>
        <w:t xml:space="preserve">      argumentar  prescripción,  irretroactividad  de  la  ley  penal,  cosa</w:t>
        <w:br/>
        <w:t xml:space="preserve">      juzgada, ni el principio  non  bis  in  idem  o  cualquier  excluyente</w:t>
        <w:br/>
        <w:t xml:space="preserve">      similar  de  responsabilidad,  para  excusarse  de  la  obligación  de</w:t>
        <w:br/>
        <w:t xml:space="preserve">      investigar y sancionar a los responsables[283];</w:t>
        <w:br/>
        <w:br/>
        <w:br/>
        <w:t xml:space="preserve">      c)    asegurarse que: i)  las  autoridades  competentes  realicen  las</w:t>
        <w:br/>
        <w:t xml:space="preserve">      investigaciones correspondientes ex officio, y  que  para  tal  efecto</w:t>
        <w:br/>
        <w:t xml:space="preserve">      tengan a su  alcance  y  utilicen  todos  los  recursos  logísticos  y</w:t>
        <w:br/>
        <w:t xml:space="preserve">      científicos necesarios para recabar  y  procesar  las  pruebas  y,  en</w:t>
        <w:br/>
        <w:t xml:space="preserve">      particular, tengan las facultades para acceder a  la  documentación  e</w:t>
        <w:br/>
        <w:t xml:space="preserve">      información pertinentes  para  investigar  los  hechos  denunciados  y</w:t>
        <w:br/>
        <w:t xml:space="preserve">      llevar a cabo con  prontitud  aquellas  actuaciones  y  averiguaciones</w:t>
        <w:br/>
        <w:t xml:space="preserve">      esenciales para esclarecer lo sucedido a Edgar Fernando García, y  ii)</w:t>
        <w:br/>
        <w:t xml:space="preserve">      las autoridades se  abstengan  de  realizar  actos  que  impliquen  la</w:t>
        <w:br/>
        <w:t xml:space="preserve">      obstrucción del proceso investigativo;</w:t>
        <w:br/>
        <w:br/>
        <w:br/>
        <w:t xml:space="preserve">      d)      deberá  determinar  la  identidad  de  los  presuntos  autores</w:t>
        <w:br/>
        <w:t xml:space="preserve">      materiales e intelectuales de la desaparición forzada de la víctima;</w:t>
        <w:br/>
        <w:br/>
        <w:br/>
        <w:t>e)     deberá  iniciar  las  acciones  disciplinarias,   administrativas   o</w:t>
        <w:br/>
        <w:t>penales, de acuerdo con su legislación interna, de las posibles  autoridades</w:t>
        <w:br/>
        <w:t>del Estado que hayan obstaculizado o obstaculicen  la  investigación  debida</w:t>
        <w:br/>
        <w:t>de los hechos, así como los responsables de  las  distintas  irregularidades</w:t>
        <w:br/>
        <w:t>procesales que han contribuido a prolongar su impunidad, y</w:t>
        <w:br/>
        <w:br/>
        <w:t>f) deberá asegurar  que  los  distintos  órganos  del  sistema  de  justicia</w:t>
        <w:br/>
        <w:t>involucrados en el caso  cuenten  con  los  recursos  humanos  y  materiales</w:t>
        <w:br/>
        <w:t>necesarios para desempeñar sus tareas de manera  adecuada,  independiente  e</w:t>
        <w:br/>
        <w:t>imparcial, y que las personas que  participen  en  la  investigación,  entre</w:t>
        <w:br/>
        <w:t>ellas las víctimas o sus representantes, testigos y operadores de  justicia,</w:t>
        <w:br/>
        <w:t>cuenten con las debidas garantías de seguridad.</w:t>
        <w:br/>
        <w:br/>
        <w:t>Además, conforme a su jurisprudencia constante[284], la  Corte  reitera  que</w:t>
        <w:br/>
        <w:t>el Estado debe asegurar el  pleno  acceso  y  capacidad  de  actuar  de  las</w:t>
        <w:br/>
        <w:t>víctimas o sus familiares en todas las  etapas  de  la  investigación  y  el</w:t>
        <w:br/>
        <w:t>juzgamiento de los responsables, de acuerdo con la ley interna y las  normas</w:t>
        <w:br/>
        <w:t>de la Convención Americana. Dicha participación deberá tener como  finalidad</w:t>
        <w:br/>
        <w:t>el acceso a la justicia, el conocimiento de la verdad de lo  ocurrido  y  el</w:t>
        <w:br/>
        <w:t>otorgamiento de una justa reparación. Adicionalmente, los resultados de  los</w:t>
        <w:br/>
        <w:t>procesos correspondientes  deberán  ser  publicados  para  que  la  sociedad</w:t>
        <w:br/>
        <w:t>guatemalteca conozca los hechos objeto del presente caso,  así  como  a  sus</w:t>
        <w:br/>
        <w:t>responsables.</w:t>
        <w:br/>
        <w:br/>
        <w:t xml:space="preserve">           B.2)  Determinación del paradero de Edgar Fernando García</w:t>
        <w:br/>
        <w:br/>
        <w:t>La Comisión solicitó a la Corte que ordene al  Estado  adoptar  las  medidas</w:t>
        <w:br/>
        <w:t>necesarias para “[b]uscar e identificar a la víctima desaparecida y en  caso</w:t>
        <w:br/>
        <w:t>de ser hallada sin vida, entregar los restos mortales  a  sus  familiares  y</w:t>
        <w:br/>
        <w:t>cubrir los gastos respectivos”. Los representantes solicitaron  a  la  Corte</w:t>
        <w:br/>
        <w:t>que ordene al Estado “en un plazo  razonable  inform[ar]  a  sus  familiares</w:t>
        <w:br/>
        <w:t>sobre su paradero”.</w:t>
        <w:br/>
        <w:br/>
        <w:t>En el acuerdo de reparaciones el Estado se comprometió a “[s]olicitar  a  la</w:t>
        <w:br/>
        <w:t>Fundación  de  Antropología  Forense  –FAFG-  y  al  Instituto  Nacional  de</w:t>
        <w:br/>
        <w:t>Ciencias Forenses –INACIF-, información sobre hallazgos  relacionados  [con]</w:t>
        <w:br/>
        <w:t>la ubicación de los restos de Edgar Fernando García a través del  Comité  de</w:t>
        <w:br/>
        <w:t>Impulso […] cuando así  se  considere  pertinente”.  La  Corte  valora  este</w:t>
        <w:br/>
        <w:t>compromiso del Estado, por lo cual homologa esta medida de reparación, a  la</w:t>
        <w:br/>
        <w:t>luz de lo establecido por las partes en el acuerdo de reparaciones.</w:t>
        <w:br/>
        <w:br/>
        <w:t>Sin perjuicio de ello, la Corte estima necesario que el Estado  efectúe  una</w:t>
        <w:br/>
        <w:t>búsqueda seria por la vía judicial y administrativa  adecuada,  en  la  cual</w:t>
        <w:br/>
        <w:t>realice todos los esfuerzos para determinar  el  paradero  del  señor  Edgar</w:t>
        <w:br/>
        <w:t>Fernando García a la mayor brevedad, la cual  deberá  realizarse  de  manera</w:t>
        <w:br/>
        <w:t>sistemática  y  rigurosa,  contar  con  los  recursos  humanos,  técnicos  y</w:t>
        <w:br/>
        <w:t>científicos adecuados  e  idóneos  y,  en  caso  de  ser  necesario,  deberá</w:t>
        <w:br/>
        <w:t>solicitarse la cooperación  de  otros  Estados.  Las  referidas  diligencias</w:t>
        <w:br/>
        <w:t>deberán ser informadas  a  sus  familiares  y  en  lo  posible  procurar  su</w:t>
        <w:br/>
        <w:t>presencia[285]. Si la víctima se encontrare fallecida, los  restos  mortales</w:t>
        <w:br/>
        <w:t>deben ser entregados a  sus  familiares,  previa  comprobación  genética  de</w:t>
        <w:br/>
        <w:t>filiación, a la mayor brevedad  posible  y  sin  costo  alguno  para  ellos.</w:t>
        <w:br/>
        <w:t>Además, el Estado deberá cubrir los gastos fúnebres, en su  caso,  de  común</w:t>
        <w:br/>
        <w:t>acuerdo con sus familiares[286].</w:t>
        <w:br/>
        <w:br/>
        <w:t>C)     Medidas  de  reparación   integral:   rehabilitación,   satisfacción,</w:t>
        <w:br/>
        <w:t>garantías de no repetición</w:t>
        <w:br/>
        <w:br/>
        <w:t xml:space="preserve">           C.1)  Medidas de Satisfacción</w:t>
        <w:br/>
        <w:br/>
        <w:br/>
        <w:t xml:space="preserve">                 C.1.a) Publicación y difusión de la Sentencia</w:t>
        <w:br/>
        <w:br/>
        <w:t>Los representantes solicitaron que “sea publicada la parte resolutiva de  la</w:t>
        <w:br/>
        <w:t>[S]entencia que emita este […] Tribunal, tanto en el  Diario  oficial,  como</w:t>
        <w:br/>
        <w:t>en un diario particular de mayor circulación en el país”.</w:t>
        <w:br/>
        <w:br/>
        <w:t>En el acuerdo de reparaciones el Estado se comprometió  a  “cumplir  con  la</w:t>
        <w:br/>
        <w:t>publicación de lo solicitado [por los representantes] en  el  transcurso  de</w:t>
        <w:br/>
        <w:t>dos meses de que la […] Corte resuelva”.</w:t>
        <w:br/>
        <w:br/>
        <w:t>La Corte valora positivamente la disposición del Estado de  cumplir  con  lo</w:t>
        <w:br/>
        <w:t>solicitado por los representantes, por lo cual  homologa  dicha  medida  tal</w:t>
        <w:br/>
        <w:t>cual  fue  acordada.  Asimismo,  el  Estado   deberá   incluir   en   dichas</w:t>
        <w:br/>
        <w:t>publicaciones una referencia en la cual se indique que el texto  íntegro  de</w:t>
        <w:br/>
        <w:t>esta Sentencia estará disponible en la página web del Tribunal.</w:t>
        <w:br/>
        <w:br/>
        <w:t xml:space="preserve">                 C.1.b) Acto público de  reconocimiento  de  responsabilidad</w:t>
        <w:br/>
        <w:t xml:space="preserve">                 internacional</w:t>
        <w:br/>
        <w:br/>
        <w:t>Los representantes solicitaron que el Estado brinde disculpas públicas a  la</w:t>
        <w:br/>
        <w:t>familia  de  Edgar  Fernando  García,  para  lo  cual  requirieron  que  “el</w:t>
        <w:br/>
        <w:t>Presidente de la República  de  Guatemala,  en  representación  del  Estado,</w:t>
        <w:br/>
        <w:t>reconozca la responsabilidad del hecho y le pida perdón a  la  familia,  [en</w:t>
        <w:br/>
        <w:t>un] acto que deberá ser realizado en el Palacio Nacional de la Cultura”.</w:t>
        <w:br/>
        <w:br/>
        <w:t>En el acuerdo de reparaciones  el  Estado  manifestó  que  “está  anuente  a</w:t>
        <w:br/>
        <w:t>reconocer  la  responsabilidad  y  pedir  perdón  a  la  familia   por   las</w:t>
        <w:br/>
        <w:t>violaciones y  daños  ocasionados  por  la  desaparición  forzada  de  Edgar</w:t>
        <w:br/>
        <w:t>Fernando García, en un acto público que se realizará en el Palacio  Nacional</w:t>
        <w:br/>
        <w:t>de la Cultura, el cual será presidido por el  Presidente  Constitucional  de</w:t>
        <w:br/>
        <w:t>la República, en el plazo  de  dos  meses  partir  de  la  firma  [de  dicho</w:t>
        <w:br/>
        <w:t>acuerdo]”.</w:t>
        <w:br/>
        <w:br/>
        <w:t>La Corte valora altamente la disposición del Estado  de  llevar  a  cabo  un</w:t>
        <w:br/>
        <w:t>acto público en el que reconozca su responsabilidad internacional  y  brinde</w:t>
        <w:br/>
        <w:t>disculpas por los hechos del  presente  caso,  por  lo  que  homologa  dicha</w:t>
        <w:br/>
        <w:t>medida en los términos acordados entre las  partes.  Asimismo,  el  Tribunal</w:t>
        <w:br/>
        <w:t>estima, como lo ha hecho en otros casos[287], que en dicho  acto  se  deberá</w:t>
        <w:br/>
        <w:t>hacer referencia a las violaciones a los derechos humanos declaradas  en  la</w:t>
        <w:br/>
        <w:t>presente  Sentencia.  Además,  el  Estado,  con  la  colaboración   de   los</w:t>
        <w:br/>
        <w:t>representantes, deberá intentar,  en  la  medida  de  lo  posible,  que  los</w:t>
        <w:br/>
        <w:t>familiares de Edgar Fernando García  asistan  a  la  ceremonia.  Para  ello,</w:t>
        <w:br/>
        <w:t>Guatemala deberá acordar con las víctimas o sus representantes la  modalidad</w:t>
        <w:br/>
        <w:t>de cumplimiento del acto público de reconocimiento, y  las  particularidades</w:t>
        <w:br/>
        <w:t>que se requieran, tales como el lugar y la fecha para  su  realización,  así</w:t>
        <w:br/>
        <w:t>como  también  brindar  a  los  asistentes  las  facilidades  necesarias  de</w:t>
        <w:br/>
        <w:t>transporte, logística, entre otras para tal fin.</w:t>
        <w:br/>
        <w:br/>
        <w:t xml:space="preserve">            C.2)       Medidas de Conmemoración y Homenaje a la víctima</w:t>
        <w:br/>
        <w:br/>
        <w:t xml:space="preserve">                 C.2.a) Construcción de espacios memorístico-culturales para</w:t>
        <w:br/>
        <w:t xml:space="preserve">                 la dignificación de  las  víctimas  de  violaciones  a  los</w:t>
        <w:br/>
        <w:t xml:space="preserve">                 derechos humanos</w:t>
        <w:br/>
        <w:br/>
        <w:br/>
        <w:t>Los  representantes  indicaron  que  las   instalaciones   de   la   Escuela</w:t>
        <w:br/>
        <w:t>Politécnica fueron utilizadas  durante  el  conflicto  armado  “como  cárcel</w:t>
        <w:br/>
        <w:t>clandestina y centro de tortura en contra  de  la  población  guatemalteca”,</w:t>
        <w:br/>
        <w:t>por lo cual consideraron necesario que “sea adecuada para instalar un  museo</w:t>
        <w:br/>
        <w:t>a la memoria histórica, en el cual se muestre  a  las  nuevas  generaciones,</w:t>
        <w:br/>
        <w:t>las violaciones que se dieron durante  el  conflicto  armado  interno  y  se</w:t>
        <w:br/>
        <w:t>garantice la no repetición”. Por su parte, el Estado indicó  en  su  escrito</w:t>
        <w:br/>
        <w:t>de contestación que la Dirección de Bienes  del  Estado  del  Ministerio  de</w:t>
        <w:br/>
        <w:t>Finanzas  Públicas  había  resuelto  en   una   opinión   consultiva   sobre</w:t>
        <w:br/>
        <w:t>imposibilidad de instalar el  museo  en  las  instalaciones  de  la  antigua</w:t>
        <w:br/>
        <w:t>Escuela Politécnica ya que el inmueble “se encuentra bajo la  administración</w:t>
        <w:br/>
        <w:t>del Ministerio de la Defensa Nacional” por lo cual no se podía atender a  la</w:t>
        <w:br/>
        <w:t>solicitud realizada por la  Presidenta  de  la  COPREDEH.  No  obstante,  se</w:t>
        <w:br/>
        <w:t>comprometió a “seguir realizando las gestiones en relación con la medida  de</w:t>
        <w:br/>
        <w:t>reparación”.</w:t>
        <w:br/>
        <w:br/>
        <w:t>Posteriormente, en el acuerdo de reparaciones el  Estado  se  comprometió  a</w:t>
        <w:br/>
        <w:t>“impulsar de manera  coordinada  y  complementaria  entre  el  Estado  y  la</w:t>
        <w:br/>
        <w:t>sociedad civil la iniciativa denominada  ‘Memorial  para  la  Concordia’,  a</w:t>
        <w:br/>
        <w:t>través de la cual se promoverá  la  construcción  de  espacios  memorístico-</w:t>
        <w:br/>
        <w:t>culturales en los cuales se dignifique a todas las víctimas  de  violaciones</w:t>
        <w:br/>
        <w:t>a los derechos humanos, así  como  en  general  a  todas  las  víctimas  del</w:t>
        <w:br/>
        <w:t>enfrentamiento armado interno, hacia el objetivo de  la  conciliación  y  la</w:t>
        <w:br/>
        <w:t>concordia con énfasis en la verdad como parte de la justicia”.</w:t>
        <w:br/>
        <w:br/>
        <w:t>La Corte valora positivamente el compromiso adquirido por el Estado, por  lo</w:t>
        <w:br/>
        <w:t>cual homologa esta medida, en los términos del acuerdo de reparaciones.</w:t>
        <w:br/>
        <w:br/>
        <w:t>Adicionalmente, la Corte recuerda que  en  la  Sentencia  emitida  por  este</w:t>
        <w:br/>
        <w:t>Tribunal  en  el  caso  Gudiel  Álvarez  y  otros  (“Diario  Militar”)   vs.</w:t>
        <w:br/>
        <w:t>Guatemala[288], la Corte ordenó al Estado la construcción  de  un  parque  o</w:t>
        <w:br/>
        <w:t>plaza en honor a  la  memoria  de  las  víctimas  de  dicho  caso.  Dada  la</w:t>
        <w:br/>
        <w:t>similitud del contexto y hechos que ocurrieron en ambos casos, así como  las</w:t>
        <w:br/>
        <w:t>violaciones declaradas, la Corte considera pertinente ordenar al Estado  que</w:t>
        <w:br/>
        <w:t>el nombre de Edgar Fernando García se incluya en la placa que se coloque  en</w:t>
        <w:br/>
        <w:t>dicho parque o plaza, a fin que éste también sirva  como  un  espacio  donde</w:t>
        <w:br/>
        <w:t>sus familiares puedan recordar a su ser  querido.  Esta  medida  deberá  ser</w:t>
        <w:br/>
        <w:t>cumplida en los términos establecidos por la Corte en la Sentencia del  caso</w:t>
        <w:br/>
        <w:t>Gudiel Álvarez y otros (“Diario Militar”) vs. Guatemala.</w:t>
        <w:br/>
        <w:br/>
        <w:t xml:space="preserve">                 C.2.b) Designación de una calle  con  el  nombre  de  Edgar</w:t>
        <w:br/>
        <w:t xml:space="preserve">                 Fernando García</w:t>
        <w:br/>
        <w:br/>
        <w:t>Los representantes solicitaron que “la novena calle entre segunda y  tercera</w:t>
        <w:br/>
        <w:t>avenida, de la ciudad capital de Guatemala” sea designada con el  nombre  de</w:t>
        <w:br/>
        <w:t>Edgar Fernando García, ya  que  allí  “se  encuentra  ubicado  el  Instituto</w:t>
        <w:br/>
        <w:t>Nacional Rafael Aqueche, donde [éste] cursó sus  estudios  de  nivel  medio,</w:t>
        <w:br/>
        <w:t>graduándose como Maestro de Educación Primaria.</w:t>
        <w:br/>
        <w:br/>
        <w:t>En el acuerdo de reparaciones, el Estado indicó que “[e]ste  compromiso  fue</w:t>
        <w:br/>
        <w:t>cumplido […] el catorce de diciembre de [2011], contando  con  la  presencia</w:t>
        <w:br/>
        <w:t>de los familiares, en [un] acto  [en  el  cual]  se  develó  una  placa  que</w:t>
        <w:br/>
        <w:t>designa la calle con el nombre de Edgar Fernando García”.</w:t>
        <w:br/>
        <w:br/>
        <w:t>Al  respecto,  la  Corte  constata  que  en   la   audiencia   pública   los</w:t>
        <w:br/>
        <w:t>representantes reconocieron que el Estado había dado cumplimiento a  la  “la</w:t>
        <w:br/>
        <w:t>medida de dignificación  […]  que  es  el  nombramiento  de  la  calle”.  En</w:t>
        <w:br/>
        <w:t>anteriores oportunidades,  la  Corte  ha  valorado  favorablemente  aquellos</w:t>
        <w:br/>
        <w:t>actos realizados por los Estados que tienen como efecto la  recuperación  de</w:t>
        <w:br/>
        <w:t>la memoria de las víctimas, el reconocimiento de su dignidad y  el  consuelo</w:t>
        <w:br/>
        <w:t>de sus deudos[289]. En el presente caso, el Tribunal  valora  los  esfuerzos</w:t>
        <w:br/>
        <w:t>realizados por el Estado para cumplir con esta medida de reparación, por  lo</w:t>
        <w:br/>
        <w:t>cual la homologa, como forma de compensación por  los  daños  ocasionados  y</w:t>
        <w:br/>
        <w:t>estima que  la  misma  representa  un  paso  positivo  de  Guatemala  en  el</w:t>
        <w:br/>
        <w:t>cumplimiento de sus obligaciones  convencionales  internacionales  de  buena</w:t>
        <w:br/>
        <w:t>fe. En consecuencia, la Corte establece  que  la  presente  medida  no  será</w:t>
        <w:br/>
        <w:t>objeto de la etapa de supervisión de cumplimiento.</w:t>
        <w:br/>
        <w:br/>
        <w:t xml:space="preserve">                 C.2.c) Cambio del nombre de una escuela  por  el  de  Edgar</w:t>
        <w:br/>
        <w:t xml:space="preserve">                 Fernando García</w:t>
        <w:br/>
        <w:br/>
        <w:t>En el acuerdo de reparaciones, el Estado manifestó respecto de la  solicitud</w:t>
        <w:br/>
        <w:t>de los representantes de cambiar el nombre  de  la  escuela  pública  “Julia</w:t>
        <w:br/>
        <w:t>Ydigoras Fuentes” por el  de  Edgar  Fernando  García  que  “[e]l  Organismo</w:t>
        <w:br/>
        <w:t>Ejecutivo a través  de  las  instancias  correspondientes  se  compromete  a</w:t>
        <w:br/>
        <w:t>impulsar el cumplimiento de [dicha] solicitud […] en el transcurso  del  año</w:t>
        <w:br/>
        <w:t>dos mil doce”.</w:t>
        <w:br/>
        <w:br/>
        <w:t>La Corte valora positivamente voluntad el Estado  para  dar  cumplimiento  a</w:t>
        <w:br/>
        <w:t>esta medida, por lo cual la homologa en los términos acordados[290].</w:t>
        <w:br/>
        <w:br/>
        <w:t xml:space="preserve">                 C.2.d) Entrega de diez bolsas de estudios para familiares</w:t>
        <w:br/>
        <w:t xml:space="preserve">                 de personas desaparecidas</w:t>
        <w:br/>
        <w:br/>
        <w:t>Los representantes solicitaron que  el  Estado  otorgue  “[d]iez  bolsas  de</w:t>
        <w:br/>
        <w:t>estudio de Q.25.000.00 cada una, que serán destinadas a hijos  o  nietos  de</w:t>
        <w:br/>
        <w:t>personas desaparecidas forzadamente, a criterio de los familiares  de  Edgar</w:t>
        <w:br/>
        <w:t>Fernando García”. En el escrito de contestación el Estado indicó que  en  el</w:t>
        <w:br/>
        <w:t>año 2011 se creó un Programa de Becas Solidarias, a cargo del Ministerio  de</w:t>
        <w:br/>
        <w:t>Educación, el cual  otorga  becas  a  alumnos  de  nivel  medio  de  centros</w:t>
        <w:br/>
        <w:t>educativos públicos, a través de “bolsas de estudio”.  El  Estado  manifestó</w:t>
        <w:br/>
        <w:t>que “[c]on base en lo anterior los  criterios  para  determinar  el  número,</w:t>
        <w:br/>
        <w:t>plazo, lugar y condiciones de las bolsas  de  estudio  se  sujetarán  a  las</w:t>
        <w:br/>
        <w:t>indicaciones anotadas y regulaciones pertinentes”.</w:t>
        <w:br/>
        <w:br/>
        <w:t>Posteriormente, en el acuerdo de reparaciones, el Estado  indicó  que  “[e]l</w:t>
        <w:br/>
        <w:t>organismo ejecutivo se compromete a aprobar [dichas] bolsas de  estudio  […]</w:t>
        <w:br/>
        <w:t>y además a ubicar los fondos  necesarios  para  que  la  familia  [de  Edgar</w:t>
        <w:br/>
        <w:t>Fernando García] las  pueda  designar  e  implementar  a  partir  del  ciclo</w:t>
        <w:br/>
        <w:t>escolar dos mil trece”.</w:t>
        <w:br/>
        <w:br/>
        <w:t>La Corte valora positivamente el compromiso asumido por el Estado y  por  lo</w:t>
        <w:br/>
        <w:t>tanto homologa dicha medida de reparación, a la luz de  lo  establecido  por</w:t>
        <w:br/>
        <w:t>las partes en el acuerdo de reparaciones. En ese sentido, el  Estado  deberá</w:t>
        <w:br/>
        <w:t>entregar las diez  “bolsas  de  estudio”  de  Q.25.000,00  (veinticinco  mil</w:t>
        <w:br/>
        <w:t>quetzales) cada una, por una sola vez, para ser implementadas a  partir  del</w:t>
        <w:br/>
        <w:t>ciclo escolar del año 2013. Por su parte, los familiares de  Edgar  Fernando</w:t>
        <w:br/>
        <w:t>García deberán designar en un plazo máximo de seis meses, contado  a  partir</w:t>
        <w:br/>
        <w:t>de  la  notificación  de  la   presente   Sentencia,   quiénes   serán   los</w:t>
        <w:br/>
        <w:t>beneficiarios de dichas “bolsas de estudios”, los cuales deberán  ser  hijos</w:t>
        <w:br/>
        <w:t>o nietos  de  personas  desaparecidas  forzadamente,  en  los  términos  del</w:t>
        <w:br/>
        <w:t>acuerdo de reparaciones.</w:t>
        <w:br/>
        <w:br/>
        <w:t xml:space="preserve">      C.3)  Garantías de no repetición: Comisión  Nacional  de  Búsqueda  de</w:t>
        <w:br/>
        <w:t xml:space="preserve">      Personas  Víctimas  de  Desaparición  Forzada  y   otras   Formas   de</w:t>
        <w:br/>
        <w:t xml:space="preserve">      Desaparición</w:t>
        <w:br/>
        <w:br/>
        <w:br/>
        <w:t>Los  representantes  solicitaron  que  el  Estado  “por  medio  del   órgano</w:t>
        <w:br/>
        <w:t>correspondiente,  apruebe  de  urgencia  nacional  la  Ley  de  la  Comisión</w:t>
        <w:br/>
        <w:t>Nacional de Búsqueda de Personas Víctimas de Desaparición  Forzada  y  otras</w:t>
        <w:br/>
        <w:t>formas  de  Desaparición,  con  el  texto  original   presentado   por   las</w:t>
        <w:br/>
        <w:t>Organizaciones de la Sociedad Civil, el 14 de diciembre de  2006,  aceptando</w:t>
        <w:br/>
        <w:t>únicamente cambios que vayan en beneficio de las víctimas de  violaciones  a</w:t>
        <w:br/>
        <w:t>derechos humanos durante el [c]onflicto  [a]rmado  [i]nterno”[291].  Por  su</w:t>
        <w:br/>
        <w:t>parte, el Estado en el escrito  de  contestación  manifestó  su  disposición</w:t>
        <w:br/>
        <w:t>para “dar seguimiento  y promover que la iniciativa de ley [3590 relativa  a</w:t>
        <w:br/>
        <w:t>la creación de la Comisión Nacional de  Búsqueda  de  Personas  Víctimas  de</w:t>
        <w:br/>
        <w:t>Desaparición Forzada y otras Formas de Desaparición]  sea  aprobada  por  el</w:t>
        <w:br/>
        <w:t>[…] Congreso de la República de  Guatemala”.  Asimismo,  informó  que  dicha</w:t>
        <w:br/>
        <w:t>iniciativa de ley “cuenta con  el  dictamen  favorable  de  la  Comisión  de</w:t>
        <w:br/>
        <w:t>Finanzas y Moneda del Congreso de la República, y  […]  de  la  Comisión  de</w:t>
        <w:br/>
        <w:t>Legislación  y  Puntos  Constitucionales,  habiendo  concluido  el   trámite</w:t>
        <w:br/>
        <w:t>legislativo para que pueda ser conocida por el […] pleno”. Por  esta  razón,</w:t>
        <w:br/>
        <w:t>solicitó  a  la   Corte   que   “recom[iende]   al   Organismo   Legislativo</w:t>
        <w:br/>
        <w:t>guatemalteco, conocer y aprobar a la brevedad [dicha] ley […] con el fin  de</w:t>
        <w:br/>
        <w:t>apoyar a los familiares víctimas de desaparición forzada en Guatemala”.</w:t>
        <w:br/>
        <w:br/>
        <w:t>En  el  acuerdo  de  reparaciones,  el  Estado  se  comprometió  a   “seguir</w:t>
        <w:br/>
        <w:t>impulsando la aprobación de la  [L]ey  [para  la  creación  de  la  Comisión</w:t>
        <w:br/>
        <w:t>Nacional de Búsqueda de Personas Víctimas de Desaparición  Forzada  y  otras</w:t>
        <w:br/>
        <w:t>Formas  de  Desaparición]”.  Además,  indicó  que  “el  Presidente   de   la</w:t>
        <w:br/>
        <w:t>República, como Presidente del Organismo Ejecutivo  y  representante  de  la</w:t>
        <w:br/>
        <w:t>unidad de la Nación, se compromete a solicitar al Organismo Legislativo,  en</w:t>
        <w:br/>
        <w:t>pleno respeto de la independencia de poderes, para que  se  apruebe  la  ley</w:t>
        <w:br/>
        <w:t>relacionada”.</w:t>
        <w:br/>
        <w:br/>
        <w:t>La Corte considera que una entidad de este  tipo  coadyuvará  favorablemente</w:t>
        <w:br/>
        <w:t>en la búsqueda e identificación de Edgar Fernando García y, en  general,  de</w:t>
        <w:br/>
        <w:t>las víctimas de desaparición  forzada  en  Guatemala.  En  consecuencia,  el</w:t>
        <w:br/>
        <w:t>Tribunal valora  la  disposición  del  Estado  para  “seguir  impulsando  la</w:t>
        <w:br/>
        <w:t>aprobación” de la referida iniciativa de  ley  y  homologa  esta  medida  de</w:t>
        <w:br/>
        <w:t>reparación, en los términos establecidos en el acuerdo entre las partes.  El</w:t>
        <w:br/>
        <w:t>Tribunal  insta  a  Guatemala  a  continuar  adoptando  todas  las   medidas</w:t>
        <w:br/>
        <w:t>legislativas, administrativas o de otra índole que sean necesarias para  que</w:t>
        <w:br/>
        <w:t>se concrete la creación de la referida Comisión.</w:t>
        <w:br/>
        <w:br/>
        <w:t xml:space="preserve">      D) Indemnizaciones compensatorias</w:t>
        <w:br/>
        <w:br/>
        <w:t>Los representantes manifestaron que el Estado debe reparar por medio de  una</w:t>
        <w:br/>
        <w:t>indemnización económica los daños ocasionados a Edgar Fernando  García  y  a</w:t>
        <w:br/>
        <w:t>sus familiares. Solicitaron que dicha indemnización  comprendiera  el  lucro</w:t>
        <w:br/>
        <w:t>cesante ocasionado a Edgar Fernando  García,  el  daño  emergente,  el  daño</w:t>
        <w:br/>
        <w:t>moral y el daño al proyecto de vida generados a María Emilia García,  Nineth</w:t>
        <w:br/>
        <w:t>Varenca Montenegro Cottom y Alejandra García Montenegro.</w:t>
        <w:br/>
        <w:br/>
        <w:t>En el acuerdo de reparaciones, el  Estado,  luego  de  “haber  cotejado  los</w:t>
        <w:br/>
        <w:t>estudios actuariales propuestos por ambas partes”, se comprometió a  cumplir</w:t>
        <w:br/>
        <w:t>“con una reparación económica” que incluye los rubros  por  “lucro  cesante,</w:t>
        <w:br/>
        <w:t>daño emergente, daño moral, atención médica y psicológica”,  la  cual  “será</w:t>
        <w:br/>
        <w:t>pagada durante el transcurso del año dos  mil  doce,  por  medio  de  fondos</w:t>
        <w:br/>
        <w:t>asignados a la COPREDEH y al Programa  Nacional  de  Resarcimiento”.  En  la</w:t>
        <w:br/>
        <w:t>misma reunión en que se presentó el acuerdo de reparaciones a la Corte,  los</w:t>
        <w:br/>
        <w:t>representantes solicitaron que el monto de indemnización  acordado  por  las</w:t>
        <w:br/>
        <w:t>partes no fuera publicado en la Sentencia y se mantuviera en reserva  debido</w:t>
        <w:br/>
        <w:t>a cuestiones  de  seguridad.  En  sus  observaciones  finales  escritas,  la</w:t>
        <w:br/>
        <w:t>Comisión solicitó que la petición de los representantes  fuera  acogida  por</w:t>
        <w:br/>
        <w:t>el Tribunal.</w:t>
        <w:br/>
        <w:br/>
        <w:t>La Corte ha desarrollado en su jurisprudencia el concepto de  daño  material</w:t>
        <w:br/>
        <w:t>y  los  supuestos  en  que  corresponde  indemnizarlo.  Este   Tribunal   ha</w:t>
        <w:br/>
        <w:t>establecido que el daño material supone “la  pérdida  o  detrimento  de  los</w:t>
        <w:br/>
        <w:t>ingresos de las víctimas, los gastos efectuados con motivo de los  hechos  y</w:t>
        <w:br/>
        <w:t>las consecuencias de carácter pecuniario que tengan un nexo causal  con  los</w:t>
        <w:br/>
        <w:t>hechos del caso”[292]. Asimismo, respecto del concepto de  daño  inmaterial,</w:t>
        <w:br/>
        <w:t>la Corte ha establecido que éste “puede comprender tanto los sufrimientos  y</w:t>
        <w:br/>
        <w:t>las aflicciones causados a  la  víctima  directa  y  a   sus  allegados,  el</w:t>
        <w:br/>
        <w:t>menoscabo de valores muy significativos para  las  personas,  así  como  las</w:t>
        <w:br/>
        <w:t>alteraciones, de carácter no pecuniario, en las  condiciones  de  existencia</w:t>
        <w:br/>
        <w:t>de la víctima o su familia”[293].</w:t>
        <w:br/>
        <w:br/>
        <w:t>La Corte estima que el compromiso asumido por el Estado  en  el  acuerdo  de</w:t>
        <w:br/>
        <w:t>reparaciones de indemnizar pecuniariamente a Edgar  Fernando  García,  María</w:t>
        <w:br/>
        <w:t>Emilia  García,  Nineth  Varenca  Montenegro  Cottom  y   Alejandra   García</w:t>
        <w:br/>
        <w:t>Montenegro, por los conceptos de pérdida de ingresos, daño  emergente,  daño</w:t>
        <w:br/>
        <w:t>inmaterial y atención médica y psicológica, representa un paso  positivo  de</w:t>
        <w:br/>
        <w:t>Guatemala en el cumplimiento de sus  obligaciones  internacionales,  por  lo</w:t>
        <w:br/>
        <w:t>cual  decide  homologar  dichas  medidas  de  reparación,  en  los  términos</w:t>
        <w:br/>
        <w:t>acordados por las partes.  En  consecuencia,  según  lo  establecido  en  el</w:t>
        <w:br/>
        <w:t>acuerdo de  reparaciones,  el  Estado  deberá  pagar  la  cantidad  acordada</w:t>
        <w:br/>
        <w:t>“durante el  transcurso  del  dos  mil  doce”.  Asimismo,  la  Corte  estima</w:t>
        <w:br/>
        <w:t>prudente acoger la solicitud de los representantes de  mantener  en  reserva</w:t>
        <w:br/>
        <w:t>el total del monto indemnizatorio acordado entre las  partes,  por  lo  cual</w:t>
        <w:br/>
        <w:t>omitirá transcribir dicho monto en la  presente  Sentencia.  En  este  mismo</w:t>
        <w:br/>
        <w:t>sentido, las partes deberán mantener la reserva de dicha información.</w:t>
        <w:br/>
        <w:br/>
        <w:t>Además, la Corte observa que, en los términos del acuerdo, se determinó  una</w:t>
        <w:br/>
        <w:t>cantidad global sin haber establecido un monto específico para cada  víctima</w:t>
        <w:br/>
        <w:t>y su distribución. En razón de lo  anterior,  tomando  en  consideración  la</w:t>
        <w:br/>
        <w:t>voluntad de las partes de alcanzar dicho acuerdo,  el  Tribunal  estima  que</w:t>
        <w:br/>
        <w:t>los montos acordados por daño  material,  inmaterial  y  atención  médica  y</w:t>
        <w:br/>
        <w:t>psicológica sean debidamente distribuidos de acuerdo con lo manifestado  por</w:t>
        <w:br/>
        <w:t>los representantes en su escrito de solicitudes y  argumentos,  en  el  cual</w:t>
        <w:br/>
        <w:t>consideraron que “la indemnización debe ser  entregada  a  la  madre,  a  la</w:t>
        <w:br/>
        <w:t>esposa y a la hija de la víctima en partes iguales”.</w:t>
        <w:br/>
        <w:br/>
        <w:t>Asimismo, la Corte observa que en el acuerdo de reparaciones  el  Estado  se</w:t>
        <w:br/>
        <w:t>comprometió a cancelar dicho  monto  “durante  el  transcurso  del  dos  mil</w:t>
        <w:br/>
        <w:t>doce”; sin que a la fecha  el  Tribunal  cuente  con  información  sobre  el</w:t>
        <w:br/>
        <w:t>cumplimiento de dicho pago, ni de los avances que haya hecho el Estado  para</w:t>
        <w:br/>
        <w:t>dar cumplimiento al compromiso  adquirido  por  éste.  En  consecuencia,  el</w:t>
        <w:br/>
        <w:t>Tribunal insta a Guatemala  para  que,  a  la  brevedad,  tome  las  medidas</w:t>
        <w:br/>
        <w:t>necesarias para cumplir con el pago de la  indemnización  compensatoria,  de</w:t>
        <w:br/>
        <w:t>acuerdo con los  compromisos  adquiridos  en  dicho  acuerdo.  De  no  poder</w:t>
        <w:br/>
        <w:t>realizar el pago en el plazo  acordado,  el  Estado  deberá  cancelar  dicho</w:t>
        <w:br/>
        <w:t>monto en un plazo máximo de seis meses, contado a partir de la  notificación</w:t>
        <w:br/>
        <w:t>del presente Fallo. El interés moratorio establecido en el  párrafo  238  de</w:t>
        <w:br/>
        <w:t>esta Sentencia comenzará a correr una  vez  que  hubieran  transcurrido  los</w:t>
        <w:br/>
        <w:t>seis meses establecidos en este párrafo.</w:t>
        <w:br/>
        <w:br/>
        <w:t>E) Costas y gastos</w:t>
        <w:br/>
        <w:br/>
        <w:t>Los representantes indicaron  que  han  incurrido  en  gastos,  pues  se  ha</w:t>
        <w:br/>
        <w:t>acompañado a la familia de Edgar Fernando García en  los  procesos  a  nivel</w:t>
        <w:br/>
        <w:t>interno y ante el Sistema  Interamericano.  Al  respecto,  manifestaron  que</w:t>
        <w:br/>
        <w:t>“renuncia[n] al cobro de la totalidad de dichos gastos y solicita[ron] a  la</w:t>
        <w:br/>
        <w:t>[…] Corte Interamericana que  [se]  le  asigne  una  cantidad  simbólica  de</w:t>
        <w:br/>
        <w:t>Q.500,000.00”.</w:t>
        <w:br/>
        <w:br/>
        <w:t>En el acuerdo de reparaciones,  el  Estado  “aceptó  pagar  la  cantidad  de</w:t>
        <w:br/>
        <w:t>quinientos mil quetzales (Q.500.000,00) solicitada por el GAM,  como  aporte</w:t>
        <w:br/>
        <w:t>simbólico al trabajo  desarrollado  a  favor  del  caso  de  Edgar  Fernando</w:t>
        <w:br/>
        <w:t>García, la cual será pagada durante el transcurso del dos mil doce”.</w:t>
        <w:br/>
        <w:br/>
        <w:t>La Corte reitera que conforme a su jurisprudencia[294], las costas y  gastos</w:t>
        <w:br/>
        <w:t>hacen  parte  del  concepto  de  reparación,  toda  vez  que  la   actividad</w:t>
        <w:br/>
        <w:t>desplegada por las víctimas con el fin de obtener justicia,  tanto  a  nivel</w:t>
        <w:br/>
        <w:t>nacional como internacional, implica erogaciones que deben  ser  compensadas</w:t>
        <w:br/>
        <w:t>cuando la responsabilidad internacional del  Estado  es  declarada  mediante</w:t>
        <w:br/>
        <w:t>una sentencia condenatoria.</w:t>
        <w:br/>
        <w:br/>
        <w:t>El Tribunal valora positivamente el compromiso adquirido por  el  Estado  de</w:t>
        <w:br/>
        <w:t>reembolsar a los representantes de las víctimas un  monto  por  concepto  de</w:t>
        <w:br/>
        <w:t>las costas y gastos incurridos como consecuencia del acompañamiento por  más</w:t>
        <w:br/>
        <w:t>de veintisiete años a la familia de Edgar Fernando García para  la  búsqueda</w:t>
        <w:br/>
        <w:t>de justicia a nivel interno e  internacional,  por  lo  cual  homologa  esta</w:t>
        <w:br/>
        <w:t>medida, en  los  términos  acordados.  En  consecuencia,  el  Estado  deberá</w:t>
        <w:br/>
        <w:t>otorgar al Grupo de Apoyo Mutuo la  suma  de  Q.500.000,00  (quinientos  mil</w:t>
        <w:br/>
        <w:t>quetzales).</w:t>
        <w:br/>
        <w:br/>
        <w:t>La Corte observa que en el acuerdo de reparaciones el Estado se  comprometió</w:t>
        <w:br/>
        <w:t>a cancelar dicho monto “durante el transcurso del dos mil doce”; sin  que  a</w:t>
        <w:br/>
        <w:t>la fecha el Tribunal cuente con información sobre la realización del  mismo,</w:t>
        <w:br/>
        <w:t>ni los avances que haya hecho el Estado para dar cumplimiento al  compromiso</w:t>
        <w:br/>
        <w:t>adquirido por éste. Por lo tanto, el Tribunal insta a Guatemala para  que  a</w:t>
        <w:br/>
        <w:t>la brevedad, tome las medidas necesarias para cumplir con  el  pago  de  las</w:t>
        <w:br/>
        <w:t>costas y gastos, de acuerdo con lo previsto  en  el  acuerdo.  De  no  poder</w:t>
        <w:br/>
        <w:t>reintegrar la referida cantidad en  el  plazo  acordado,  el  Estado  deberá</w:t>
        <w:br/>
        <w:t>cancelar dicho monto en un plazo máximo de seis meses, contado a  partir  de</w:t>
        <w:br/>
        <w:t>la notificación del presente Fallo. El interés moratorio establecido  en  el</w:t>
        <w:br/>
        <w:t>párrafo 238 comenzará a correr una vez que hubieran  transcurrido  los  seis</w:t>
        <w:br/>
        <w:t>meses establecidos en este párrafo.</w:t>
        <w:br/>
        <w:br/>
        <w:t>F)  Modalidad  de  cumplimiento  de  los  pagos  acordados  y  solución   de</w:t>
        <w:br/>
        <w:t>eventuales controversias del acuerdo de reparaciones</w:t>
        <w:br/>
        <w:br/>
        <w:t>El  acuerdo  de  reparaciones  suscrito  entre  los  representantes  de  las</w:t>
        <w:br/>
        <w:t>víctimas y el Estado ha sido homologado por  la  presente  Sentencia,  razón</w:t>
        <w:br/>
        <w:t>por la  cual  cualquier  controversia  o  diferencia  que  se  suscite  será</w:t>
        <w:br/>
        <w:t>dilucidada por este Tribunal.</w:t>
        <w:br/>
        <w:br/>
        <w:t>El Estado deberá efectuar el pago de las  indemnizaciones  por  concepto  de</w:t>
        <w:br/>
        <w:t>daño material, inmaterial, atención médica y psicológica y el  reintegro  de</w:t>
        <w:br/>
        <w:t>costas y gastos establecidos en la presente  Sentencia  directamente  a  las</w:t>
        <w:br/>
        <w:t>personas y organizaciones indicadas  en  la  misma,  dentro  de  los  plazos</w:t>
        <w:br/>
        <w:t>establecidos en el acuerdo de reparaciones y dispuestos en  este  Fallo,  en</w:t>
        <w:br/>
        <w:t>los términos de los siguientes párrafos.  Estas  cantidades  no  podrán  ser</w:t>
        <w:br/>
        <w:t>afectadas o condicionadas por cargas fiscales actuales o futuras. Por  ende,</w:t>
        <w:br/>
        <w:t>deberán ser entregadas a los beneficiarios en forma íntegra  conforme  a  lo</w:t>
        <w:br/>
        <w:t>establecido en la Sentencia.</w:t>
        <w:br/>
        <w:br/>
        <w:t>El Estado deberá cumplir con las obligaciones monetarias  mediante  el  pago</w:t>
        <w:br/>
        <w:t>en quetzales o en su  equivalente  en  dólares  de  los  Estados  Unidos  de</w:t>
        <w:br/>
        <w:t>América, utilizando para el cálculo respectivo el tipo de  cambio  que  esté</w:t>
        <w:br/>
        <w:t>vigente en la bolsa de Nueva York, el día anterior al pago.</w:t>
        <w:br/>
        <w:br/>
        <w:t>En caso de que los familiares de  las  víctimas  indicadas  en  la  presente</w:t>
        <w:br/>
        <w:t>Sentencia  fallezcan  antes  de  que  les  sea  entregada  la  indemnización</w:t>
        <w:br/>
        <w:t>respectiva, esta se efectuará directamente a sus derechohabientes,  conforme</w:t>
        <w:br/>
        <w:t>al derecho interno aplicable.</w:t>
        <w:br/>
        <w:br/>
        <w:t>Si por causas atribuibles a los beneficiarios de  las  indemnizaciones  o  a</w:t>
        <w:br/>
        <w:t>sus  derechohabientes  no  fuese  posible  el   pago   de   las   cantidades</w:t>
        <w:br/>
        <w:t>determinadas dentro de los plazos indicados,  el  Estado  consignará  dichos</w:t>
        <w:br/>
        <w:t>montos  a  su  favor  en  una  cuenta  o  certificado  de  depósito  en  una</w:t>
        <w:br/>
        <w:t>institución financiera guatemalteca solvente, en dólares estadounidenses,  y</w:t>
        <w:br/>
        <w:t>en las condiciones financieras más favorables que permitan la legislación  y</w:t>
        <w:br/>
        <w:t>la práctica bancaria. Si al cabo de diez años el monto asignado no  ha  sido</w:t>
        <w:br/>
        <w:t>reclamado, las cantidades  serán  devueltas  al  Estado  con  los  intereses</w:t>
        <w:br/>
        <w:t>devengados.</w:t>
        <w:br/>
        <w:br/>
        <w:t>En caso de que el Estado incurriera en mora, deberá pagar un  interés  sobre</w:t>
        <w:br/>
        <w:t>la cantidad  adeudada  correspondiente  al  interés  bancario  moratorio  en</w:t>
        <w:br/>
        <w:t>Guatemala, teniendo en cuenta lo establecido en los párrafos 227 y 232.</w:t>
        <w:br/>
        <w:br/>
        <w:t>La Corte nota que existen algunas de las medidas acordadas  por  las  partes</w:t>
        <w:br/>
        <w:t>en el acuerdo de reparaciones que debían ser cumplidas en el transcurso  del</w:t>
        <w:br/>
        <w:t>año 2012[295]. A la fecha de emisión del presente  Fallo,  la  Corte  no  ha</w:t>
        <w:br/>
        <w:t>sido informada del cumplimiento de dichas  medidas.  A  pesar  de  ello,  el</w:t>
        <w:br/>
        <w:t>Tribunal advierte que el Estado debe adoptar  todas  las  medidas  que  sean</w:t>
        <w:br/>
        <w:t>necesarias para cumplir con dichas reparaciones  a  la  mayor  brevedad.  En</w:t>
        <w:br/>
        <w:t>virtud de ello, el Estado deberá, dentro del plazo de seis meses  contado  a</w:t>
        <w:br/>
        <w:t>partir de la notificación de esta Sentencia, rendir al Tribunal  un  informe</w:t>
        <w:br/>
        <w:t>sobre las medidas adoptadas para cumplir con la misma.</w:t>
        <w:br/>
        <w:br/>
        <w:t xml:space="preserve">                                      X</w:t>
        <w:br/>
        <w:t xml:space="preserve">                             PUNTOS RESOLUTIVOS</w:t>
        <w:br/>
        <w:br/>
        <w:t>Por tanto,</w:t>
        <w:br/>
        <w:br/>
        <w:t>LA CORTE</w:t>
        <w:br/>
        <w:br/>
        <w:t>DECIDE,</w:t>
        <w:br/>
        <w:br/>
        <w:t>por unanimidad,</w:t>
        <w:br/>
        <w:br/>
        <w:br/>
        <w:t xml:space="preserve">   1. Aceptar el reconocimiento  parcial  de  responsabilidad  internacional</w:t>
        <w:br/>
        <w:t xml:space="preserve">      efectuado por  el  Estado  y  homologar  el  acuerdo  de  reparaciones</w:t>
        <w:br/>
        <w:t xml:space="preserve">      suscrito por las partes, en los términos de los párrafos 13 y 16 a  24</w:t>
        <w:br/>
        <w:t xml:space="preserve">      del Fallo.</w:t>
        <w:br/>
        <w:br/>
        <w:t>DECLARA,</w:t>
        <w:br/>
        <w:br/>
        <w:t>por unanimidad, que:</w:t>
        <w:br/>
        <w:br/>
        <w:t xml:space="preserve">     1. El Estado es responsable por la desaparición forzada y, por  tanto,</w:t>
        <w:br/>
        <w:t xml:space="preserve">        por la violación de los derechos  a  la  libertad  personal,  a  la</w:t>
        <w:br/>
        <w:t xml:space="preserve">        integridad  personal,  a  la  vida  y  al  reconocimiento   de   la</w:t>
        <w:br/>
        <w:t xml:space="preserve">        personalidad jurídica, protegidos en los artículos 7, 5.1, 5.2, 4.1</w:t>
        <w:br/>
        <w:t xml:space="preserve">        y 3 de la Convención Americana, en el artículo  1.1,  todos  de  la</w:t>
        <w:br/>
        <w:t xml:space="preserve">        Convención Americana y en relación con los  artículos  I.a)  de  la</w:t>
        <w:br/>
        <w:t xml:space="preserve">        Convención Interamericana sobre Desaparición Forzada, en  perjuicio</w:t>
        <w:br/>
        <w:t xml:space="preserve">        de Edgar Fernando García, de conformidad con  lo  expuesto  en  los</w:t>
        <w:br/>
        <w:t xml:space="preserve">        párrafos 93 a 114 de la misma.</w:t>
        <w:br/>
        <w:br/>
        <w:t xml:space="preserve">     2. El Estado es  responsable  por  la  violación  de  la  libertad  de</w:t>
        <w:br/>
        <w:t xml:space="preserve">        asociación,  consagrada  en  el  artículo  16.1  de  la  Convención</w:t>
        <w:br/>
        <w:t xml:space="preserve">        Americana, en relación con el artículo 1.1 del  mismo  instrumento,</w:t>
        <w:br/>
        <w:t xml:space="preserve">        en perjuicio de Edgar Fernando  García,  en  los  términos  de  los</w:t>
        <w:br/>
        <w:t xml:space="preserve">        párrafos 116 a 121 de la presente Sentencia.</w:t>
        <w:br/>
        <w:br/>
        <w:t xml:space="preserve">     3. El Estado es responsable del incumplimiento  de  su  obligación  de</w:t>
        <w:br/>
        <w:t xml:space="preserve">        garantizar, a  través  una  investigación  efectiva,  los  derechos</w:t>
        <w:br/>
        <w:t xml:space="preserve">        consagrados en los artículos 7, 5.1, 5.2, 4.1 y 3 de la  Convención</w:t>
        <w:br/>
        <w:t xml:space="preserve">        Americana, en relación con  el  artículo  1.1  de  la  misma  y  el</w:t>
        <w:br/>
        <w:t xml:space="preserve">        artículo I.b)  de  la  Convención  sobre  Desaparición  Forzada  de</w:t>
        <w:br/>
        <w:t xml:space="preserve">        Personas, en perjuicio de Edgar  Fernando  García,  conforme  a  lo</w:t>
        <w:br/>
        <w:t xml:space="preserve">        establecido en el párrafo 155 de esta Sentencia.</w:t>
        <w:br/>
        <w:br/>
        <w:t xml:space="preserve">     4. El Estado es responsable por la violación de  los  derechos  a  las</w:t>
        <w:br/>
        <w:t xml:space="preserve">        garantías judiciales y a la protección judicial consagrados en  los</w:t>
        <w:br/>
        <w:t xml:space="preserve">        artículos 8.1 y 25.1 de la Convención Americana, en relación con el</w:t>
        <w:br/>
        <w:t xml:space="preserve">        artículo 1.1 de la misma  y  el  artículo  I.b)  de  la  Convención</w:t>
        <w:br/>
        <w:t xml:space="preserve">        Interamericana sobre Desaparición Forzada, en perjuicio  de  Nineth</w:t>
        <w:br/>
        <w:t xml:space="preserve">        Varenca Montenegro Cottom,  Alejandra  García  Montenegro  y  María</w:t>
        <w:br/>
        <w:t xml:space="preserve">        Emilia García, de conformidad con lo establecido  en  los  párrafos</w:t>
        <w:br/>
        <w:t xml:space="preserve">        128 a 155 de la presente Sentencia.</w:t>
        <w:br/>
        <w:br/>
        <w:t xml:space="preserve">     5. El  Estado  es  responsable  de  la  violación  del  derecho  a  la</w:t>
        <w:br/>
        <w:t xml:space="preserve">        integridad personal, consagrada en el artículo  5.1  y  5.2  de  la</w:t>
        <w:br/>
        <w:t xml:space="preserve">        Convención Americana, en relación con el artículo  1.1.  del  mismo</w:t>
        <w:br/>
        <w:t xml:space="preserve">        instrumento, en perjuicio  de  Nineth  Varenca  Montenegro  Cottom,</w:t>
        <w:br/>
        <w:t xml:space="preserve">        Alejandra García Montenegro y María Emilia García,  de  conformidad</w:t>
        <w:br/>
        <w:t xml:space="preserve">        con lo establecido en los párrafos 161 a 169 de esta Sentencia.</w:t>
        <w:br/>
        <w:br/>
        <w:t xml:space="preserve">     6. El Estado es responsable por la violación al derecho a la  libertad</w:t>
        <w:br/>
        <w:t xml:space="preserve">        de asociación consagrado en  el  artículo  16.1  de  la  Convención</w:t>
        <w:br/>
        <w:t xml:space="preserve">        Americana, en relación  con  el  deber  de  respetar  y  garantizar</w:t>
        <w:br/>
        <w:t xml:space="preserve">        establecido en el artículo 1.1 del mismo instrumento, en  perjuicio</w:t>
        <w:br/>
        <w:t xml:space="preserve">        de Nineth Varenca Montenegro Cottom y María Emilia García,  en  los</w:t>
        <w:br/>
        <w:t xml:space="preserve">        términos de los párrafos 179 a 186 de la presente Sentencia.</w:t>
        <w:br/>
        <w:br/>
        <w:t xml:space="preserve">     7. No procede emitir un pronunciamiento sobre las alegadas violaciones</w:t>
        <w:br/>
        <w:t xml:space="preserve">        a los artículos 13 y 23 de la Convención Americana  sobre  Derechos</w:t>
        <w:br/>
        <w:t xml:space="preserve">        Humanos, en los términos de los párrafos  122,  157  y  187  de  la</w:t>
        <w:br/>
        <w:t xml:space="preserve">        presente Sentencia.</w:t>
        <w:br/>
        <w:br/>
        <w:t xml:space="preserve">     8. No procede emitir un pronunciamiento sobre las alegadas violaciones</w:t>
        <w:br/>
        <w:t xml:space="preserve">        a los artículos 17 y 19 de la Convención Americana  sobre  Derechos</w:t>
        <w:br/>
        <w:t xml:space="preserve">        Humanos, en los términos del párrafo 170 de la presente Sentencia.</w:t>
        <w:br/>
        <w:br/>
        <w:t>Y DISPONE</w:t>
        <w:br/>
        <w:br/>
        <w:t>por unanimidad, que:</w:t>
        <w:br/>
        <w:br/>
        <w:t xml:space="preserve">     1. Esta Sentencia constituye per se una forma de reparación.</w:t>
        <w:br/>
        <w:br/>
        <w:t xml:space="preserve">     2. El Estado debe continuar y concluir las investigaciones y  procesos</w:t>
        <w:br/>
        <w:t xml:space="preserve">        necesarios, en un plazo razonable, con  el  fin  de  establecer  la</w:t>
        <w:br/>
        <w:t xml:space="preserve">        verdad de los hechos,  así  como  de  determinar  y,  en  su  caso,</w:t>
        <w:br/>
        <w:t xml:space="preserve">        sancionar a los responsables de la desaparición  forzada  de  Edgar</w:t>
        <w:br/>
        <w:t xml:space="preserve">        Fernando García, de conformidad con lo establecido en los  párrafos</w:t>
        <w:br/>
        <w:t xml:space="preserve">        194 a 197 de la presente Sentencia.</w:t>
        <w:br/>
        <w:br/>
        <w:t xml:space="preserve">     3. El Estado debe efectuar, a la mayor brevedad, una  búsqueda  seria,</w:t>
        <w:br/>
        <w:t xml:space="preserve">        en la cual realice todos los esfuerzos para determinar el  paradero</w:t>
        <w:br/>
        <w:t xml:space="preserve">        de Edgar Fernando García a la mayor brevedad, de conformidad con lo</w:t>
        <w:br/>
        <w:t xml:space="preserve">        establecido en los párrafos 199 y 200 del presente Fallo.</w:t>
        <w:br/>
        <w:br/>
        <w:t xml:space="preserve">     4. El Estado debe realizar las publicaciones indicadas en los párrafos</w:t>
        <w:br/>
        <w:t xml:space="preserve">        201 a 203 de la presente  Sentencia,  en  el  plazo  de  dos  meses</w:t>
        <w:br/>
        <w:t xml:space="preserve">        contado a partir de la notificación de la misma.</w:t>
        <w:br/>
        <w:br/>
        <w:t xml:space="preserve">     5. El Estado debe  realizar  un  acto  público  de  reconocimiento  de</w:t>
        <w:br/>
        <w:t xml:space="preserve">        responsabilidad internacional por los hechos del presente caso,  de</w:t>
        <w:br/>
        <w:t xml:space="preserve">        conformidad con lo establecido en los párrafos  205  y  206  de  la</w:t>
        <w:br/>
        <w:t xml:space="preserve">        presente Sentencia.</w:t>
        <w:br/>
        <w:br/>
        <w:t xml:space="preserve">     6. El Estado debe impulsar la iniciativa denominada “Memorial para  la</w:t>
        <w:br/>
        <w:t xml:space="preserve">        Concordia”, a través de la cual debe promover  la  construcción  de</w:t>
        <w:br/>
        <w:t xml:space="preserve">        espacios memorístico-culturales en  los  cuales  se  dignifique  la</w:t>
        <w:br/>
        <w:t xml:space="preserve">        memoria de las víctimas de  violaciones  de  derechos  humanos  del</w:t>
        <w:br/>
        <w:t xml:space="preserve">        conflicto armado interno, en los términos de los párrafos 208 y 209</w:t>
        <w:br/>
        <w:t xml:space="preserve">        de esta Sentencia.</w:t>
        <w:br/>
        <w:br/>
        <w:t xml:space="preserve">     7. El Estado debe incluir el nombre del señor Edgar Fernando García en</w:t>
        <w:br/>
        <w:t xml:space="preserve">        la placa que se coloque en el parque o plaza que  se  construya  en</w:t>
        <w:br/>
        <w:t xml:space="preserve">        cumplimiento de lo ordenado en el punto resolutivo  séptimo  de  la</w:t>
        <w:br/>
        <w:t xml:space="preserve">        Sentencia del caso Gudiel Álvarez y otros  (“Diario  Militar”)  vs.</w:t>
        <w:br/>
        <w:t xml:space="preserve">        Guatemala, en los términos del párrafo 210 de este Fallo.</w:t>
        <w:br/>
        <w:br/>
        <w:t xml:space="preserve">     8. El Estado debe impulsar el cambio de nombre de la  escuela  pública</w:t>
        <w:br/>
        <w:t xml:space="preserve">        “Julia Ydigoras Fuentes”  por  el  de  Edgar  Fernando  García,  de</w:t>
        <w:br/>
        <w:t xml:space="preserve">        conformidad con lo estipulado en el acuerdo de  reparaciones  y  lo</w:t>
        <w:br/>
        <w:t xml:space="preserve">        establecido en el párrafo 215 de la presente Sentencia.</w:t>
        <w:br/>
        <w:br/>
        <w:t xml:space="preserve">     9.  El  Estado  debe  entregar  diez  “bolsas  de  estudio”  para  ser</w:t>
        <w:br/>
        <w:t xml:space="preserve">        designados por los familiares de Edgar Fernando García  a  hijos  o</w:t>
        <w:br/>
        <w:t xml:space="preserve">        nietos de personas desaparecidas forzadamente, en los  términos  de</w:t>
        <w:br/>
        <w:t xml:space="preserve">        los párrafos 217 y 218 de esta Sentencia.</w:t>
        <w:br/>
        <w:br/>
        <w:t xml:space="preserve">    10. El Estado debe impulsar la aprobación del proyecto de ley  para  la</w:t>
        <w:br/>
        <w:t xml:space="preserve">        creación de la Comisión Nacional de Búsqueda de  Personas  Víctimas</w:t>
        <w:br/>
        <w:t xml:space="preserve">        de Desaparición Forzada y otras  Formas  de  Desaparición,  en  los</w:t>
        <w:br/>
        <w:t xml:space="preserve">        términos de los párrafos 220 y 221.</w:t>
        <w:br/>
        <w:br/>
        <w:t xml:space="preserve">    11.  El  Estado  debe  pagar  la  cantidad  fijada  en  el  acuerdo  de</w:t>
        <w:br/>
        <w:t xml:space="preserve">        reparaciones por concepto de indemnizaciones por daños materiales e</w:t>
        <w:br/>
        <w:t xml:space="preserve">        inmateriales, atención médica y psicológica, en los términos de los</w:t>
        <w:br/>
        <w:t xml:space="preserve">        párrafos 225 a 227 de esta Sentencia.</w:t>
        <w:br/>
        <w:br/>
        <w:t xml:space="preserve">    12.  El  Estado  debe  pagar  la  cantidad  fijada  en  el  acuerdo  de</w:t>
        <w:br/>
        <w:t xml:space="preserve">        reparaciones y el párrafo 231 de esta Sentencia, por  el  reintegro</w:t>
        <w:br/>
        <w:t xml:space="preserve">        de costas y gastos, en los términos de los párrafos 229 a 232 de la</w:t>
        <w:br/>
        <w:t xml:space="preserve">        presente Sentencia.</w:t>
        <w:br/>
        <w:br/>
        <w:t xml:space="preserve">    13. El Estado debe, dentro del plazo de seis meses contado a partir  de</w:t>
        <w:br/>
        <w:t xml:space="preserve">        la notificación de esta Sentencia, rendir al  Tribunal  un  informe</w:t>
        <w:br/>
        <w:t xml:space="preserve">        sobre las medidas adoptadas para cumplir con la misma.</w:t>
        <w:br/>
        <w:br/>
        <w:t xml:space="preserve">    14. La Corte supervisará el cumplimiento íntegro de esta Sentencia,  en</w:t>
        <w:br/>
        <w:t xml:space="preserve">        ejercicio de sus atribuciones y  en  cumplimiento  de  sus  deberes</w:t>
        <w:br/>
        <w:t xml:space="preserve">        conforme a la Convención Americana sobre Derechos Humanos,  y  dará</w:t>
        <w:br/>
        <w:t xml:space="preserve">        por concluido el presente caso una vez  que  el  Estado  haya  dado</w:t>
        <w:br/>
        <w:t xml:space="preserve">        cabal cumplimiento a lo dispuesto en la misma.</w:t>
        <w:br/>
        <w:br/>
        <w:t>El Juez Eduardo Vio Grossi hizo conocer a la Corte su  Voto  Individual,  el</w:t>
        <w:br/>
        <w:t>cual acompaña esta Sentencia.</w:t>
        <w:br/>
        <w:br/>
        <w:br/>
        <w:br/>
        <w:br/>
        <w:br/>
        <w:br/>
        <w:br/>
        <w:br/>
        <w:br/>
        <w:br/>
        <w:t>Redactada en español e inglés, haciendo fe el texto en español, San José,</w:t>
        <w:br/>
        <w:t>Costa Rica, el 29 de noviembre de 2012.</w:t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E. Ventura Robles                                        Leonardo  A.</w:t>
        <w:br/>
        <w:t>Franco</w:t>
        <w:br/>
        <w:br/>
        <w:br/>
        <w:br/>
        <w:t>Margarette  May   Macaulay                                            Rhadys</w:t>
        <w:br/>
        <w:t>Abreu Blondet</w:t>
        <w:br/>
        <w:br/>
        <w:br/>
        <w:br/>
        <w:t>Alberto Pérez Pérez                                             Eduardo  Vio</w:t>
        <w:br/>
        <w:t>Grossi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t xml:space="preserve">                               VOTO INDIVIDUAL</w:t>
        <w:br/>
        <w:t xml:space="preserve">                         DEL JUEZ EDUARDO VIO GROSSI</w:t>
        <w:br/>
        <w:t xml:space="preserve">                   CASO GARCÍA Y FAMILIARES VS. GUATEMALA</w:t>
        <w:br/>
        <w:t xml:space="preserve">                    SENTENCIA DE 29 DE NOVIEMBRE DE 2012</w:t>
        <w:br/>
        <w:t xml:space="preserve">                       (Fondo, Reparaciones y Costas)</w:t>
        <w:br/>
        <w:t xml:space="preserve">               DE LA CORTE INTERAMERICANA DE DERECHOS HUMANOS</w:t>
        <w:br/>
        <w:br/>
        <w:t>Emito el presente voto individual[296] con relación a la  Sentencia  dictada</w:t>
        <w:br/>
        <w:t>en autos,  en  adelante  la  Sentencia,  a  los  efectos  de  dejar  expresa</w:t>
        <w:br/>
        <w:t>constancia de que, si bien la comparto, no concuerdo,  empero,  con  que  la</w:t>
        <w:br/>
        <w:t>Corte Interamericana  de  Derechos  Humanos,  en  adelante  la  Corte,  haya</w:t>
        <w:br/>
        <w:t>estimado “prudente acoger la solicitud de los representantes de mantener  en</w:t>
        <w:br/>
        <w:t>reserva el total del monto indemnizatorio acordado entre las partes, por  lo</w:t>
        <w:br/>
        <w:t>cual” omite “transcribir dicho monto en la …Sentencia”  y  ordena  que  “las</w:t>
        <w:br/>
        <w:t>partes deberán mantener la reserva de dicha información”.[297]</w:t>
        <w:br/>
        <w:br/>
        <w:t>La desavenencia con la Sentencia dice relación  con  el  hecho  de  que  la</w:t>
        <w:br/>
        <w:t>mencionada solicitud de reserva no se encuentra inserta en el   Acuerdo  de</w:t>
        <w:br/>
        <w:t>Reparaciones del 20 de abril de 2012 suscrito por las partes en  la  causa,</w:t>
        <w:br/>
        <w:t>con la obligación de incluir  las  reparaciones  e  indemnizaciones  en  la</w:t>
        <w:br/>
        <w:t>sentencia  correspondiente,  con  los  principios  de   publicidad   y   de</w:t>
        <w:br/>
        <w:t>transparencia que deben inspirar a ésta y, finalmente, con la  carencia  de</w:t>
        <w:br/>
        <w:t>fundamento de  las  razones  de  seguridad  invocadas  en  este  caso  para</w:t>
        <w:br/>
        <w:t>solicitar y decretar la reserva en comento.</w:t>
        <w:br/>
        <w:br/>
        <w:t>I.- El Acuerdo de Reparaciones y la solicitud.</w:t>
        <w:br/>
        <w:br/>
        <w:t>Como queda en evidencia en la  propia  Sentencia,  la  citada  solicitud  de</w:t>
        <w:br/>
        <w:t>reserva  no  solo  fue  elevada  con  posterioridad  al  citado  Acuerdo  de</w:t>
        <w:br/>
        <w:t>Reparaciones, sino que, además, respecto  de  ella  el  Estado  no  tuvo  la</w:t>
        <w:br/>
        <w:t>oportunidad de pronunciarse o sencillamente no lo hizo.</w:t>
        <w:br/>
        <w:br/>
        <w:t>Ciertamente, si bien la aquiescencia del Estado no  es  requisito  sine  qua</w:t>
        <w:br/>
        <w:t>non[298] para que la Corte proceda como lo ha hecho, no es menos cierto  que</w:t>
        <w:br/>
        <w:t>la falta de pronunciamiento de aquél  puede  constituir  una  alteración  al</w:t>
        <w:br/>
        <w:t>principio de la igualdad procesal.</w:t>
        <w:br/>
        <w:br/>
        <w:t>II.- La Sentencia de la Corte.</w:t>
        <w:br/>
        <w:br/>
        <w:t>Por otra parte, es de suyo que la Sentencia debe incluir lo  concerniente  a</w:t>
        <w:br/>
        <w:t>las  indemnizaciones,[299]  máxime  cuando  no  existe  norma  alguna,   sea</w:t>
        <w:br/>
        <w:t>convencional,  estatutaria  o  reglamentaria,  que  exima  a  la  Corte   de</w:t>
        <w:br/>
        <w:t>determinar en su sentencia, sea de  Fondo  sea  de  Reparaciones  y  Costas,</w:t>
        <w:br/>
        <w:t>tales indemnizaciones.</w:t>
        <w:br/>
        <w:br/>
        <w:t>III.- Principio de la publicidad.</w:t>
        <w:br/>
        <w:br/>
        <w:t>Más, al mismo tiempo es menester  agregar  que  tampoco  existe  una  norma,</w:t>
        <w:br/>
        <w:t>convencional, estatutaria o reglamentaria que autorice a la  Corte  a  dejar</w:t>
        <w:br/>
        <w:t>en reserva o secreto la cuantía de las reparaciones  e  indemnizaciones  que</w:t>
        <w:br/>
        <w:t>decrete en sus sentencias.</w:t>
        <w:br/>
        <w:br/>
        <w:t>Y que, muy por el  contrario,  hay  una  norma  convencional  que  presupone</w:t>
        <w:br/>
        <w:t>precisamente la publicidad  de  esa  cuantía  o  monto[300]  puesto  que  la</w:t>
        <w:br/>
        <w:t>ejecución  en   el   ámbito   interno   de   una   sentencia   internacional</w:t>
        <w:br/>
        <w:t>necesariamente conlleva el conocimiento de todo lo que ella ordena.</w:t>
        <w:br/>
        <w:br/>
        <w:t>IV.- Principio de la transparencia</w:t>
        <w:br/>
        <w:br/>
        <w:t>Igualmente,  se  debe  asimismo  considerar  al  respecto  el  principio  de</w:t>
        <w:br/>
        <w:t>transparencia que inspira a los fallos  de  la  Corte  y  consagrado  en  la</w:t>
        <w:br/>
        <w:t>Convención[301], en el Estatuto de la Corte[302] y en el  Reglamento  de  la</w:t>
        <w:br/>
        <w:t>misma[303].</w:t>
        <w:br/>
        <w:br/>
        <w:t>Las referidas normas disponen, entonces, la publicidad y publicación de  las</w:t>
        <w:br/>
        <w:t>decisiones, incluidas las sentencias de la Corte.  Asimismo,  prescriben  la</w:t>
        <w:br/>
        <w:t>notificación o la comunicación de éstas no solo a  las  Partes  del  litigio</w:t>
        <w:br/>
        <w:t>pertinente  sino  también  a  los  Estados  Partes  de  la  Convención.   Y,</w:t>
        <w:br/>
        <w:t>finalmente, que no solo aquellas y  éstos  pueden  solicitar  copia  de  las</w:t>
        <w:br/>
        <w:t>mismas  sino  también  los  órganos  de  la  Organización  de  los   Estados</w:t>
        <w:br/>
        <w:t>Americanos e incluso cualquier persona que lo solicite.</w:t>
        <w:br/>
        <w:br/>
        <w:t>Todas las personas antes señaladas, naturales o jurídicas,  tienen  derecho,</w:t>
        <w:br/>
        <w:t>pues, a conocer la integridad o totalidad de las sentencias,  máxime  cuando</w:t>
        <w:br/>
        <w:t>las disposiciones que las rigen nada señalan acerca de  la  facultad  de  la</w:t>
        <w:br/>
        <w:t>Corte para disponer la reserva o secreto de parte de ellas.</w:t>
        <w:br/>
        <w:br/>
        <w:t>V.- Razones de seguridad</w:t>
        <w:br/>
        <w:br/>
        <w:t>Finalmente, habría que tener en cuenta que las “razones  de  seguridad”  que</w:t>
        <w:br/>
        <w:t>se invocaron para justificar y  acceder  a  la  reserva  solicitada,  no  se</w:t>
        <w:br/>
        <w:t>explican ni constan  en  autos,  por  lo  que,  con  ello  se  podría  estar</w:t>
        <w:br/>
        <w:t>concediendo a la ciudadanía un cierto margen  de  duda  con  respecto  a  la</w:t>
        <w:br/>
        <w:t>discrecionalidad de los actos de la Corte, los que  podrían,  entonces,  ser</w:t>
        <w:br/>
        <w:t>percibidos más bien como arbitrarios.</w:t>
        <w:br/>
        <w:br/>
        <w:t>EVG.</w:t>
        <w:br/>
        <w:br/>
        <w:br/>
        <w:br/>
        <w:t xml:space="preserve">                                                     Juez Eduardo Vio Grossi</w:t>
        <w:br/>
        <w:br/>
        <w:br/>
        <w:br/>
        <w:br/>
        <w:br/>
        <w:t>Pablo Saavedra Alessandri</w:t>
        <w:br/>
        <w:t xml:space="preserve">        Secretario</w:t>
        <w:br/>
        <w:br/>
        <w:t>-----------------------</w:t>
        <w:br/>
        <w:br/>
        <w:t>[1]   Reglamento de la Corte aprobado por el Tribunal en  su  LXXXV  Período</w:t>
        <w:br/>
        <w:t>Ordinario de Sesiones celebrado del 16 al 28 de noviembre de 2009.</w:t>
        <w:br/>
        <w:br/>
        <w:br/>
        <w:t>[2]   Cfr. Informe de Admisibilidad No. 91/06, Caso 12.343, Edgar Fernando</w:t>
        <w:br/>
        <w:t>García Vs. Guatemala, 21 de octubre de 2006 (expediente del trámite ante la</w:t>
        <w:br/>
        <w:t>Comisión, Tomo I, folios 1238 a 1246).</w:t>
        <w:br/>
        <w:br/>
        <w:br/>
        <w:t>[3]   Cfr. Informe de Fondo No. 117/10, Caso 12.343, Edgar Fernando García</w:t>
        <w:br/>
        <w:t>Vs. Guatemala, 22 de octubre de 2010 (expediente de fondo, Tomo I, folios 6</w:t>
        <w:br/>
        <w:t>a 56).</w:t>
        <w:br/>
        <w:br/>
        <w:br/>
        <w:t>[4]   En el escrito de sometimiento del caso (supra párr. 1), la Comisión</w:t>
        <w:br/>
        <w:t>Interamericana señaló que “de acuerdo a la información disponible ante</w:t>
        <w:br/>
        <w:t>[dicho órgano], la organización representante de las [presuntas] víctimas</w:t>
        <w:br/>
        <w:t>en el proceso ante la Corte Interamericana es el Grupo de Apoyo Mutuo”. El</w:t>
        <w:br/>
        <w:t>3 de mayo de 2011 el Grupo de Apoyo Mutuo (GAM) confirmó su representación</w:t>
        <w:br/>
        <w:t>de las presuntas víctimas y presentó el poder de representación respectivo.</w:t>
        <w:br/>
        <w:br/>
        <w:br/>
        <w:br/>
        <w:t>[5]   En su escrito de solicitudes y argumentos, los representantes</w:t>
        <w:br/>
        <w:t>indicaron que el derecho a la libertad de pensamiento y expresión y los</w:t>
        <w:br/>
        <w:t>derechos del niño, se encontraban establecidos en los artículos 12 y 18 de</w:t>
        <w:br/>
        <w:t>la Convención Americana, respectivamente.</w:t>
        <w:br/>
        <w:br/>
        <w:br/>
        <w:t>[6]   Caso García y familiares. Solicitud de medidas provisionales respecto</w:t>
        <w:br/>
        <w:t>de Guatemala. Resolución de la Corte de 1 de septiembre de 2011, punto</w:t>
        <w:br/>
        <w:t>resolutivo primero.</w:t>
        <w:br/>
        <w:br/>
        <w:br/>
        <w:t>[7]   Cfr. Caso García y familiares Vs. Guatemala. Resolución del</w:t>
        <w:br/>
        <w:t>Presidente de la Corte de 16 de marzo de 2012, la cual puede ser consultada</w:t>
        <w:br/>
        <w:t>en la página web del Tribunal en el siguiente enlace:</w:t>
        <w:br/>
        <w:t>http://www.corteidh.or.cr/docs/asuntos/garciayfam.pdf</w:t>
        <w:br/>
        <w:br/>
        <w:br/>
        <w:t>[8]   A esta audiencia comparecieron: a)  por  la  Comisión  Interamericana:</w:t>
        <w:br/>
        <w:t>Jesús Orozco Henríquez, Presidente de la Comisión; Isabel  Madariaga,  Karla</w:t>
        <w:br/>
        <w:t>Quintana  y  Silvia  Serrano,  especialistas  de  la  Secretaría  y  Michael</w:t>
        <w:br/>
        <w:t>Camilleri, especialista  de  la  Relatoría  Especial  para  la  Libertad  de</w:t>
        <w:br/>
        <w:t>Expresión; b) por los representantes: Maynor Estuardo  Alvarado  Galeano,  y</w:t>
        <w:br/>
        <w:t>c) por el Estado: Antonio Arenales Forno,  Secretario  de  la  Paz  (SEPAZ);</w:t>
        <w:br/>
        <w:t>Jorge  Humberto  Herrera  Castillo,  Presidente  del  Programa  Nacional  de</w:t>
        <w:br/>
        <w:t>Resarcimiento; María Elena de Jesús Rodríguez López, Agente  del  Estado,  y</w:t>
        <w:br/>
        <w:t>Heydée Calderón, de la Comisión Presidencial  Coordinadora  de  la  Política</w:t>
        <w:br/>
        <w:t>del Ejecutivo en materia de Derechos Humanos (COPREDEH).</w:t>
        <w:br/>
        <w:br/>
        <w:br/>
        <w:t>[9]   El acuerdo, que “quedó plasmado en [un] acta administrativa de 20 de</w:t>
        <w:br/>
        <w:t>abril de 2012”, se realizó en una reunión llevada a cabo en la sede de la</w:t>
        <w:br/>
        <w:t>Secretaría de la Paz en la que se encontraban presentes: a) por el Estado,</w:t>
        <w:br/>
        <w:t>los señores Antonio Fernando Arenales Forno, Secretario de la Paz; Jorge</w:t>
        <w:br/>
        <w:t>Humberto Herrera Castillo, Presidente de la Comisión Nacional de</w:t>
        <w:br/>
        <w:t>Resarcimiento; María Elena de Jesús Rodríguez López, Agente del Estado para</w:t>
        <w:br/>
        <w:t>el presente caso; y b) por los representantes de las víctimas, los señores</w:t>
        <w:br/>
        <w:t>Mario Alcides Polanco Pérez, Director del GAM, y Maynor Estuardo Alvarado</w:t>
        <w:br/>
        <w:t>Galeano.</w:t>
        <w:br/>
        <w:br/>
        <w:br/>
        <w:t>[10]  Previamente, en su escrito de contestación, el Estado había realizado</w:t>
        <w:br/>
        <w:t>alegatos y observaciones específicas sobre las solicitudes de reparación.</w:t>
        <w:br/>
        <w:br/>
        <w:br/>
        <w:t>[11]  Los artículos 62, 63 y 64 del Reglamento de la Corte establecen:</w:t>
        <w:br/>
        <w:t>“Artículo 62. Reconocimiento. Si el demandado comunicare a la Corte su</w:t>
        <w:br/>
        <w:t>aceptación de los hechos o su allanamiento total o parcial a las</w:t>
        <w:br/>
        <w:t>pretensiones que constan en el sometimiento del caso o en el escrito de las</w:t>
        <w:br/>
        <w:t>presuntas víctimas o sus representantes, la Corte, oído el parecer de los</w:t>
        <w:br/>
        <w:t>demás intervinientes en el proceso, resolverá, en el momento procesal</w:t>
        <w:br/>
        <w:t>oportuno, sobre su procedencia y sus efectos jurídicos”. “Artículo 63.</w:t>
        <w:br/>
        <w:t>Solución amistosa: Cuando la Comisión, las víctimas o presuntas víctimas o</w:t>
        <w:br/>
        <w:t>sus representantes, el Estado demandando y, en su caso, el Estado</w:t>
        <w:br/>
        <w:t>demandante, en un caso ante la Corte comunicaren a ésta la existencia de</w:t>
        <w:br/>
        <w:t>una solución amistosa, de un avenimiento o de otro hecho idóneo para la</w:t>
        <w:br/>
        <w:t>solución del litigio, la Corte resolverá en el momento procesal oportuno</w:t>
        <w:br/>
        <w:t>sobre su procedencia y sus efectos jurídicos”. “Artículo 64. Prosecución</w:t>
        <w:br/>
        <w:t>del examen del caso: “[l]a Corte, teniendo en cuenta las responsabilidades</w:t>
        <w:br/>
        <w:t>que le incumben de proteger los derechos humanos, podrá decidir que prosiga</w:t>
        <w:br/>
        <w:t>el examen del caso, aun en presencia de los supuestos señalados en los</w:t>
        <w:br/>
        <w:t>artículos precedentes”.</w:t>
        <w:br/>
        <w:br/>
        <w:br/>
        <w:t>[12]  Cfr. Caso Kimel Vs. Argentina. Fondo, Reparaciones y Costas.</w:t>
        <w:br/>
        <w:t>Sentencia de 2 de mayo de 2008. Serie C No. 177, párr. 24, y Caso Masacres</w:t>
        <w:br/>
        <w:t>de El Mozote y lugares aledaños Vs. El Salvador. Fondo, Reparaciones y</w:t>
        <w:br/>
        <w:t>Costas. Sentencia de 25 de octubre de 2012. Serie C No. 252, párr. 23.</w:t>
        <w:br/>
        <w:br/>
        <w:br/>
        <w:t>[13]  Cfr. Caso Manuel Cepeda Vargas Vs. Colombia. Excepciones</w:t>
        <w:br/>
        <w:t>Preliminares, Fondo, Reparaciones y Costas. Sentencia de 26 de mayo de</w:t>
        <w:br/>
        <w:t>2010. Serie C No. 213, párr. 17, y Caso Masacres de El Mozote y lugares</w:t>
        <w:br/>
        <w:t>aledaños Vs. El Salvador, supra, párr. 23.</w:t>
        <w:br/>
        <w:br/>
        <w:br/>
        <w:t>[14]  Cfr. Caso Kawas Fernández Vs. Honduras. Fondo, Reparaciones y Costas.</w:t>
        <w:br/>
        <w:t>Sentencia de 3 de abril de 2009 Serie C No. 196, párr. 25; Caso Radilla</w:t>
        <w:br/>
        <w:t>Pacheco Vs. México. Excepciones Preliminares, Fondo, Reparaciones y Costas.</w:t>
        <w:br/>
        <w:t>Sentencia de 23 de Noviembre de 2009. Serie C No. 209, párr. 62; Caso Vélez</w:t>
        <w:br/>
        <w:t>Loor Vs. Panamá. Excepciones Preliminares, Fondo, Reparaciones y Costas.</w:t>
        <w:br/>
        <w:t>Sentencia de 23 de noviembre de 2010 Serie C No. 218,     párr. 64, y Caso</w:t>
        <w:br/>
        <w:t>Pueblo Indígena Kichwa de Sarayaku Vs. Ecuador. Fondo y Reparaciones.</w:t>
        <w:br/>
        <w:t>Sentencia de 27 de junio de 2012. Serie C No. 245, párr. 27.</w:t>
        <w:br/>
        <w:br/>
        <w:br/>
        <w:t>[15]  Tales artículos de la Convención corresponden al derecho a la</w:t>
        <w:br/>
        <w:t>libertad de conciencia y religión (artículo 12) y al derecho al nombre</w:t>
        <w:br/>
        <w:t>(artículo 18).</w:t>
        <w:br/>
        <w:br/>
        <w:br/>
        <w:t>[16]  Cfr. Caso del Caracazo  Vs.  Venezuela.  Fondo.  Sentencia  de  11  de</w:t>
        <w:br/>
        <w:t>noviembre de 1999. Serie C No. 58, párr. 43, y Caso Masacres de El Mozote  y</w:t>
        <w:br/>
        <w:t>lugares aledaños Vs. El Salvador, supra, párr. 28.</w:t>
        <w:br/>
        <w:br/>
        <w:br/>
        <w:t>[17]  Cfr. inter alia, Caso Torres Millacura y otros Vs. Argentina. Fondo,</w:t>
        <w:br/>
        <w:t>Reparaciones y Costas. Sentencia de 26 de agosto de 2011. Serie C No. 229,</w:t>
        <w:br/>
        <w:t>párr. 37 y Caso Vélez Restrepo y Familiares Vs. Colombia. Excepción</w:t>
        <w:br/>
        <w:t>Preliminar, Fondo, Reparaciones y Costas. Sentencia de 3 de septiembre de</w:t>
        <w:br/>
        <w:t>2012 Serie C No. 248, párr. 21.</w:t>
        <w:br/>
        <w:br/>
        <w:br/>
        <w:t>[18]  Cfr. Caso Pacheco Teruel y otros Vs. Honduras. Fondo, Reparaciones y</w:t>
        <w:br/>
        <w:t>Costas. Sentencia de 27 de abril de 2012 Serie C No. 241, párr. 19.</w:t>
        <w:br/>
        <w:br/>
        <w:br/>
        <w:t>[19]  Cfr. Caso Tiu Tojín Vs. Guatemala. Fondo, Reparaciones y Costas.</w:t>
        <w:br/>
        <w:t>Sentencia de 26 de noviembre de 2008. Serie C No. 190, párr. 26, y Caso</w:t>
        <w:br/>
        <w:t>Masacres de El Mozote y lugares aledaños Vs. El Salvador, supra, párr. 27.</w:t>
        <w:br/>
        <w:br/>
        <w:br/>
        <w:t>[20]   Cfr.  Caso  Ibsen  Cárdenas  e  Ibsen  Peña   Vs.   Bolivia.   Fondo,</w:t>
        <w:br/>
        <w:t>Reparaciones y Costas. Sentencia de 1 de septiembre  de  2010  Serie  C  No.</w:t>
        <w:br/>
        <w:t>217, párr. 20.</w:t>
        <w:br/>
        <w:br/>
        <w:br/>
        <w:t>[21]  En este sentido, ver, Caso Ticona Estrada y otros Vs. Bolivia. Fondo,</w:t>
        <w:br/>
        <w:t>Reparaciones y Costas. Sentencia de 27 de noviembre de 2008. Serie C No.</w:t>
        <w:br/>
        <w:t>191, párr. 30; Caso Ibsen Cárdenas e Ibsen Peña Vs. Bolivia, supra, párr.</w:t>
        <w:br/>
        <w:t>22. Ver también, Caso González Medina y familiares Vs. República</w:t>
        <w:br/>
        <w:t>Dominicana. Excepciones Preliminares, Fondo, Reparaciones y Costas.</w:t>
        <w:br/>
        <w:t>Sentencia de 27 de febrero de 2012 Serie C No. 240, párr. 192.</w:t>
        <w:br/>
        <w:br/>
        <w:br/>
        <w:t>[22]  Cfr. Asunto de Viviana Gallardo y otras. Serie A No.G 101/81, párr.</w:t>
        <w:br/>
        <w:t>26, y Caso González Medina y familiares Vs. República Dominicana, supra,</w:t>
        <w:br/>
        <w:t>nota el pie 16.</w:t>
        <w:br/>
        <w:br/>
        <w:br/>
        <w:t>[23]  Cfr. Caso Neira Alegría y otros Vs. Perú. Excepciones Preliminares.</w:t>
        <w:br/>
        <w:t>Sentencia de 11 de diciembre de 1991. Serie C No. 13, párr. 29, y  Caso</w:t>
        <w:br/>
        <w:t>Masacres de Río Negro Vs. Guatemala. Excepción Preliminar, Fondo,</w:t>
        <w:br/>
        <w:t>Reparaciones y Costas. Sentencia de 4 de septiembre de 2012 Serie C No.</w:t>
        <w:br/>
        <w:t>250, párr. 25.</w:t>
        <w:br/>
        <w:br/>
        <w:br/>
        <w:t>[24]  Véase, por ejemplo, Caso de las Hermanas Serrano Cruz Vs. El</w:t>
        <w:br/>
        <w:t>Salvador. Excepciones Preliminares. Sentencia de 23 de noviembre de 2004.</w:t>
        <w:br/>
        <w:t>Serie C No. 118, párr. 50, y Caso Salvador Chiriboga Vs. Ecuador.</w:t>
        <w:br/>
        <w:t>Reparaciones y Costas. Sentencia de 3 de marzo de 2011. Serie C No. 222,</w:t>
        <w:br/>
        <w:t>párr. 91.</w:t>
        <w:br/>
        <w:br/>
        <w:br/>
        <w:t>[25]  Cfr. Caso Manuel Cepeda Vargas Vs. Colombia, supra, párr. 26, y Caso</w:t>
        <w:br/>
        <w:t>Vélez Loor Vs. Panamá, supra, párr. 13.</w:t>
        <w:br/>
        <w:br/>
        <w:br/>
        <w:t>[26]  Esta ha sido la jurisprudencia constante del Tribunal  desde  el  Caso</w:t>
        <w:br/>
        <w:t>García Prieto y otros Vs.  El  Salvador.  Excepciones  Preliminares,  Fondo,</w:t>
        <w:br/>
        <w:t>Reparaciones y Costas. Sentencia de 20 de noviembre de  2007.  Serie  C  No.</w:t>
        <w:br/>
        <w:t>168, párrs. 65 a 68, y el Caso Chaparro Álvarez y Lapo Íñiguez Vs.  Ecuador.</w:t>
        <w:br/>
        <w:t>Excepciones Preliminares, Fondo, Reparaciones y Costas. Sentencia de  21  de</w:t>
        <w:br/>
        <w:t>noviembre de 2007. Serie C No. 170,  párrs.  224  a  225.  Estas  sentencias</w:t>
        <w:br/>
        <w:t>fueron adoptadas por el Tribunal durante el mismo período  de  sesiones.  En</w:t>
        <w:br/>
        <w:t>aplicación  del  nuevo  Reglamento  de  la  Corte  este  criterio  ha   sido</w:t>
        <w:br/>
        <w:t>ratificado desde el caso Familia Barrios Vs. Venezuela.  Cfr.  Caso  Familia</w:t>
        <w:br/>
        <w:t>Barrios vs. Venezuela. Fondo, Reparaciones y  Costas.  Sentencia  de  24  de</w:t>
        <w:br/>
        <w:t>noviembre de 2011. Serie C No. 237, nota de  pie  214.  Véase,  además  Caso</w:t>
        <w:br/>
        <w:t>Furlan  y  Familiares  Vs.  Argentina.  Excepciones   Preliminares,   Fondo,</w:t>
        <w:br/>
        <w:t>Reparaciones y Costas. Sentencia de 31 de agosto de 2012 Serie  C  No.  246,</w:t>
        <w:br/>
        <w:t>párr. 277.</w:t>
        <w:br/>
        <w:br/>
        <w:br/>
        <w:t>[27]        Cfr. Caso de las Masacres de  Ituango  Vs.  Colombia.  Excepción</w:t>
        <w:br/>
        <w:t>Preliminar, Fondo, Reparaciones y Costas. Sentencia de 1 de julio  de  2006.</w:t>
        <w:br/>
        <w:t>Serie C No. 148, párr. 98, y Caso  Nadege  Dorzema  y  otros  Vs.  República</w:t>
        <w:br/>
        <w:t>Dominicana. Fondo Reparaciones y Costas. Sentencia de 24 de octubre de  2012</w:t>
        <w:br/>
        <w:t>Serie C No. 251, párr. 29.</w:t>
        <w:br/>
        <w:br/>
        <w:br/>
        <w:t>[28]  Mutatis mutandi, bajo el anterior Reglamento de la Corte, cfr. Caso</w:t>
        <w:br/>
        <w:t>Radilla Pacheco Vs. México, supra, párr. 110, y Caso Barbani Duarte y Otros</w:t>
        <w:br/>
        <w:t>Vs. Uruguay. Fondo Reparaciones y costas. Sentencia de 13 de octubre de</w:t>
        <w:br/>
        <w:t>2011. Serie C No. 234, párr. 42.</w:t>
        <w:br/>
        <w:br/>
        <w:br/>
        <w:t>[29]  Cfr. Caso  de  la  “Panel  Blanca”  (Paniagua  Morales  y  otros)  Vs.</w:t>
        <w:br/>
        <w:t>Guatemala. Fondo. Sentencia de 8 de marzo de 1998. Serie C  No.  37,  párrs.</w:t>
        <w:br/>
        <w:t>69 al 76, y Caso Masacres de El Mozote y lugares aledaños Vs.  El  Salvador,</w:t>
        <w:br/>
        <w:t>supra, párr. 31.</w:t>
        <w:br/>
        <w:br/>
        <w:br/>
        <w:t>[30]  Cfr. Caso  de  la  “Panel  Blanca”  (Paniagua  Morales  y  otros)  Vs.</w:t>
        <w:br/>
        <w:t>Guatemala. Fondo, supra, párr. 76, y Caso Masacres de El  Mozote  y  lugares</w:t>
        <w:br/>
        <w:t>aledaños Vs. El Salvador, supra, párr. 31.</w:t>
        <w:br/>
        <w:br/>
        <w:br/>
        <w:t>[31]  Los objetos de estas declaraciones se encuentran establecidos en la</w:t>
        <w:br/>
        <w:t>Resolución del Presidente de la Corte  de 16 de marzo de 2012 (supra párr.</w:t>
        <w:br/>
        <w:t>9). En dicha Resolución se convocó a declarar en la audiencia pública al</w:t>
        <w:br/>
        <w:t>testigo Marco Tulio Álvarez Bobadilla, propuesto por el Estado. Sin</w:t>
        <w:br/>
        <w:t>embargo, el Estado desistió de su declaración con posterioridad a dicha</w:t>
        <w:br/>
        <w:t>Resolución.</w:t>
        <w:br/>
        <w:br/>
        <w:br/>
        <w:t>[32]  Cfr. Caso Velásquez Rodríguez Vs. Honduras. Fondo. Sentencia de 29 de</w:t>
        <w:br/>
        <w:t>julio de 1988. Serie C No. 4 , supra nota 18, párr. 140, y Caso Masacres de</w:t>
        <w:br/>
        <w:t>El Mozote y lugares aledaños, supra, párr. 33.</w:t>
        <w:br/>
        <w:br/>
        <w:br/>
        <w:t>[33]  El plazo para la presentación de los anexos al escrito de</w:t>
        <w:br/>
        <w:t>contestación vencía el 3 de octubre de 2011. El Estado presentó, por</w:t>
        <w:br/>
        <w:t>primera vez, el 10 de octubre de 2011 los anexos I.2, II.3, II.4, III.5,</w:t>
        <w:br/>
        <w:t>III.6, III.7, III.8 y III.9. Previamente, el 27 de septiembre de 2011, el</w:t>
        <w:br/>
        <w:t>Estado había remitido el anexo I.1 de su escrito de contestación,</w:t>
        <w:br/>
        <w:t>(consistente en copias certificadas de la “sentencia dictada en Primera</w:t>
        <w:br/>
        <w:t>Instancia del proceso identificado como C-01069-1997-00001 a cargo del</w:t>
        <w:br/>
        <w:t>oficial 3º del Tribunal 8º de Sentencia Penal, Narcoactividad y Delitos</w:t>
        <w:br/>
        <w:t>contra el Ambiente de Guatemala y de la [s]entencia en Segunda Instancia de</w:t>
        <w:br/>
        <w:t>la Sala Segunda de la Corte de Apelaciones del Ramo Penal, Narcoactividad y</w:t>
        <w:br/>
        <w:t>Delitos contra el Ambiente de Guatemala”), así como las hojas de vida y</w:t>
        <w:br/>
        <w:t>datos de contacto de las personas propuestas como peritos en su escrito de</w:t>
        <w:br/>
        <w:t>contestación.</w:t>
        <w:br/>
        <w:br/>
        <w:br/>
        <w:t>[34]  Cfr. Caso Velásquez Rodríguez Vs. Honduras. Fondo, supra,  párr.  146,</w:t>
        <w:br/>
        <w:t>y Caso Masacres de El Mozote y lugares aledaños, supra, párr. 35.</w:t>
        <w:br/>
        <w:br/>
        <w:br/>
        <w:t>[35]  Cfr. Caso Escué Zapata Vs. Colombia.  Fondo,  Reparaciones  y  Costas.</w:t>
        <w:br/>
        <w:t>Sentencia de 4 de julio de 2007. Serie C No. 165, párr. 26, y Caso  Masacres</w:t>
        <w:br/>
        <w:t>de El Mozote y lugares aledaños, supra, párr. 36.</w:t>
        <w:br/>
        <w:br/>
        <w:br/>
        <w:t>[36]  Diario Militar. Caso Gudiel Álvarez y otros (“Diario Militar”) Vs.</w:t>
        <w:br/>
        <w:t>Guatemala (expediente de anexos al Informe de Fondo, Tomo I, Anexo 11,</w:t>
        <w:br/>
        <w:t>folios 333 a 409)</w:t>
        <w:br/>
        <w:br/>
        <w:br/>
        <w:t>[37]  Decreto-Ley No. 51-92 - Código Procesal Penal. Caso Gudiel Álvarez y</w:t>
        <w:br/>
        <w:t>otros (“Diario Militar”) Vs. Guatemala (expediente de anexos al escrito de</w:t>
        <w:br/>
        <w:t>solicitudes y argumentos, Tomo I, Anexo A10, folios 9472 a 9605).</w:t>
        <w:br/>
        <w:br/>
        <w:br/>
        <w:t>[38]  Decreto No. 145-1996 - Ley de Reconciliación Nacional. Caso Gudiel</w:t>
        <w:br/>
        <w:t>Álvarez y otros (“Diario Militar”) Vs. Guatemala (expediente de anexos al</w:t>
        <w:br/>
        <w:t>escrito de solicitudes y argumentos, Tomo IV, Anexo A55, folios 10484 a</w:t>
        <w:br/>
        <w:t>10487).</w:t>
        <w:br/>
        <w:br/>
        <w:br/>
        <w:t>[39]  Acuerdo sobre bases para la incorporación de la Unidad  Revolucionaria</w:t>
        <w:br/>
        <w:t>Nacional Guatemalteco a la Legalidad. Madrid,  España  12  de  diciembre  de</w:t>
        <w:br/>
        <w:t>1996.                             Disponible                              en</w:t>
        <w:br/>
        <w:t>http://www.sepaz.gob.gt/index.php/acuerdos/separador2/acuerdo-bases-</w:t>
        <w:br/>
        <w:t>incoporacion-unidad-revolucionaria-nacional-guatemalteca.</w:t>
        <w:br/>
        <w:br/>
        <w:br/>
        <w:t>[40]  Acuerdo de Paz Firme y Duradera. Guatemala, 29 de diciembre  de  1996.</w:t>
        <w:br/>
        <w:t>Disponible en http://www.sepaz.gob.gt/index.php/acuerdos/separador2/acuerdo-</w:t>
        <w:br/>
        <w:t>paz-firme-duradera.</w:t>
        <w:br/>
        <w:br/>
        <w:br/>
        <w:t>[41]   Cfr.  Caso  Loayza  Tamayo  Vs.  Perú.  Fondo.  Sentencia  de  17  de</w:t>
        <w:br/>
        <w:t>septiembre de 1997. Serie C No. 33, párr. 43, y Caso Masacres de  El  Mozote</w:t>
        <w:br/>
        <w:t>y lugares aledaños Vs. El Salvador, supra, párr. 40.</w:t>
        <w:br/>
        <w:br/>
        <w:br/>
        <w:t>[42]  Cfr. Caso Loayza Tamayo Vs. Perú.  Fondo,  supra,  párr.  43,  y  Caso</w:t>
        <w:br/>
        <w:t>Masacres de El Mozote y lugares aledaños Vs. El Salvador, supra, párr. 40.</w:t>
        <w:br/>
        <w:br/>
        <w:br/>
        <w:t>[43]  En sentido similar se ha pronunciado la Corte en los siguientes</w:t>
        <w:br/>
        <w:t>casos: Caso Chocrón Chocrón Vs. Venezuela. Excepción Preliminar, Fondo,</w:t>
        <w:br/>
        <w:t>Reparaciones y Costas. Sentencia de 1 de julio de 2011. Serie C No. 227,</w:t>
        <w:br/>
        <w:t>párr. 38, y Caso Contreras y otros Vs. El Salvador. Fondo, Reparaciones y</w:t>
        <w:br/>
        <w:t>Costas. Sentencia de 31 de agosto de 2011. Serie C No. 232, párr. 34.</w:t>
        <w:br/>
        <w:br/>
        <w:br/>
        <w:t>[44]  Cfr. Caso Goiburú y otros Vs. Paraguay. Fondo, Reparaciones y Costas.</w:t>
        <w:br/>
        <w:t>Sentencia de 22 de septiembre de 2006. Serie C No. 153, párrs. 53 y 63, y</w:t>
        <w:br/>
        <w:t>Caso Masacres de Río Negro Vs. Guatemala, supra, párr. 55.</w:t>
        <w:br/>
        <w:br/>
        <w:br/>
        <w:t>[45]  Cfr. Informe de la CEH, Guatemala: Memoria  del  Silencio,  Guatemala,</w:t>
        <w:br/>
        <w:t>Oficina de Servicios para proyectos de las Naciones Unidas, 1999,  Tomo  II,</w:t>
        <w:br/>
        <w:t>págs. 20, 21 y 318, párrs. 769, 772 y 1729, y Tomo  V,  conclusiones,  págs.</w:t>
        <w:br/>
        <w:t>21 y 55, párrs. 1 y  147,  anexo  3  al  Informe  de  Fondo,  disponible  en</w:t>
        <w:br/>
        <w:t>http://shr.aaas.org/guatemala/ceh/gmds_pdf/;   Secretaría   de    la    Paz.</w:t>
        <w:br/>
        <w:t>Presidencia de la República, La autenticidad del Diario Militar,  a  la  luz</w:t>
        <w:br/>
        <w:t>de los documentos históricos de la  Policía  Nacional,  2009, págs.  5  y  6</w:t>
        <w:br/>
        <w:t>(expediente de anexos al Informe de Fondo, Tomo I,  Anexo  5,  folios  20  a</w:t>
        <w:br/>
        <w:t>21); peritaje de Marco Tulio Álvarez Bobadilla sobre el  contexto  histórico</w:t>
        <w:br/>
        <w:t>político de la desaparición forzada de Edgar Fernando García rendido  en  el</w:t>
        <w:br/>
        <w:t>proceso penal interno (expediente de anexos  al  escrito  de  solicitudes  y</w:t>
        <w:br/>
        <w:t>argumentos, Tomo I, folios 1540, 1543 a 1546 y  1558);  peritaje  de  Rember</w:t>
        <w:br/>
        <w:t>Aroldo Larios Tobar sobre  la  estructura  policial  en  el  caso  de  Edgar</w:t>
        <w:br/>
        <w:t>Fernando García rendido en el proceso penal interno  (expediente  de  anexos</w:t>
        <w:br/>
        <w:t>al escrito de solicitudes y argumentos, Tomo  I,  folios  1624  a  1626),  y</w:t>
        <w:br/>
        <w:t>peritaje psicológico social de Marina de Villagrán sobre el  caso  de  Edgar</w:t>
        <w:br/>
        <w:t>Fernando García rendido a en el proceso penal interno (expediente de  anexos</w:t>
        <w:br/>
        <w:t>al escrito de solicitudes y argumentos, Tomo I, folios 1649 a 1650).</w:t>
        <w:br/>
        <w:br/>
        <w:br/>
        <w:t>[46]  Cfr. CEH, supra, Tomo II, págs. 75 y 76, párrs. 947 y 952, y</w:t>
        <w:br/>
        <w:t>Secretaría de la Paz, supra, pág. 21, folio 23). El nombre oficial de “El</w:t>
        <w:br/>
        <w:t>Archivo” fue modificándose con los diferentes cambios de gobierno, durante</w:t>
        <w:br/>
        <w:t>el gobierno de Oscar Humberto Mejía Víctores se llamó “Secretaría de</w:t>
        <w:br/>
        <w:t>Inteligencia de la Presidencia de la República”. Oscar Humberto Mejía</w:t>
        <w:br/>
        <w:t>Víctores estuvo en el poder de agosto de 1983 a enero de 1986. Cfr. CEH,</w:t>
        <w:br/>
        <w:t>supra, Tomo I, pág. 234 y Tomo II, pág. 85, párr. 983.</w:t>
        <w:br/>
        <w:br/>
        <w:br/>
        <w:t>[47]  Cfr. CEH, supra, Tomo II, págs. 43 y 44, párr. 847; Secretaría de la</w:t>
        <w:br/>
        <w:t>Paz, supra, págs. 148 y 149, folios 157 y 158; PDH, El Derecho a Saber.</w:t>
        <w:br/>
        <w:t>Informe Especial del Archivo Histórico de la Policía Nacional de Guatemala.</w:t>
        <w:br/>
        <w:t>2009, págs. 112, 193 y 240, Anexo 8 al Informe de Fondo, disponible en:</w:t>
        <w:br/>
        <w:t>http://www.pdh.org.gt/index.php/documentos/informes-especiales.html, y</w:t>
        <w:br/>
        <w:t>peritaje de Rember Aroldo Larios Tobar sobre la estructura policial en el</w:t>
        <w:br/>
        <w:t>caso de Edgar Fernando García rendido en el proceso penal interno</w:t>
        <w:br/>
        <w:t>(expediente de anexos al escrito de solicitudes y argumentos, Tomo I, folio</w:t>
        <w:br/>
        <w:t>1636).</w:t>
        <w:br/>
        <w:br/>
        <w:br/>
        <w:t>[48]  Secretaría de la Paz, supra, págs. 148 y 149, folios 157 y 158. En el</w:t>
        <w:br/>
        <w:t>mismo sentido, cfr. PDH, El Derecho a Saber, supra, págs. 95; CEH, supra,</w:t>
        <w:br/>
        <w:t>Tomo II, pág. 149, párrs. 1164 y 1165.</w:t>
        <w:br/>
        <w:br/>
        <w:br/>
        <w:t>[49]  Cfr., inter alia, Caso Bámaca Velásquez Vs. Guatemala. Fondo.</w:t>
        <w:br/>
        <w:t>Sentencia de 25 de noviembre de 2000. Serie C No. 70, párr. 132; Caso Tiu</w:t>
        <w:br/>
        <w:t>Tojín Vs. Guatemala, supra, párr. 49, y Caso Chitay Nech y otros Vs.</w:t>
        <w:br/>
        <w:t>Guatemala. Excepciones Preliminares, Fondo, Reparaciones y Costas.</w:t>
        <w:br/>
        <w:t>Sentencia de 25 de mayo de 2010. Serie C No. 212, párr. 67. En el mismo</w:t>
        <w:br/>
        <w:t>sentido, ver, peritaje de Rember Aroldo Larios Tobar sobre la estructura</w:t>
        <w:br/>
        <w:t>policial en el caso de Edgar Fernando García rendido en el proceso penal</w:t>
        <w:br/>
        <w:t>interno (expediente de anexos al escrito de solicitudes y argumentos, Tomo</w:t>
        <w:br/>
        <w:t>I, folios 1636 a 1637), y peritaje de Fernando Arturo López Antillón sobre</w:t>
        <w:br/>
        <w:t>la efectividad del recurso de exhibición personal durante el conflicto</w:t>
        <w:br/>
        <w:t>armado interno rendido en el proceso penal interno (expediente de anexos al</w:t>
        <w:br/>
        <w:t>escrito de solicitudes y argumentos, Tomo I, folios 1972 a 1974).</w:t>
        <w:br/>
        <w:br/>
        <w:br/>
        <w:t>[50]  Cfr. CEH, supra, Tomo II, pág. 411, párr. 2053.</w:t>
        <w:br/>
        <w:br/>
        <w:br/>
        <w:t>[51]  Cfr. CEH, supra, Tomo I, págs. 23,  26-27,  30,  35,  49  a  51,  215,</w:t>
        <w:br/>
        <w:t>párrs. 1, 2, 19, 45, 89 a 96 y 694, y Tomo II, págs. 13,  14  y  15,  párrs.</w:t>
        <w:br/>
        <w:t>741 y 745; Caso Myrna  Mack  Chang  Vs.  Guatemala.  Fondo,  Reparaciones  y</w:t>
        <w:br/>
        <w:t>Costas. Sentencia de 25 de noviembre de 2003. Serie C No. 101, párr.  134.9;</w:t>
        <w:br/>
        <w:t>Caso Masacres de Río Negro Vs. Guatemala, supra, párr. 64; Decreto No.  145-</w:t>
        <w:br/>
        <w:t>1996 – Ley de Reconciliación Nacional, 27 de Diciembre de 1996, supra,  art.</w:t>
        <w:br/>
        <w:t>10 y selección de correspondencia entre la CEH y  las  instituciones  de  la</w:t>
        <w:br/>
        <w:t>República de Guatemala, carta de  29  de  abril  de  1998,  ABT/C/092-98/lg,</w:t>
        <w:br/>
        <w:t>dirigida al Secretario Privado de la Presidencia,  CEH,  supra,  Tomo  VIII,</w:t>
        <w:br/>
        <w:t xml:space="preserve">págs. 176 y 177.  </w:t>
        <w:br/>
        <w:br/>
        <w:br/>
        <w:t>[52]  Cfr. CEH, supra, Tomo I, pág. 50, párr. 93.</w:t>
        <w:br/>
        <w:br/>
        <w:br/>
        <w:t>[53]  La CEH solicitó y no le fue entregada, inter alia, información sobre:</w:t>
        <w:br/>
        <w:t>“[r]eportes de operaciones y diarios de operaciones anteriores al año 1988”</w:t>
        <w:br/>
        <w:t>del Ejército, así como “[l]as apreciaciones de situación, planes de</w:t>
        <w:br/>
        <w:t>operaciones, órdenes de operaciones, reportes de operaciones y diarios de</w:t>
        <w:br/>
        <w:t>operaciones del Estado Mayor Presidencial entre 1960 y 1996, así como una</w:t>
        <w:br/>
        <w:t>relación general de los operativos realizados en su área de responsabilidad</w:t>
        <w:br/>
        <w:t>y los reportes de los mismos”. Cfr. Selección de correspondencia entre la</w:t>
        <w:br/>
        <w:t>CEH y las instituciones de la República de Guatemala, carta de 24 de marzo</w:t>
        <w:br/>
        <w:t>de 1998, CT/C/079-98/lg, dirigida al Presidente de la República, CEH,</w:t>
        <w:br/>
        <w:t xml:space="preserve">supra, Tomo VIII, Anexo III, págs. 161 y 162. </w:t>
        <w:br/>
        <w:br/>
        <w:br/>
        <w:t>[54]  La CEH señaló, en relación con las desapariciones forzadas, que “no</w:t>
        <w:br/>
        <w:t>logró esclarecer […] si existió una sola cadena de mando o un sistema</w:t>
        <w:br/>
        <w:t>centralizado donde se origina[ban] las instrucciones de llevar a cabo la</w:t>
        <w:br/>
        <w:t>desaparición forzada de las personas”. Cfr. CEH, supra, Tomo II, pág. 459,</w:t>
        <w:br/>
        <w:t>párr. 2180.</w:t>
        <w:br/>
        <w:br/>
        <w:br/>
        <w:t>[55]  Cfr. Secretaría de la Paz, supra, pág. 21, folio 33.</w:t>
        <w:br/>
        <w:br/>
        <w:br/>
        <w:t>[56]  Cfr. Secretaría de la Paz, supra, pág. 167, folio 175.</w:t>
        <w:br/>
        <w:br/>
        <w:br/>
        <w:t>[57]  Cfr. Diario Militar, supra,  sexta  sección;  Secretaría  de  la  Paz,</w:t>
        <w:br/>
        <w:t>supra, págs. 21, 22 y 23, folios 33, 34 y 35.</w:t>
        <w:br/>
        <w:br/>
        <w:br/>
        <w:t>[58]  Cfr. Diario Militar, supra; Secretaría de la Paz, supra, págs. 24,</w:t>
        <w:br/>
        <w:t>25, 157 y 158, folios 36, 37, 166 y 167, y peritaje de Marco Tulio Álvarez</w:t>
        <w:br/>
        <w:t>Bobadilla sobre el contexto histórico político de la desaparición forzada</w:t>
        <w:br/>
        <w:t>de Edgar Fernando García rendido en el proceso penal interno (expediente de</w:t>
        <w:br/>
        <w:t>anexos al escrito de solicitudes y argumentos, Tomo I, folio 1635).</w:t>
        <w:br/>
        <w:br/>
        <w:br/>
        <w:t>[59]   Cfr. Secretaría de la Paz, supra, págs. x y xi, 21, 22 y 167,  folios</w:t>
        <w:br/>
        <w:t>14, 15, 33, 34 y 175; peritaje de Marco Tulio  Álvarez  Bobadilla  sobre  el</w:t>
        <w:br/>
        <w:t>contexto histórico político de la desaparición  forzada  de  Edgar  Fernando</w:t>
        <w:br/>
        <w:t>García rendido en el proceso penal interno (expediente de anexos al  escrito</w:t>
        <w:br/>
        <w:t>de solicitudes y argumentos, Tomo I, folio 1550),  y  peritaje  de  Fernando</w:t>
        <w:br/>
        <w:t>Arturo López  Antillón  sobre  la  efectividad  del  recurso  de  exhibición</w:t>
        <w:br/>
        <w:t>personal durante el conflicto armado interno rendido  en  el  proceso  penal</w:t>
        <w:br/>
        <w:t>interno  (expediente de anexos al escrito de solicitudes y argumentos,  Tomo</w:t>
        <w:br/>
        <w:t>I, folios 1981 y 1982).</w:t>
        <w:br/>
        <w:br/>
        <w:br/>
        <w:t>[60]  El Poder Ejecutivo de Guatemala publicó el informe “La autenticidad</w:t>
        <w:br/>
        <w:t>del Diario Militar a la luz de los documentos históricos de la Policía</w:t>
        <w:br/>
        <w:t>Nacional” donde se reconoce la autenticidad del Diario Militar. Cfr.</w:t>
        <w:br/>
        <w:t>Secretaría de la Paz, supra, pág. 21 y 22, folios 33 y 34.</w:t>
        <w:br/>
        <w:br/>
        <w:br/>
        <w:t>[61]  Cfr. PDH, El Derecho a Saber,  supra,  pág.  IX;  PDH.  Informe  Anual</w:t>
        <w:br/>
        <w:t>Circunstanciado. Situación de  los  Derechos  Humanos  en  Guatemala,  2008,</w:t>
        <w:br/>
        <w:t>Anexo   7   del   Informe   de   Fondo,    pág.    250,    disponible    en:</w:t>
        <w:br/>
        <w:t>http://www.pdh.org.gt/index.php/documentos/informes.html,   y    declaración</w:t>
        <w:br/>
        <w:t>rendida por Velia Muralles Bautista  ante  la  Corte  Interamericana  en  la</w:t>
        <w:br/>
        <w:t>audiencia pública del presente caso.</w:t>
        <w:br/>
        <w:br/>
        <w:br/>
        <w:t>[62]  Cfr. Peritaje de Rember Aroldo Larios Tobar sobre la estructura</w:t>
        <w:br/>
        <w:t>policial en el caso de Edgar Fernando García rendido en el proceso penal</w:t>
        <w:br/>
        <w:t>interno (expediente de anexos al escrito de solicitudes y argumentos, Tomo</w:t>
        <w:br/>
        <w:t>I, folios 1591, 1592, 1593, 1595, 1596, 1598, 1601, 1606, 1607); PDH,</w:t>
        <w:br/>
        <w:t>supra, págs. Xii, 49, 51, 53, 56, 60, 62, 67, 71, 73, 77, 79, 83, 86, e</w:t>
        <w:br/>
        <w:t>informe pericial archivístico elaborado por Velia Muralles Buatista en el</w:t>
        <w:br/>
        <w:t>marco del proceso penal interno (expediente de anexos al escrito de</w:t>
        <w:br/>
        <w:t>solicitudes y argumentos, Tomo I, folios 1742, 1911 y 1912).</w:t>
        <w:br/>
        <w:br/>
        <w:br/>
        <w:t>[63]  Cfr. Secretaría de la Paz, supra, pág. 167, folio 175.</w:t>
        <w:br/>
        <w:br/>
        <w:br/>
        <w:t>[64]  Cfr.  Copia  de  la  cédula  de  vecindad  de  Edgar  Fernando  García</w:t>
        <w:br/>
        <w:t>(expediente de anexos al Informe de Fondo, Tomo II, Anexo  31,  folio  482);</w:t>
        <w:br/>
        <w:t>copia del certificado de  matrimonio  de  Edgar  Fernando  García  y  Nineth</w:t>
        <w:br/>
        <w:t>Varenca Montenegro Cottom (expediente de anexos al escrito de solicitudes  y</w:t>
        <w:br/>
        <w:t>argumentos, Tomo I, Anexo 3, folios 1345 y 1346), y  copia  del  certificado</w:t>
        <w:br/>
        <w:t>de nacimiento de  Alejandra  García  Montenegro  (expediente  de  anexos  al</w:t>
        <w:br/>
        <w:t>escrito de solicitudes y argumentos, Tomo I, Anexo 4, folio 1348).</w:t>
        <w:br/>
        <w:br/>
        <w:br/>
        <w:t>[65]  Cfr. Extracto del Diario Militar (expediente de anexos al  Informe  de</w:t>
        <w:br/>
        <w:t>Fondo, Tomo I, Anexo 6, folio 188); Nota del Sindicato  de  Trabajadores  de</w:t>
        <w:br/>
        <w:t>la Industria Centro Americana de Vidrio S.A. de octubre de 1984  (expediente</w:t>
        <w:br/>
        <w:t>de anexos al Informe de Fondo, Tomo I, Anexo 11, folio 195); nota  GG-014-88</w:t>
        <w:br/>
        <w:t>de  la  Industria  Centro  Americana  de  Vidrio  de  3  de  marzo  de  1988</w:t>
        <w:br/>
        <w:t>(expediente de anexos al Informe de Fondo, Tomo I,  Anexo  12,  folio  197);</w:t>
        <w:br/>
        <w:t>PDH. Unidad de Producción  Televisiva.  Video  titulado  “Aún  guardamos  la</w:t>
        <w:br/>
        <w:t>esperanza”      de      febrero      de      2009.      Disponible       en:</w:t>
        <w:br/>
        <w:t>http://www.youtube.com/watch?v=SrQFfj7GOZ0        (parte        1)         y</w:t>
        <w:br/>
        <w:t>http://www.youtube.com/watch?v=_RDrniu1uJ0 (parte 2) (Anexo  10  al  Informe</w:t>
        <w:br/>
        <w:t>de Fondo); documentos entregados en la audiencia pública por Velia  Muralles</w:t>
        <w:br/>
        <w:t>Bautista, Oficio  No.  02942  del  Ministerio  de  la  Defensa  Nacional  al</w:t>
        <w:br/>
        <w:t>Director General de Policía Nacional de 5 de marzo de  1984  (expediente  de</w:t>
        <w:br/>
        <w:t>fondo, Tomo II, folios 866 a 867); CEH,  supra,  Tomo  VI,  pág.  146;  nota</w:t>
        <w:br/>
        <w:t>143/2006 del Departamento de Registro y Estadística  de  la  Universidad  de</w:t>
        <w:br/>
        <w:t>San Carlos de Guatemala de 27 de noviembre de 2006 (expediente de anexos  al</w:t>
        <w:br/>
        <w:t>Informe de Fondo, Tomo I, Anexo 9, folio 193), y  Archivo  Histórico  de  la</w:t>
        <w:br/>
        <w:t>Policía Nacional (en adelante citado como “AHPN”). Resolución No. 720 de  la</w:t>
        <w:br/>
        <w:t>Gobernación Departamental de Guatemala de 18 de marzo de 1980, GT  PN  24-03</w:t>
        <w:br/>
        <w:t>S003,  No.  1539  MP-0131-10-023  (expediente  de  anexos  al   escrito   de</w:t>
        <w:br/>
        <w:t>solicitudes y argumentos, Tomo I, Anexo 7, folio 1355).</w:t>
        <w:br/>
        <w:br/>
        <w:br/>
        <w:t>[66]  Cfr. Declaración rendida por Nineth Varenca Montenegro Cottom ante  la</w:t>
        <w:br/>
        <w:t>Corte Interamericana en la audiencia pública del presente caso.</w:t>
        <w:br/>
        <w:br/>
        <w:br/>
        <w:t>[67]  Cfr. Diario Militar, primera sección, y extracto del Diario Militar</w:t>
        <w:br/>
        <w:t>(expediente de anexos al Informe de Fondo, Tomo I, Anexo 6, folio 190)</w:t>
        <w:br/>
        <w:br/>
        <w:br/>
        <w:t>[68]  Cfr. Diario Militar, tercera sección.</w:t>
        <w:br/>
        <w:br/>
        <w:br/>
        <w:t>[69]  Cfr. Extracto del Diario Militar (expediente de anexo al Informe de</w:t>
        <w:br/>
        <w:t>Fondo, Tomo I, Anexo 6, folio 188).</w:t>
        <w:br/>
        <w:br/>
        <w:br/>
        <w:t>[70]  Cfr. AHPN. Oficio  No. 027474 de 7 de octubre de 1978,  GT PN 50</w:t>
        <w:br/>
        <w:t>S007, No. 12387, y oficio  No. 0274473 del Cuerpo de Detectives de la</w:t>
        <w:br/>
        <w:t>Policía Nacional  de 7 de octubre de 1978,  GT PN 50 S007, No. 12388</w:t>
        <w:br/>
        <w:t>(expediente de anexos al escrito de solicitudes y argumentos, Tomo I,</w:t>
        <w:br/>
        <w:t>Anexos 5 y 6, folios 1351 y 1353).</w:t>
        <w:br/>
        <w:br/>
        <w:br/>
        <w:t>[71]  Cfr. AHPN. Resolución No. 720 de la Gobernación Departamental de</w:t>
        <w:br/>
        <w:t>Guatemala de 18 de marzo de 1980,  GT PN 24-03 S003, No. 1539 MP-0131-10-</w:t>
        <w:br/>
        <w:t>023, y providencia No. 106/Ebpp del Centro de Operaciones Conjuntas de la</w:t>
        <w:br/>
        <w:t>Policía de 24 de marzo de 1980, GT ON 24-03 S003, No. 9101 (expediente de</w:t>
        <w:br/>
        <w:t>anexos al escrito de solicitudes y argumentos, Tomo I, Anexos 7 y 10,</w:t>
        <w:br/>
        <w:t>folios 1355 y 1362).</w:t>
        <w:br/>
        <w:br/>
        <w:br/>
        <w:t>[72]  El documento indica que los dirigentes de CAVISA habían solicitado la</w:t>
        <w:br/>
        <w:t>construcción de un hospital que “[s]e sabe […] lo quieren para curar a los</w:t>
        <w:br/>
        <w:t>que resulten heridos en los encuentros armados contra las Fuerzas de</w:t>
        <w:br/>
        <w:t>Seguridad del Gobierno en el área urbana”. Asimismo, señala que “[e]l tipo</w:t>
        <w:br/>
        <w:t>de imprenta y la calidad de la tinta que apareció en los volantes, es</w:t>
        <w:br/>
        <w:t>similar al que apareció en los volantes del ORPA” y que se sospechaba que</w:t>
        <w:br/>
        <w:t>el dinero dado por “los patronos” de la empresa al sindicato “para los</w:t>
        <w:br/>
        <w:t>gastos de las actividades de los trabajadores […] fue entregado a alguna</w:t>
        <w:br/>
        <w:t>facción clandestina”. Cfr. AHPN. Oficio No. 2-0077-1AO/64. GT PN 51-01</w:t>
        <w:br/>
        <w:t>S002, No. 4267 (expediente de anexos al escrito de solicitudes y</w:t>
        <w:br/>
        <w:t>argumentos, Tomo I, Anexo 11, folios 1364), y AHPN. Ficha de Edgar Fernando</w:t>
        <w:br/>
        <w:t>García, GT PN 50-08 S001, No. 11361, anexo 5 del peritaje de Marina de</w:t>
        <w:br/>
        <w:t>Villagrán rendido a nivel interno (expediente de anexos al escrito de</w:t>
        <w:br/>
        <w:t>solicitudes y argumentos, Tomo I, Anexo 53, folio 1694).</w:t>
        <w:br/>
        <w:br/>
        <w:br/>
        <w:t>[73]  Cfr. Sentencia  del Tribunal Octavo de Sentencia Penal,</w:t>
        <w:br/>
        <w:t>Narcoactividad y Delitos contra el Ambiente de 28 octubre de 2010, C-01069-</w:t>
        <w:br/>
        <w:t>1997-00001 (expediente de anexos al escrito de solicitudes y argumentos,</w:t>
        <w:br/>
        <w:t>Tomo IV, Anexo C, folios 3784, 3785 y 3854); CEH, supra, Tomo VI, pág. 146;</w:t>
        <w:br/>
        <w:t>y declaración rendida por Nineth Varenca Montenegro Cottom ante la Corte</w:t>
        <w:br/>
        <w:t>Interamericana en la audiencia pública del presente caso. Véase, además, la</w:t>
        <w:br/>
        <w:t>declaración grabada de Danilo Chinchilla Fuentes y su transcripción</w:t>
        <w:br/>
        <w:t>(expediente de anexos al escrito de solicitudes y argumentos, Tomo I,</w:t>
        <w:br/>
        <w:t>Anexos 20 y 21, folios 1388, 1391 y 1393). El Tribunal Octavo de Primera</w:t>
        <w:br/>
        <w:t>Instancia que condenó a dos de los autores materiales de la desaparición</w:t>
        <w:br/>
        <w:t>forzada de Edgar Fernando García (infra párr. 80), indicó que “los</w:t>
        <w:br/>
        <w:t>juzgadores no dudan de la veracidad” de “la versión de Danilo Chinchilla</w:t>
        <w:br/>
        <w:t>Fuentes que consta en CD y en transcripción”, teniendo en cuenta, inter</w:t>
        <w:br/>
        <w:t>alia, otros elementos probatorios aportados al expediente y el</w:t>
        <w:br/>
        <w:t>reconocimiento de la voz del señor Chinchilla realizado por una antigua</w:t>
        <w:br/>
        <w:t>compañera sentimental del mismo.</w:t>
        <w:br/>
        <w:br/>
        <w:br/>
        <w:t>[74]  Cfr. CEH, supra, Tomo II, pág. 438, párr. 2127; denuncia de Nineth</w:t>
        <w:br/>
        <w:t>Varenca Montenegro Cottom ante la PDH de 22 de enero  de 1988 (expediente</w:t>
        <w:br/>
        <w:t>de anexos al Informe de Fondo, Tomo I, Anexo 16, folio  210); video</w:t>
        <w:br/>
        <w:t>titulado “Aún guardamos la esperanza” de febrero de 2009, supra, parte 1, y</w:t>
        <w:br/>
        <w:t>declaración rendida por Alejandra García Montenegro ante fedatario público</w:t>
        <w:br/>
        <w:t>el 20 de abril de 2012 (expediente de fondo, Tomo II, folio 802).</w:t>
        <w:br/>
        <w:br/>
        <w:br/>
        <w:t>[75]  Cfr. Declaración grabada de Danilo Chinchilla Fuentes y su</w:t>
        <w:br/>
        <w:t>transcripción (expediente de anexos al escrito de solicitudes y argumentos,</w:t>
        <w:br/>
        <w:t>Tomo I, Anexos 20 y 21, folios 1384 y 1393).</w:t>
        <w:br/>
        <w:br/>
        <w:br/>
        <w:t>[76]  Cfr. AHPN. Oficio  No. 2-0405-1C/clp del Estado Mayor de la Defensa</w:t>
        <w:br/>
        <w:t>Nacional de 30 de enero de 1984, GT PN 51-01 S012, No. 12390 y No. 12392;</w:t>
        <w:br/>
        <w:t>oficio No. 260/84 del Comandante del Cuarto Cuerpo de la Policía Nacional</w:t>
        <w:br/>
        <w:t>al Director General de la Policía Nacional de 7 de febrero de 1984, GT PN</w:t>
        <w:br/>
        <w:t>32 S007, No. 9210 MP-0131-10-107; oficio No. COC/215-laov del Centro de</w:t>
        <w:br/>
        <w:t>Operaciones Conjuntas de la Dirección General de la Policía Nacional de 17</w:t>
        <w:br/>
        <w:t>de febrero de 1984, GT PN 51-01 S012, No. 9043; croquis de la Ciudad de</w:t>
        <w:br/>
        <w:t>Guatemala con la división de sectores para la Operación de Limpieza, GT PN</w:t>
        <w:br/>
        <w:t>51-01 S012, NO. 16062; documento titulado “Sectores de la Ciudad Capital</w:t>
        <w:br/>
        <w:t>para Operaciones [de] Limpieza de los Cuerpos P.N.”, GT PN 51-02 S012, No.</w:t>
        <w:br/>
        <w:t>15976; oficio No. COC/207-laov del Centro de Operaciones Conjuntas de la</w:t>
        <w:br/>
        <w:t>Dirección General de la Policía Nacional de 17 de febrero de 1984, GT PN</w:t>
        <w:br/>
        <w:t>23, No. 16636, y documento titulado “Cuadro para Control de [las]</w:t>
        <w:br/>
        <w:t>Operacione[s] de los Cuerpos, Escuela y Narcótico[s] de la Policía Nacional</w:t>
        <w:br/>
        <w:t>en diferentes zonas de la Ciudad Capital”, GT PN 51-02 S021, No. 6017</w:t>
        <w:br/>
        <w:t>(expediente de anexos al escrito de solicitudes y argumentos, Tomo I,</w:t>
        <w:br/>
        <w:t>Anexos 12, 13, 15, 16, 17, 18, 19 y 26, folios 1366, 1368 a 1370, 1374,</w:t>
        <w:br/>
        <w:t>1376, 1378, 1382 y 1405); sentencia  del Tribunal Octavo de Sentencia</w:t>
        <w:br/>
        <w:t>Penal, Narcoactividad y Delitos contra el Ambiente de 28 octubre de 2010, C-</w:t>
        <w:br/>
        <w:t>01069-1997-00001 (expediente de anexos al escrito de solicitudes y</w:t>
        <w:br/>
        <w:t>argumentos, Tomo IV, Anexo C, folios 3798, 3799 y 3858), declaración</w:t>
        <w:br/>
        <w:t>rendida por Velia Muralles Bautista ante la Corte Interamericana en la</w:t>
        <w:br/>
        <w:t>audiencia pública del presente caso.</w:t>
        <w:br/>
        <w:br/>
        <w:br/>
        <w:t>[77]  Cfr. Sentencia  del Tribunal Octavo de Sentencia Penal,</w:t>
        <w:br/>
        <w:t>Narcoactividad y Delitos contra el Ambiente de 28 octubre de 2010, C-01069-</w:t>
        <w:br/>
        <w:t>1997-00001 (expediente de anexos al escrito de solicitudes y argumentos,</w:t>
        <w:br/>
        <w:t>Tomo IV, Anexo C, folios 3784, 3785 y 3857 a 3858), y AHPN. Oficio No.</w:t>
        <w:br/>
        <w:t>COC/162-WA del Centro de Operaciones Conjuntas de la Dirección General de</w:t>
        <w:br/>
        <w:t>la Policía Nacional de 10 de febrero de 1984, GT PN 23, No. 16639</w:t>
        <w:br/>
        <w:t>(expediente de anexos al escrito de solicitudes y argumentos, Tomo IV,</w:t>
        <w:br/>
        <w:t>Anexo B, folio 3659).</w:t>
        <w:br/>
        <w:br/>
        <w:br/>
        <w:t>[78]  Cfr. Declaración rendida por Nineth Varenca Montenegro Cottom ante la</w:t>
        <w:br/>
        <w:t>Corte Interamericana en la audiencia pública del presente caso; nota de la</w:t>
        <w:br/>
        <w:t>Agencia Fiscal No. 10 de la Fiscalía Distrital de Guatemala al Secretario</w:t>
        <w:br/>
        <w:t>de la Corte Suprema de Justicia de 11 de marzo de 1999 (expediente de</w:t>
        <w:br/>
        <w:t>anexos al Informe de Fondo, Tomo I, Anexo 18, folio 225); sentencia  del</w:t>
        <w:br/>
        <w:t>Tribunal Octavo de Sentencia Penal, Narcoactividad y delitos contra el</w:t>
        <w:br/>
        <w:t>ambiente de 28 octubre de 2010, C-01069-1997-00001 (expediente de anexos al</w:t>
        <w:br/>
        <w:t>escrito de solicitudes y argumentos, Tomo IV, Anexo C, folios 3785 y 3786);</w:t>
        <w:br/>
        <w:t>testimonio de Nineth Varenca Montenegro Cottom dirigido al Alto Comisionado</w:t>
        <w:br/>
        <w:t>de Naciones Unidas de los Derechos Humanos (expediente de anexos al Informe</w:t>
        <w:br/>
        <w:t>de Fondo, Tomo I, Anexo 15, folio 206); denuncia de Nineth Varenca</w:t>
        <w:br/>
        <w:t>Montenegro Cottom ante la PDH de 22 de enero de 1988 (expediente de anexos</w:t>
        <w:br/>
        <w:t>al Informe de Fondo, Tomo I, Anexo 16, folios 210, 212 y 213).</w:t>
        <w:br/>
        <w:br/>
        <w:br/>
        <w:t>[79]  Cfr. CEH, supra, Tomo VI, págs. 146 y 152.</w:t>
        <w:br/>
        <w:br/>
        <w:br/>
        <w:t>[80]  Cfr. CEH, supra, Tomo VI, pág. 148.</w:t>
        <w:br/>
        <w:br/>
        <w:br/>
        <w:t>[81]  Cfr. CEH, supra, Tomo VI, págs. 152 y 153.</w:t>
        <w:br/>
        <w:br/>
        <w:br/>
        <w:t>[82]  Cfr. Declaración rendida por Nineth Varenca Montenegro Cottom ante la</w:t>
        <w:br/>
        <w:t>Corte Interamericana en la audiencia pública del presente caso; recurso de</w:t>
        <w:br/>
        <w:t>exhibición personal presentado por Juan Fermín Valladares Castillo, en</w:t>
        <w:br/>
        <w:t>representación de CAVISA, el 22 de febrero de 1984 (expediente de anexos al</w:t>
        <w:br/>
        <w:t>Informe de Fondo, Tomo I, Anexo 27, folio 254), y AHPN. Memorándum No. 138</w:t>
        <w:br/>
        <w:t>de la Secretaría General de la Policía Nacional de 22 de febrero de 1984,</w:t>
        <w:br/>
        <w:t>GT PN 26-01 S003, No. 16749 (expediente de anexos al escrito de solicitudes</w:t>
        <w:br/>
        <w:t>y argumentos, Tomo I, Anexo 33, folio 1419).</w:t>
        <w:br/>
        <w:br/>
        <w:br/>
        <w:t>[83]  Cfr. Declaración rendida por Nineth Varenca Montenegro Cottom ante  la</w:t>
        <w:br/>
        <w:t>Corte Interamericana en la audiencia pública del presente caso.</w:t>
        <w:br/>
        <w:br/>
        <w:br/>
        <w:t>[84]  Cfr. AHPN. Oficio No. 02942 del Ministerio de la Defensa  Nacional  al</w:t>
        <w:br/>
        <w:t>Director General de Policía Nacional de 5 de marzo de 1984, GT PN  30  S002,</w:t>
        <w:br/>
        <w:t>Nos. 16280 y 16281; Providencia No. 5290/Of.10o.SG.rba  de  7  de  marzo  de</w:t>
        <w:br/>
        <w:t>1984, GT PN 30 S002, No. 16282, y Providencia No. 028-84/OAQE de 8 de  marzo</w:t>
        <w:br/>
        <w:t>de 1984, GT PN 30 S002, No.  16283  (expediente  de  anexos  al  escrito  de</w:t>
        <w:br/>
        <w:t>solicitudes y argumentos, Tomo II, Anexo A, folios 2646 a 2649).</w:t>
        <w:br/>
        <w:br/>
        <w:br/>
        <w:t>[85]  Cfr., inter alia, Nota titulada “Gestiones por 10 secuestrados”</w:t>
        <w:br/>
        <w:t>publicada en “El Gráfico” el 5 de marzo de 1984 (expediente de anexos al</w:t>
        <w:br/>
        <w:t>Informe de Fondo, Tomo I, Anexo 24, folio 243); nota titulada “Carta</w:t>
        <w:br/>
        <w:t>abierta a quienes tengan en su poder a mi hijo” publicado en “La Palabra”</w:t>
        <w:br/>
        <w:t>el 24 de marzo de 1984 (expediente de anexos al Informe de Fondo, Tomo I,</w:t>
        <w:br/>
        <w:t>Anexo 20, folio 229); campo pagado en El Gráfico donde se publica una carta</w:t>
        <w:br/>
        <w:t>de Nineth Varenca Montenegro Cotoom a Edgar Fernando García de 18 de julio</w:t>
        <w:br/>
        <w:t>de 1985 (expediente de anexos al Informe de Fondo, Tomo I, Anexo 24, folio</w:t>
        <w:br/>
        <w:t>241). Además, cfr. AHPN. Nota del Ministro de Gobernación al Director</w:t>
        <w:br/>
        <w:t>General de la Policía Nacional de 15 de marzo de 1984 (expediente de anexos</w:t>
        <w:br/>
        <w:t>al escrito de solicitudes y argumentos, Tomo II, Anexo A, folios 2642 a</w:t>
        <w:br/>
        <w:t>2644).</w:t>
        <w:br/>
        <w:br/>
        <w:br/>
        <w:t>[86]  Cfr.  AHPN. Providencia No. 06937 del Departamento de Investigaciones</w:t>
        <w:br/>
        <w:t>Técnicas de 27 de marzo de 1984 GT PN 50 S004, Nos. 8968 (expediente de</w:t>
        <w:br/>
        <w:t>anexos al escrito de solicitudes y argumentos, Tomo I, Anexo 35, folio</w:t>
        <w:br/>
        <w:t>1423).</w:t>
        <w:br/>
        <w:br/>
        <w:br/>
        <w:t>[87]  Cfr. Denuncia de Nineth Varenca Montenegro Cottom ante la  PDH  de  22</w:t>
        <w:br/>
        <w:t>de enero de 1988 (expediente de anexos al Informe de Fondo,  Tomo  I,  Anexo</w:t>
        <w:br/>
        <w:t>16, folio 210).</w:t>
        <w:br/>
        <w:br/>
        <w:br/>
        <w:t>[88]  Cfr. Oficio No. SZ-0371 de 6 de julio de 1984 del Estado Mayor de la</w:t>
        <w:br/>
        <w:t>Defensa Nacional dirigido a Nineth Montenegro de García y María del Rosario</w:t>
        <w:br/>
        <w:t>Godoy de Cuevas (expediente de anexos al Informe de Fondo, Tomo II, Anexo</w:t>
        <w:br/>
        <w:t>31, folio 480). En el mismo sentido, véase, Oficio No. SZ-0487 de 31 de</w:t>
        <w:br/>
        <w:t>agosto de 1984 del Estado Mayor de la Defensa Nacional dirigido a Nineth</w:t>
        <w:br/>
        <w:t>Montenegro de García (expediente de anexos al Informe de Fondo, Tomo II,</w:t>
        <w:br/>
        <w:t>Anexo 31, folio 483).</w:t>
        <w:br/>
        <w:br/>
        <w:br/>
        <w:t>[89]  Cfr. Telegrama del Jefe de Estado de 17 de julio de 1984 (expediente</w:t>
        <w:br/>
        <w:t>de anexos al Informe de Fondo, Tomo II, Anexo 36, folio 744); AHPN. Recurso</w:t>
        <w:br/>
        <w:t>exhibición personal de 18 de julio de 1984. GT PN 50 S005, Nos. 16597 y</w:t>
        <w:br/>
        <w:t>16598, (expediente de anexos al escrito de solicitudes y argumentos, Tomo</w:t>
        <w:br/>
        <w:t>II, Anexo A, folios 2381 a 2382). AHPN Telegrama del Juez de Primera</w:t>
        <w:br/>
        <w:t>Instancia Penal de 6 de julio de 1984, GT PN 50 S005, No. 16454, y Oficio</w:t>
        <w:br/>
        <w:t>No. 16572 del Departamento de Investigaciones Técnicas de la Policía</w:t>
        <w:br/>
        <w:t>Nacional de 7 de  julio de 1984, GT PN 50 S005, No. 16443 (expediente de</w:t>
        <w:br/>
        <w:t>anexos al escrito de solicitudes y argumentos, Tomo I, Anexos 36 y 37,</w:t>
        <w:br/>
        <w:t>folios 1425 y 1427). El año siguiente se interpuso, al menos, otro recurso</w:t>
        <w:br/>
        <w:t>de exhibición personal. Cfr AHPN. Recurso exhibición personal 6 de</w:t>
        <w:br/>
        <w:t>diciembre de 1985, GT PN 50 S004, No. 15360 y No. 15632 (expediente de</w:t>
        <w:br/>
        <w:t>anexos al escrito de solicitudes y argumentos, Tomo II, Anexo A, folios</w:t>
        <w:br/>
        <w:t>2445 y 2484).</w:t>
        <w:br/>
        <w:br/>
        <w:br/>
        <w:t>[90]  Cfr. Documentos entregados en la audiencia pública por Velia Muralles</w:t>
        <w:br/>
        <w:t>Bautista, AHPN. Providencia No. 2701-IG-Jaa de la Inspectoría General de la</w:t>
        <w:br/>
        <w:t>Policía Nacional de 14 de junio de 1984 (expediente de fondo, Tomo II,</w:t>
        <w:br/>
        <w:t>folio 869); Providencia No. 0230 de la Comandancia del Cuarto Cuerpo de la</w:t>
        <w:br/>
        <w:t>Policía Nacional de 18 de junio de 1984, GT PN 26-01 S001, No. 16748</w:t>
        <w:br/>
        <w:t>(expediente de anexos al escrito de solicitudes y argumentos, Tomo I, Anexo</w:t>
        <w:br/>
        <w:t>34, folio 1421), y AHPN. Novedades de 18 de febrero de 1984, GT PN 26-02</w:t>
        <w:br/>
        <w:t>S002, No. 25374 (expediente de anexos al escrito de solicitudes y</w:t>
        <w:br/>
        <w:t>argumentos, Tomo I, Anexo 30, folio 1413).</w:t>
        <w:br/>
        <w:br/>
        <w:br/>
        <w:t>[91]  Cfr., inter alia, AHPN. Nota del Departamento de Investigaciones</w:t>
        <w:br/>
        <w:t>Técnicas de la Policía Nacional de 10 de agosto de 1985, GT PN 50 S005, No.</w:t>
        <w:br/>
        <w:t>16439, y Oficio No. 9722 del Departamento de Investigaciones Técnicas de la</w:t>
        <w:br/>
        <w:t>Policía Nacional de 7 de diciembre de 1985. GT PN 50 S005, No. 13683</w:t>
        <w:br/>
        <w:t>(expediente de anexos al escrito de solicitudes y argumentos, Tomo II,</w:t>
        <w:br/>
        <w:t>folios 2260 y 2312), y Oficio No. 5022 de la Dirección General de la</w:t>
        <w:br/>
        <w:t>Policía Nacional de 29 de agosto de 1984 (expediente de anexos al Informe</w:t>
        <w:br/>
        <w:t>de Fondo, Tomo II, Anexo 38, folio 748).</w:t>
        <w:br/>
        <w:br/>
        <w:br/>
        <w:t>[92]  Cfr. Declaración rendida por Nineth Varenca Montenegro Cottom ante  la</w:t>
        <w:br/>
        <w:t>Corte Interamericana en la audiencia pública del presente caso,  y  denuncia</w:t>
        <w:br/>
        <w:t>de Nineth Varenca Montenegro Cottom ante la PDH  de  22  de  enero  de  1988</w:t>
        <w:br/>
        <w:t>(expediente de anexos al Informe de Fondo, Tomo I,  Anexo  16,  folio  211).</w:t>
        <w:br/>
        <w:t>Véase, también, declaración rendida por  Alejandra  García  Montenegro  ante</w:t>
        <w:br/>
        <w:t>fedatario público el 20 de abril de 2012  (expediente  de  fondo,  Tomo  II,</w:t>
        <w:br/>
        <w:t>folios 803).</w:t>
        <w:br/>
        <w:br/>
        <w:br/>
        <w:t>[93]  Cfr. Denuncia de Nineth Varenca Montenegro Cottom ante la  PDH  de  22</w:t>
        <w:br/>
        <w:t>de enero de 1988 (expediente de anexos al Informe de Fondo,  Tomo  I,  Anexo</w:t>
        <w:br/>
        <w:t>16, folios 209 a 213);  Recursos  de  exhibición  personal  presentados  por</w:t>
        <w:br/>
        <w:t>Marco Alcides Polanco Pérez el 23 de junio, el 10 de septiembre y el  15  de</w:t>
        <w:br/>
        <w:t>octubre de 1997 (expediente de anexos al Informe de  Fondo,  Tomo  I,  Anexo</w:t>
        <w:br/>
        <w:t>28, folios 259 a 260, 261 a 262 y 263 a 264); carta  del  Juez  de  Paz  del</w:t>
        <w:br/>
        <w:t>Ramo Penal al Secretario de la Corte Suprema de Justicia de 3  de  diciembre</w:t>
        <w:br/>
        <w:t>de 1997 (expediente de anexos al Informe de Fondo, Tomo II, Anexo 31,  folio</w:t>
        <w:br/>
        <w:t>589); acta de de 2 de diciembre de 1997  del  Juzgado  Primero  de  Paz  del</w:t>
        <w:br/>
        <w:t>Turno Penal (expediente de anexos al Informe de Fondo, Tomo  II,  Anexo  31,</w:t>
        <w:br/>
        <w:t>folios 601 y 602); oficio del Ministerio de la  Defensa  Nacional  de  5  de</w:t>
        <w:br/>
        <w:t>diciembre de 1997 y oficio del Ministerio de Gobernación de 5  de  diciembre</w:t>
        <w:br/>
        <w:t>de 1997 (expediente de anexos al  Informe  de  Fondo,  Tomo  II,  Anexo  31,</w:t>
        <w:br/>
        <w:t>folios 640 y 654).</w:t>
        <w:br/>
        <w:br/>
        <w:br/>
        <w:t>[94]  Cfr. Solicitud de apertura de procedimiento de averiguación especial</w:t>
        <w:br/>
        <w:t>presentada por Mario Alcides Polanco Pérez de 25 de noviembre de 1997</w:t>
        <w:br/>
        <w:t>(expediente de anexos al Informe de Fondo, Tomo II, Anexo 31, folios 420 y</w:t>
        <w:br/>
        <w:t>421). El Código Procesal Penal de Guatemala regula en su artículo 467 el</w:t>
        <w:br/>
        <w:t>procedimiento de averiguación especial. Dicha norma establece que la Corte</w:t>
        <w:br/>
        <w:t>Suprema de Justicia, a solicitud de cualquier persona, puede intimar al</w:t>
        <w:br/>
        <w:t>Ministerio Público para que informe sobre la investigación, así como puede</w:t>
        <w:br/>
        <w:t>otorgar un mandato de investigación a un averiguador especial, entre los</w:t>
        <w:br/>
        <w:t>cuales puede estar el Procurador de Derechos Humanos, en caso de que “se</w:t>
        <w:br/>
        <w:t>hubiere interpuesto un recurso de exhibición personal, sin hallar a la</w:t>
        <w:br/>
        <w:t>persona a cuyo favor se solicitó y existieron motivos de sospecha</w:t>
        <w:br/>
        <w:t>suficientes para afirmar que ella ha sido determinada o mantenida</w:t>
        <w:br/>
        <w:t>ilegalmente en detención por un funcionario público, por miembros de las</w:t>
        <w:br/>
        <w:t>fuerzas de seguridad del Estado, o por agentes regulares o irregulares, sin</w:t>
        <w:br/>
        <w:t>que se dé razón de su paradero”. Cfr. Código Procesal Penal de Guatemala,</w:t>
        <w:br/>
        <w:t>supra, artículo 467, Libro Cuarto, Procedimientos Específicos, Titulo II,</w:t>
        <w:br/>
        <w:t>Procedimiento Especial de Averiguación. La Corte Suprema de Justicia</w:t>
        <w:br/>
        <w:t>admitió a trámite dicha solicitud el 4 de diciembre de 1997. Esta solicitud</w:t>
        <w:br/>
        <w:t>fue reiterada el 6 de enero de 1998 y el 20 de enero de 1998 la Corte</w:t>
        <w:br/>
        <w:t>Suprema requirió al solicitante que “justificar la interposición y</w:t>
        <w:br/>
        <w:t>resultado del recurso de exhibición personal”. El 13 de febrero de 1998 la</w:t>
        <w:br/>
        <w:t>Corte Suprema dio por planteado el procedimiento de averiguación especial y</w:t>
        <w:br/>
        <w:t>lo declaró con lugar el 22 de abril de 1999. Cfr. Resolución de la Corte</w:t>
        <w:br/>
        <w:t>Suprema de Justicia de 4 de diciembre de 1997 (expediente de anexos al</w:t>
        <w:br/>
        <w:t>Informe de Fondo, Tomo II, Anexo 31, folio 422); solicitud de Mario Alcides</w:t>
        <w:br/>
        <w:t>Polanco Pérez de 6 de enero de 1998 y oficio de la Corte Suprema de</w:t>
        <w:br/>
        <w:t>Justicia de 20 de enero de 1998 (expediente de anexos al Informe de Fondo,</w:t>
        <w:br/>
        <w:t>Tomo II, Anexo 31, folios 425 a 427 y 428); oficio de la Corte Suprema de</w:t>
        <w:br/>
        <w:t>Justicia de 13 de febrero de 1998 (expediente de anexos al Informe de</w:t>
        <w:br/>
        <w:t>Fondo, Tomo II, Anexo 31, folio 432), y acta de audiencia de 22 de abril de</w:t>
        <w:br/>
        <w:t>1999 celebrada dentro del procedimiento especial de averiguación ante la</w:t>
        <w:br/>
        <w:t>Corte Suprema de Justicia (expediente de anexos al Informe de Fondo, Tomo</w:t>
        <w:br/>
        <w:t>II, Anexo 31, folios 515).</w:t>
        <w:br/>
        <w:br/>
        <w:br/>
        <w:t>[95]  Cfr. Oficio de la Corte Suprema de Justicia de 17 abril de 1998</w:t>
        <w:br/>
        <w:t>(expediente de anexos al Informe de Fondo, Tomo I, Anexo 30, folio 273);</w:t>
        <w:br/>
        <w:t>oficio de la Corte Suprema de Justicia de 3 de marzo de 1999 (expediente de</w:t>
        <w:br/>
        <w:t>anexos al Informe de Fondo, Tomo I, Anexo 31, folio 699); nota del</w:t>
        <w:br/>
        <w:t>Ministerio Público al Secretario de la Corte Suprema de Justicia de 11 de</w:t>
        <w:br/>
        <w:t>marzo de 1999 y carta de la Secretaría de la Corte Suprema de Justicia al</w:t>
        <w:br/>
        <w:t>Ministerio Público de 9 marzo de 1999 (expediente de anexos al Informe de</w:t>
        <w:br/>
        <w:t>Fondo, Tomo II, Anexo 31, folios 697 a 698 y 700); solicitud de información</w:t>
        <w:br/>
        <w:t>del Ministerio Público al Director de la Policía Nacional Civil de 17 de</w:t>
        <w:br/>
        <w:t>marzo de 1999 (expediente de anexos al Informe de Fondo, Tomo II, Anexo 31,</w:t>
        <w:br/>
        <w:t>folio 710), y Providencia del Archivo General de la Policía Nacional de 23</w:t>
        <w:br/>
        <w:t>de marzo de 1999 (expediente de anexos al Informe de Fondo, Tomo II, Anexo</w:t>
        <w:br/>
        <w:t>31, folio 712).</w:t>
        <w:br/>
        <w:br/>
        <w:br/>
        <w:t>[96]  Actas de audiencias de 8 y 22 de abril de 1999 celebradas dentro del</w:t>
        <w:br/>
        <w:t>procedimiento especial de averiguación ante la Corte Suprema de Justicia</w:t>
        <w:br/>
        <w:t>(expediente de anexos al Informe de Fondo, Tomo II, Anexo 31, folios 507 a</w:t>
        <w:br/>
        <w:t>511 y 512 a 517).</w:t>
        <w:br/>
        <w:br/>
        <w:br/>
        <w:t>[97]  Cfr. Oficio de la Corte Suprema de Justicia de 17 de marzo de 2000 y</w:t>
        <w:br/>
        <w:t>oficio del Juzgado Cuarto de Primera Instancia Penal, Narcoactividad y</w:t>
        <w:br/>
        <w:t>Delitos contra el Ambiente a la Corte Suprema de Justicia de 4 de abril de</w:t>
        <w:br/>
        <w:t>2000 (expediente de anexos al Informe de Fondo, Tomo II, Anexo 31, folios</w:t>
        <w:br/>
        <w:t>545 y 546).</w:t>
        <w:br/>
        <w:br/>
        <w:br/>
        <w:t>[98]  Cfr. Oficio de la Corte Suprema de Justicia de 29 de marzo de 2001 y</w:t>
        <w:br/>
        <w:t>oficio del Juzgado Cuarto de Primera Instancia Penal, Narcoactividad y</w:t>
        <w:br/>
        <w:t>Delitos contra el Ambiente a la Corte Suprema de Justicia de 16 de mayo de</w:t>
        <w:br/>
        <w:t>2001 (expediente de anexos al Informe de Fondo, Tomo II, Anexo 31, folios</w:t>
        <w:br/>
        <w:t>548 y 551).</w:t>
        <w:br/>
        <w:br/>
        <w:br/>
        <w:t>[99]  Luego de noviembre de 2001, la Corte Suprema solicitó al Juzgado</w:t>
        <w:br/>
        <w:t>encargado copia de la solicitud de revocatoria de mandato en dos</w:t>
        <w:br/>
        <w:t>oportunidades, pero ésta no fue recibida. El Juzgado explicó que la</w:t>
        <w:br/>
        <w:t>información ya había sido remitida en noviembre de 2001, por lo cual ya no</w:t>
        <w:br/>
        <w:t>la tenía en el expediente. Cfr. Nota del Juzgado Cuarto de Primera</w:t>
        <w:br/>
        <w:t>Instancia Penal, Narcoactividad y Delitos contra el Ambiente a la Corte</w:t>
        <w:br/>
        <w:t>Suprema de Justicia de 16 de noviembre de 2001 (expediente de anexos al</w:t>
        <w:br/>
        <w:t>Informe de Fondo, Tomo II, Anexo 31, folio 554); oficio de la Corte Suprema</w:t>
        <w:br/>
        <w:t>de Justicia de 16 de noviembre de 2001; oficio de la Corte Suprema de</w:t>
        <w:br/>
        <w:t>Justicia de 26 de febrero de 2002 y nota del Juzgado Cuarto de Primera</w:t>
        <w:br/>
        <w:t>Instancia Penal, Narcoactividad y Delitos contra el Ambiente a la Corte</w:t>
        <w:br/>
        <w:t>Suprema de Justicia de 8 de marzo de 2002 (expediente de anexos al Informe</w:t>
        <w:br/>
        <w:t>de Fondo, Tomo II, Anexo 31, folios 556, 558 y 560), y Oficio de la Corte</w:t>
        <w:br/>
        <w:t>Suprema de Justicia de 8 de septiembre de 2003 (expediente de anexos al</w:t>
        <w:br/>
        <w:t>Informe de Fondo, Tomo II, Anexo 31, folio 571).</w:t>
        <w:br/>
        <w:br/>
        <w:br/>
        <w:t>[100]       Cfr. Oficio No. 19-2004 de 17 de marzo de 2004, oficio  No.  41-</w:t>
        <w:br/>
        <w:t>2004 de 12 de abril de 2004 y oficio No. 79-2004 de 14 de diciembre de  2004</w:t>
        <w:br/>
        <w:t>de la Secretaría de la  Corte  Suprema  de  Justicia,  Cámara  de  Amparo  y</w:t>
        <w:br/>
        <w:t>Antejuicio (expediente de anexos al Informe de Fondo,  Tomo  II,  Anexo  31,</w:t>
        <w:br/>
        <w:t>folios 280, 281, 283 y 306), e informe del Procurador  de  Derechos  Humanos</w:t>
        <w:br/>
        <w:t>de 9 de febrero de 2005 (expediente de anexos al Informe de Fondo, Tomo  II,</w:t>
        <w:br/>
        <w:t>Anexo 31, folio 307).</w:t>
        <w:br/>
        <w:br/>
        <w:br/>
        <w:t>[101]       Cfr. Oficios de la Corte Suprema de Justicia de 10 de febrero</w:t>
        <w:br/>
        <w:t>de 2005, de 28 de abril de 2005, de 13 de mayo de 2005, de 29 de agosto de</w:t>
        <w:br/>
        <w:t>2005, de 1 de diciembre de 2005, de 13 de marzo de 2006, de 18 de julio de</w:t>
        <w:br/>
        <w:t>2006, de 23 de octubre de 2006 y de 7 de febrero de 2007 (expediente de</w:t>
        <w:br/>
        <w:t>anexos al Informe de Fondo, Tomo II, Anexo 31, folios 308, 317, 326, 335,</w:t>
        <w:br/>
        <w:t>344, 360, 369, 386, 397).</w:t>
        <w:br/>
        <w:br/>
        <w:br/>
        <w:t>[102]       Véase, inter alia, nota de la PDH a la Corte Suprema de</w:t>
        <w:br/>
        <w:t>Justicia de 30 de noviembre de 2005 (expediente de anexos al Informe de</w:t>
        <w:br/>
        <w:t>Fondo, Tomo II, Anexo 31, folio 342).</w:t>
        <w:br/>
        <w:br/>
        <w:br/>
        <w:t>[103]       Cfr. Carta de la Auxiliar del Ministerio Público a la</w:t>
        <w:br/>
        <w:t>Secretaría de la Corte Suprema de Justicia de 25 de febrero de 2004 y</w:t>
        <w:br/>
        <w:t>oficio No. KLSA 48-2004 de la Secretaría de la Corte Suprema de Justicia,</w:t>
        <w:br/>
        <w:t>Cámara de Amparo y Antejuicio, a la Auxiliar Fiscal del Ministerio Público</w:t>
        <w:br/>
        <w:t>de 7 de julio de 2004 (expediente de anexos al Informe de Fondo, Tomo II,</w:t>
        <w:br/>
        <w:t>Anexo 31, folios 301 y 304).</w:t>
        <w:br/>
        <w:br/>
        <w:br/>
        <w:t>[104]       Cfr. AHPN. Oficio No. 1224-JAG-rag-Sría. del Comandante del</w:t>
        <w:br/>
        <w:t>Cuarto Cuerpo de la Policía Nacional al Sub-Director General de la Policía</w:t>
        <w:br/>
        <w:t>Nacional de 25 de junio de 1984, GT PN 26-01 S002, No. 2727, y Nómina del</w:t>
        <w:br/>
        <w:t>personal del Cuarto Cuerpo de la Policía Nacional que se hace acreedora a</w:t>
        <w:br/>
        <w:t>distinciones, según el reglamento de condecoraciones, GT PN 99, No. 16622</w:t>
        <w:br/>
        <w:t>(expediente de anexos al escrito de solicitudes y argumentos, Tomo I,</w:t>
        <w:br/>
        <w:t>Anexos 22 y 23, folios 1395 y 1397 a 1398), y declaración rendida por Velia</w:t>
        <w:br/>
        <w:t>Muralles Bautista ante la Corte Interamericana en la audiencia pública del</w:t>
        <w:br/>
        <w:t>presente caso.</w:t>
        <w:br/>
        <w:br/>
        <w:br/>
        <w:t>[105]       Cfr. Declaración rendida por Velia Muralles Bautista ante la</w:t>
        <w:br/>
        <w:t>Corte Interamericana en la audiencia pública del presente caso; peritaje de</w:t>
        <w:br/>
        <w:t>Rember Aroldo Larios Tobar sobre la estructura policial en el caso de Edgar</w:t>
        <w:br/>
        <w:t>Fernando García rendido en el proceso penal interno (expediente de anexos</w:t>
        <w:br/>
        <w:t>al escrito de solicitudes y argumentos, Tomo I, folio 1631), y AHPN. Oficio</w:t>
        <w:br/>
        <w:t>No. COC/207-laov del Centro de Operaciones Conjuntas de la Dirección</w:t>
        <w:br/>
        <w:t>General de la Policía Nacional de 17 de febrero de 1984, GT PN 23, No.</w:t>
        <w:br/>
        <w:t>16636 (expediente de anexos al escrito de solicitudes y argumentos, Tomo</w:t>
        <w:br/>
        <w:t>IV, Anexo B, folio 3658).</w:t>
        <w:br/>
        <w:br/>
        <w:br/>
        <w:t>[106]       Cfr. Sentencia del Tribunal Octavo de Sentencia Penal,</w:t>
        <w:br/>
        <w:t>Narcoactividad y Delitos contra el Ambiente de 28 octubre de 2010, C-01069-</w:t>
        <w:br/>
        <w:t>1997-00001 (expediente de anexos al escrito de solicitudes y argumentos,</w:t>
        <w:br/>
        <w:t>Tomo IV, Anexo C, folios 3779 a 3870), y sentencia en Segunda Instancia de</w:t>
        <w:br/>
        <w:t>la Sala Segunda de la Corte de Apelaciones del Ramo Penal, Narcoactividad y</w:t>
        <w:br/>
        <w:t>Delitos contra el Ambiente de Guatemala de 9 de mayo de 2011, N.U. 01069-</w:t>
        <w:br/>
        <w:t>1997- 00001 (expediente de anexos al escrito de contestación, Anexo I.1,</w:t>
        <w:br/>
        <w:t>folios 3984 a 3997). La sentencia de primera instancia además absolvió a</w:t>
        <w:br/>
        <w:t>estas dos personas de los delitos de “detenciones ilegales, con agravantes</w:t>
        <w:br/>
        <w:t>específicas, abuso de autoridad y plagio o secuestro”.</w:t>
        <w:br/>
        <w:br/>
        <w:br/>
        <w:t>[107]       Cfr. Declaración rendida por Manuel Giovanni Vásquez Vicente</w:t>
        <w:br/>
        <w:t>ante fedatario público el 11 de marzo de 2012 (expediente de fondo, Tomo</w:t>
        <w:br/>
        <w:t>II, folio 792).</w:t>
        <w:br/>
        <w:br/>
        <w:br/>
        <w:t>[108]       Declaración rendida por Manuel Giovanni Vásquez Vicente ante</w:t>
        <w:br/>
        <w:t>fedatario público el 11 de marzo de 2012 (expediente de fondo, Tomo II,</w:t>
        <w:br/>
        <w:t>folios 793 y 795).</w:t>
        <w:br/>
        <w:br/>
        <w:br/>
        <w:t>[109]       Declaración rendida por Manuel Giovanni Vásquez Vicente ante</w:t>
        <w:br/>
        <w:t>fedatario público el 11 de marzo de 2012 (expediente de fondo, Tomo II,</w:t>
        <w:br/>
        <w:t>folios 795 y 796).</w:t>
        <w:br/>
        <w:br/>
        <w:br/>
        <w:t>[110]       Cfr. Declaración rendida por Manuel Giovanni Vásquez Vicente</w:t>
        <w:br/>
        <w:t>ante fedatario público el 11 de marzo de 2012 (expediente de fondo, Tomo</w:t>
        <w:br/>
        <w:t>II, folios 793 a 795).</w:t>
        <w:br/>
        <w:br/>
        <w:br/>
        <w:t>[111]       Cfr. Declaración rendida por Nineth  Varenca  Montenegro  Cottom</w:t>
        <w:br/>
        <w:t>ante la Corte Interamericana en la  audiencia  pública  del  presente  caso;</w:t>
        <w:br/>
        <w:t>declaración rendida por Alejandra García Montenegro ante  fedatario  público</w:t>
        <w:br/>
        <w:t>el 20 de abril de 2012 (expediente de fondo,  Tomo  II,  folios  803);  CEH,</w:t>
        <w:br/>
        <w:t>supra, Tomo VI, pág. 150, y video titulado “Aún guardamos la  esperanza”  de</w:t>
        <w:br/>
        <w:t>febrero de 2009, supra, parte 2.</w:t>
        <w:br/>
        <w:br/>
        <w:br/>
        <w:t>[112]       Cfr. Documentos entregados en la audiencia pública por Velia</w:t>
        <w:br/>
        <w:t>Muralles Bautista, “Resumen de actividad policíaca. Período comprendido del</w:t>
        <w:br/>
        <w:t>18 al 24 de junio de 1984” y “Resumen de Actividad Policíaca. Período</w:t>
        <w:br/>
        <w:t>comprendido del 8 al 14 de octubre de 1984” (expediente de fondo, Tomo II,</w:t>
        <w:br/>
        <w:t>folios 888 y 896).</w:t>
        <w:br/>
        <w:br/>
        <w:br/>
        <w:t>[113]       Cfr. Documentos entregados en la audiencia pública por Velia</w:t>
        <w:br/>
        <w:t>Muralles Bautista, “Resumen de Actividad Policiaca. Periodo comprendido del</w:t>
        <w:br/>
        <w:t>8 al 14 de octubre de 1984” (expediente de fondo, Tomo II, folio 900). En</w:t>
        <w:br/>
        <w:t>el mismo sentido, véase, CEH, supra, Tomo VI, pág. 151.</w:t>
        <w:br/>
        <w:br/>
        <w:br/>
        <w:t>[114]       CIDH, Tercer Informe sobre la Situación de los Derechos Humanos</w:t>
        <w:br/>
        <w:t>en Guatemala, 1985, capítulo II, párr. 92, Anexo 1 del Informe de Fondo,</w:t>
        <w:br/>
        <w:t>disponible en: http://www.cidh.org/countryrep/Guatemala85sp/indice.htm.</w:t>
        <w:br/>
        <w:br/>
        <w:br/>
        <w:t>[115]       CEH, supra, Tomo IV, pág. 236, párrs. 4528 a 4530.</w:t>
        <w:br/>
        <w:br/>
        <w:br/>
        <w:t>[116]       Declaración rendida por Nineth Varenca Montenegro Cottom ante</w:t>
        <w:br/>
        <w:t>la Corte Interamericana en la audiencia pública del presente caso.</w:t>
        <w:br/>
        <w:br/>
        <w:br/>
        <w:t>[117]       Cfr. CEH, supra, Tomo IV, págs. 99 y 237, párrs. 4122 y 4532.</w:t>
        <w:br/>
        <w:br/>
        <w:br/>
        <w:t>[118]       Cfr. CEH, supra, Tomo IV, pág. 237, párr. 4532; declaración</w:t>
        <w:br/>
        <w:t>rendida por Nineth Varenca Montenegro Cottom ante la Corte Interamericana</w:t>
        <w:br/>
        <w:t>en la audiencia pública del presente caso, y declaración rendida por</w:t>
        <w:br/>
        <w:t>Alejandra García Montenegro ante fedatario público el 20 de abril de 2012</w:t>
        <w:br/>
        <w:t>(expediente de fondo, Tomo II, folio 805).</w:t>
        <w:br/>
        <w:br/>
        <w:br/>
        <w:t>[119]       Cfr. Declaración rendida por Nineth  Varenca  Montenegro  Cottom</w:t>
        <w:br/>
        <w:t>ante la Corte Interamericana en la audiencia pública del  presente  caso,  y</w:t>
        <w:br/>
        <w:t>peritaje de Katharine Doyle  sobre  documentos  desclasificados  de  Estados</w:t>
        <w:br/>
        <w:t>Unidos de América relacionados con la desaparición de Edgar Fernando  García</w:t>
        <w:br/>
        <w:t>rendido en el proceso penal interno (expediente  de  anexos  al  escrito  de</w:t>
        <w:br/>
        <w:t>solicitudes y argumentos, Tomo I, Anexo 53, folios 2067  a  2074).  Brigadas</w:t>
        <w:br/>
        <w:t>Internacionales de Paz es “una ONG de  acompañamientos  internacionales  que</w:t>
        <w:br/>
        <w:t>apoyaba al GAM y otras organizaciones guatemaltecas”. Cfr. CEH, supra,  Tomo</w:t>
        <w:br/>
        <w:t>IV, pág. 99, párr. 4122.</w:t>
        <w:br/>
        <w:br/>
        <w:br/>
        <w:t>[120]       Declaración rendida por Alejandra García Montenegro ante</w:t>
        <w:br/>
        <w:t>fedatario público el 20 de abril de 2012 (expediente de fondo, Tomo II,</w:t>
        <w:br/>
        <w:t>folio 804).</w:t>
        <w:br/>
        <w:br/>
        <w:br/>
        <w:t>[121]       Cfr. Sentencia emitida por el Tribunal Octavo de Sentencia</w:t>
        <w:br/>
        <w:t>Penal, Narcoactividad y Delitos contra el Ambiente, C-01069-1997-00001, el</w:t>
        <w:br/>
        <w:t>28 octubre de 2010 (expediente de anexos al escrito de contestación del</w:t>
        <w:br/>
        <w:t>Estado, Tomo único, Anexo I, folio 3977 y 3978).</w:t>
        <w:br/>
        <w:br/>
        <w:br/>
        <w:t>[122]       El artículo 3 de la Convención Americana establece que: “[t]oda</w:t>
        <w:br/>
        <w:t>persona tiene derecho al reconocimiento de su personalidad jurídica”.</w:t>
        <w:br/>
        <w:br/>
        <w:br/>
        <w:t>[123] El artículo 4.1 de la Convención Americana establece que: “[t]oda</w:t>
        <w:br/>
        <w:t>persona tiene derecho a que se respete su vida. Este derecho estará</w:t>
        <w:br/>
        <w:t>protegido por la ley y, en general, a partir del momento de la</w:t>
        <w:br/>
        <w:t>concepción. Nadie puede ser privado de la vida arbitrariamente”.</w:t>
        <w:br/>
        <w:br/>
        <w:br/>
        <w:t>[124] El artículo 5 de la Convención Americana establece, en lo  pertinente,</w:t>
        <w:br/>
        <w:t>que: “1. [t]oda persona  tiene  derecho  a  que  se  respete  su  integridad</w:t>
        <w:br/>
        <w:t>física, psíquica y moral. 2. Nadie debe ser sometido a torturas ni  a  penas</w:t>
        <w:br/>
        <w:t>o tratos crueles, inhumanos o degradantes. Toda persona privada de  libertad</w:t>
        <w:br/>
        <w:t>será tratada con el respeto debido a la dignidad inherente al ser humano”.</w:t>
        <w:br/>
        <w:br/>
        <w:br/>
        <w:t>[125]       El artículo  7.1  de  la  Convención  Americana  establece  que:</w:t>
        <w:br/>
        <w:t>“[t]oda persona tiene derecho a la libertad y a la seguridad personales”.</w:t>
        <w:br/>
        <w:br/>
        <w:br/>
        <w:t>[126] El artículo 1.1 de  la  Convención  Americana  establece  que:  “[l]os</w:t>
        <w:br/>
        <w:t>Estados Partes en [la] Convención se comprometen a respetar los  derechos  y</w:t>
        <w:br/>
        <w:t>libertades reconocidos en ella y a garantizar su libre y pleno  ejercicio  a</w:t>
        <w:br/>
        <w:t>toda persona que esté sujeta a su jurisdicción,  sin  discriminación  alguna</w:t>
        <w:br/>
        <w:t>por motivos de raza, color, sexo, idioma, religión,  opiniones  políticas  o</w:t>
        <w:br/>
        <w:t>de cualquier otra índole, origen  nacional  o  social,  posición  económica,</w:t>
        <w:br/>
        <w:t>nacimiento o cualquier otra condición social”.</w:t>
        <w:br/>
        <w:br/>
        <w:br/>
        <w:t>[127]       El artículo I de la Convención Interamericana sobre</w:t>
        <w:br/>
        <w:t>Desaparición Forzada de Personas establece: “[l]os Estados Partes en esta</w:t>
        <w:br/>
        <w:t>Convención se comprometen a: a) No practicar, no permitir, ni tolerar la</w:t>
        <w:br/>
        <w:t>desaparición forzada de personas, ni aun en estado de emergencia, excepción</w:t>
        <w:br/>
        <w:t>o suspensión de garantías individuales; b) Sancionar en el ámbito de su</w:t>
        <w:br/>
        <w:t>jurisdicción a los autores, cómplices y encubridores del delito de</w:t>
        <w:br/>
        <w:t>desaparición forzada de personas, así como la tentativa de comisión del</w:t>
        <w:br/>
        <w:t>mismo; c) Cooperar entre sí para contribuir a prevenir, sancionar y</w:t>
        <w:br/>
        <w:t>erradicar la desaparición forzada de personas; y d) Tomar las medidas de</w:t>
        <w:br/>
        <w:t>carácter legislativo, administrativo, judicial o de cualquier otra índole</w:t>
        <w:br/>
        <w:t>necesarias para cumplir con los compromisos asumidos en la presente</w:t>
        <w:br/>
        <w:t>Convención”.</w:t>
        <w:br/>
        <w:br/>
        <w:br/>
        <w:t>[128]       El artículo II de la Convención Interamericana sobre</w:t>
        <w:br/>
        <w:t>Desaparición Forzada de Personas establece: “[p]ara los efectos de la</w:t>
        <w:br/>
        <w:t>presente Convención, se considera desaparición forzada la privación de la</w:t>
        <w:br/>
        <w:t>libertad a una o más personas, cualquiera que fuere su forma, cometida por</w:t>
        <w:br/>
        <w:t>agentes del Estado o por personas o grupos de personas que actúen con la</w:t>
        <w:br/>
        <w:t>autorización, el apoyo o la aquiescencia del Estado, seguida de la falta de</w:t>
        <w:br/>
        <w:t>información o de la negativa a reconocer dicha privación de libertad o de</w:t>
        <w:br/>
        <w:t>informar sobre el paradero de la persona, con lo cual se impide el</w:t>
        <w:br/>
        <w:t>ejercicio de los recursos legales y de las garantías procesales</w:t>
        <w:br/>
        <w:t>pertinentes”.</w:t>
        <w:br/>
        <w:br/>
        <w:br/>
        <w:t>[129]       Cfr. Caso Velásquez Rodríguez Vs. Honduras. Fondo, supra,  párr.</w:t>
        <w:br/>
        <w:t>155, y Caso Masacres de Río Negro Vs. Guatemala, supra, párr. 112.</w:t>
        <w:br/>
        <w:br/>
        <w:br/>
        <w:t>[130]       De acuerdo al artículo III de la Convención Interamericana</w:t>
        <w:br/>
        <w:t>sobre Desaparición Forzada de Personas “[d]icho delito será considerado</w:t>
        <w:br/>
        <w:t>como continuado o permanente mientras no se establezca el destino o</w:t>
        <w:br/>
        <w:t>paradero de la víctima”.</w:t>
        <w:br/>
        <w:br/>
        <w:br/>
        <w:t>[131]       En el ámbito del Derecho Internacional de los  Derechos  Humanos</w:t>
        <w:br/>
        <w:t>se desarrolló, desde la década de los ochenta, una definición operativa  del</w:t>
        <w:br/>
        <w:t>fenómeno por parte del Grupo de  Trabajo  sobre  Desapariciones  Forzadas  e</w:t>
        <w:br/>
        <w:t>Involuntarias  de  Personas  de   las   Naciones   Unidas.   Los   elementos</w:t>
        <w:br/>
        <w:t>conceptuales establecidos  por  dicho  Grupo  de  Trabajo  fueron  retomados</w:t>
        <w:br/>
        <w:t>posteriormente   en   las    definiciones    de    distintos    instrumentos</w:t>
        <w:br/>
        <w:t>internacionales. Cfr. Caso Chitay Nech y otros Vs. Guatemala,  supra,  párr.</w:t>
        <w:br/>
        <w:t>82, y Caso Masacres de Río Negro Vs. Guatemala,  supra,  párr.  112.  Véase,</w:t>
        <w:br/>
        <w:t>además, el Informe del Grupo de  Trabajo  sobre  Desapariciones  Forzadas  o</w:t>
        <w:br/>
        <w:t>Involuntarias, Comisión de Derechos Humanos, 37º período de  sesiones,  U.N.</w:t>
        <w:br/>
        <w:t>Doc. E/CN.4/1435, de 22 de enero de 1981, párr.  4;  Informe  del  Grupo  de</w:t>
        <w:br/>
        <w:t>Trabajo sobre Desapariciones Forzadas o Involuntarias, Comisión de  Derechos</w:t>
        <w:br/>
        <w:t>Humanos, 39º período de sesiones, U.N. Doc. E/CN.4/1983/14, de 21  de  enero</w:t>
        <w:br/>
        <w:t>de  1983,  párrs.  130  a  132,  e  Informe  del  Grupo  de  Trabajo   sobre</w:t>
        <w:br/>
        <w:t>Desapariciones Forzadas o Involuntarias de Personas,  Comisión  de  Derechos</w:t>
        <w:br/>
        <w:t>Humanos, Informe a la visita realizada a Sri Lanka  por  tres  miembros  del</w:t>
        <w:br/>
        <w:t>Grupo de Trabajo, 7 a 18 de octubre de 1991, U.N.  Doc.  E/CN.4/1992/18/Add.</w:t>
        <w:br/>
        <w:t>1 de 5 de enero de 1992, párr. 186.</w:t>
        <w:br/>
        <w:br/>
        <w:br/>
        <w:t>[132]       Cfr. Caso Velásquez Rodríguez Vs. Honduras. Fondo, supra,</w:t>
        <w:br/>
        <w:t>párrs. 155 a 157, y Caso Masacres de Río Negro Vs. Guatemala, supra, párr.</w:t>
        <w:br/>
        <w:t>112.</w:t>
        <w:br/>
        <w:br/>
        <w:br/>
        <w:t>[133]       Cfr. inter alia, Caso Velásquez Rodríguez Vs. Honduras. Fondo,</w:t>
        <w:br/>
        <w:t>supra, párrs. 155 a 157, y Caso Masacres de Río Negro Vs. Guatemala, supra,</w:t>
        <w:br/>
        <w:t>párr. 112.</w:t>
        <w:br/>
        <w:br/>
        <w:br/>
        <w:t>[134]       Cfr. Caso Molina Theissen Vs. Guatemala. Reparaciones y Costas.</w:t>
        <w:br/>
        <w:t>Sentencia de 3 de julio de 2004. Serie C No. 108, párr. 41, y Caso</w:t>
        <w:br/>
        <w:t>Contreras y otros Vs. El Salvador, supra, párr. 83.</w:t>
        <w:br/>
        <w:br/>
        <w:br/>
        <w:t>[135]       Cfr. Caso Velásquez Rodríguez Vs. Honduras. Fondo, supra,</w:t>
        <w:br/>
        <w:t>párrs. 158, y Caso Masacres de Río Negro Vs. Guatemala, supra, párr. 114.</w:t>
        <w:br/>
        <w:br/>
        <w:br/>
        <w:t>[136]       Cfr. Caso Goiburú y otros Vs. Paraguay, supra, párr. 84, y Caso</w:t>
        <w:br/>
        <w:t>Masacres de Río Negro Vs. Guatemala, supra, párr. 114.</w:t>
        <w:br/>
        <w:br/>
        <w:br/>
        <w:t>[137] Cfr. Caso Gómez Palomino Vs. Perú. Fondo, Reparaciones y Costas.</w:t>
        <w:br/>
        <w:t>Sentencia de 22 de noviembre de 2005. Serie C No. 136, párr. 97, y Caso</w:t>
        <w:br/>
        <w:t>Masacres de Río Negro Vs. Guatemala, supra, párr. 115.</w:t>
        <w:br/>
        <w:br/>
        <w:br/>
        <w:t>[138]        Cfr.  artículo  2  de  la  Convención  Internacional  para   la</w:t>
        <w:br/>
        <w:t>protección de todas las personas contra las  desapariciones  forzadas,  U.N.</w:t>
        <w:br/>
        <w:t>Doc. A/RES/61/177, de 20 de  diciembre  de  2006;  artículo  7,  numeral  2,</w:t>
        <w:br/>
        <w:t>inciso i) del Estatuto de Roma de la Corte Penal  Internacional,  U.N.  Doc.</w:t>
        <w:br/>
        <w:t>A/CONF.183/9, de 17 de julio de 1998, y preámbulo de  la  Declaración  sobre</w:t>
        <w:br/>
        <w:t>la protección de todas las  personas  contra  las  desapariciones  forzadas,</w:t>
        <w:br/>
        <w:t>U.N. Doc. A/RES/47/133 de  12  de  febrero  de  1993.  Véase  también,  Caso</w:t>
        <w:br/>
        <w:t>Anzualdo Castro  Vs.  Perú.  Excepción  Preliminar,  Fondo,  Reparaciones  y</w:t>
        <w:br/>
        <w:t>Costas. Sentencia de 22 de septiembre de 2009. Serie C No. 202, párr. 60,  y</w:t>
        <w:br/>
        <w:t>Caso Masacres de Río Negro Vs. Guatemala, supra, párr. 115.</w:t>
        <w:br/>
        <w:br/>
        <w:br/>
        <w:t>[139]       Al respecto,  pueden  consultarse  los  siguientes  casos  sobre</w:t>
        <w:br/>
        <w:t>desaparición forzada de personas: TEDH, Chipre vs. Turquía [Gran  Sala],  no</w:t>
        <w:br/>
        <w:t>25781/94, párrs. 132 a 134 y 147 a 148, 10 de mayo de 2001, y TEDH,  Varnava</w:t>
        <w:br/>
        <w:t>y  otros  vs.  Turquía  [Gran  Sala],  nos.  16064/90,  16065/90,  16066/90,</w:t>
        <w:br/>
        <w:t>16068/90, 16069/90, 16070/90, 16071/90, 16072/90 y 16073/90,  párrs.  111  a</w:t>
        <w:br/>
        <w:t>113, 117 y 118, 133, 138 y 145, 10 de enero de 2008.</w:t>
        <w:br/>
        <w:br/>
        <w:br/>
        <w:t>[140]       Al respecto,  véase,  Messaouda  Grioua  y  Mohamed  Grioua  vs.</w:t>
        <w:br/>
        <w:t>Algeria, CCPR/C/90/D/1327/2004 (2007), Comunicación  No.  1327/2004,  16  de</w:t>
        <w:br/>
        <w:t>agosto de 2007, párr. 7.2, 7.5 a 7.9; Yasoda Sharma y  Surya  Prasad  Sharma</w:t>
        <w:br/>
        <w:t>vs. Nepal, CCPR/C/94/D/1469/2006 (2008), Comunicación No.  1469/2006,  6  de</w:t>
        <w:br/>
        <w:t>noviembre de 2008, párr. 7.4, 7.6 a 7.9; Zohra Madoui y Menouar  Madoui  vs.</w:t>
        <w:br/>
        <w:t>Algeria, CCPR/C/94/D/1495/2006 (2008),  Comunicación  No.  1495/2006,  1  de</w:t>
        <w:br/>
        <w:t>diciembre de 2008, párr. 7.2, 7.4 a 7.8, y Nydia Erika Bautista de  Arellana</w:t>
        <w:br/>
        <w:t>vs.  Colombia,  CCPR/C/55/D/563/1993,  Comunicación  No.  563/1993,  13   de</w:t>
        <w:br/>
        <w:t>noviembre de 1995, párr. 8.3 a 8.6.</w:t>
        <w:br/>
        <w:br/>
        <w:br/>
        <w:t>[141]       Cfr. Caso Marco Antonio Monasterios Pérez, Tribunal Supremo de</w:t>
        <w:br/>
        <w:t>Justicia de la República Bolivariana de Venezuela, sentencia de 10 de</w:t>
        <w:br/>
        <w:t>agosto de 2007 (declarando la naturaleza pluriofensiva y permanente del</w:t>
        <w:br/>
        <w:t>delito de desaparición forzada); Suprema Corte de Justicia de la Nación de</w:t>
        <w:br/>
        <w:t>México, Tesis: P./J. 87/2004, “Desaparición forzada de personas. El plazo</w:t>
        <w:br/>
        <w:t>para que opere su prescripción inicia hasta que aparece la víctima o se</w:t>
        <w:br/>
        <w:t>establece su destino” (afirmando que las desapariciones forzadas son</w:t>
        <w:br/>
        <w:t>delitos permanentes y que la prescripción se debe comenzar a calcular a</w:t>
        <w:br/>
        <w:t>partir de que cesa su consumación); Caso de desafuero de Pinochet, Pleno de</w:t>
        <w:br/>
        <w:t>la Corte Suprema de Chile, sentencia de 8 de agosto del 2000; Caso</w:t>
        <w:br/>
        <w:t>Sandoval, Recurso Rol N° 11821-2003, Quinta Sala de la Corte de Apelaciones</w:t>
        <w:br/>
        <w:t>de Santiago de Chile, sentencia de 5 de enero del 2004 (todos declarando</w:t>
        <w:br/>
        <w:t>que el delito de desaparición forzada es continuo, de lesa humanidad,</w:t>
        <w:br/>
        <w:t>imprescriptible y que no puede ser objeto de amnistía); Caso Videla y</w:t>
        <w:br/>
        <w:t>otros, Cámara Nacional de Apelaciones en lo Criminal y Correccional Federal</w:t>
        <w:br/>
        <w:t>de la Capital de Argentina, sentencia de 9 de septiembre de 1999</w:t>
        <w:br/>
        <w:t>(declarando que las desapariciones forzadas son delitos continuos y de lesa</w:t>
        <w:br/>
        <w:t>humanidad, así como su imprescriptibilidad); Caso José Carlos Trujillo,</w:t>
        <w:br/>
        <w:t>Tribunal Constitucional de Bolivia, sentencia Constitucional N° 1190/01-R</w:t>
        <w:br/>
        <w:t>de 12 de noviembre del 2001 (declarando que los delitos de desaparición</w:t>
        <w:br/>
        <w:t>forzada son delitos continuos y que el plazo para que opere su prescripción</w:t>
        <w:br/>
        <w:t>inicia hasta que cese su consumación), y Tribunal Constitucional del Perú,</w:t>
        <w:br/>
        <w:t>sentencia de 18 de marzo de 2004, Expediente N° 2488-2002-HC/TC (declarando</w:t>
        <w:br/>
        <w:t>que la desaparición forzada es un delito permanente hasta tanto no se</w:t>
        <w:br/>
        <w:t>establezca el paradero de la víctima, así como reconociendo su naturaleza</w:t>
        <w:br/>
        <w:t>pluriofensiva).</w:t>
        <w:br/>
        <w:br/>
        <w:br/>
        <w:t>[142]            Cfr. Caso Vargas Areco Vs. Paraguay. Sentencia de 26 de</w:t>
        <w:br/>
        <w:t>septiembre de 2006. Serie C No. 155, párr. 73, y Caso Masacres de El Mozote</w:t>
        <w:br/>
        <w:t>y lugares aledaños Vs. El Salvador, supra, párr. 144.</w:t>
        <w:br/>
        <w:br/>
        <w:br/>
        <w:t>[143]       Cfr. Caso Radilla Pacheco Vs. México, supra, párr. 138, y Caso</w:t>
        <w:br/>
        <w:t>Masacres de Río Negro Vs. Guatemala, supra, párr. 114.</w:t>
        <w:br/>
        <w:br/>
        <w:br/>
        <w:t>[144]        Cfr.  Caso   Heliodoro   Portugal   Vs.   Panamá.   Excepciones</w:t>
        <w:br/>
        <w:t>Preliminares, Fondo, Reparaciones y Costas. Sentencia de  12  de  agosto  de</w:t>
        <w:br/>
        <w:t>2009. Serie C No. 186, párr. 112, y Caso González Medina  y  familiares  Vs.</w:t>
        <w:br/>
        <w:t>República Dominicana, supra, párr. 129.</w:t>
        <w:br/>
        <w:br/>
        <w:br/>
        <w:t>[145] Cfr. Caso Heliodoro Portugal Vs. Panamá, supra, párr. 112, y Caso</w:t>
        <w:br/>
        <w:t>González Medina y familiares Vs. República Dominicana, supra, párr. 175.</w:t>
        <w:br/>
        <w:br/>
        <w:br/>
        <w:t>[146] Cfr. Caso Gangaram Panday Vs. Surinam. Fondo, Reparaciones y Costas.</w:t>
        <w:br/>
        <w:t>Sentencia de 21 de enero de 1994. Serie C No. 16, párr. 47, y Caso González</w:t>
        <w:br/>
        <w:t>Medina y familiares Vs. República Dominicana, supra, párr. 176.</w:t>
        <w:br/>
        <w:br/>
        <w:br/>
        <w:t>[147]       Cfr. Caso Chaparro Álvarez y Lapo Íñiguez Vs. Ecuador, supra,</w:t>
        <w:br/>
        <w:t>párr. 53, y Caso González Medina y familiares Vs. República Dominicana,</w:t>
        <w:br/>
        <w:t>supra, párr. 178.</w:t>
        <w:br/>
        <w:br/>
        <w:br/>
        <w:t>[148]       Cfr. Caso Chaparro Álvarez y Lapo Íñiguez Vs. Ecuador, supra,</w:t>
        <w:br/>
        <w:t>párr. 54, y Caso González Medina y familiares Vs. República Dominicana,</w:t>
        <w:br/>
        <w:t>supra, párr. 178.</w:t>
        <w:br/>
        <w:br/>
        <w:br/>
        <w:t>[149]       En este sentido, le testigo Velia Muralles Bautista declaró en</w:t>
        <w:br/>
        <w:t>la audiencia pública del presente caso que, según los registros encontrados</w:t>
        <w:br/>
        <w:t>en el Archivo Histórico de la Policía Nacional, existió “una presencia</w:t>
        <w:br/>
        <w:t>irregular del mando de la policía en las sedes del Cuarto Cuerpo entre el</w:t>
        <w:br/>
        <w:t>19 y el 23 de febrero de 1984”. Al respecto, explicó que “el Director</w:t>
        <w:br/>
        <w:t>General de la Policía Nacional […] realizó dos visitas a la sede del Cuarto</w:t>
        <w:br/>
        <w:t>Cuerpo, específicamente el martes 21 y el miércoles 22 de febrero de 1984.</w:t>
        <w:br/>
        <w:t>Asimismo, el Inspector General de la Policía Nacional realizó siete visitas</w:t>
        <w:br/>
        <w:t>a la sede del Cuarto Cuerpo, específicamente el día domingo 19, martes 21,</w:t>
        <w:br/>
        <w:t>miércoles 22 y jueves 23, las fechas 21, 22 y 23 se presentó dos veces</w:t>
        <w:br/>
        <w:t>diarias”. Cfr. Declaración rendida por Velia Muralles Bautista ante la</w:t>
        <w:br/>
        <w:t>Corte Interamericana en la audiencia pública del presente caso.</w:t>
        <w:br/>
        <w:br/>
        <w:br/>
        <w:t>[150]       La CEH calificaba como “testigos de referencia” a aquellas</w:t>
        <w:br/>
        <w:t>personas que hubieran “conocido la versión proveniente de las víctimas o de</w:t>
        <w:br/>
        <w:t>otros testigos directos, ya porque ocuparon un lugar social que les</w:t>
        <w:br/>
        <w:t>otorgaba acceso privilegiado al conocimiento del contexto en que los hechos</w:t>
        <w:br/>
        <w:t>acaecieron, [quienes] proporcionaron a la CEH información importante para</w:t>
        <w:br/>
        <w:t>la verificación de los testimonios”. Cfr. CEH, supra, Tomo I, pág. 53,</w:t>
        <w:br/>
        <w:t>párr. 111.</w:t>
        <w:br/>
        <w:br/>
        <w:br/>
        <w:t>[151]       Cfr. Denuncia de Nineth Varenca Montenegro Cottom ante la PDH</w:t>
        <w:br/>
        <w:t>de 22 de enero de 1988 (expediente de anexos al Informe de Fondo, Tomo I,</w:t>
        <w:br/>
        <w:t>Anexo 16, folios 212 y 213), y CEH, supra, Tomo VI, pág. 148.</w:t>
        <w:br/>
        <w:br/>
        <w:br/>
        <w:t>[152]       Cfr. Caso Neira Alegría y otros Vs. Perú.  Fondo.  Sentencia  de</w:t>
        <w:br/>
        <w:t>19 de enero de 1995. Serie C No. 20, párr. 60,  y  Caso  González  Medina  y</w:t>
        <w:br/>
        <w:t>familiares Vs. República Dominicana, supra, párr. 177.</w:t>
        <w:br/>
        <w:br/>
        <w:br/>
        <w:t>[153]       Cfr. Caso Anzualdo Castro Vs. Perú, supra, párr. 63, y Caso</w:t>
        <w:br/>
        <w:t>González Medina y familiares Vs. República Dominicana, supra, párr. 177. En</w:t>
        <w:br/>
        <w:t>el mismo sentido, cfr. Artículo XI de la Convención Interamericana sobre</w:t>
        <w:br/>
        <w:t>Desaparición Forzada de Personas.</w:t>
        <w:br/>
        <w:br/>
        <w:br/>
        <w:t>[154]       Cfr. Caso Anzualdo Castro Vs. Perú, supra, párr. 63, y Caso</w:t>
        <w:br/>
        <w:t>Gelman Vs. Uruguay. Fondo y Reparaciones. Sentencia de 24 de febrero de</w:t>
        <w:br/>
        <w:t>2011. Serie C No. 221, párr. 77.</w:t>
        <w:br/>
        <w:br/>
        <w:br/>
        <w:t>[155]       Cfr. CEH, supra, Tomo II, pág. 415, párr. 2068.</w:t>
        <w:br/>
        <w:br/>
        <w:br/>
        <w:t>[156]       Cfr. AHPN. Novedades de 18 de febrero de 1984, GT PN 26-02</w:t>
        <w:br/>
        <w:t>S002, No. 25374 (expediente de anexos al escrito de solicitudes y</w:t>
        <w:br/>
        <w:t>argumentos, Tomo I, Anexo 30, folio 1413).</w:t>
        <w:br/>
        <w:br/>
        <w:br/>
        <w:t>[157]       Cfr. Declaración rendida por Nineth  Varenca  Montenegro  Cottom</w:t>
        <w:br/>
        <w:t>ante la Corte Interamericana en la audiencia pública del presente  caso.  En</w:t>
        <w:br/>
        <w:t>el  mismo  sentido,  ver  la  declaración  rendida  por   Alejandra   García</w:t>
        <w:br/>
        <w:t>Montenegro ante fedatario público el 20 de  abril  de  2012  (expediente  de</w:t>
        <w:br/>
        <w:t>fondo, Tomo II, folio 806).</w:t>
        <w:br/>
        <w:br/>
        <w:br/>
        <w:t>[158]       Cfr. CEH, supra, Tomo II, pág. 415, párr. 2068.</w:t>
        <w:br/>
        <w:br/>
        <w:br/>
        <w:t>[159]       Cfr. Caso Velásquez Rodríguez Vs. Honduras. Fondo, supra, párr.</w:t>
        <w:br/>
        <w:t>187, y Caso Masacres de Río Negro Vs. Guatemala, supra, párr. 116.</w:t>
        <w:br/>
        <w:br/>
        <w:br/>
        <w:t>[160]       Cfr. Caso Velásquez Rodríguez Vs. Honduras. Fondo, supra, párr.</w:t>
        <w:br/>
        <w:t>175, y Caso Masacres de Río Negro Vs. Guatemala, supra, párr. 117.</w:t>
        <w:br/>
        <w:br/>
        <w:br/>
        <w:t>[161]       Cfr. Caso Velásquez Rodríguez Vs. Honduras. Fondo, supra, párr.</w:t>
        <w:br/>
        <w:t>157, y Caso González Medina y familiares Vs. República Dominicana, supra,</w:t>
        <w:br/>
        <w:t>párr. 185.</w:t>
        <w:br/>
        <w:br/>
        <w:br/>
        <w:t>[162]       Cfr. CEH, supra, Tomo II, págs. 241, 415, 421 y 423, párrs.</w:t>
        <w:br/>
        <w:t>2068, 2082, 2083 y 2087, y Caso Molina Theissen Vs. Guatemala. Fondo.</w:t>
        <w:br/>
        <w:t>Sentencia de 4 de mayo de 2004. Serie C No. 106, párr. 40.4.</w:t>
        <w:br/>
        <w:br/>
        <w:br/>
        <w:t>[163]       Cfr. Caso Anzualdo Castro Vs. Perú, supra, párrs. 90 a 101, y</w:t>
        <w:br/>
        <w:t>Caso Masacres de Río Negro Vs. Guatemala, supra, párr. 118.</w:t>
        <w:br/>
        <w:br/>
        <w:br/>
        <w:t>[164] Cfr. Caso Bámaca Velásquez Vs. Guatemala. Fondo, supra, párr. 179, y</w:t>
        <w:br/>
        <w:t>Caso Masacres de Río Negro Vs. Guatemala, supra, párr. 119.</w:t>
        <w:br/>
        <w:br/>
        <w:br/>
        <w:t>[165] Cfr. Caso Anzualdo Castro Vs. Perú, supra, párr. 90, y  Caso  Masacres</w:t>
        <w:br/>
        <w:t>de Río Negro Vs. Guatemala, supra, párr. 119.</w:t>
        <w:br/>
        <w:br/>
        <w:br/>
        <w:t>[166]       Cfr. CEH, supra, Tomo II, págs. 412, párr. 2058.</w:t>
        <w:br/>
        <w:br/>
        <w:br/>
        <w:t>[167]       Cfr. Caso Chitay Nech y otros Vs. Guatemala, supra, párr. 120.</w:t>
        <w:br/>
        <w:br/>
        <w:br/>
        <w:t>[168]       El artículo 16.1 de la Convención establece que: “[t]odas las</w:t>
        <w:br/>
        <w:t>personas tienen derecho a asociarse libremente con fines ideológicos,</w:t>
        <w:br/>
        <w:t>religiosos, políticos, económicos, laborales, sociales, culturales,</w:t>
        <w:br/>
        <w:t>deportivos o de cualquiera otra índole”.</w:t>
        <w:br/>
        <w:br/>
        <w:br/>
        <w:t>[169]       El artículo 13.1 de la Convención establece que: “[t]oda</w:t>
        <w:br/>
        <w:t>persona tiene derecho a la libertad de pensamiento y de expresión. Este</w:t>
        <w:br/>
        <w:t>derecho comprende la libertad de buscar, recibir y difundir informaciones e</w:t>
        <w:br/>
        <w:t>ideas de toda índole, sin consideración de fronteras, ya sea oralmente, por</w:t>
        <w:br/>
        <w:t>escrito o en forma impresa o artística, o por cualquier otro procedimiento</w:t>
        <w:br/>
        <w:t>de su elección”.</w:t>
        <w:br/>
        <w:br/>
        <w:br/>
        <w:t>[170]       Cfr. Caso Huilca Tecse Vs. Perú. Fondo, Reparaciones y Costas.</w:t>
        <w:br/>
        <w:t>Sentencia de 3 de marzo de 2005. Serie C No. 121, párrs. 66 a 79; Caso</w:t>
        <w:br/>
        <w:t>Cantoral Huamaní y García Santa Cruz Vs. Perú. Excepción Preliminar, Fondo,</w:t>
        <w:br/>
        <w:t>Reparaciones y Costas. Sentencia de 10 de julio de 2007. Serie C No. 167,</w:t>
        <w:br/>
        <w:t>párrs. 146 y 147; Caso Kawas Fernández Vs. Honduras, supra, párr. 150, y</w:t>
        <w:br/>
        <w:t>Caso Manuel Cepeda Vargas Vs. Colombia, supra, párr. 172.</w:t>
        <w:br/>
        <w:br/>
        <w:br/>
        <w:t>[171]       Cfr. Caso Manuel Cepeda Vargas Vs. Colombia, supra, párrs. 176</w:t>
        <w:br/>
        <w:t>y 177.</w:t>
        <w:br/>
        <w:br/>
        <w:br/>
        <w:t>[172]       Cfr. Caso Baena Ricardo y otros Vs. Panamá. Fondo, Reparaciones</w:t>
        <w:br/>
        <w:t>y Costas. Sentencia de 2 de febrero de 2001. Serie C No. 72, párr. 156, y</w:t>
        <w:br/>
        <w:t>Caso Masacres de Río Negro Vs. Guatemala, supra, párr. 167.</w:t>
        <w:br/>
        <w:br/>
        <w:br/>
        <w:t>[173]       Cfr. Caso Huilca Tecse Vs. Perú, supra, párr. 76, y Caso Fleury</w:t>
        <w:br/>
        <w:t>y otros Vs. Haití. Fondo y Reparaciones. Sentencia de 23 de noviembre de</w:t>
        <w:br/>
        <w:t>2011. Serie C No. 236, párr. 100.</w:t>
        <w:br/>
        <w:br/>
        <w:br/>
        <w:t>[174]       Cfr. Caso Huilca Tecse Vs. Perú, supra, párr. 77. Véase</w:t>
        <w:br/>
        <w:t>también, TEDH. Young, James y Webster Vs. Reino Unido, 13 de Agosto de</w:t>
        <w:br/>
        <w:t>1981, § 56, Serie A no. 44, y Plattform “Ärzte für das Leben” Vs. Austria.</w:t>
        <w:br/>
        <w:t>21 de junio de 1988, § 32, Serie A no. 139.</w:t>
        <w:br/>
        <w:br/>
        <w:br/>
        <w:t>[175]       Cfr. Peritaje de Marco Tulio Álvarez Bobadilla sobre el</w:t>
        <w:br/>
        <w:t>contexto histórico político de la desaparición forzada de Edgar Fernando</w:t>
        <w:br/>
        <w:t>García rendido en el proceso penal interno (expediente de anexos al escrito</w:t>
        <w:br/>
        <w:t>de solicitudes y argumentos, Tomo I, folio 1552), y AHPN. Nota recibida el</w:t>
        <w:br/>
        <w:t>21 de marzo de 1980. GT PN 30-01 S004, No. 16262 (expediente de anexos al</w:t>
        <w:br/>
        <w:t>escrito de solicitudes y argumentos, Tomo II, Anexo A, folio 2626). Véase</w:t>
        <w:br/>
        <w:t>además, AHPN. Oficio No. 358 de la Gobernación del Departamento de</w:t>
        <w:br/>
        <w:t>Guatemala. GT PN 30-01 S004, No. 16263, y Providencia No. 105/Sbpp de 24 de</w:t>
        <w:br/>
        <w:t>marzo de 1980. GT PN 30-01 S004, No. 16267 (expediente de anexos al escrito</w:t>
        <w:br/>
        <w:t>de solicitudes y argumentos, Tomo II, Anexo A, folios 2627 y 2632).</w:t>
        <w:br/>
        <w:br/>
        <w:br/>
        <w:t>[176]       Peritaje de Marco Tulio  Álvarez  Bobadilla  sobre  el  contexto</w:t>
        <w:br/>
        <w:t>histórico político de la  desaparición  forzada  de  Edgar  Fernando  García</w:t>
        <w:br/>
        <w:t>rendido en el proceso penal interno (expediente  de  anexos  al  escrito  de</w:t>
        <w:br/>
        <w:t>solicitudes y argumentos, Tomo I, folio  1552).  El  juzgado  penal  interno</w:t>
        <w:br/>
        <w:t>otorgó  valor  probatorio  a  las  conclusiones  de  dicho  peritaje  en  su</w:t>
        <w:br/>
        <w:t>decisión.  Cfr.  Sentencia  del  Tribunal   Octavo   de   Sentencia   Penal,</w:t>
        <w:br/>
        <w:t>Narcoactividad y Delitos contra el Ambiente de 28 octubre de 2010,  C-01069-</w:t>
        <w:br/>
        <w:t>1997-00001 (expediente de anexos al escrito  de  solicitudes  y  argumentos,</w:t>
        <w:br/>
        <w:t>Tomo IV, Anexo C, folio 3823).</w:t>
        <w:br/>
        <w:br/>
        <w:br/>
        <w:t>[177]       Cfr. Peritaje de Rember Aroldo Larios Tobar sobre la estructura</w:t>
        <w:br/>
        <w:t>policial en el caso de Edgar Fernando García rendido en el proceso penal</w:t>
        <w:br/>
        <w:t>interno (expediente de anexos al escrito de solicitudes y argumentos, Tomo</w:t>
        <w:br/>
        <w:t>I, folios 1624 a 1630). El juzgado penal interno otorgó valor probatorio a</w:t>
        <w:br/>
        <w:t>las conclusiones de dicho peritaje en su decisión. Cfr. Sentencia del</w:t>
        <w:br/>
        <w:t>Tribunal Octavo de Sentencia Penal, Narcoactividad y Delitos contra el</w:t>
        <w:br/>
        <w:t>Ambiente de 28 octubre de 2010, C-01069-1997-00001 (expediente de anexos al</w:t>
        <w:br/>
        <w:t>escrito de solicitudes y argumentos, Tomo IV, Anexo C, folio 3814), y</w:t>
        <w:br/>
        <w:t>peritaje psicológico social de Marina de Villagrán sobre el caso de Edgar</w:t>
        <w:br/>
        <w:t>Fernando García rendido a en el proceso penal interno (expediente de anexos</w:t>
        <w:br/>
        <w:t>al escrito de solicitudes y argumentos, Tomo I, folio 1659).</w:t>
        <w:br/>
        <w:br/>
        <w:br/>
        <w:t>[178]       Cfr. Peritaje de Katharine Doyle sobre documentos</w:t>
        <w:br/>
        <w:t>desclasificados de los Estados Unidos de América rendido a en el proceso a</w:t>
        <w:br/>
        <w:t>nivel interno (expediente de anexos al escrito de solicitudes y argumentos,</w:t>
        <w:br/>
        <w:t>Tomo I, folios 2058 a 2060 y 2063); sentencia del Tribunal Octavo de</w:t>
        <w:br/>
        <w:t>Sentencia Penal, Narcoactividad y Delitos contra el Ambiente de 28 octubre</w:t>
        <w:br/>
        <w:t>de 2010, C-01069-1997-00001 (expediente de anexos al escrito de solicitudes</w:t>
        <w:br/>
        <w:t>y argumentos, Tomo IV, Anexo C, folio 3784 a 3785 y 3788); peritaje de</w:t>
        <w:br/>
        <w:t>Marco Tulio Álvarez Bobadilla sobre el contexto histórico político de la</w:t>
        <w:br/>
        <w:t>desaparición forzada de Edgar Fernando García rendido en el proceso penal</w:t>
        <w:br/>
        <w:t>interno (expediente de anexos al escrito de solicitudes y argumentos, Tomo</w:t>
        <w:br/>
        <w:t>I, folios 1543 a 1546); peritaje de Fernando Arturo López Antillón sobre la</w:t>
        <w:br/>
        <w:t>efectividad del recurso de exhibición personal durante el conflicto armado</w:t>
        <w:br/>
        <w:t>interno rendido en el proceso penal interno (expediente de anexos al</w:t>
        <w:br/>
        <w:t>escrito de solicitudes y argumentos, Tomo I, folios 1973 a 1974), y video</w:t>
        <w:br/>
        <w:t>titulado “Aún guardamos la esperanza” de febrero de 2009, supra, partes 1 y</w:t>
        <w:br/>
        <w:t>2.</w:t>
        <w:br/>
        <w:br/>
        <w:br/>
        <w:t>[179]       Cfr. CEH, supra, Tomo II, Capítulo II, págs. 412 y 413, párr.</w:t>
        <w:br/>
        <w:t>2060, y Caso Molina Theissen Vs. Guatemala. Fondo. Sentencia de 4 de mayo</w:t>
        <w:br/>
        <w:t>de 2004. Serie C No. 106, párr. 40.1; peritaje de Fernando Arturo López</w:t>
        <w:br/>
        <w:t>Antillón sobre la efectividad del recurso de exhibición personal durante el</w:t>
        <w:br/>
        <w:t>conflicto armado interno rendido en el proceso penal interno (expediente de</w:t>
        <w:br/>
        <w:t>anexos al escrito de solicitudes y argumentos, Tomo I, folios 1972 a 1974 y</w:t>
        <w:br/>
        <w:t>1979), y video titulado “Aún guardamos la esperanza” de febrero de 2009,</w:t>
        <w:br/>
        <w:t>supra, partes 1 y 2.</w:t>
        <w:br/>
        <w:br/>
        <w:br/>
        <w:t>[180]       Cfr. Secretaría de la Paz, supra, págs. 21 y 23, folios 33 y</w:t>
        <w:br/>
        <w:t>35.</w:t>
        <w:br/>
        <w:br/>
        <w:br/>
        <w:t>[181]       Sentencia del Tribunal Octavo de Sentencia Penal,</w:t>
        <w:br/>
        <w:t>Narcoactividad y Delitos contra el Ambiente de 28 de octubre de 2010, C-</w:t>
        <w:br/>
        <w:t>01069-1997-00001 (expediente de anexos al escrito de solicitudes y</w:t>
        <w:br/>
        <w:t>argumentos, Tomo IV, Anexo C, folio 3864).</w:t>
        <w:br/>
        <w:br/>
        <w:br/>
        <w:t>[182]       Cfr. Nota publicada por el Sindicato de Trabajadores de la</w:t>
        <w:br/>
        <w:t>Industria Centro Americana de Vidrio S.A. – STICAVSA. el 18 de octubre de</w:t>
        <w:br/>
        <w:t>1984; nota donde el Sindicato de Trabajadores de la Industria Centro</w:t>
        <w:br/>
        <w:t>Americana de Vidrio, S.A. – STICAVSA agradece la “solidaridad” de la Unione</w:t>
        <w:br/>
        <w:t>Italiana del Lavoro y la Confederacione Italiana Sindicati Lavoratori,</w:t>
        <w:br/>
        <w:t>entre otras organizaciones de Suecia, Francia y Alemania Federal, publicada</w:t>
        <w:br/>
        <w:t>el 24 de mayo de 1984; notas publicadas por los trabajadores de CAVISA el</w:t>
        <w:br/>
        <w:t>18 de febrero de 1985 en el diario “El Gráfico”, y nota publicada por el</w:t>
        <w:br/>
        <w:t>sindicato de trabajadores de Embotelladora Guatemalteca, S.A. Anexos y</w:t>
        <w:br/>
        <w:t>Conexos Coca-Cola (STEGAC) el 10 de agosto de 1984 (expediente de anexos al</w:t>
        <w:br/>
        <w:t>Informe de Fondo, Tomo II, anexo 31, folios 475, 477, 478 y 488).</w:t>
        <w:br/>
        <w:br/>
        <w:br/>
        <w:t>[183]       Cfr. TEDH, Young, James y Webster Vs. Reino Unido, 13 de  agosto</w:t>
        <w:br/>
        <w:t>de 1981, § 57, Serie A no. 44; Sigurður A. Sigurjónsson Vs. Islandia, 30  de</w:t>
        <w:br/>
        <w:t>junio de 1993, § 37, Serie A no. 264; Chassagnou y Others Vs. Francia  [Gran</w:t>
        <w:br/>
        <w:t>Sala], nos. 25088/94, 28331/95 and 28443/95, §  103,  TEDH  1999-III;  Refah</w:t>
        <w:br/>
        <w:t>Partisi (the Welfare Party) y otros Vs. Turquía [Gran Sala], nos.  41340/98,</w:t>
        <w:br/>
        <w:t>41342/98, 41343/98 and 41344/98, § 88, TEDH 2003-II, y Vörður  Ólafsson  Vs.</w:t>
        <w:br/>
        <w:t>Islandia, no. 20161/06, § 46, TEDH 2010.</w:t>
        <w:br/>
        <w:br/>
        <w:br/>
        <w:t>[184]       Cfr. Caso Manuel Cepeda Vargas Vs. Colombia. Excepciones</w:t>
        <w:br/>
        <w:t>Preliminares, Fondo y Reparaciones. Sentencia de 26 de mayo de 2010. Serie</w:t>
        <w:br/>
        <w:t>C No. 213, párr. 171.</w:t>
        <w:br/>
        <w:br/>
        <w:br/>
        <w:t>[185]       El artículo 8.1 de la Convención establece que: “[t]oda persona</w:t>
        <w:br/>
        <w:t>tiene derecho a ser oída, con las debidas garantías y dentro de un plazo</w:t>
        <w:br/>
        <w:t>razonable, por un juez o tribunal competente, independiente e imparcial,</w:t>
        <w:br/>
        <w:t>establecido con anterioridad por la ley, en la sustanciación de cualquier</w:t>
        <w:br/>
        <w:t>acusación penal formulada contra ella, o para la determinación de sus</w:t>
        <w:br/>
        <w:t>derechos y obligaciones de orden civil, laboral, fiscal o de cualquier otro</w:t>
        <w:br/>
        <w:t>carácter”.</w:t>
        <w:br/>
        <w:br/>
        <w:br/>
        <w:t>[186]       El  artículo  25.1  de  la  Convención  establece  que:  “[t]oda</w:t>
        <w:br/>
        <w:t>persona tiene derecho a un recurso sencillo y  rápido  o  a  cualquier  otro</w:t>
        <w:br/>
        <w:t>recurso efectivo ante los jueces o tribunales  competentes,  que  la  ampare</w:t>
        <w:br/>
        <w:t>contra actos que  violen  sus  derechos  fundamentales  reconocidos  por  la</w:t>
        <w:br/>
        <w:t>Constitución, la ley o la presente Convención, aun cuando tal violación  sea</w:t>
        <w:br/>
        <w:t>cometida por personas que actúen en ejercicio de sus funciones oficiales”.</w:t>
        <w:br/>
        <w:br/>
        <w:br/>
        <w:t>[187] El artículo I.b) de la Convención  Interamericana  sobre  Desaparición</w:t>
        <w:br/>
        <w:t>Forzada de Personas establece que: “[l]os Estados Partes en esta  Convención</w:t>
        <w:br/>
        <w:t>se comprometen a [… s]ancionar  en  el  ámbito  de  su  jurisdicción  a  los</w:t>
        <w:br/>
        <w:t>autores, cómplices y encubridores del  delito  de  desaparición  forzada  de</w:t>
        <w:br/>
        <w:t>personas, así como la tentativa de comisión del mismo”.</w:t>
        <w:br/>
        <w:br/>
        <w:br/>
        <w:t>[188]       El artículo 2 de la Convención Americana  establece  que:  “[s]i</w:t>
        <w:br/>
        <w:t>el ejercicio de los derechos y libertades mencionados en el  artículo  1  no</w:t>
        <w:br/>
        <w:t>estuviere ya garantizado por disposiciones legislativas o de otro  carácter,</w:t>
        <w:br/>
        <w:t>los  Estados  Partes  se  comprometen  a  adoptar,   con   arreglo   a   sus</w:t>
        <w:br/>
        <w:t>procedimientos constitucionales y a las disposiciones  de  esta  Convención,</w:t>
        <w:br/>
        <w:t>las medidas legislativas o de  otro  carácter  que  fueren  necesarias  para</w:t>
        <w:br/>
        <w:t>hacer efectivos tales derechos y libertades”.</w:t>
        <w:br/>
        <w:br/>
        <w:br/>
        <w:t>[189]       Cfr. Declaración rendida por Manuel Giovanni Vásquez Vicente</w:t>
        <w:br/>
        <w:t>ante fedatario público el 11 de marzo de 2012 (expediente de fondo, Tomo</w:t>
        <w:br/>
        <w:t>II, folios 792, 793 y 795), y declaración rendida por Alejandra García</w:t>
        <w:br/>
        <w:t>Montenegro ante fedatario público el 20 de abril de 2012 (expediente de</w:t>
        <w:br/>
        <w:t>fondo, Tomo II, folio 807).</w:t>
        <w:br/>
        <w:br/>
        <w:br/>
        <w:t>[190]       Según el testigo Manuel Giovanni Vásquez Vicente, “se</w:t>
        <w:br/>
        <w:t>encuentran pendientes de enfrentar juicio oral y público [el entonces]</w:t>
        <w:br/>
        <w:t>Director General de la Policía Nacional y el [… C]omandante [G]eneral del</w:t>
        <w:br/>
        <w:t>[C]uarto [C]uerpo de la Policía Nacional”, quienes presuntamente</w:t>
        <w:br/>
        <w:t>“participa[ron] por ser parte de la cadena de mando”. Declaración rendida</w:t>
        <w:br/>
        <w:t>por Manuel Giovanni Vásquez Vicente ante fedatario público el 11 de marzo</w:t>
        <w:br/>
        <w:t>de 2012 (expediente de fondo, Tomo II, folio 795).</w:t>
        <w:br/>
        <w:br/>
        <w:br/>
        <w:t>[191]       Cfr. Caso Velásquez Rodríguez Vs. Honduras. Excepciones</w:t>
        <w:br/>
        <w:t>Preliminares. Sentencia de 26 de junio de 1987. Serie C No. 1, párr. 91, y</w:t>
        <w:br/>
        <w:t>Caso Masacres de El Mozote y lugares aledaños Vs. El Salvador, supra, párr.</w:t>
        <w:br/>
        <w:t>242.</w:t>
        <w:br/>
        <w:br/>
        <w:br/>
        <w:t>[192]       Cfr. Caso Bulacio Vs. Argentina. Fondo, Reparaciones  y  Costas.</w:t>
        <w:br/>
        <w:t>Sentencia de 18 de septiembre de 2003. Serie C No. 100, párr.  114,  y  Caso</w:t>
        <w:br/>
        <w:t>Masacres de El Mozote y lugares aledaños Vs. El Salvador, supra, párr.  242.</w:t>
        <w:br/>
        <w:br/>
        <w:br/>
        <w:br/>
        <w:t>[193]       Cfr. Caso Velásquez Rodríguez Vs. Honduras. Fondo, supra,</w:t>
        <w:br/>
        <w:t>párrs. 166 y 167, y Caso Masacres de El Mozote y lugares aledaños Vs. El</w:t>
        <w:br/>
        <w:t>Salvador, supra, párr. 243.</w:t>
        <w:br/>
        <w:br/>
        <w:br/>
        <w:t>[194]       Cfr. Caso Velásquez Rodríguez. Fondo, supra, párr. 158, y Caso</w:t>
        <w:br/>
        <w:t>Contreras y otros Vs. El Salvador, supra, párr. 126.</w:t>
        <w:br/>
        <w:br/>
        <w:br/>
        <w:t>[195]       Cfr. Caso Goiburú y otros Vs. Paraguay, supra, párr. 89, y Caso</w:t>
        <w:br/>
        <w:t>Contreras y otros Vs. El Salvador, supra, párr. 126.</w:t>
        <w:br/>
        <w:br/>
        <w:t>[196]       Cfr. Caso Goiburú y otros Vs. Paraguay, supra, párrs. 84, 128 y</w:t>
        <w:br/>
        <w:t>131, y Caso Masacres de Río Negro Vs. Guatemala, supra, párr. 227.</w:t>
        <w:br/>
        <w:br/>
        <w:t>[197]       Cfr. Caso Velásquez Rodríguez Vs. Honduras. Fondo, supra,  párr.</w:t>
        <w:br/>
        <w:t>177, y Caso Masacres de El  Mozote  y  lugares  aledaños  Vs.  El  Salvador,</w:t>
        <w:br/>
        <w:t>supra, párr. 248.</w:t>
        <w:br/>
        <w:br/>
        <w:br/>
        <w:t>[198]       Cfr. Caso de las Masacres de Ituango Vs. Colombia, supra,  párr.</w:t>
        <w:br/>
        <w:t>319, y Caso Masacres de El  Mozote  y  lugares  aledaños  Vs.  El  Salvador,</w:t>
        <w:br/>
        <w:t>supra, párr. 244.</w:t>
        <w:br/>
        <w:br/>
        <w:br/>
        <w:t>[199]       Cfr. Caso Durand y Ugarte, supra, párr.  130,  y  Caso  González</w:t>
        <w:br/>
        <w:t>Medina y familiares Vs. República Dominicana, supra, párr. 208.</w:t>
        <w:br/>
        <w:br/>
        <w:br/>
        <w:t>[200] Cfr. Caso Anzualdo Castro Vs. Perú, supra, párr. 64, y Caso González</w:t>
        <w:br/>
        <w:t>Medina y familiares Vs. República Dominicana, supra, párr. 208.</w:t>
        <w:br/>
        <w:br/>
        <w:br/>
        <w:t>[201]       Cfr. Caso Ticona Estrada y otros Vs. Bolivia, supra,  párr.  80,</w:t>
        <w:br/>
        <w:t>y Caso Masacres de Río Negro Vs. Guatemala, supra, párr. 224.</w:t>
        <w:br/>
        <w:br/>
        <w:br/>
        <w:t>[202]       Cfr. Caso Velásquez Rodríguez Vs. Honduras. Fondo, supra,  párr.</w:t>
        <w:br/>
        <w:t>181, y Caso González Medina y familiares Vs.  República  Dominicana,  supra,</w:t>
        <w:br/>
        <w:t>párr. 209.</w:t>
        <w:br/>
        <w:br/>
        <w:br/>
        <w:t>[203]       Cfr. Caso Heliodoro Portugal Vs. Panamá, supra, párr. 150, y</w:t>
        <w:br/>
        <w:t>Caso González Medina y familiares Vs. República Dominicana, supra, párr.</w:t>
        <w:br/>
        <w:t>218.</w:t>
        <w:br/>
        <w:br/>
        <w:br/>
        <w:t>[204] Cfr. Caso Masacre de Pueblo Bello Vs. Colombia. Fondo. Sentencia de</w:t>
        <w:br/>
        <w:t>31 de enero de 2006. Serie C No. 140, párr. 143, y Caso Masacres de Río</w:t>
        <w:br/>
        <w:t>Negro Vs. Guatemala, supra, párr. 192.</w:t>
        <w:br/>
        <w:br/>
        <w:br/>
        <w:t>[205]       Cfr. Caso del Penal Miguel Castro Castro Vs. Perú. Fondo,</w:t>
        <w:br/>
        <w:t>Reparaciones y Costas. Sentencia de 25 de noviembre de 2006. Serie C No.</w:t>
        <w:br/>
        <w:t>160, párrs. 276, 377, 378 y 379, y Caso Masacres de Río Negro Vs.</w:t>
        <w:br/>
        <w:t>Guatemala, supra, párr. 222.</w:t>
        <w:br/>
        <w:br/>
        <w:br/>
        <w:t>[206]       Cfr. Caso Radilla Pacheco Vs. México, supra, párrs. 142 y 143,</w:t>
        <w:br/>
        <w:t>y Caso Masacres de Río Negro Vs. Guatemala, supra, párr. 223.</w:t>
        <w:br/>
        <w:br/>
        <w:br/>
        <w:t>[207]       Cfr. Caso del Penal Miguel Castro Castro Vs. Perú, supra, párr.</w:t>
        <w:br/>
        <w:t>377; Caso De la Masacre de las Dos Erres Vs. Guatemala. Excepción</w:t>
        <w:br/>
        <w:t>Preliminar, Fondo, Reparaciones y Costas. Sentencia de 24 de noviembre de</w:t>
        <w:br/>
        <w:t>2009. Serie C No. 211, párr. 137, y Caso Masacres de El Mozote y lugares</w:t>
        <w:br/>
        <w:t>aledaños Vs. El Salvador, supra, párr. 246.</w:t>
        <w:br/>
        <w:br/>
        <w:br/>
        <w:t>[208] Cfr. Caso Anzualdo Castro Vs. Perú, supra, párr. 65, y Caso Masacres</w:t>
        <w:br/>
        <w:t>de Río Negro Vs. Guatemala, supra, párr. 223.</w:t>
        <w:br/>
        <w:br/>
        <w:br/>
        <w:t>[209]       Cfr. Caso Anzualdo Castro Vs. Perú, supra,  párr.  134,  y  Caso</w:t>
        <w:br/>
        <w:t>González Medina y familiares Vs. República Dominicana, supra, párr. 218.</w:t>
        <w:br/>
        <w:br/>
        <w:br/>
        <w:t>[210]       Cfr. Caso Anzualdo Castro Vs. Perú,  supra,  párr.  65,  y  Caso</w:t>
        <w:br/>
        <w:t>Masacres de Río Negro Vs. Guatemala, supra, párr. 223.</w:t>
        <w:br/>
        <w:br/>
        <w:br/>
        <w:t>[211]       Cfr. Caso Velásquez Rodríguez Vs. Honduras. Fondo, supra, párr.</w:t>
        <w:br/>
        <w:t>177, y Caso Masacres de El Mozote y lugares aledaños Vs. El Salvador,</w:t>
        <w:br/>
        <w:t>supra, párr. 248.</w:t>
        <w:br/>
        <w:br/>
        <w:br/>
        <w:t>[212]       Cfr. Caso Anzualdo Castro Vs. Perú, supra, párr. 65, y Caso</w:t>
        <w:br/>
        <w:t>Masacres de Río Negro Vs. Guatemala, supra, párr. 223.</w:t>
        <w:br/>
        <w:br/>
        <w:br/>
        <w:t>[213]       El artículo 467 del Código Procesal Penal de Guatemala</w:t>
        <w:br/>
        <w:t>establece lo siguiente: “Si se hubiere interpuesto un recurso de exhibición</w:t>
        <w:br/>
        <w:t>personal, sin hallar a la persona a cuyo favor se solicitó y existieron</w:t>
        <w:br/>
        <w:t>motivos de sospecha suficientes para afirmar que ella ha sido determinada o</w:t>
        <w:br/>
        <w:t>mantenida ilegalmente en detención por un funcionario público, por miembros</w:t>
        <w:br/>
        <w:t>de las fuerzas de seguridad del Estado, o por agentes regulares o</w:t>
        <w:br/>
        <w:t>irregulares, sin que se dé razón de su paradero, la Corte Suprema de</w:t>
        <w:br/>
        <w:t>Justicia, a solicitud de cualquier persona, podrá: 1) Intimar al Ministerio</w:t>
        <w:br/>
        <w:t>Público para que en el plazo máximo de cinco días informe al tribunal sobre</w:t>
        <w:br/>
        <w:t>el progreso y resultado de la investigación, sobre las medidas practicadas</w:t>
        <w:br/>
        <w:t>y requeridas, y sobre las que aún están pendientes de realización, la Corte</w:t>
        <w:br/>
        <w:t>Suprema de Justicia podrá abreviar el plazo, cuando sea necesario. 2)</w:t>
        <w:br/>
        <w:t>Encargar la averiguación (procedimiento preparatorio), en orden excluyente:</w:t>
        <w:br/>
        <w:t>a) Al Procurador de los Derechos Humanos. b) A una entidad o asociación</w:t>
        <w:br/>
        <w:t>jurídicamente establecida en el país. c) al cónyuge o a los parientes de la</w:t>
        <w:br/>
        <w:t>víctima”. Código Procesal Penal de Guatemala, supra, artículo 467, Libro</w:t>
        <w:br/>
        <w:t>Cuarto, Procedimientos Específicos, Titulo II, Procedimiento Especial de</w:t>
        <w:br/>
        <w:t>Averiguación.</w:t>
        <w:br/>
        <w:br/>
        <w:br/>
        <w:t>[214]       Cfr. CEH, supra, Tomo VI, pág. 152.</w:t>
        <w:br/>
        <w:br/>
        <w:br/>
        <w:t>[215]       Informe pericial sobre documentos desclasificados de Estados</w:t>
        <w:br/>
        <w:t>Unidos de América relacionados con la desaparición de Edgar Fernando García</w:t>
        <w:br/>
        <w:t>rendido por Katharine Doyle en el proceso penal interno (expediente de</w:t>
        <w:br/>
        <w:t>anexos al escrito de solicitudes y argumentos, Tomo I, folio 2059)</w:t>
        <w:br/>
        <w:br/>
        <w:br/>
        <w:t>[216]       Cfr.  Caso  Velásquez  Rodríguez  Vs.  Honduras.  Fondo,  supra,</w:t>
        <w:br/>
        <w:t>párrs. 62 y 63,  y  Caso  Palma  Mendoza  y  otros  Vs.  Ecuador.  Excepción</w:t>
        <w:br/>
        <w:t>Preliminar y Fondo. Sentencia de 3 de septiembre de 2012. Serie C  No.  247,</w:t>
        <w:br/>
        <w:t>párr. 81.</w:t>
        <w:br/>
        <w:br/>
        <w:br/>
        <w:t>[217]       Cfr.  Caso  Velásquez  Rodríguez  Vs.  Honduras.  Fondo,  supra,</w:t>
        <w:br/>
        <w:t>párrs. 63, 64 y 66, y Caso Palma Mendoza y otros Vs. Ecuador,  supra,  párr.</w:t>
        <w:br/>
        <w:t>81.</w:t>
        <w:br/>
        <w:br/>
        <w:br/>
        <w:t>[218]       Cfr. Caso Velásquez Rodríguez Vs. Honduras. Fondo, supra,  párr.</w:t>
        <w:br/>
        <w:t>64, y  Caso  Pueblo  Indígena  Kichwa  de  Sarayaku  Vs.  Ecuador.  Fondo  y</w:t>
        <w:br/>
        <w:t>Reparaciones. Sentencia de 27 de junio de 2012. Serie C No. 245, párr. 263.</w:t>
        <w:br/>
        <w:br/>
        <w:br/>
        <w:t>[219]       Cfr. El Hábeas Corpus Bajo Suspensión de Garantías (arts.  27.2,</w:t>
        <w:br/>
        <w:t>25.1 y 7.6 Convención Americana sobre Derechos Humanos). Opinión  Consultiva</w:t>
        <w:br/>
        <w:t>OC-8/87 del 30 de enero de 1987. Serie A No. 8, párr. 35, y  Caso  Contreras</w:t>
        <w:br/>
        <w:t>y otros Vs. El Salvador, supra, párr. 158.</w:t>
        <w:br/>
        <w:br/>
        <w:br/>
        <w:t>[220]       Cfr. Garantías Judiciales en Estados de Emergencia (arts.  27.2,</w:t>
        <w:br/>
        <w:t>25 y 8 Convención Americana sobre Derechos Humanos). Opinión Consultiva  OC-</w:t>
        <w:br/>
        <w:t>9/87 del 6 de octubre de 1987. Serie A No.  9,  párr.  24,  y  Caso  Barbani</w:t>
        <w:br/>
        <w:t>Duarte y otros Vs. Uruguay, supra, párr. 200.</w:t>
        <w:br/>
        <w:br/>
        <w:br/>
        <w:t>[221]       De acuerdo al acta donde consta la práctica de dichos recursos</w:t>
        <w:br/>
        <w:t>de exhibición personal por parte del juzgado encargado, el juez respectivo</w:t>
        <w:br/>
        <w:t>hizo acto de presencia en el Centro Preventivo para Hombres de la zona</w:t>
        <w:br/>
        <w:t>dieciocho y en el Cuartel General del Ejército el 2 de diciembre de 1997,</w:t>
        <w:br/>
        <w:t>donde verificó el “Libro de Control de Ingresos y Egresos de detenidos” y</w:t>
        <w:br/>
        <w:t>el “Libro de Arrestados”, respectivamente, y “procedió a recorrer [los</w:t>
        <w:br/>
        <w:t>centros de detención] y a viva voz […] pregunta[r] por Edgar Fernando</w:t>
        <w:br/>
        <w:t>García […] no obteniéndose respuesta a dicho llamado, [por lo cual, las</w:t>
        <w:br/>
        <w:t>diligencias] t[uvieron] un resultado negativo”. Acta de de 2 de diciembre</w:t>
        <w:br/>
        <w:t>de 1997 del Juzgado Primero de Paz del Turno Penal (expediente de anexos al</w:t>
        <w:br/>
        <w:t>Informe de Fondo, Tomo II, Anexo 31, folios 601 y 602).</w:t>
        <w:br/>
        <w:br/>
        <w:br/>
        <w:t>[222]       Cfr. Caso González Medina y familiares Vs. República</w:t>
        <w:br/>
        <w:t>Dominicana, supra, párr. 161.</w:t>
        <w:br/>
        <w:br/>
        <w:br/>
        <w:t>[223]       En el acta de la audiencia celebrada el 8 de abril de 1999, en</w:t>
        <w:br/>
        <w:t>el marco del procedimiento de averiguación especial, el Ministerio Público</w:t>
        <w:br/>
        <w:t>informó que había solicitado información sobre las personas que habían</w:t>
        <w:br/>
        <w:t>integrado el operativo del BROE el día de la detención del señor García,</w:t>
        <w:br/>
        <w:t>ante lo cual la Policía Nacional les informó “que se procedió a la búsqueda</w:t>
        <w:br/>
        <w:t>de los archivos del año ochenta y cuatro, sin haberse encontrado los</w:t>
        <w:br/>
        <w:t>mismos”. Acta de audiencias de 8 de abril de 1999 celebrada dentro del</w:t>
        <w:br/>
        <w:t>procedimiento especial de averiguación ante la Corte Suprema de Justicia</w:t>
        <w:br/>
        <w:t>(expediente de anexos al Informe de Fondo, Tomo II, Anexo 31, folio 508).</w:t>
        <w:br/>
        <w:br/>
        <w:br/>
        <w:t>[224]       A partir de las solicitudes de prórroga presentadas por la PDH</w:t>
        <w:br/>
        <w:t>se desprende la realización de, inter alia, las siguientes diligencias:</w:t>
        <w:br/>
        <w:t>recepción del testimonio de Aura Elena Farfán; búsqueda e inspección de</w:t>
        <w:br/>
        <w:t>información en el Archivo Histórico de la Policía Nacional; “diligencias</w:t>
        <w:br/>
        <w:t>con activistas del Grupo de Apoyo Mutuo”; localización de personas cercanas</w:t>
        <w:br/>
        <w:t>a la persona desaparecida para la obtención de testimonios; citaciones a</w:t>
        <w:br/>
        <w:t>personas que podrían tener información del caso, y “coordinación con</w:t>
        <w:br/>
        <w:t>familiares y representantes de diversas organizaciones de Derechos Humanos,</w:t>
        <w:br/>
        <w:t>que pueden coadyuvar con la investigación”. Escritos de solicitudes de</w:t>
        <w:br/>
        <w:t>prórroga del Procurador de Derechos Humanos de 9 de febrero, 26 de abril, 9</w:t>
        <w:br/>
        <w:t>de mayo, 29 de agosto y 30 de noviembre de 2005, de 19 de marzo, 18 de</w:t>
        <w:br/>
        <w:t>julio y 23 de octubre de 2006 y de 6 de febrero de 2007 (expediente de</w:t>
        <w:br/>
        <w:t>anexos al Informe de Fondo, Tomo II, Anexo 31, folios 307, 315, 316, 324,</w:t>
        <w:br/>
        <w:t>325, 333, 334, 342, 343, 352, 353, 367, 368, 376, 377, 395 y 396).</w:t>
        <w:br/>
        <w:br/>
        <w:br/>
        <w:t>[225]       De acuerdo a la declaración del testigo del Estado, Manuel</w:t>
        <w:br/>
        <w:t>Giovanni Vásquez Vicente se realizaron las siguientes diligencias: peritaje</w:t>
        <w:br/>
        <w:t>de contexto histórico político de la desaparición forzada de Edgar Fernando</w:t>
        <w:br/>
        <w:t>García; peritaje psicológico social y sobre las secuelas de la desaparición</w:t>
        <w:br/>
        <w:t>forzada de Edgar Fernando García; peritaje archivístico sobre los</w:t>
        <w:br/>
        <w:t>documentos hallados en el Archivo Histórico de la Policía Nacional sobre el</w:t>
        <w:br/>
        <w:t>caso de Edgar Fernando García; peritaje estadístico sobre el Archivo</w:t>
        <w:br/>
        <w:t>Histórico de la Policía Nacional; peritaje sobre la estructura policial;</w:t>
        <w:br/>
        <w:t>peritaje sobre documentos desclasificados de Estados Unidos de América</w:t>
        <w:br/>
        <w:t>relacionados con el caso de Edgar Fernando García; peritaje sobre la</w:t>
        <w:br/>
        <w:t>regulación jurídica, funcionamiento oficial y la práctica real del recurso</w:t>
        <w:br/>
        <w:t>de exhibición personal durante el conflicto armado y el período relevante</w:t>
        <w:br/>
        <w:t>de la desaparición forzada de Edgar Fernando García. Además, se tomaron las</w:t>
        <w:br/>
        <w:t>declaraciones de Aura Elena Farfán, Nineth Varenca Montenegro Cottom, María</w:t>
        <w:br/>
        <w:t>Emilia García, Dora Ruth del Valle Cóbar, Ana Lucrecia Molina Theissen,</w:t>
        <w:br/>
        <w:t>Berta Elizabeth Palacios Caravantes e Iduvina Estalinova Hernandez Batres,</w:t>
        <w:br/>
        <w:t>se aportaron determinados documentos y se han realizado exhumaciones en</w:t>
        <w:br/>
        <w:t>coordinación con la Fundación de Antropología Forense de Guatemala en</w:t>
        <w:br/>
        <w:t>distintos cementerios. Cfr. Declaración rendida por Manuel Giovanni Vásquez</w:t>
        <w:br/>
        <w:t>Vicente ante fedatario público el 11 de marzo de 2012 (expediente de fondo,</w:t>
        <w:br/>
        <w:t>Tomo II, folios 787 a 792).</w:t>
        <w:br/>
        <w:br/>
        <w:br/>
        <w:t>[226]       Cfr. Caso Manuel Cepeda Vargas Vs. Colombia, supra, párr. 118.</w:t>
        <w:br/>
        <w:br/>
        <w:br/>
        <w:t>[227]       Cfr. Declaración rendida por Manuel Giovanni Vásquez Vicente</w:t>
        <w:br/>
        <w:t>ante fedatario público el 11 de marzo de 2012 (expediente de fondo, Tomo</w:t>
        <w:br/>
        <w:t>II, folio 795).</w:t>
        <w:br/>
        <w:br/>
        <w:br/>
        <w:t>[228]       Cfr. Sentencia emitida por el Tribunal Octavo de Sentencia</w:t>
        <w:br/>
        <w:t>Penal, Narcoactividad y Delitos contra el Ambiente, C-01069-1997-00001, el</w:t>
        <w:br/>
        <w:t>28 octubre de 2010, supra, (expediente de anexos al escrito de contestación</w:t>
        <w:br/>
        <w:t>del Estado, Tomo único, Anexo I, folio 3978).</w:t>
        <w:br/>
        <w:br/>
        <w:br/>
        <w:t>[229]       Cfr. Sentencia  del Tribunal Octavo de Sentencia Penal,</w:t>
        <w:br/>
        <w:t>Narcoactividad y Delitos contra el Ambiente de 28 octubre de 2010, C-01069-</w:t>
        <w:br/>
        <w:t>1997-00001 (expediente de anexos al escrito de contestación del Estado,</w:t>
        <w:br/>
        <w:t>Anexo I, folio 3968).</w:t>
        <w:br/>
        <w:br/>
        <w:br/>
        <w:t>[230]       Cfr. Sentencia  del Tribunal Octavo de Sentencia Penal,</w:t>
        <w:br/>
        <w:t>Narcoactividad y Delitos contra el Ambiente de 28 octubre de 2010, C-01069-</w:t>
        <w:br/>
        <w:t>1997-00001 (expediente de anexos al escrito de contestación del Estado,</w:t>
        <w:br/>
        <w:t>Tomo único, Anexo I, folio 3972 y 3973).</w:t>
        <w:br/>
        <w:br/>
        <w:br/>
        <w:t>[231]       Cfr. Caso de la Masacre de la Rochela Vs. Colombia. Fondo,</w:t>
        <w:br/>
        <w:t>Reparaciones y Costas. Sentencia de 11 de de mayo de 2007. Serie C No. 163,</w:t>
        <w:br/>
        <w:t>párr. 195, y Caso Masacres de Río Negro Vs. Guatemala, supra, párr. 194.</w:t>
        <w:br/>
        <w:br/>
        <w:br/>
        <w:t>[232]       Cfr. Caso Manuel Cepeda Vargas Vs. Colombia, supra, párr. 119,</w:t>
        <w:br/>
        <w:t>y Caso Masacres de Río Negro Vs. Guatemala, supra, párr. 194.</w:t>
        <w:br/>
        <w:br/>
        <w:br/>
        <w:t>[233] Cfr. Caso Hilaire, Constantine y  Benjamín  y  otros  Vs.  Trinidad  y</w:t>
        <w:br/>
        <w:t>Tobago. Fondo, Reparaciones y Costas. Sentencia de  21  de  junio  de  2002.</w:t>
        <w:br/>
        <w:t>Serie C No. 94, párr. 14, y Caso Chitay Nech y otros Vs.  Guatemala,  supra,</w:t>
        <w:br/>
        <w:t>párr. 196.</w:t>
        <w:br/>
        <w:br/>
        <w:br/>
        <w:t>[234]       Cfr. Caso Suárez Rosero Vs. Ecuador. Fondo. Sentencia de 12 de</w:t>
        <w:br/>
        <w:t>noviembre de 1997. Serie C No. 35, párr. 71, y Caso Masacres de Río Negro</w:t>
        <w:br/>
        <w:t>Vs. Guatemala, supra, párr. 229.</w:t>
        <w:br/>
        <w:br/>
        <w:br/>
        <w:t>[235]       Cfr. Caso Hilaire, Constantine y Benjamin y otros Vs. Trinidad</w:t>
        <w:br/>
        <w:t>y Tobago, supra, párr. 145, y Caso Masacres de Río Negro Vs. Guatemala,</w:t>
        <w:br/>
        <w:t>supra, párr. 229.</w:t>
        <w:br/>
        <w:br/>
        <w:br/>
        <w:t>[236]       Han transcurrido 28 años y nueve meses desde la fecha del</w:t>
        <w:br/>
        <w:t>inicio de la desaparición forzada de Edgar Fernando García hasta la fecha</w:t>
        <w:br/>
        <w:t>de emisión de esta Sentencia.</w:t>
        <w:br/>
        <w:br/>
        <w:br/>
        <w:t>[237]       Cfr. Declaración rendida por  Manuel  Giovanni  Vásquez  Vicente</w:t>
        <w:br/>
        <w:t>ante fedatario público el 11 de marzo de 2012  (expediente  de  fondo,  Tomo</w:t>
        <w:br/>
        <w:t>II, folio 796).</w:t>
        <w:br/>
        <w:br/>
        <w:br/>
        <w:t>[238]       Cfr. Caso Vargas Areco Vs. Paraguay. Fondo, Reparaciones y</w:t>
        <w:br/>
        <w:t>Costas. Sentencia de 26 de septiembre de 2006. Serie C No. 155, párr.83, y</w:t>
        <w:br/>
        <w:t>Caso Masacres de el Mozote y lugares aledaños Vs. El Salvador, supra, párr.</w:t>
        <w:br/>
        <w:t>197.</w:t>
        <w:br/>
        <w:br/>
        <w:br/>
        <w:t>[239]       El artículo 17.1 de la Convención Americana establece que:</w:t>
        <w:br/>
        <w:t>“[l]a familia es el elemento natural y fundamental de la sociedad y debe</w:t>
        <w:br/>
        <w:t>ser protegida por la sociedad y el Estado”.</w:t>
        <w:br/>
        <w:br/>
        <w:br/>
        <w:t>[240]       El artículo 19 de la Convención Americana establece que:</w:t>
        <w:br/>
        <w:t>“[t]odo niño tiene derecho a las medidas de protección que su condición de</w:t>
        <w:br/>
        <w:t>menor requieren por parte de su familia, de la sociedad y del Estado”.</w:t>
        <w:br/>
        <w:br/>
        <w:br/>
        <w:t>[241]       Cfr. Caso Blake Vs. Guatemala. Fondo. Sentencia de 24  de  enero</w:t>
        <w:br/>
        <w:t>de 1998. Serie C No. 36, párr. 114, y Caso González Medina y familiares  Vs.</w:t>
        <w:br/>
        <w:t>República Dominicana, supra, párr. 270.</w:t>
        <w:br/>
        <w:br/>
        <w:br/>
        <w:t>[242]       Cfr. Caso Trujillo Oroza Vs. Bolivia. Fondo. Sentencia de 26  de</w:t>
        <w:br/>
        <w:t>enero de 2000. Serie C  No.  64,  párr.  114,  y,  Caso  González  Medina  y</w:t>
        <w:br/>
        <w:t>familiares Vs. República Dominicana, supra, párr. 270.</w:t>
        <w:br/>
        <w:br/>
        <w:br/>
        <w:t>[243]       Cfr. Caso Valle Jaramillo y otros Vs. Colombia. Fondo,</w:t>
        <w:br/>
        <w:t>Reparaciones y Costas. Sentencia de 27 de noviembre de 2008. Serie C No.</w:t>
        <w:br/>
        <w:t>192, párr. 119, y Caso González Medina y familiares Vs. República</w:t>
        <w:br/>
        <w:t>Dominicana, supra, párr. 270.</w:t>
        <w:br/>
        <w:br/>
        <w:br/>
        <w:t>[244]       Cfr. Caso Blake Vs. Guatemala. Fondo, supra, párr. 114, y Caso</w:t>
        <w:br/>
        <w:t>González Medina y familiares Vs. República Dominicana, supra, párr. 270.</w:t>
        <w:br/>
        <w:br/>
        <w:br/>
        <w:t>[245]       Cfr. Caso Valle Jaramillo y otros Vs. Colombia, supra, párr.</w:t>
        <w:br/>
        <w:t>119, y Caso González Medina y familiares Vs. República Dominicana, supra,</w:t>
        <w:br/>
        <w:t>párr. 270.</w:t>
        <w:br/>
        <w:br/>
        <w:br/>
        <w:t>[246]       Cfr. Declaración rendida por Nineth Varenca Montenegro Cottom</w:t>
        <w:br/>
        <w:t>ante la Corte Interamericana en la audiencia pública del presente caso;</w:t>
        <w:br/>
        <w:t>declaración rendida por Alejandra García Montenegro ante fedatario público</w:t>
        <w:br/>
        <w:t>el 20 de abril de 2012 (expediente de fondo, Tomo II, folios 803,805, 806 y</w:t>
        <w:br/>
        <w:t>809); denuncia de Nineth Varenca Montenegro Cottom ante la PDH de 22 de</w:t>
        <w:br/>
        <w:t>enero de 1988 (expediente de anexos al Informe de Fondo, Tomo I, Anexo 16,</w:t>
        <w:br/>
        <w:t>folios 209 a 213); Convergencia por la Verdad, ficha para recopilación de</w:t>
        <w:br/>
        <w:t>testimonio de María Emilia García (expediente de anexos al Informe de</w:t>
        <w:br/>
        <w:t>Fondo, Tomo I, Anexo 17, folio 215 a 222); nota de la Agencia Fiscal No. 10</w:t>
        <w:br/>
        <w:t>de la Fiscalía Distrital de Guatemala al Secretario de la Corte Suprema de</w:t>
        <w:br/>
        <w:t>Justicia de 11 de marzo de 1999, donde consta que se el Ministerio Público</w:t>
        <w:br/>
        <w:t>tomó el testimonio de María Emilia García (expediente de anexos al Informe</w:t>
        <w:br/>
        <w:t>de Fondo, Tomo I, Anexo 18, folios 224 y 225); nota titulada “Carta abierta</w:t>
        <w:br/>
        <w:t>a quienes tengan en su poder a mi papito Edgar Fernando García” (expediente</w:t>
        <w:br/>
        <w:t>de anexos al Informe de Fondo, Tomo I, Anexo 19, folio 227); nota titulada</w:t>
        <w:br/>
        <w:t>“Carta abierta a quienes tengan en su poder a mi hijo” publicado en “La</w:t>
        <w:br/>
        <w:t>Palabra” el 24 de marzo de 1984 (expediente de anexos al Informe de Fondo,</w:t>
        <w:br/>
        <w:t>Tomo I, Anexo 20, folio 229); nota titulada “Al cumplirse seis meses del</w:t>
        <w:br/>
        <w:t>secuestro de Edgar Fernando García” (expediente de anexos al Informe de</w:t>
        <w:br/>
        <w:t>Fondo, Tomo I, Anexo 21, folio 231); campo pagado en El Gráfico donde se</w:t>
        <w:br/>
        <w:t>publica una carta de Nineth Varenca Montenegro Cotoom a Edgar Fernando</w:t>
        <w:br/>
        <w:t>García de 18 de julio de 1985 (expediente de anexos al Informe de Fondo,</w:t>
        <w:br/>
        <w:t>Tomo I, Anexo 24, folio 241), y campo pagado por Nineth Montenegro,</w:t>
        <w:br/>
        <w:t>titulado “En el día del padre a un secuestrado Edgar Fernando García”</w:t>
        <w:br/>
        <w:t>(expediente de anexos al Informe de Fondo, Tomo I, Anexo 24, folio 242).</w:t>
        <w:br/>
        <w:br/>
        <w:br/>
        <w:t>[247]       Cfr. Caso Masacre de las Dos Erres Vs. Guatemala, supra,</w:t>
        <w:br/>
        <w:t>párr.245, y Caso Masacres de el Mozote y lugares aledaños Vs. El Salvador,</w:t>
        <w:br/>
        <w:t>supra, párr. 331.</w:t>
        <w:br/>
        <w:br/>
        <w:br/>
        <w:t>[248]       Cfr. Caso Blake Vs. Guatemala. Fondo, supra, párr. 114, y Caso</w:t>
        <w:br/>
        <w:t>González Medina y familiares Vs. República Dominicana, supra, párr. 272.</w:t>
        <w:br/>
        <w:br/>
        <w:br/>
        <w:t>[249]       Declaración rendida por Nineth Varenca Montenegro Cottom ante</w:t>
        <w:br/>
        <w:t>la Corte Interamericana en la audiencia pública del presente caso.</w:t>
        <w:br/>
        <w:br/>
        <w:br/>
        <w:t>[250]       Declaración rendida por Alejandra García Montenegro ante</w:t>
        <w:br/>
        <w:t>fedatario público el 20 de abril de 2012 (expediente de fondo, Tomo II,</w:t>
        <w:br/>
        <w:t>folios 803 y 804).</w:t>
        <w:br/>
        <w:br/>
        <w:br/>
        <w:t>[251]       Declaración rendida por Alejandra García Montenegro ante</w:t>
        <w:br/>
        <w:t>fedatario público el 20 de abril de 2012 (expediente de fondo, Tomo II,</w:t>
        <w:br/>
        <w:t>folios 800 a 810); declaración rendida por Nineth Varenca Montenegro Cottom</w:t>
        <w:br/>
        <w:t>ante la Corte Interamericana en la audiencia pública del presente caso nota</w:t>
        <w:br/>
        <w:t>titulada “Carta abierta a quienes tengan en su poder a mi papito Edgar</w:t>
        <w:br/>
        <w:t>Fernando García” (expediente de anexos al Informe de Fondo, Tomo I, Anexo</w:t>
        <w:br/>
        <w:t>19, folio 227), y campo pagado en El Gráfico donde se publica una carta de</w:t>
        <w:br/>
        <w:t>Nineth Varenca Montenegro Cotoom a Edgar Fernando García de 18 de julio de</w:t>
        <w:br/>
        <w:t>1985 (expediente de anexos al Informe de Fondo, Tomo I, Anexo 24, folio</w:t>
        <w:br/>
        <w:t>241), y campo pagado por Nineth Montenegro, titulado “En el día del padre a</w:t>
        <w:br/>
        <w:t>un secuestrado Edgar Fernando García” (expediente de anexos al Informe de</w:t>
        <w:br/>
        <w:t>Fondo, Tomo I, Anexo 24, folio 242).</w:t>
        <w:br/>
        <w:br/>
        <w:br/>
        <w:t>[252]       Cfr. Declaración rendida por Nineth Varenca Montenegro Cottom</w:t>
        <w:br/>
        <w:t>ante la Corte Interamericana en la audiencia pública del presente caso;</w:t>
        <w:br/>
        <w:t>declaración rendida por Alejandra García Montenegro ante fedatario público</w:t>
        <w:br/>
        <w:t>el 20 de abril de 2012 (expediente de fondo, Tomo II, folio 805), y</w:t>
        <w:br/>
        <w:t>denuncia de Nineth Varenca Montenegro Cottom ante la PDH de 22 de enero de</w:t>
        <w:br/>
        <w:t>1988 (expediente de anexos al Informe de Fondo, Tomo I, Anexo 16, folio</w:t>
        <w:br/>
        <w:t>213).</w:t>
        <w:br/>
        <w:br/>
        <w:br/>
        <w:t>[253]       Cfr. CEH, supra, Tomo IV, pág.  237, párr. 4532; Declaración</w:t>
        <w:br/>
        <w:t>rendida por Nineth Varenca Montenegro Cottom ante la Corte Interamericana</w:t>
        <w:br/>
        <w:t>en la audiencia pública del presente caso y declaración rendida por</w:t>
        <w:br/>
        <w:t>Alejandra García Montenegro ante fedatario público el 20 de abril de 2012</w:t>
        <w:br/>
        <w:t>(expediente de fondo, Tomo II, folio 805).</w:t>
        <w:br/>
        <w:br/>
        <w:br/>
        <w:t>[254]       Caso de los “Niños de la Calle” (Villagrán Morales y otros) Vs.</w:t>
        <w:br/>
        <w:t>Guatemala. Fondo. Sentencia de 19 de noviembre de 1999. Serie C No. 63,</w:t>
        <w:br/>
        <w:t>párr.165, y Caso Vélez Restrepo y Familiares Vs. Colombia, supra, párr.</w:t>
        <w:br/>
        <w:t>176.</w:t>
        <w:br/>
        <w:br/>
        <w:br/>
        <w:t>[255]       Cfr. Caso Cinco Pensionistas Vs. Perú. Fondo, Reparaciones y</w:t>
        <w:br/>
        <w:t>Costas. Sentencia de 28 de febrero de 2003. Serie C No. 98, párr. 155, y</w:t>
        <w:br/>
        <w:t>Caso Vélez Restrepo y familiares Vs. Colombia, supra, párr. 47.</w:t>
        <w:br/>
        <w:br/>
        <w:br/>
        <w:t>[256]       En particular, el Acuerdo sobre Bases para la  Incorporación  de</w:t>
        <w:br/>
        <w:t>la Unidad Revolucionaria Nacional Guatemalteca a la  Legalidad  suscrito  en</w:t>
        <w:br/>
        <w:t>Madrid, España, el 12 de diciembre de 1996 prevé: “Derecho a la  verdad  18.</w:t>
        <w:br/>
        <w:t>Se reconoce el derecho inalienable de toda sociedad  a  conocer  la  verdad,</w:t>
        <w:br/>
        <w:t>por lo que la Ley de Reconciliación Nacional encargará a  la  Comisión  para</w:t>
        <w:br/>
        <w:t>el Esclarecimiento Histórico de las violaciones a  los  derechos  humanos  y</w:t>
        <w:br/>
        <w:t>los  hechos  de  violencia  que  han  causado  sufrimiento  a  la  población</w:t>
        <w:br/>
        <w:t>guatemalteca, el diseño  de  los  medios  encaminados  a  hacer  posible  el</w:t>
        <w:br/>
        <w:t>conocimiento y reconocimiento de la verdad histórica acerca del período  del</w:t>
        <w:br/>
        <w:t>enfrentamiento armado interno, a fin de evitar que tales hechos se  repitan.</w:t>
        <w:br/>
        <w:t>La Ley establecerá la obligación de todo organismo o entidad del  Estado  de</w:t>
        <w:br/>
        <w:t>prestar a la Comisión los apoyos que ésta requiera para  llevar  a  cabo  su</w:t>
        <w:br/>
        <w:t>tarea, según las finalidades especificadas en el  Acuerdo  correspondiente”.</w:t>
        <w:br/>
        <w:t>Igualmente, el Acuerdo de Paz Firme y Duradera suscrito en Guatemala  el  29</w:t>
        <w:br/>
        <w:t>de diciembre de 1996, establece: “4. Es un derecho del pueblo  de  Guatemala</w:t>
        <w:br/>
        <w:t>conocer plenamente la verdad sobre las violaciones de los  derechos  humanos</w:t>
        <w:br/>
        <w:t>y los hechos de violencia ocurridos en el marco  del  enfrentamiento  armado</w:t>
        <w:br/>
        <w:t>interno.  Esclarecer  con  toda  objetividad  e  imparcialidad  lo  sucedido</w:t>
        <w:br/>
        <w:t>contribuirá a que se fortalezca el proceso de  conciliación  nacional  y  la</w:t>
        <w:br/>
        <w:t>democratización en el país”.  Con  este  último  acuerdo  se  “culmin[ó]  el</w:t>
        <w:br/>
        <w:t>proceso de negociación para la búsqueda de la  paz  por  medios  políticos”.</w:t>
        <w:br/>
        <w:t>Además, en él se integran los  demás  acuerdos  suscritos  en  el  marco  de</w:t>
        <w:br/>
        <w:t>negociaciones de paz, los cuales “cobran  formal  y  total  vigencia  en  el</w:t>
        <w:br/>
        <w:t>momento de la firma [de dicho] Acuerdo”.</w:t>
        <w:br/>
        <w:br/>
        <w:br/>
        <w:t>[257]       Dicha Comisión fue establecida por el Acuerdo de Oslo suscrito</w:t>
        <w:br/>
        <w:t>el 23 de junio de 1994, en el cual se estableció lo indicado supra como uno</w:t>
        <w:br/>
        <w:t>de los objetivos principales de su mandato.</w:t>
        <w:br/>
        <w:br/>
        <w:br/>
        <w:t>[258]       Decreto No. 145-1996 - Ley de Reconciliación Nacional, supra,</w:t>
        <w:br/>
        <w:t>artículo 10.</w:t>
        <w:br/>
        <w:br/>
        <w:br/>
        <w:t>[259]       Cfr. CEH, supra, Tomo I, págs. 49 y 50, párrs. 89, 93 y 95.</w:t>
        <w:br/>
        <w:br/>
        <w:br/>
        <w:t>[260]       Selección de correspondencia entre la CEH y las instituciones</w:t>
        <w:br/>
        <w:t>de la República de Guatemala, carta de 29 de abril de 1998, ABT/C/092-</w:t>
        <w:br/>
        <w:t>98/lg, dirigida al Secretario Privado de la Presidencia, CEH, supra, Tomo</w:t>
        <w:br/>
        <w:t>VIII, págs. 180 y 181.</w:t>
        <w:br/>
        <w:br/>
        <w:br/>
        <w:t>[261]       Cfr. Caso Bámaca Velásquez Vs. Guatemala. Reparaciones y</w:t>
        <w:br/>
        <w:t>Costas. Sentencia de 22 de febrero de 2002. Serie C No. 91, párr. 76 y 77,</w:t>
        <w:br/>
        <w:t>y Caso Masacres de El Mozote y lugares aledaños Vs. El Salvador, supra,</w:t>
        <w:br/>
        <w:t>párr. 298.</w:t>
        <w:br/>
        <w:br/>
        <w:br/>
        <w:t>[262]       Cfr. Caso Zambrano Vélez y otros Vs. Ecuador. Fondo,</w:t>
        <w:br/>
        <w:t>Reparaciones y Costas. Sentencia de 4 de julio de 2007. Serie C N° 166,</w:t>
        <w:br/>
        <w:t>párr. 128, y Caso Masacres de El Mozote y lugares aledaños Vs. El Salvador,</w:t>
        <w:br/>
        <w:t>supra, párr. 298.</w:t>
        <w:br/>
        <w:br/>
        <w:br/>
        <w:t>[263]       Cfr. Caso Zambrano Vélez y otros Vs. Ecuador, supra, párr. 128,</w:t>
        <w:br/>
        <w:t>y Caso Heliodoro Portugal Vs. Panamá, supra, párr. 84, nota 37.</w:t>
        <w:br/>
        <w:br/>
        <w:br/>
        <w:t>[264]       Cfr. Caso Zambrano Vélez y otros Vs. Ecuador, supra, párr. 128,</w:t>
        <w:br/>
        <w:t>y Caso Masacres de El Mozote y lugares aledaños Vs. El Salvador, supra,</w:t>
        <w:br/>
        <w:t>párr. 298.</w:t>
        <w:br/>
        <w:br/>
        <w:br/>
        <w:t>[265]       La oposición inicial del Estado se basaba en que los familiares</w:t>
        <w:br/>
        <w:t>del señor García habían podido fundar el GAM y denunciar los hechos en</w:t>
        <w:br/>
        <w:t>distintos medios de comunicación, por lo cual, en su opinión no se les</w:t>
        <w:br/>
        <w:t>había violado el derecho a la libertad de asociación.  Asimismo, en su</w:t>
        <w:br/>
        <w:t>escrito de contestación, el Estado destacó que Alejandra García Montenegro</w:t>
        <w:br/>
        <w:t>tenía “[dos] años de edad al momento de la desaparición de[l señor] García,</w:t>
        <w:br/>
        <w:t>por lo que el goce de sus derechos se desarrolló de acuerdo con su</w:t>
        <w:br/>
        <w:t>condición de menor de edad y, en determinados casos, a través de su señora</w:t>
        <w:br/>
        <w:t>madre”.</w:t>
        <w:br/>
        <w:br/>
        <w:br/>
        <w:t>[266]       Cfr. CEH, supra, Tomo IV, págs. 229 y 233, párrs. 4510, 4512 y</w:t>
        <w:br/>
        <w:t>4523.</w:t>
        <w:br/>
        <w:br/>
        <w:br/>
        <w:t>[267]       Cfr. Caso Nogueira de Carvalho y otro Vs. Brasil. Excepciones</w:t>
        <w:br/>
        <w:t>Preliminares y Fondo. Sentencia de 28 de Noviembre de 2006. Serie C No.</w:t>
        <w:br/>
        <w:t>161, párr. 77, y Caso Fleury y otros Vs. Haití. Fondo y Reparaciones.</w:t>
        <w:br/>
        <w:t>Sentencia de 23 de noviembre de 2011. Serie C No.236, párr. 100.</w:t>
        <w:br/>
        <w:br/>
        <w:br/>
        <w:t>[268]       Cfr. Diario Militar, supra, tercera sección, y La autenticidad</w:t>
        <w:br/>
        <w:t>del Diario Militar, a la luz de los documentos históricos de la Policía</w:t>
        <w:br/>
        <w:t>Nacional, supra, folios 20 a 21.</w:t>
        <w:br/>
        <w:br/>
        <w:br/>
        <w:t>[269]       Cfr. Diario Militar, supra, cuarta sección.</w:t>
        <w:br/>
        <w:br/>
        <w:br/>
        <w:t>[270]       Igualmente, de acuerdo a la CEH, el 2 de febrero de 1985 el</w:t>
        <w:br/>
        <w:t>entonces Jefe de Estado “acusó a las miembros del GAM de estar manejadas</w:t>
        <w:br/>
        <w:t>por subversivos y amenaz[ó] con tomar represalias. Cuando un periodista le</w:t>
        <w:br/>
        <w:t>preguntó respecto a cuáles serían, le contestó: “las conocerás cuando las</w:t>
        <w:br/>
        <w:t>veas”, La Palabra, 22 de marzo de 1985, pg. 15”. CEH, supra, Tomo IV, pág.</w:t>
        <w:br/>
        <w:t>236, nota 553.</w:t>
        <w:br/>
        <w:br/>
        <w:br/>
        <w:t>[271]       Cfr. CIDH, Tercer Informe sobre la Situación de los Derechos</w:t>
        <w:br/>
        <w:t>Humanos en Guatemala, 1985, supra, capítulo II, párrs. 93 y 95.</w:t>
        <w:br/>
        <w:br/>
        <w:br/>
        <w:t>[272]       CEH, supra, Tomo IV, págs. 229, párr. 4511.</w:t>
        <w:br/>
        <w:br/>
        <w:br/>
        <w:t>[273]       Cfr. CEH, supra, Tomo IV, págs. 229 y 236, párrs. 4512 y 4528.</w:t>
        <w:br/>
        <w:br/>
        <w:br/>
        <w:t>[274]       Cfr. Caso Atala Riffo y Niñas Vs. Chile. Fondo, Reparaciones y</w:t>
        <w:br/>
        <w:t>Costas. Sentencia de 24 de febrero de 2012. Serie C No. 239, párr. 68.</w:t>
        <w:br/>
        <w:br/>
        <w:br/>
        <w:t>[275]       Cfr. Caso de los “Niños de la Calle” (Villagrán Morales y</w:t>
        <w:br/>
        <w:t>otros) Vs. Guatemala. Fondo, supra, párr. 194, y Caso Masacres de Río Negro</w:t>
        <w:br/>
        <w:t>Vs. Guatemala, supra, párr. 142.</w:t>
        <w:br/>
        <w:br/>
        <w:br/>
        <w:t>[276]       El artículo 63.1  de  la  Convención  Americana  establece  que:</w:t>
        <w:br/>
        <w:t>“[c]uando decida que hubo violación de un derecho o libertad  protegidos  en</w:t>
        <w:br/>
        <w:t>[la]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lesionada”.</w:t>
        <w:br/>
        <w:br/>
        <w:br/>
        <w:t>[277] Cfr. Caso Velásquez Rodríguez Vs.  Honduras.  Reparaciones  y  Costas.</w:t>
        <w:br/>
        <w:t>Sentencia de 21 de julio de 1989. Serie C No. 7 párr. 25,  y  Caso  Masacres</w:t>
        <w:br/>
        <w:t>de el Mozote y lugares aledaños Vs. El Salvador, supra, párr. 302.</w:t>
        <w:br/>
        <w:br/>
        <w:br/>
        <w:t>[278]       Cfr. Caso Garrido y Baigorria Vs. Argentina. Reparaciones y</w:t>
        <w:br/>
        <w:t>Costas. Sentencia de 27 de agosto de 1998. Serie C No. 39, párr. 40, y Caso</w:t>
        <w:br/>
        <w:t>Masacres de el Mozote y lugares aledaños Vs. El Salvador, supra, párr. 302.</w:t>
        <w:br/>
        <w:br/>
        <w:br/>
        <w:t>[279]       Cfr. Caso  Velásquez  Rodríguez  Vs.  Honduras.  Reparaciones  y</w:t>
        <w:br/>
        <w:t>Costas, supra, párr. 26, y Caso Masacres de Río Negro Vs. Guatemala,  supra,</w:t>
        <w:br/>
        <w:t>párr. 248.</w:t>
        <w:br/>
        <w:br/>
        <w:br/>
        <w:t>[280]       Cfr. Caso De la Masacre de las Dos Erres Vs.  Guatemala,  supra,</w:t>
        <w:br/>
        <w:t>párr. 226, y Caso Masacres de el Mozote y lugares aledaños Vs. El  Salvador,</w:t>
        <w:br/>
        <w:t>supra, párr. 305.</w:t>
        <w:br/>
        <w:br/>
        <w:br/>
        <w:t>[281] Cfr. Caso Ticona Estrada y otros Vs.  Bolivia,  supra,  párr.  110,  y</w:t>
        <w:br/>
        <w:t>Caso Masacres de el Mozote y lugares aledaños Vs. El Salvador, supra,  párr.</w:t>
        <w:br/>
        <w:t>304.</w:t>
        <w:br/>
        <w:br/>
        <w:br/>
        <w:t>[282]       Cfr. Caso Velásquez Rodríguez Vs. Honduras. Reparaciones y</w:t>
        <w:br/>
        <w:t>Costas, supra, párrs. 25 a 27, y Caso Masacres de el Mozote y lugares</w:t>
        <w:br/>
        <w:t>aledaños Vs. El Salvador, supra, párr. 303.</w:t>
        <w:br/>
        <w:br/>
        <w:br/>
        <w:t>[283]       Cfr. Caso Barrios Altos Vs. Perú. Reparaciones y Costas.</w:t>
        <w:br/>
        <w:t>Sentencia de 30 de noviembre de 2001. Serie C No. 87, párr. 41, y Caso</w:t>
        <w:br/>
        <w:t>Masacres de el Mozote y lugares aledaños Vs. El Salvador, supra, párr. 283.</w:t>
        <w:br/>
        <w:br/>
        <w:br/>
        <w:t>[284]  Cfr.  Caso  Del  Caracazo  Vs.  Venezuela.  Reparaciones  y   Costas.</w:t>
        <w:br/>
        <w:t>Sentencia de 29 de agosto de 2002.  Serie  C  No.  95,  párr.  118,  y  Caso</w:t>
        <w:br/>
        <w:t>Masacres de el Mozote y lugares aledaños Vs. El Salvador, supra, párr. 319.</w:t>
        <w:br/>
        <w:br/>
        <w:br/>
        <w:t>[285]       Cfr. Caso Contreras y otros Vs. El Salvador, supra, párr. 191,</w:t>
        <w:br/>
        <w:t>y Caso González Medina y familiares Vs. República Dominicana, supra, párr.</w:t>
        <w:br/>
        <w:t>290.</w:t>
        <w:br/>
        <w:br/>
        <w:br/>
        <w:t>[286]       Cfr. Caso Anzualdo Castro Vs. Perú, supra, párr. 185, y Caso</w:t>
        <w:br/>
        <w:t>Nadege Dorzema y otros Vs. República Dominicana, supra, párr. 253.</w:t>
        <w:br/>
        <w:br/>
        <w:br/>
        <w:t>[287]       Cfr., inter alia, Caso Cantoral Benavides Vs. Perú.</w:t>
        <w:br/>
        <w:t>Reparaciones y Costas. Sentencia de 3 de diciembre de 2001. Serie C No. 88,</w:t>
        <w:br/>
        <w:t>párr. 81; Caso Gelman Vs. Uruguay. Fondo y Reparaciones, supra, párr. 266;</w:t>
        <w:br/>
        <w:t>Caso Kawas Fernández Vs. Honduras, supra, párr. 202; Caso Gomes Lund y</w:t>
        <w:br/>
        <w:t>otros (Guerrilha do Araguaia) Vs. Brasil. Excepciones Preliminares, Fondo,</w:t>
        <w:br/>
        <w:t>Reparaciones y Costas. Sentencia de 24 de noviembre de 2010, párr. 277, y</w:t>
        <w:br/>
        <w:t>Caso Nadege Dorzema y otros Vs. República Dominicana, supra, párr. 265.</w:t>
        <w:br/>
        <w:br/>
        <w:br/>
        <w:t>[288]       Cfr. Caso Gudiel Álvarez y otros (“Diario Militar”) Vs.</w:t>
        <w:br/>
        <w:t>Guatemala. Fondo, Reparaciones y Costas. Sentencia de 20 de noviembre de</w:t>
        <w:br/>
        <w:t>2012. Serie C No. 253, párr. 351 y punto resolutivo séptimo.</w:t>
        <w:br/>
        <w:br/>
        <w:br/>
        <w:t>[289]       Cfr. Caso de los  “Niños  de  la  Calle”  (Villagrán  Morales  y</w:t>
        <w:br/>
        <w:t>otros) Vs. Guatemala. Reparaciones y Costas. Sentencia  de  26  de  mayo  de</w:t>
        <w:br/>
        <w:t>2001. Serie C No. 77, párr. 84, y Caso  Masacres  de  el  Mozote  y  lugares</w:t>
        <w:br/>
        <w:t>aledaños Vs. El Salvador, supra, párr. 357.</w:t>
        <w:br/>
        <w:br/>
        <w:br/>
        <w:t>[290]       La Corte homologa esta medida en el entendido que los</w:t>
        <w:br/>
        <w:t>obstáculos manifestados por Guatemala en su escrito de contestación para</w:t>
        <w:br/>
        <w:t>cambiar el nombre de la escuela pública “Julia Ydigoras Fuentes” por el de</w:t>
        <w:br/>
        <w:t>Edgar Fernando García, fueron posteriormente superados, en virtud de que</w:t>
        <w:br/>
        <w:t>asumió el compromiso de impulsar esta medida en el acuerdo de reparaciones.</w:t>
        <w:br/>
        <w:br/>
        <w:br/>
        <w:t>[291]       Los representantes indicaron que apoyan la iniciativa de esta</w:t>
        <w:br/>
        <w:t>ley, cuyo objetivo es “proporcionar a los familiares de las personas</w:t>
        <w:br/>
        <w:t>desaparecidas una respuesta efectiva de la suerte que corrieron sus […]</w:t>
        <w:br/>
        <w:t>parientes”. Al respecto del trámite de esta ley, informaron que cuenta con</w:t>
        <w:br/>
        <w:t>“dos dictámenes favorables”, de la Comisión de Finanzas Públicas y Moneda y</w:t>
        <w:br/>
        <w:t>de la Comisión de Legislación y Puntos Constitucionales, ambas del Congreso</w:t>
        <w:br/>
        <w:t>de la República de Guatemala. Sin embargo, en éstos dictámenes se han</w:t>
        <w:br/>
        <w:t>modificado el texto original de la iniciativa de ley presentada por las</w:t>
        <w:br/>
        <w:t>organizaciones sociales de víctimas.</w:t>
        <w:br/>
        <w:br/>
        <w:br/>
        <w:t>[292]       Cfr. Caso Bámaca Velásquez Vs. Guatemala. Reparaciones y</w:t>
        <w:br/>
        <w:t>Costas, supra, párr. 43, y Caso Masacres de el Mozote y lugares aledaños</w:t>
        <w:br/>
        <w:t>Vs. El Salvador, supra, párr. 382.</w:t>
        <w:br/>
        <w:br/>
        <w:br/>
        <w:t>[293]       Cfr. Caso de los “Niños de la Calle” (Villagrán Morales y</w:t>
        <w:br/>
        <w:t>otros) Vs. Guatemala. Reparaciones y Costas, supra, párr. 84, y Caso</w:t>
        <w:br/>
        <w:t>Masacres de el Mozote y lugares aledaños Vs. El Salvador, supra, párr. 382.</w:t>
        <w:br/>
        <w:br/>
        <w:br/>
        <w:t>[294]       Cfr. Caso Garrido y  Baigorria  Vs.  Argentina.  Reparaciones  y</w:t>
        <w:br/>
        <w:t>Costas, supra, párr. 79, y Caso Masacres de el  Mozote  y  lugares  aledaños</w:t>
        <w:br/>
        <w:t>Vs. El Salvador, supra, párr. 385.</w:t>
        <w:br/>
        <w:br/>
        <w:br/>
        <w:t>[295]       En particular, el Estado se comprometió a realizar el acto</w:t>
        <w:br/>
        <w:t>público de reconocimiento de responsabilidad en “el plazo de dos meses</w:t>
        <w:br/>
        <w:t>partir de la firma [de dicho acuerdo]” el cual se firmó el 20 de abril de</w:t>
        <w:br/>
        <w:t>2012, así como se comprometió a impulsar el cambio de nombre de la escuela</w:t>
        <w:br/>
        <w:t>pública “Julia Ydigoras Fuentes” por el de Edgar Fernando García “en el</w:t>
        <w:br/>
        <w:t>transcurso del año dos mil doce”.</w:t>
        <w:br/>
        <w:br/>
        <w:t>[296] Art. 66.2 de la Convención Americana: “Si el  fallo  no  expresare  en</w:t>
        <w:br/>
        <w:t>todo o en parte la opinión  unánime  de  los  jueces,  cualquiera  de  éstos</w:t>
        <w:br/>
        <w:t>tendrá  derecho  a  que  se  agregue  al  fallo  su  opinión   disidente   o</w:t>
        <w:br/>
        <w:t>individual”.</w:t>
        <w:br/>
        <w:br/>
        <w:t>[297] Párr. 225.</w:t>
        <w:br/>
        <w:br/>
        <w:t>[298] Art. 63 del Reglamento de la Corte: ““Cuando la Comisión, las</w:t>
        <w:br/>
        <w:t>víctimas o presuntas víctimas o sus representantes, el Estado demandando y,</w:t>
        <w:br/>
        <w:t>en su caso, el Estado demandante, en un caso ante la Corte comunicaren a</w:t>
        <w:br/>
        <w:t>ésta la existencia de una solución amistosa, de un avenimiento o de otro</w:t>
        <w:br/>
        <w:t>hecho idóneo para la solución del litigio, la Corte resolverá en el momento</w:t>
        <w:br/>
        <w:t>procesal oportuno sobre su procedencia y sus efectos jurídicos.” Y art. 64</w:t>
        <w:br/>
        <w:t>del mismo: “La Corte, teniendo en cuenta las responsabilidades que le</w:t>
        <w:br/>
        <w:t>incumben de proteger los derechos humanos, podrá decidir que prosiga el</w:t>
        <w:br/>
        <w:t>examen del caso, aun en presencia de los supuestos señalados en los</w:t>
        <w:br/>
        <w:t>artículos precedentes.”</w:t>
        <w:br/>
        <w:br/>
        <w:t>[299] Art. 63.1 de la Convención Americana de Derechos Humanos, en  adelante</w:t>
        <w:br/>
        <w:t>la Convención:“Cuando decida que hubo violación de  un  derecho  o  libertad</w:t>
        <w:br/>
        <w:t>protegidos en esta Convención,  la  Corte  dispondrá  que  se  garantice  al</w:t>
        <w:br/>
        <w:t>lesionado en el goce  de  su  derecho  o  libertad  conculcados.   Dispondrá</w:t>
        <w:br/>
        <w:t>asimismo, si ello fuera procedente, que se reparen las consecuencias  de  la</w:t>
        <w:br/>
        <w:t>medida o situación que ha configurado la vulneración de esos derechos  y  el</w:t>
        <w:br/>
        <w:t>pago de una justa indemnización a la parte lesionada”.  Y las letras g  y  h</w:t>
        <w:br/>
        <w:t>del artículo 65 del Reglamento de la Corte:“la decisión sobre  el  caso”,  y</w:t>
        <w:br/>
        <w:t>“el pronunciamiento sobre las reparaciones y costas, si procede”.</w:t>
        <w:br/>
        <w:br/>
        <w:t>[300] Art.  68.2  de  la  Convención:  “La  parte  del  fallo  que  disponga</w:t>
        <w:br/>
        <w:t>indemnización compensatoria se podrá ejecutar en el respectivo país  por  el</w:t>
        <w:br/>
        <w:t>procedimiento interno vigente para la  ejecución  de  sentencias  contra  el</w:t>
        <w:br/>
        <w:t>Estado.”</w:t>
        <w:br/>
        <w:br/>
        <w:t>[301] Art. 69 de la Convención: “El fallo de la Corte será notificado a  las</w:t>
        <w:br/>
        <w:t>partes en el caso y transmitido a los Estados partes en la Convención.”</w:t>
        <w:br/>
        <w:br/>
        <w:t>[302] Art. 24.3 del  Estatuto  de  la  Corte:  “Las  decisiones,  juicios  y</w:t>
        <w:br/>
        <w:t>opiniones de la Corte se comunicarán en sesiones públicas y  se  notificarán</w:t>
        <w:br/>
        <w:t>por escrito a las partes” y que “además,  se  publicarán  conjuntamente  con</w:t>
        <w:br/>
        <w:t>los votos y opiniones separados de  los  jueces  y  con  cualesquiera  otros</w:t>
        <w:br/>
        <w:t>datos o antecedentes que la Corte considere conveniente”.</w:t>
        <w:br/>
        <w:br/>
        <w:t>[303] Art. 32 del Reglamento de la Corte: “Publicación de las  sentencias  y</w:t>
        <w:br/>
        <w:t>de  otras  decisiones.  1.  La  Corte  hará  público:  a.  sus   sentencias,</w:t>
        <w:br/>
        <w:t>resoluciones,  opiniones  y   otras   decisiones,   incluyendo   los   votos</w:t>
        <w:br/>
        <w:t>concurrentes o disidentes, cuando cumplan los  requisitos  señalados  en  el</w:t>
        <w:br/>
        <w:t>artículo 65.2  del  presente  Reglamento;  b.  las  piezas  del  expediente,</w:t>
        <w:br/>
        <w:t>excepto las que sean consideradas irrelevantes o  inconvenientes  para  este</w:t>
        <w:br/>
        <w:t>fin; c. el desarrollo de las audiencias, salvo las de  carácter  privado,  a</w:t>
        <w:br/>
        <w:t>través de los medios que se considere adecuados; d. todo  documento  que  se</w:t>
        <w:br/>
        <w:t>considere conveniente. 2. Las sentencias se publicarán  en  los  idiomas  de</w:t>
        <w:br/>
        <w:t>trabajo del caso; los demás documentos se publicarán en su lengua  original,</w:t>
        <w:br/>
        <w:t>y 3. Los documentos depositados en la Secretaría de la Corte,  concernientes</w:t>
        <w:br/>
        <w:t>a casos ya sentenciados, serán accesibles al público,  salvo  que  la  Corte</w:t>
        <w:br/>
        <w:t>haya resuelto otra cosa.” Y  Art- 67.6 del mismo:  “Los  originales  de  las</w:t>
        <w:br/>
        <w:t>sentencias quedarán depositados en los archivos de la Corte.  El  Secretario</w:t>
        <w:br/>
        <w:t>expedirá copias certificadas a los Estados partes,  a  la  Comisión,  a  las</w:t>
        <w:br/>
        <w:t>víctimas o presuntas víctimas, o sus representantes, al Estado demandado  y,</w:t>
        <w:br/>
        <w:t>en su caso, al Estado demandante, al  Consejo  Permanente  a  través  de  su</w:t>
        <w:br/>
        <w:t>Presidencia, al Secretario  General  de  la  OEA,  y  a  toda  otra  persona</w:t>
        <w:br/>
        <w:t>interesada que lo solicite”.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