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CASO MASACRE DE SANTO DOMINGO VS. COLOMBIA</w:t>
        <w:br/>
        <w:br/>
        <w:br/>
        <w:br/>
        <w:t xml:space="preserve">                   1 SENTENCIA DE 30 DE NOVIEMBRE DE 2012</w:t>
        <w:br/>
        <w:br/>
        <w:t xml:space="preserve">              (Excepciones Preliminares, Fondo y Reparaciones)</w:t>
        <w:br/>
        <w:br/>
        <w:br/>
        <w:br/>
        <w:t>En el caso Masacre de Santo Domingo,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Manuel E. Ventura Robles, Vicepresidente;</w:t>
        <w:br/>
        <w:t xml:space="preserve">      Leonardo A. Franco,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br/>
        <w:br/>
        <w:t>de conformidad con los artículos 62.3 y  63.1  de  la  Convención  Americana</w:t>
        <w:br/>
        <w:t>sobre Derechos Humanos (en adelante también “la Convención Americana” o  “la</w:t>
        <w:br/>
        <w:t>Convención”) y con los artículos 31, 32,  65  y  67  del  Reglamento  de  la</w:t>
        <w:br/>
        <w:t>Corte[1] (en adelante “el Reglamento”), dicta la presente Sentencia, que  se</w:t>
        <w:br/>
        <w:t>estructura en el siguiente orden:</w:t>
        <w:br/>
        <w:br/>
        <w:br/>
        <w:br/>
        <w:t xml:space="preserve">                 Caso MASACRE DE SANTO DOMINGO VS. COLOMBIA</w:t>
        <w:br/>
        <w:br/>
        <w:t xml:space="preserve">                             Tabla de contenido</w:t>
        <w:br/>
        <w:br/>
        <w:br/>
        <w:br/>
        <w:t>I. INTRODUCCIÓN DE LA CAUSA Y OBJETO DE LA CONTROVERSIA  4</w:t>
        <w:br/>
        <w:t>II. PROCEDIMIENTO ANTE LA CORTE   6</w:t>
        <w:br/>
        <w:t>III. EXCEPCIONES PRELIMINARES     8</w:t>
        <w:br/>
        <w:t>A. Primera excepción preliminar: “Falta de competencia ratione materiae”  8</w:t>
        <w:br/>
        <w:t>A.1. Argumentos de la Comisión y alegatos de las partes  8</w:t>
        <w:br/>
        <w:t>A.2. Consideraciones de la Corte  9</w:t>
        <w:br/>
        <w:t>B. Segunda Excepción Preliminar: “Falta de agotamiento de los recursos</w:t>
        <w:br/>
        <w:t>internos”   11</w:t>
        <w:br/>
        <w:t>B.1. Argumentos de la Comisión y alegatos de las partes  11</w:t>
        <w:br/>
        <w:t>B.2. Consideraciones de la Corte  12</w:t>
        <w:br/>
        <w:t>IV. COMPETENCIA  15</w:t>
        <w:br/>
        <w:t>V. PRUEBA   15</w:t>
        <w:br/>
        <w:t>A. Prueba documental, testimonial y pericial 15</w:t>
        <w:br/>
        <w:t>B. Admisión de la prueba documental     15</w:t>
        <w:br/>
        <w:t>C. Admisión de las declaraciones de las presuntas víctimas y de la prueba</w:t>
        <w:br/>
        <w:t>testimonial y pericial 17</w:t>
        <w:br/>
        <w:t>VI. HECHOS  17</w:t>
        <w:br/>
        <w:t>A. Contexto en el Departamento de Arauca     17</w:t>
        <w:br/>
        <w:t>B. Hechos que precedieron al bombardeo del 13 de diciembre de 1998  19</w:t>
        <w:br/>
        <w:t>C. El bombardeo a la vereda de Santo Domingo el 13 de diciembre de 1998 y</w:t>
        <w:br/>
        <w:t>hechos posteriores     23</w:t>
        <w:br/>
        <w:t>C.1. Hechos no controvertidos     23</w:t>
        <w:br/>
        <w:t>C.2. Hechos controvertidos   24</w:t>
        <w:br/>
        <w:t>D. Desplazamiento de la población de Santo Domingo 26</w:t>
        <w:br/>
        <w:t>E. Saqueos, apropiación de bienes y destrucción de bienes     27</w:t>
        <w:br/>
        <w:t>F. Las investigaciones sobre la muerte y heridas de las presuntas víctimas</w:t>
        <w:br/>
        <w:t>por el bombardeo a la vereda de Santo Domingo y hechos posteriores. 28</w:t>
        <w:br/>
        <w:t>F.1. Las Jurisdicciones Penal Militar y Penal Ordinaria  28</w:t>
        <w:br/>
        <w:t>F.2. Jurisdicción penal ordinaria 31</w:t>
        <w:br/>
        <w:t>F.3. Investigación disciplinaria  34</w:t>
        <w:br/>
        <w:t>G. Proceso contencioso administrativo   35</w:t>
        <w:br/>
        <w:t>VII. FONDO  37</w:t>
        <w:br/>
        <w:t>VII-1. DERECHO A LAS GARANTÍAS JUDICIALES Y A LA PROTECCIÓN JUDICIAL</w:t>
        <w:br/>
        <w:t>37</w:t>
        <w:br/>
        <w:t>A. Argumentos de la Comisión y alegatos de las partes    37</w:t>
        <w:br/>
        <w:t>A.1.  Acto estatal denominado “reconocimiento de responsabilidad”   37</w:t>
        <w:br/>
        <w:t>A.2.  Respecto de las investigaciones y procesos internos     40</w:t>
        <w:br/>
        <w:t>B. Consideraciones de la Corte    42</w:t>
        <w:br/>
        <w:t xml:space="preserve">   B.1.    Pronunciamiento sobre el objeto del presente caso y el acto</w:t>
        <w:br/>
        <w:t xml:space="preserve">   estatal denominado “reconocimiento de responsabilidad”     42</w:t>
        <w:br/>
        <w:t>B.2.  Obligación de investigar y procesos internos 47</w:t>
        <w:br/>
        <w:t>VII-2. DERECHOS A LA VIDA, A LA INTEGRIDAD PERSONAL Y A LAS MEDIDAS DE</w:t>
        <w:br/>
        <w:t>PROTECCIÓN DE LOS NIÑOS y NIÑAS Y DEBER DE ADOPTAR DISPOSICIONES DE DERECHO</w:t>
        <w:br/>
        <w:t>INTERNO     54</w:t>
        <w:br/>
        <w:t>A. Argumentos de la Comisión y alegatos de las partes    54</w:t>
        <w:br/>
        <w:t>A.1. Derecho a la vida 54</w:t>
        <w:br/>
        <w:t>A.2. Derecho a la integridad personal   54</w:t>
        <w:br/>
        <w:t>A.3. Derecho a las medidas de protección para los niños y niñas     55</w:t>
        <w:br/>
        <w:t>A.4. Deber de adoptar disposiciones de derec ho interno  56</w:t>
        <w:br/>
        <w:t>B. Consideraciones de la Corte    56</w:t>
        <w:br/>
        <w:t xml:space="preserve">   B.1. Las obligaciones de respetar y garantizar los derechos a la vida e</w:t>
        <w:br/>
        <w:t xml:space="preserve">   integridad personal y medidas de protección para las niñas y niños    56</w:t>
        <w:br/>
        <w:t>B.2.  El lanzamiento de un dispositivo AN-M1A2 sobre Santo Domingo  59</w:t>
        <w:br/>
        <w:t>B.3.  Los presuntos ametrallamientos    71</w:t>
        <w:br/>
        <w:t>B.4.  La alegada violación de las medidas de protección a favor de las</w:t>
        <w:br/>
        <w:t>niñas y niños    73</w:t>
        <w:br/>
        <w:t>B.5.  La alegada violación al derecho a la integridad de los familiares</w:t>
        <w:br/>
        <w:t>73</w:t>
        <w:br/>
        <w:t>B.6.  El alegado incumplimiento del artículo 2 de la Convención     75</w:t>
        <w:br/>
        <w:t>B.7.  Conclusiones     75</w:t>
        <w:br/>
        <w:t>VII-3. DERECHO DE CIRCULACIÓN Y RESIDENCIA Y DERECHO A LA PROPIEDAD PRIVADA</w:t>
        <w:br/>
        <w:t>76</w:t>
        <w:br/>
        <w:t>A. Argumentos de la Comisión y alegatos de las partes    76</w:t>
        <w:br/>
        <w:t>A.1. Alegada violación del Derecho de Circulación y Residencia      76</w:t>
        <w:br/>
        <w:t>A.2. Alegada violación del Derecho a la Propiedad Privada     77</w:t>
        <w:br/>
        <w:t>B. Consideraciones de la Corte    78</w:t>
        <w:br/>
        <w:t>B.1. Derecho de Circulación y Residencia     78</w:t>
        <w:br/>
        <w:t>B.2. Derecho a la Propiedad Privada     81</w:t>
        <w:br/>
        <w:t>VII-4. DERECHO A LA HONRA    85</w:t>
        <w:br/>
        <w:t>A. Argumentos de la Comisión y alegatos de las partes    85</w:t>
        <w:br/>
        <w:t>B. Consideraciones de la Corte    86</w:t>
        <w:br/>
        <w:t>VIII. Reparaciones     87</w:t>
        <w:br/>
        <w:t>(Aplicación del artículo 63.1 de la Convención Americana)     87</w:t>
        <w:br/>
        <w:t>A. Parte Lesionada     87</w:t>
        <w:br/>
        <w:t>B. Obligación de investigar  88</w:t>
        <w:br/>
        <w:t>C. Medidas de satisfacción, rehabilitación, restitución, y garantías de no</w:t>
        <w:br/>
        <w:t>repetición  89</w:t>
        <w:br/>
        <w:t>C.1. Medidas de satisfacción 89</w:t>
        <w:br/>
        <w:t>C.2. Medidas de rehabilitación    90</w:t>
        <w:br/>
        <w:t>C.3. Otras medidas solicitadas    92</w:t>
        <w:br/>
        <w:t>D. Indemnizaciones compensatorias 94</w:t>
        <w:br/>
        <w:t>E. Costas y gastos     99</w:t>
        <w:br/>
        <w:t>F. Modalidad de cumplimiento de los pagos ordenados      100</w:t>
        <w:br/>
        <w:t>IX. PUNTOS RESOLUTIVOS 101</w:t>
        <w:br/>
        <w:t>ANEXO I     104</w:t>
        <w:br/>
        <w:t>Anexo II    105</w:t>
        <w:br/>
        <w:t>Anexo III   106</w:t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 xml:space="preserve">  1. Mediante escrito de 8 de julio de 2011, la Comisión  Interamericana  de</w:t>
        <w:br/>
        <w:t xml:space="preserve">     Derechos Humanos  (en  adelante  “la  Comisión  Interamericana”  o  “la</w:t>
        <w:br/>
        <w:t xml:space="preserve">     Comisión”) sometió a la jurisdicción de la Corte (en adelante  “escrito</w:t>
        <w:br/>
        <w:t xml:space="preserve">     de sometimiento”), de conformidad con los  artículos  51  y  61  de  la</w:t>
        <w:br/>
        <w:t xml:space="preserve">     Convención, el caso 12.416 contra la República de Colombia (en adelante</w:t>
        <w:br/>
        <w:t xml:space="preserve">     también “el Estado” o “Colombia”).</w:t>
        <w:br/>
        <w:br/>
        <w:br/>
        <w:t xml:space="preserve">  2. El procedimiento ante la Comisión se desarrolló, a grandes  rasgos,  de</w:t>
        <w:br/>
        <w:t xml:space="preserve">     la siguiente forma: la petición inicial fue presentada ante la Comisión</w:t>
        <w:br/>
        <w:t xml:space="preserve">     el  18  de   abril   de   2002   por   las   organizaciones   “Comisión</w:t>
        <w:br/>
        <w:t xml:space="preserve">     Interfranciscana de Justicia, Paz y Reverencia con la Creación”; Comité</w:t>
        <w:br/>
        <w:t xml:space="preserve">     Regional de Derechos Humanos "Joel Sierra"; Colectivo de Abogados "José</w:t>
        <w:br/>
        <w:t xml:space="preserve">     Alvear Restrepo"; Humanidad Vigente Corporación Jurídica, y  el  Center</w:t>
        <w:br/>
        <w:t xml:space="preserve">     for International Human Rights of Northwestern University School of Law</w:t>
        <w:br/>
        <w:t xml:space="preserve">     (en adelante “los peticionarios”). El 6 de marzo de  2003  la  Comisión</w:t>
        <w:br/>
        <w:t xml:space="preserve">     aprobó el Informe de Admisibilidad No. 25/03[2]. El 24 de marzo de 2011</w:t>
        <w:br/>
        <w:t xml:space="preserve">     la Comisión aprobó, en los términos del artículo 50 de  la  Convención,</w:t>
        <w:br/>
        <w:t xml:space="preserve">     el Informe de Fondo No. 61/11 (en adelante “Informe de Fondo”),  en  el</w:t>
        <w:br/>
        <w:t xml:space="preserve">     cual concluyó que el Estado es responsable por varias violaciones a  la</w:t>
        <w:br/>
        <w:t xml:space="preserve">     Convención y le hizo determinadas recomendaciones[3]. Este Informe  fue</w:t>
        <w:br/>
        <w:t xml:space="preserve">     notificado al Estado el 8 de abril de 2011 y se le otorgó un  plazo  de</w:t>
        <w:br/>
        <w:t xml:space="preserve">     dos meses para informar sobre el cumplimiento de  las  recomendaciones.</w:t>
        <w:br/>
        <w:t xml:space="preserve">     Mediante comunicación de 7 de junio de  2011  el  Estado  solicitó  una</w:t>
        <w:br/>
        <w:t xml:space="preserve">     prórroga para  presentar  información  al  respecto,  la  cual  le  fue</w:t>
        <w:br/>
        <w:t xml:space="preserve">     otorgada hasta el 30 de junio de 2011. Ante la falta de presentación de</w:t>
        <w:br/>
        <w:t xml:space="preserve">     información por parte del Estado, la Comisión decidió someter  el  caso</w:t>
        <w:br/>
        <w:t xml:space="preserve">     ante la Corte, por “la totalidad de los hechos  y  las  violaciones  de</w:t>
        <w:br/>
        <w:t xml:space="preserve">     derechos humanos descritas en el Informe de Fondo 61/11”.  La  Comisión</w:t>
        <w:br/>
        <w:t xml:space="preserve">     designó como delegados a la  Comisionada  María  Silvia  Guillén  y  al</w:t>
        <w:br/>
        <w:t xml:space="preserve">     entonces Secretario Ejecutivo de la Comisión Santiago A. Cantón, y como</w:t>
        <w:br/>
        <w:t xml:space="preserve">     asesoras  legales  a  las  señoras  Elizabeth  Abi-Mershed,  Secretaria</w:t>
        <w:br/>
        <w:t xml:space="preserve">     Ejecutiva Adjunta, Silvia Serrano Guzmán y María José Veramendi.</w:t>
        <w:br/>
        <w:br/>
        <w:br/>
        <w:t xml:space="preserve">  3. Según la Comisión, el caso se refiere a un alegado bombardeo perpetrado</w:t>
        <w:br/>
        <w:t xml:space="preserve">     el 13 de diciembre de 1998 por la Fuerza Aérea Colombiana en la  vereda</w:t>
        <w:br/>
        <w:t xml:space="preserve">     de Santo Domingo, municipio de Tame,  departamento  de  Arauca.  En  su</w:t>
        <w:br/>
        <w:t xml:space="preserve">     Informe de Fondo consideró que el 13 de diciembre de 1998 a  las  10:02</w:t>
        <w:br/>
        <w:t xml:space="preserve">     am la tripulación de un helicóptero de la Fuerza Aérea Colombiana (FAC)</w:t>
        <w:br/>
        <w:t xml:space="preserve">     lanzó  un  dispositivo  cluster,   compuesto   por   seis   bombas   de</w:t>
        <w:br/>
        <w:t xml:space="preserve">     fragmentación, sobre la zona urbana de la vereda de Santo  Domingo,  lo</w:t>
        <w:br/>
        <w:t xml:space="preserve">     que resultó en 17 civiles muertos,  entre  ellos  cuatro  niños  y  dos</w:t>
        <w:br/>
        <w:t xml:space="preserve">     niñas, y 27 civiles heridos, entre ellos cinco niñas  y  cuatro  niños.</w:t>
        <w:br/>
        <w:t xml:space="preserve">     Observó que los miembros  de  la  Fuerza  Pública  que  tripulaban  las</w:t>
        <w:br/>
        <w:t xml:space="preserve">     aeronaves  tenían  conocimiento  de  la  calidad  de  civiles  de  esas</w:t>
        <w:br/>
        <w:t xml:space="preserve">     personas. Asimismo, consideró  probado  que,  con  posterioridad  a  la</w:t>
        <w:br/>
        <w:t xml:space="preserve">     explosión,  los  sobrevivientes   y   heridos   fueron   atacados   con</w:t>
        <w:br/>
        <w:t xml:space="preserve">     ametralladoras desde un helicóptero cuando trataban de auxiliar  a  los</w:t>
        <w:br/>
        <w:t xml:space="preserve">     heridos y escapar de la vereda. Estimó que todo lo anterior  generó  el</w:t>
        <w:br/>
        <w:t xml:space="preserve">     desplazamiento de los pobladores de Santo Domingo, luego de lo cual  se</w:t>
        <w:br/>
        <w:t xml:space="preserve">     dieron actos de saqueo o pillaje a las viviendas deshabitadas.  Además,</w:t>
        <w:br/>
        <w:t xml:space="preserve">     el caso se refiere a la alegada  falta  de  protección  judicial  y  de</w:t>
        <w:br/>
        <w:t xml:space="preserve">     observancia de las garantías judiciales.</w:t>
        <w:br/>
        <w:br/>
        <w:br/>
        <w:t xml:space="preserve">  4. Con base en lo anterior, la Comisión solicitó a la  Corte  que  declare</w:t>
        <w:br/>
        <w:t xml:space="preserve">     que el Estado es responsable internacionalmente por la violación de los</w:t>
        <w:br/>
        <w:t xml:space="preserve">     siguientes derechos, en relación con el artículo 1.1 de la Convención:</w:t>
        <w:br/>
        <w:br/>
        <w:br/>
        <w:t xml:space="preserve">    a) el derecho a la vida, contenido en el artículo 4.1 de la  Convención</w:t>
        <w:br/>
        <w:t xml:space="preserve">    Americana, en perjuicio de  Levis  Hernando  Martínez  Carreño;  Teresa</w:t>
        <w:br/>
        <w:t xml:space="preserve">    Mojica Hernández de Galvis; Edilma Leal Pacheco; Salomón  Neite;  María</w:t>
        <w:br/>
        <w:t xml:space="preserve">    Yolanda Rangel; Pablo Suárez Daza;  Carmen  Antonio  Díaz  Cobo;  Nancy</w:t>
        <w:br/>
        <w:t xml:space="preserve">    Ávila Castillo (ó Abaunza); Arnulfo Arciniegas Velandia (ó Calvo); Luis</w:t>
        <w:br/>
        <w:t xml:space="preserve">    Enrique Parada Ropero, y Rodolfo Carrillo;</w:t>
        <w:br/>
        <w:br/>
        <w:br/>
        <w:t xml:space="preserve">    b) el derecho a la vida, en relación también con el artículo 19  de  la</w:t>
        <w:br/>
        <w:t xml:space="preserve">    Convención, en perjuicio de los niños Jaime Castro Bello;  Luis  Carlos</w:t>
        <w:br/>
        <w:t xml:space="preserve">    Neite  Méndez;  Oscar  Esneider  Vanegas  Tulibila;  Geovani  Hernández</w:t>
        <w:br/>
        <w:t xml:space="preserve">    Becerra, y las niñas Egna Margarita Bello  y  Katherine  (ó  Catherine)</w:t>
        <w:br/>
        <w:t xml:space="preserve">    Cárdenas Tilano;</w:t>
        <w:br/>
        <w:br/>
        <w:br/>
        <w:t xml:space="preserve">    c) los derechos a la vida y la integridad personal, contenidos  en  los</w:t>
        <w:br/>
        <w:t xml:space="preserve">    artículos 4.1 y 5.1 de la Convención Americana, en  perjuicio  de  Alba</w:t>
        <w:br/>
        <w:t xml:space="preserve">    Yaneth García,  Fernando  Vanegas;  Milciades  Bonilla  Ostos;  Ludwing</w:t>
        <w:br/>
        <w:t xml:space="preserve">    Vanegas, Xiomara Garcfa Guevara; Mario Galvis; Fredy Monoga  Villamizar</w:t>
        <w:br/>
        <w:t xml:space="preserve">    (ó Fredy Villamizar Monoga); Mónica Bello Tilano; Maribel Daza;  Amalio</w:t>
        <w:br/>
        <w:t xml:space="preserve">    Neite González; Marian Arévalo; José Agudelo  Tamayo;  María  Panqueva;</w:t>
        <w:br/>
        <w:t xml:space="preserve">    Pedro  Uriel  Duarte  Lagos;  Ludo  Vanegas;  Adela  Carrillo;  Alcides</w:t>
        <w:br/>
        <w:t xml:space="preserve">    Bonilla, y Fredy Mora;</w:t>
        <w:br/>
        <w:br/>
        <w:br/>
        <w:t xml:space="preserve">    d) los derechos a la vida y la integridad personal, en perjuicio de los</w:t>
        <w:br/>
        <w:t xml:space="preserve">    niños Marcos Neite; Erinson Olimpo Cárdenas;  Ricardo  Ramírez,  y  las</w:t>
        <w:br/>
        <w:t xml:space="preserve">    niñas Hilda Yuraime Barranco; Lida Barranca; Yeimi  Viviana  Contreras;</w:t>
        <w:br/>
        <w:t xml:space="preserve">    Maryori Agudelo Flórez; Rosmira Daza Rojas, y Neftalí Neite;</w:t>
        <w:br/>
        <w:br/>
        <w:br/>
        <w:t xml:space="preserve">    e) el derecho a la propiedad privada, contenido en el articulo  21.1  y</w:t>
        <w:br/>
        <w:t xml:space="preserve">    21.2 de  la  Convención,  en  perjuicio  de  las  víctimas  que  fueron</w:t>
        <w:br/>
        <w:t xml:space="preserve">    despojadas de sus bienes, así como de los sobrevivientes que  habitaban</w:t>
        <w:br/>
        <w:t xml:space="preserve">    en la vereda de Santo Domingo y que  sus  viviendas  y  bienes  muebles</w:t>
        <w:br/>
        <w:t xml:space="preserve">    fueron destruidos o arrebatados;</w:t>
        <w:br/>
        <w:br/>
        <w:br/>
        <w:t xml:space="preserve">    f) el derecho de circulación y residencia,  contenido  en  el  artículo</w:t>
        <w:br/>
        <w:t xml:space="preserve">    22.1 de la Convención, en perjuicio de las personas que se  desplazaron</w:t>
        <w:br/>
        <w:t xml:space="preserve">    de la vereda de Santo Domingo[4];</w:t>
        <w:br/>
        <w:br/>
        <w:br/>
        <w:t xml:space="preserve">    g) los derechos de las garantías judiciales y la  protección  judicial,</w:t>
        <w:br/>
        <w:t xml:space="preserve">    contenidos en los artículos 8.1 y 25 de  la  Convención  Americana,  en</w:t>
        <w:br/>
        <w:t xml:space="preserve">    perjuicio de las víctimas que resultaron heridas y  los  familiares  de</w:t>
        <w:br/>
        <w:t xml:space="preserve">    las víctimas que se indican en el anexo 1 del Informe, y</w:t>
        <w:br/>
        <w:br/>
        <w:br/>
        <w:t xml:space="preserve">    h) el derecho a la integridad personal, en perjuicio de los  familiares</w:t>
        <w:br/>
        <w:t xml:space="preserve">    de las víctimas que constan en el anexo 1 del Informe de fondo.</w:t>
        <w:br/>
        <w:br/>
        <w:br/>
        <w:t xml:space="preserve">  5. Por su parte, los representantes de las presuntas víctimas (en adelante</w:t>
        <w:br/>
        <w:t xml:space="preserve">     “los representantes”) coincidieron en términos generales con los hechos</w:t>
        <w:br/>
        <w:t xml:space="preserve">     señalados por la Comisión. Alegaron que los hechos se inscriben  en  el</w:t>
        <w:br/>
        <w:t xml:space="preserve">     marco de una  operación  contrainsurgente  denominada  “Relámpago  II”,</w:t>
        <w:br/>
        <w:t xml:space="preserve">     desarrollada por la Brigada XVIII  del  Ejército  Nacional,  con  apoyo</w:t>
        <w:br/>
        <w:t xml:space="preserve">     aéreo de la  Fuerza  Aérea  Colombiana  y  personal  estadounidense  al</w:t>
        <w:br/>
        <w:t xml:space="preserve">     servicio  de  una  empresa  extranjera,  en  relación  con  labores  de</w:t>
        <w:br/>
        <w:t xml:space="preserve">     seguridad y vigilancia  para  una  empresa  transnacional  que  explota</w:t>
        <w:br/>
        <w:t xml:space="preserve">     petróleo en la zona, y con facilitación de recursos por parte  de  otra</w:t>
        <w:br/>
        <w:t xml:space="preserve">     empresa,  las  cuales  estaban  bajo  una  relación   contractual   con</w:t>
        <w:br/>
        <w:t xml:space="preserve">     instituciones estatales. Alegaron que las acciones de saqueo o  pillaje</w:t>
        <w:br/>
        <w:t xml:space="preserve">     a las viviendas  se  dieron  en  momentos  en  que  ese  territorio  se</w:t>
        <w:br/>
        <w:t xml:space="preserve">     encontraba bajo el control del Ejército Nacional de  Colombia.  Además,</w:t>
        <w:br/>
        <w:t xml:space="preserve">     los representantes alegaron que se  dieron  acciones  para  desviar  la</w:t>
        <w:br/>
        <w:t xml:space="preserve">     responsabilidad de las fuerzas militares  y  sus  altos  mandos  en  el</w:t>
        <w:br/>
        <w:t xml:space="preserve">     bombardeo,  por  parte  del  Ejército  Nacional  y  la   Fuerza   Aérea</w:t>
        <w:br/>
        <w:t xml:space="preserve">     Colombiana, al haberse difundido una versión según la cual miembros  de</w:t>
        <w:br/>
        <w:t xml:space="preserve">     la guerrilla de las “Fuerzas Armadas Revolucionarias de  Colombia”  (en</w:t>
        <w:br/>
        <w:t xml:space="preserve">     adelante también “FARC”) habrían empleado a población civil como escudo</w:t>
        <w:br/>
        <w:t xml:space="preserve">     humano y habrían colocado un carro bomba que sería la causante  de  las</w:t>
        <w:br/>
        <w:t xml:space="preserve">     muertes. Los  representantes  coincidieron,  en  general  y  según  sus</w:t>
        <w:br/>
        <w:t xml:space="preserve">     propias apreciaciones, con las violaciones alegadas por la  Comisión  y</w:t>
        <w:br/>
        <w:t xml:space="preserve">     señalaron que el Estado también había violado el derecho a la honra y a</w:t>
        <w:br/>
        <w:t xml:space="preserve">     la dignidad y el deber de adoptar  disposiciones  de  derecho  interno,</w:t>
        <w:br/>
        <w:t xml:space="preserve">     contenidos en los artículos 11 y 2 de la  Convención,  respectivamente,</w:t>
        <w:br/>
        <w:t xml:space="preserve">     en perjuicio  de  las  víctimas  y  sus  familiares.  En  consecuencia,</w:t>
        <w:br/>
        <w:t xml:space="preserve">     solicitaron a la  Corte  que  ordene  al  Estado  diversas  medidas  de</w:t>
        <w:br/>
        <w:t xml:space="preserve">     reparación, así como el pago de costas y gastos.</w:t>
        <w:br/>
        <w:br/>
        <w:br/>
        <w:t xml:space="preserve">  6. El Estado manifestó que las afirmaciones presentadas por la Comisión no</w:t>
        <w:br/>
        <w:t xml:space="preserve">     están  ajustadas  a  la  realidad.  En  particular,  señaló  que,  ante</w:t>
        <w:br/>
        <w:t xml:space="preserve">     actividades ilícitas de las FARC, se planeó  y  ejecutó  una  operación</w:t>
        <w:br/>
        <w:t xml:space="preserve">     militar desde el  12  de  diciembre  de  1998;  que  al  generarse  una</w:t>
        <w:br/>
        <w:t xml:space="preserve">     situación de desventaja táctica y de riesgo para la  seguridad  de  los</w:t>
        <w:br/>
        <w:t xml:space="preserve">     soldados, en la mañana del día siguiente se planeó y ordenó  un  ataque</w:t>
        <w:br/>
        <w:t xml:space="preserve">     aéreo con un dispositivo AN-M1A2 en el sitio donde se concentraban  los</w:t>
        <w:br/>
        <w:t xml:space="preserve">     guerrilleros en una zona  de  vegetación  espesa  denominada  "mata  de</w:t>
        <w:br/>
        <w:t xml:space="preserve">     monte", que se encuentra a más de 500 metros de la población  de  Santo</w:t>
        <w:br/>
        <w:t xml:space="preserve">     Domingo. Es decir, alegó  que  la  Fuerza  Aérea  Colombiana  no  lanzó</w:t>
        <w:br/>
        <w:t xml:space="preserve">     ninguna bomba en el casco urbano de la población de Santo Domingo y que</w:t>
        <w:br/>
        <w:t xml:space="preserve">     las muertes ocurridas fueron causadas por  una  bomba  que  instaló  la</w:t>
        <w:br/>
        <w:t xml:space="preserve">     guerrilla de las FARC en un camión que estaba en la calle principal  de</w:t>
        <w:br/>
        <w:t xml:space="preserve">     la población, hechos y daños que no pueden ser atribuidos al Estado, el</w:t>
        <w:br/>
        <w:t xml:space="preserve">     cual cumplió íntegramente con sus deberes de protección a la  población</w:t>
        <w:br/>
        <w:t xml:space="preserve">     civil. Además, alegó que los saqueos fueron realizados por los miembros</w:t>
        <w:br/>
        <w:t xml:space="preserve">     de las FARC, quienes permanecieron en el caserío con  posterioridad  al</w:t>
        <w:br/>
        <w:t xml:space="preserve">     13 de diciembre de 1998. Alegó que no se había vulnerado el  derecho  a</w:t>
        <w:br/>
        <w:t xml:space="preserve">     la verdad por no haber investigado a los  autores  intelectuales,  dado</w:t>
        <w:br/>
        <w:t xml:space="preserve">     que existe una sentencia penal ejecutoriada en la que  se  condenó  por</w:t>
        <w:br/>
        <w:t xml:space="preserve">     los hechos a un miembro de las FARC. A su vez,  el  Estado  planteó  un</w:t>
        <w:br/>
        <w:t xml:space="preserve">     “reconocimiento de responsabilidad” por la violación del derecho a  las</w:t>
        <w:br/>
        <w:t xml:space="preserve">     garantías judiciales y a la protección judicial de las víctimas  y  sus</w:t>
        <w:br/>
        <w:t xml:space="preserve">     familiares pues,  por  causa  de  “las  falencias  probatorias  que  se</w:t>
        <w:br/>
        <w:t xml:space="preserve">     presentaron dentro  de  los  procesos  penales  de  primera  y  segunda</w:t>
        <w:br/>
        <w:t xml:space="preserve">     instancia en contra de los pilotos de la aeronave [de la  FAC],  […]  a</w:t>
        <w:br/>
        <w:t xml:space="preserve">     las víctimas se les ha vulnerado su derecho a acceder a la verdad  y  a</w:t>
        <w:br/>
        <w:t xml:space="preserve">     una  investigación  revestida  de  las  garantías  [contenidas]  en  el</w:t>
        <w:br/>
        <w:t xml:space="preserve">     ordenamiento jurídico colombiano”.</w:t>
        <w:br/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br/>
        <w:t xml:space="preserve">  7. El sometimiento del caso por parte de la  Comisión  fue  notificado  al</w:t>
        <w:br/>
        <w:t xml:space="preserve">     Estado y a los representantes el 19 de septiembre de 2011.</w:t>
        <w:br/>
        <w:br/>
        <w:br/>
        <w:t xml:space="preserve">  8. El 21 de noviembre de 2011 los representantes[5] presentaron su escrito</w:t>
        <w:br/>
        <w:t xml:space="preserve">     de  solicitudes,  argumentos  y  pruebas  (en  adelante   “escrito   de</w:t>
        <w:br/>
        <w:t xml:space="preserve">     solicitudes y argumentos”), en los términos de los artículos  25  y  40</w:t>
        <w:br/>
        <w:t xml:space="preserve">     del Reglamento.</w:t>
        <w:br/>
        <w:br/>
        <w:br/>
        <w:t xml:space="preserve">  9. El 9 de marzo de 2012 el Estado presentó ante la Corte  su  escrito  de</w:t>
        <w:br/>
        <w:t xml:space="preserve">     interposición   de   excepciones   preliminares[6],   contestación   al</w:t>
        <w:br/>
        <w:t xml:space="preserve">     sometimiento del caso y observaciones a las  solicitudes  y  argumentos</w:t>
        <w:br/>
        <w:t xml:space="preserve">     (en adelante “contestación” o “escrito de contestación”).  Inicialmente</w:t>
        <w:br/>
        <w:t xml:space="preserve">     el Estado designó al señor Eduardo Montealegre Lynnet como Agente y  al</w:t>
        <w:br/>
        <w:t xml:space="preserve">     señor Rafael Prieto Sanjuán como Agente alterno[7] y, posteriormente, a</w:t>
        <w:br/>
        <w:t xml:space="preserve">     partir del 15 de junio de 2012 designó como Agentes para este  caso  al</w:t>
        <w:br/>
        <w:t xml:space="preserve">     señor Rafael Nieto Loaiza y a la señora Luz Marina Gil.</w:t>
        <w:br/>
        <w:br/>
        <w:br/>
        <w:t xml:space="preserve"> 10. Los días 22 y 23 de mayo de  2012  los  representantes  y  la  Comisión</w:t>
        <w:br/>
        <w:t xml:space="preserve">     presentaron,  respectivamente,  sus  observaciones  a  las  excepciones</w:t>
        <w:br/>
        <w:t xml:space="preserve">     preliminares y al acto denominado por el  Estado  como  “reconocimiento</w:t>
        <w:br/>
        <w:t xml:space="preserve">     parcial de responsabilidad”.</w:t>
        <w:br/>
        <w:br/>
        <w:br/>
        <w:t xml:space="preserve"> 11. El 5 de junio de 2012 el Presidente dictó una  Resolución[8],  mediante</w:t>
        <w:br/>
        <w:t xml:space="preserve">     la cual ordenó recibir declaraciones rendidas  ante  fedatario  público</w:t>
        <w:br/>
        <w:t xml:space="preserve">     (afidávit)  de  dieciocho  presuntas  víctimas,  un  testigo  y  cuatro</w:t>
        <w:br/>
        <w:t xml:space="preserve">     peritos, propuestos por  los  representantes;  declaró  inadmisible  la</w:t>
        <w:br/>
        <w:t xml:space="preserve">     prueba  pericial  ofrecida  por  el  Estado,  y  requirió  a  éste   la</w:t>
        <w:br/>
        <w:t xml:space="preserve">     presentación de determinada documentación en los términos del  artículo</w:t>
        <w:br/>
        <w:t xml:space="preserve">     58 del Reglamento. Asimismo, en esta Resolución el Presidente convocó a</w:t>
        <w:br/>
        <w:t xml:space="preserve">     las partes y a la Comisión a una audiencia pública.</w:t>
        <w:br/>
        <w:br/>
        <w:br/>
        <w:t xml:space="preserve"> 12. El 7 de junio de 2012 el Estado  recurrió  parcialmente  la  Resolución</w:t>
        <w:br/>
        <w:t xml:space="preserve">     anterior respecto de la inadmisibilidad de la prueba pericial ofrecida.</w:t>
        <w:br/>
        <w:t xml:space="preserve">     Luego de  recibidas  las  observaciones  de  los  representantes  y  la</w:t>
        <w:br/>
        <w:t xml:space="preserve">     Comisión, el 18 de junio de 2012  la  Corte  dictó  una  Resolución[9],</w:t>
        <w:br/>
        <w:t xml:space="preserve">     mediante el cual desestimó el  recurso  interpuesto  por  el  Estado  y</w:t>
        <w:br/>
        <w:t xml:space="preserve">     ratificó en todos sus términos la Resolución del Presidente.</w:t>
        <w:br/>
        <w:br/>
        <w:br/>
        <w:t xml:space="preserve"> 13. La audiencia pública fue celebrada el 27 y 28 de junio de 2012, durante</w:t>
        <w:br/>
        <w:t xml:space="preserve">     el 95 Período Ordinario de Sesiones de la Corte[10]. En la audiencia se</w:t>
        <w:br/>
        <w:t xml:space="preserve">     recibieron las declaraciones de dos presuntas víctimas,  ofrecidas  por</w:t>
        <w:br/>
        <w:t xml:space="preserve">     los representantes, un testigo ofrecido  por  el  Estado  y  un  perito</w:t>
        <w:br/>
        <w:t xml:space="preserve">     ofrecido por la Comisión y los representantes.</w:t>
        <w:br/>
        <w:br/>
        <w:br/>
        <w:t xml:space="preserve"> 14. Por otra parte, el Tribunal recibió un escrito  en  calidad  de  amicus</w:t>
        <w:br/>
        <w:t xml:space="preserve">     curiae de la organización “Coalición contra la  vinculación  de  niños,</w:t>
        <w:br/>
        <w:t xml:space="preserve">     niñas y jóvenes al conflicto armado en Colombia (COALICO)”.</w:t>
        <w:br/>
        <w:br/>
        <w:br/>
        <w:t xml:space="preserve"> 15. El 27 de julio de 2012 el Estado y los representantes  presentaron  sus</w:t>
        <w:br/>
        <w:t xml:space="preserve">     alegatos finales escritos y  la  Comisión  presentó  sus  observaciones</w:t>
        <w:br/>
        <w:t xml:space="preserve">     finales escritas. Puesto que el Estado y los representantes presentaron</w:t>
        <w:br/>
        <w:t xml:space="preserve">     documentos anexos a dichos escritos, el 17 de agosto de 2012 se  otorgó</w:t>
        <w:br/>
        <w:t xml:space="preserve">     un plazo para presentar observaciones, con la aclaración de que no  era</w:t>
        <w:br/>
        <w:t xml:space="preserve">     una nueva oportunidad procesal para ampliar alegatos,  por  lo  que  la</w:t>
        <w:br/>
        <w:t xml:space="preserve">     admisibilidad de la documentación presentada por las partes que no haya</w:t>
        <w:br/>
        <w:t xml:space="preserve">     sido solicitada por la Corte o su Presidente, así como de  alegatos  al</w:t>
        <w:br/>
        <w:t xml:space="preserve">     respecto, sería decidida por el Tribunal en su debida  oportunidad.  El</w:t>
        <w:br/>
        <w:t xml:space="preserve">     31 de agosto del mismo año los representantes y la Comisión presentaron</w:t>
        <w:br/>
        <w:t xml:space="preserve">     sus observaciones.</w:t>
        <w:br/>
        <w:br/>
        <w:br/>
        <w:br/>
        <w:br/>
        <w:br/>
        <w:br/>
        <w:br/>
        <w:br/>
        <w:br/>
        <w:t xml:space="preserve">                                     III</w:t>
        <w:br/>
        <w:br/>
        <w:t xml:space="preserve">                          EXCEPCIONES PRELIMINARES</w:t>
        <w:br/>
        <w:br/>
        <w:br/>
        <w:t>A. Primera excepción preliminar: “Falta de competencia ratione materiae”</w:t>
        <w:br/>
        <w:br/>
        <w:br/>
        <w:t xml:space="preserve">            A.1. Argumentos de la Comisión y alegatos de las partes</w:t>
        <w:br/>
        <w:br/>
        <w:br/>
        <w:t xml:space="preserve"> 16. El Estado solicitó a  la  Corte  admitir  la  excepción  preliminar  en</w:t>
        <w:br/>
        <w:t xml:space="preserve">     relación con las alegadas violaciones de los derechos a la vida,  a  la</w:t>
        <w:br/>
        <w:t xml:space="preserve">     integridad personal, a la  propiedad  privada  y  a  la  circulación  y</w:t>
        <w:br/>
        <w:t xml:space="preserve">     residencia, por tratarse de temas atinentes a la presunta violación  de</w:t>
        <w:br/>
        <w:t xml:space="preserve">     normas  de  Derecho  Internacional  Humanitario  (en  adelante  también</w:t>
        <w:br/>
        <w:t xml:space="preserve">     “DIH”). El Estado subrayó que los Estados Parte en la Convención  están</w:t>
        <w:br/>
        <w:t xml:space="preserve">     sometidos a la jurisdicción de la Corte, cuya competencia es  taxativa,</w:t>
        <w:br/>
        <w:t xml:space="preserve">     siendo   únicamente   susceptibles   de   juicio   internacional    los</w:t>
        <w:br/>
        <w:t xml:space="preserve">     acontecimientos asociados con presuntas violaciones de las  normas  que</w:t>
        <w:br/>
        <w:t xml:space="preserve">     la  integran.  Pese  a  que  pueden  ser  integrados  otros  enunciados</w:t>
        <w:br/>
        <w:t xml:space="preserve">     normativos  y  otras  decisiones  judiciales,  éstas  y  aquéllas  solo</w:t>
        <w:br/>
        <w:t xml:space="preserve">     constituyen criterios que informan  la  interpretación[11].  El  Estado</w:t>
        <w:br/>
        <w:t xml:space="preserve">     manifestó que tanto el contexto general como particular  y  puntual  de</w:t>
        <w:br/>
        <w:t xml:space="preserve">     los hechos que son objeto de discusión  corresponden  a  una  situación</w:t>
        <w:br/>
        <w:t xml:space="preserve">     típica de conflicto  armado,  pues  el  Ejército  de  Colombia  mantuvo</w:t>
        <w:br/>
        <w:t xml:space="preserve">     combates con la guerrilla de las FARC a unos 500 metros de la población</w:t>
        <w:br/>
        <w:t xml:space="preserve">     de Santo  Domingo.  Por  ende,  el  Estado  alegó  que  las  eventuales</w:t>
        <w:br/>
        <w:t xml:space="preserve">     infracciones y responsabilidad que se pudiesen derivar, no  pueden  ser</w:t>
        <w:br/>
        <w:t xml:space="preserve">     determinadas por  la  Corte,  por  cuanto  no  tiene  competencia  para</w:t>
        <w:br/>
        <w:t xml:space="preserve">     realizar ese tipo  de  declaraciones  que  están  relacionadas  con  la</w:t>
        <w:br/>
        <w:t xml:space="preserve">     aplicación del Derecho Internacional Humanitario, dado que “el  derecho</w:t>
        <w:br/>
        <w:t xml:space="preserve">     de guerra” no está dentro de sus competencias[12].</w:t>
        <w:br/>
        <w:br/>
        <w:br/>
        <w:t xml:space="preserve"> 17. Por otro lado, el Estado solicitó que sean excluidas del tratamiento en</w:t>
        <w:br/>
        <w:t xml:space="preserve">     las  consideraciones  de  la  Corte  dos  temas  relacionados  con  las</w:t>
        <w:br/>
        <w:t xml:space="preserve">     cuestiones expuestas en el presente caso por la Comisión en el  escrito</w:t>
        <w:br/>
        <w:t xml:space="preserve">     de sometimiento del caso, a saber,  la  atribución  de  responsabilidad</w:t>
        <w:br/>
        <w:t xml:space="preserve">     estatal por hechos de actores privados en coordinación  con  la  Fuerza</w:t>
        <w:br/>
        <w:t xml:space="preserve">     Pública y el deber de investigar violaciones de  derechos  humanos  por</w:t>
        <w:br/>
        <w:t xml:space="preserve">     responsabilidad de mandos superiores.  Al  respecto  citó  el  artículo</w:t>
        <w:br/>
        <w:t xml:space="preserve">     35.1.f) del Reglamento de la Corte. Con respecto a ese punto, el Estado</w:t>
        <w:br/>
        <w:t xml:space="preserve">     alegó  que  la  invocación  de  una  cuestión  como  de  orden  público</w:t>
        <w:br/>
        <w:t xml:space="preserve">     interamericano por parte de  la  Comisión,  conlleva  la  carga  de  su</w:t>
        <w:br/>
        <w:t xml:space="preserve">     sustentación y fundamentación, no como  simple  violación  de  derechos</w:t>
        <w:br/>
        <w:t xml:space="preserve">     humanos en el caso  concreto,  sino  desde  la  perspectiva  de  marcos</w:t>
        <w:br/>
        <w:t xml:space="preserve">     jurídicos internacionales especiales  de  protección  de  los  derechos</w:t>
        <w:br/>
        <w:t xml:space="preserve">     humanos.</w:t>
        <w:br/>
        <w:br/>
        <w:br/>
        <w:t xml:space="preserve"> 18. De forma subsidiaria, el Estado solicitó a la Corte que, en caso de  no</w:t>
        <w:br/>
        <w:t xml:space="preserve">     acoger la excepción preliminar planteada, la admita de  forma  parcial,</w:t>
        <w:br/>
        <w:t xml:space="preserve">     de modo que en su sentencia de fondo no podrá realizar pronunciamientos</w:t>
        <w:br/>
        <w:t xml:space="preserve">     ni condenas en relación con la presunta  vulneración  de  cláusulas  de</w:t>
        <w:br/>
        <w:t xml:space="preserve">     Derecho Internacional Humanitario, y que  su  decisión  será  realizada</w:t>
        <w:br/>
        <w:t xml:space="preserve">     exclusivamente en relación con la presunta afectación de las  cláusulas</w:t>
        <w:br/>
        <w:t xml:space="preserve">     convencionales.</w:t>
        <w:br/>
        <w:br/>
        <w:br/>
        <w:t xml:space="preserve"> 19. La Comisión alegó que el argumento del Estado basado en el contexto  de</w:t>
        <w:br/>
        <w:t xml:space="preserve">     conflicto armado como determinante de la competencia de los órganos del</w:t>
        <w:br/>
        <w:t xml:space="preserve">     Sistema Interamericano para conocer un caso, resulta inconsistente  con</w:t>
        <w:br/>
        <w:t xml:space="preserve">     lo  dispuesto  por  la  Convención  Americana  -   que   no   establece</w:t>
        <w:br/>
        <w:t xml:space="preserve">     limitaciones a la competencia de la Comisión y de la Corte para conocer</w:t>
        <w:br/>
        <w:t xml:space="preserve">     casos únicamente en “situaciones de paz” y por el contrario,  contempla</w:t>
        <w:br/>
        <w:t xml:space="preserve">     situaciones de emergencia en su artículo 27, así como con  la  práctica</w:t>
        <w:br/>
        <w:t xml:space="preserve">     constante de la Corte en el ejercicio de su competencia contenciosa. En</w:t>
        <w:br/>
        <w:t xml:space="preserve">     lo que se refiere a la pretensión subsidiaria del Estado,  la  Comisión</w:t>
        <w:br/>
        <w:t xml:space="preserve">     resaltó que en su Informe de Fondo no estableció ninguna  violación  de</w:t>
        <w:br/>
        <w:t xml:space="preserve">     normas de DIH ni estableció la responsabilidad internacional del Estado</w:t>
        <w:br/>
        <w:t xml:space="preserve">     en relación con los Convenios de Ginebra. Así, observó que el ejercicio</w:t>
        <w:br/>
        <w:t xml:space="preserve">     realizado por la Comisión en dicho informe consistió en establecer  las</w:t>
        <w:br/>
        <w:t xml:space="preserve">     violaciones a la Convención Americana  y  declarar  la  responsabilidad</w:t>
        <w:br/>
        <w:t xml:space="preserve">     internacional del Estado por tales violaciones, tomando en  cuenta,  en</w:t>
        <w:br/>
        <w:t xml:space="preserve">     la medida de lo pertinente según la naturaleza de  dichas  violaciones,</w:t>
        <w:br/>
        <w:t xml:space="preserve">     algunos principios de DIH  que  resultan  útiles  y  orientadores  para</w:t>
        <w:br/>
        <w:t xml:space="preserve">     establecer  el  alcance  de  las  obligaciones  estatales  al  analizar</w:t>
        <w:br/>
        <w:t xml:space="preserve">     operativos realizados por la fuerza pública en contextos  de  conflicto</w:t>
        <w:br/>
        <w:t xml:space="preserve">     armado[13].  Por  ende,  consideró  que  las  pretensiones  del  Estado</w:t>
        <w:br/>
        <w:t xml:space="preserve">     resultan improcedentes.</w:t>
        <w:br/>
        <w:br/>
        <w:br/>
        <w:t xml:space="preserve"> 20. Los representantes alegaron que las excepciones opuestas por el  Estado</w:t>
        <w:br/>
        <w:t xml:space="preserve">     deben ser desestimadas por constituir alegatos  de  fondo  dirigidos  a</w:t>
        <w:br/>
        <w:t xml:space="preserve">     negar la responsabilidad estatal internacional en relación  con  hechos</w:t>
        <w:br/>
        <w:t xml:space="preserve">     que presenta inadecuadamente como supervinientes (infra párrs. 148). En</w:t>
        <w:br/>
        <w:t xml:space="preserve">     cuanto a la primera excepción, agregaron a lo señalado por la  Comisión</w:t>
        <w:br/>
        <w:t xml:space="preserve">     “que estudiar, analizar e interpretar el marco  normativo  del  Derecho</w:t>
        <w:br/>
        <w:t xml:space="preserve">     Internacional  Humanitario   de   forma   complementaria   al   Derecho</w:t>
        <w:br/>
        <w:t xml:space="preserve">     Internacional de los Derechos Humanos, es una fórmula  eficaz  para  la</w:t>
        <w:br/>
        <w:t xml:space="preserve">     resolución  de  este  caso  que  de  manera  indiscutible  configura  y</w:t>
        <w:br/>
        <w:t xml:space="preserve">     desarrolla aspectos que requieren ser tratados  como  parte  del  orden</w:t>
        <w:br/>
        <w:t xml:space="preserve">     público interamericano”.</w:t>
        <w:br/>
        <w:br/>
        <w:br/>
        <w:t xml:space="preserve">      A.2. Consideraciones de la Corte</w:t>
        <w:br/>
        <w:br/>
        <w:br/>
        <w:t xml:space="preserve"> 21. En relación con  la  primera  excepción  preliminar  planteada  por  el</w:t>
        <w:br/>
        <w:t xml:space="preserve">     Estado, la Corte reitera que la  Convención  Americana  es  un  tratado</w:t>
        <w:br/>
        <w:t xml:space="preserve">     internacional según el cual los Estados Parte se obligan a respetar los</w:t>
        <w:br/>
        <w:t xml:space="preserve">     derechos y libertades reconocidos en ella y a garantizar su ejercicio a</w:t>
        <w:br/>
        <w:t xml:space="preserve">     toda persona sujeta a su jurisdicción y que el Tribunal  es  competente</w:t>
        <w:br/>
        <w:t xml:space="preserve">     para decidir si cualquier acto u omisión estatal, en tiempos de  paz  o</w:t>
        <w:br/>
        <w:t xml:space="preserve">     de conflicto armado, es compatible o no con  la  Convención  Americana.</w:t>
        <w:br/>
        <w:t xml:space="preserve">     Además, la Corte señaló que, en esta actividad, el  Tribunal  no  tiene</w:t>
        <w:br/>
        <w:t xml:space="preserve">     ningún límite normativo y que toda norma jurídica es susceptible de ser</w:t>
        <w:br/>
        <w:t xml:space="preserve">     sometida a este examen de compatibilidad[14].</w:t>
        <w:br/>
        <w:br/>
        <w:br/>
        <w:t xml:space="preserve"> 22. Por otro lado, la Corte recuerda que varias sentencias pronunciadas  en</w:t>
        <w:br/>
        <w:t xml:space="preserve">     el marco de su competencia contenciosa se refieren a  hechos  ocurridos</w:t>
        <w:br/>
        <w:t xml:space="preserve">     durante  conflictos  armados  no  internacionales[15].  La   Convención</w:t>
        <w:br/>
        <w:t xml:space="preserve">     Americana no establece limitaciones a la competencia de la  Corte  para</w:t>
        <w:br/>
        <w:t xml:space="preserve">     conocer casos en situaciones de conflictos armados[16].</w:t>
        <w:br/>
        <w:br/>
        <w:br/>
        <w:t xml:space="preserve"> 23. Del mismo modo, con respecto a la aplicación del Derecho  Internacional</w:t>
        <w:br/>
        <w:t xml:space="preserve">     Humanitario, el Tribunal señaló en otras oportunidades que si bien  “la</w:t>
        <w:br/>
        <w:t xml:space="preserve">     Corte  carece  de  competencia  para  declarar   que   un   Estado   es</w:t>
        <w:br/>
        <w:t xml:space="preserve">     internacionalmente   responsable   por   la   violación   de   tratados</w:t>
        <w:br/>
        <w:t xml:space="preserve">     internacionales  que  no  le  atribuyen  dicha  competencia,  se  puede</w:t>
        <w:br/>
        <w:t xml:space="preserve">     observar que ciertos actos u omisiones que violan los derechos  humanos</w:t>
        <w:br/>
        <w:t xml:space="preserve">     de acuerdo con los tratados que le compete  aplicar  infringen  también</w:t>
        <w:br/>
        <w:t xml:space="preserve">     otros instrumentos internacionales de protección de la persona  humana,</w:t>
        <w:br/>
        <w:t xml:space="preserve">     como los Convenios de Ginebra de 1949 y, en particular, el  artículo  3</w:t>
        <w:br/>
        <w:t xml:space="preserve">     común”[17]. Asimismo, desde el  caso  Las  Palmeras  Vs.  Colombia,  el</w:t>
        <w:br/>
        <w:t xml:space="preserve">     Tribunal indicó en particular que las disposiciones relevantes  de  los</w:t>
        <w:br/>
        <w:t xml:space="preserve">     Convenios de Ginebra podían ser tomados en  cuenta  como  elementos  de</w:t>
        <w:br/>
        <w:t xml:space="preserve">     interpretación de la propia Convención Americana[18]. De tal manera, en</w:t>
        <w:br/>
        <w:t xml:space="preserve">     el caso de la Masacre de Mapiripán Vs.  Colombia,  la  Corte  consideró</w:t>
        <w:br/>
        <w:t xml:space="preserve">     que:</w:t>
        <w:br/>
        <w:br/>
        <w:br/>
        <w:t xml:space="preserve">    Si bien la misma Convención Americana hace  expresa  referencia  a  las</w:t>
        <w:br/>
        <w:t xml:space="preserve">    normas del Derecho  Internacional  general  para  su  interpretación  y</w:t>
        <w:br/>
        <w:t xml:space="preserve">    aplicación[19], las obligaciones contenidas en los artículos 1.1 y 2 de</w:t>
        <w:br/>
        <w:t xml:space="preserve">    la Convención constituyen en definitiva la base para  la  determinación</w:t>
        <w:br/>
        <w:t xml:space="preserve">    de responsabilidad internacional a un Estado por violaciones a la misma</w:t>
        <w:br/>
        <w:t xml:space="preserve">    […] Por lo tanto, la atribución  de  responsabilidad  internacional  al</w:t>
        <w:br/>
        <w:t xml:space="preserve">    Estado, así como los alcances y efectos del reconocimiento realizado en</w:t>
        <w:br/>
        <w:t xml:space="preserve">    el  presente  caso,  deben  ser  efectuados  a  la  luz  de  la  propia</w:t>
        <w:br/>
        <w:t xml:space="preserve">    Convención[20].</w:t>
        <w:br/>
        <w:br/>
        <w:br/>
        <w:t xml:space="preserve"> 24. De acuerdo a las consideraciones anteriores la Corte  reitera  que,  si</w:t>
        <w:br/>
        <w:t xml:space="preserve">     bien la Convención Americana sólo  le  ha  atribuido  competencia  para</w:t>
        <w:br/>
        <w:t xml:space="preserve">     determinar la compatibilidad de las  acciones  y  omisiones  o  de  las</w:t>
        <w:br/>
        <w:t xml:space="preserve">     normas  de  los  Estados  con  la  propia  Convención  y  no  con   las</w:t>
        <w:br/>
        <w:t xml:space="preserve">     disposiciones de  otros  tratados  o  normas  consuetudinarias,  en  el</w:t>
        <w:br/>
        <w:t xml:space="preserve">     ejercicio de dicho examen puede, como lo ha hecho en otros casos (supra</w:t>
        <w:br/>
        <w:t xml:space="preserve">     párr. 22), interpretar a la luz de otros tratados  las  obligaciones  y</w:t>
        <w:br/>
        <w:t xml:space="preserve">     los derechos contenidos en  la  misma  Convención.  En  este  caso,  al</w:t>
        <w:br/>
        <w:t xml:space="preserve">     utilizar el DIH  como  norma  de  interpretación  complementaria  a  la</w:t>
        <w:br/>
        <w:t xml:space="preserve">     normativa convencional, la Corte no está asumiendo  una  jerarquización</w:t>
        <w:br/>
        <w:t xml:space="preserve">     entre órdenes normativos, pues no  está  en  duda  la  aplicabilidad  y</w:t>
        <w:br/>
        <w:t xml:space="preserve">     relevancia del DIH en situaciones de conflicto armado. Eso sólo implica</w:t>
        <w:br/>
        <w:t xml:space="preserve">     que la  Corte  puede  observar  las  regulaciones  del  DIH,  en  tanto</w:t>
        <w:br/>
        <w:t xml:space="preserve">     normativa concreta en la materia, para dar aplicación más específica  a</w:t>
        <w:br/>
        <w:t xml:space="preserve">     la normativa convencional en la  definición  de  los  alcances  de  las</w:t>
        <w:br/>
        <w:t xml:space="preserve">     obligaciones estatales.</w:t>
        <w:br/>
        <w:br/>
        <w:br/>
        <w:t xml:space="preserve"> 25. En el presente caso, los representantes no han solicitado  a  la  Corte</w:t>
        <w:br/>
        <w:t xml:space="preserve">     que el Estado sea declarado  responsable  por  alegadas  violaciones  a</w:t>
        <w:br/>
        <w:t xml:space="preserve">     normas del DIH, ni la Comisión Interamericana concluyó algo similar  en</w:t>
        <w:br/>
        <w:t xml:space="preserve">     su Informe. Por  ende,  en  caso  de  ser  necesario,  la  Corte  podrá</w:t>
        <w:br/>
        <w:t xml:space="preserve">     referirse a las disposiciones de las normas y  principios  del  Derecho</w:t>
        <w:br/>
        <w:t xml:space="preserve">     Internacional Humanitario a la hora  de  interpretar  las  obligaciones</w:t>
        <w:br/>
        <w:t xml:space="preserve">     contenidas  en  la  Convención  Americana,  respecto  de  las  alegadas</w:t>
        <w:br/>
        <w:t xml:space="preserve">     violaciones de derechos,  en  relación  con  los  hechos  del  presente</w:t>
        <w:br/>
        <w:t xml:space="preserve">     caso[21].</w:t>
        <w:br/>
        <w:br/>
        <w:br/>
        <w:t xml:space="preserve"> 26. En consecuencia, la Corte desestima  la  primera  excepción  preliminar</w:t>
        <w:br/>
        <w:t xml:space="preserve">     planteada por el Estado.</w:t>
        <w:br/>
        <w:br/>
        <w:br/>
        <w:br/>
        <w:br/>
        <w:br/>
        <w:t>B. Segunda Excepción Preliminar: “falta de agotamiento de los recursos</w:t>
        <w:br/>
        <w:t>internos”</w:t>
        <w:br/>
        <w:br/>
        <w:br/>
        <w:t xml:space="preserve">            B.1. Argumentos de la Comisión y alegatos de las partes</w:t>
        <w:br/>
        <w:br/>
        <w:br/>
        <w:t xml:space="preserve"> 27. El Estado alegó que la Corte no debería admitir el caso  en  la  medida</w:t>
        <w:br/>
        <w:t xml:space="preserve">     que no se ha cumplido con el requisito de  agotamiento  previo  de  los</w:t>
        <w:br/>
        <w:t xml:space="preserve">     recursos y jurisdicción interna, previsto en el  artículo  46.1  de  la</w:t>
        <w:br/>
        <w:t xml:space="preserve">     Convención Americana, con respecto a  las  presuntas  víctimas  que  no</w:t>
        <w:br/>
        <w:t xml:space="preserve">     acudieron a los tribunales internos para  obtener  la  declaratoria  de</w:t>
        <w:br/>
        <w:t xml:space="preserve">     responsabilidad del Estado colombiano y la reparación de los perjuicios</w:t>
        <w:br/>
        <w:t xml:space="preserve">     por él causados con ocasión de los hechos sucedidos en  el  caserío  de</w:t>
        <w:br/>
        <w:t xml:space="preserve">     Santo  Domingo[22].  El  Estado  solicitó  a  la  Corte  rechazar   las</w:t>
        <w:br/>
        <w:t xml:space="preserve">     solicitudes de reparación de las personas que no agotaron los  recursos</w:t>
        <w:br/>
        <w:t xml:space="preserve">     internos ante la jurisdicción contencioso administrativa colombiana, la</w:t>
        <w:br/>
        <w:t xml:space="preserve">     cual es adecuada para obtener la declaratoria  de  responsabilidad  del</w:t>
        <w:br/>
        <w:t xml:space="preserve">     Estado y la reparación integral de los perjuicios causados con  ocasión</w:t>
        <w:br/>
        <w:t xml:space="preserve">     de los hechos sucedidos en  el  caserío  de  Santo  Domingo  el  13  de</w:t>
        <w:br/>
        <w:t xml:space="preserve">     diciembre de 1998.  Alegó  que  el  requisito  de  agotamiento  de  los</w:t>
        <w:br/>
        <w:t xml:space="preserve">     recursos  internos  es  exigible  de   cada   una   de   las   víctimas</w:t>
        <w:br/>
        <w:t xml:space="preserve">     individualmente consideradas porque el  ser  humano  es  el  sujeto  de</w:t>
        <w:br/>
        <w:t xml:space="preserve">     protección del sistema interamericano y el objeto de la reparación.</w:t>
        <w:br/>
        <w:br/>
        <w:br/>
        <w:t xml:space="preserve"> 28. El Estado alegó que la estructura de la  responsabilidad  interna  está</w:t>
        <w:br/>
        <w:t xml:space="preserve">     fundada en la responsabilidad directa del Estado, que  se  configura  a</w:t>
        <w:br/>
        <w:t xml:space="preserve">     partir de la función y no del agente que la  produce,  por  lo  que  es</w:t>
        <w:br/>
        <w:t xml:space="preserve">     perfectamente posible inferir la responsabilidad por faltas o  ilícitos</w:t>
        <w:br/>
        <w:t xml:space="preserve">     anónimos, por  conductas  antijurídicas  imputables  al  Estado  o  por</w:t>
        <w:br/>
        <w:t xml:space="preserve">     actuaciones legales  que  producen  un  rompimiento  del  principio  de</w:t>
        <w:br/>
        <w:t xml:space="preserve">     igualdad frente a las cargas públicas. Agregó que  por  esa  razón,  la</w:t>
        <w:br/>
        <w:t xml:space="preserve">     justicia  colombiana,  por  una  parte,  declara   la   responsabilidad</w:t>
        <w:br/>
        <w:t xml:space="preserve">     directamente del Estado, como sujeto de derechos y obligaciones y,  por</w:t>
        <w:br/>
        <w:t xml:space="preserve">     otra, establece  el  deber  de  reparar  integralmente  los  perjuicios</w:t>
        <w:br/>
        <w:t xml:space="preserve">     ocasionados.  Señaló  asimismo  que  es  claro  que   esta   forma   de</w:t>
        <w:br/>
        <w:t xml:space="preserve">     responsabilidad  es  totalmente  autónoma   e   independiente   de   la</w:t>
        <w:br/>
        <w:t xml:space="preserve">     responsabilidad de los agentes, contra quienes  debe  iniciar  procesos</w:t>
        <w:br/>
        <w:t xml:space="preserve">     independientes para sancionar y exigir la repetición de  las  sumas  de</w:t>
        <w:br/>
        <w:t xml:space="preserve">     dinero que ha debido asumir el Estado para indemnizar las víctimas.  En</w:t>
        <w:br/>
        <w:t xml:space="preserve">     ese sentido indicó que le compete al Consejo de Estado  desempeñar  las</w:t>
        <w:br/>
        <w:t xml:space="preserve">     funciones  de  tribunal  supremo  de  lo  contencioso   administrativo,</w:t>
        <w:br/>
        <w:t xml:space="preserve">     jurisdicción que es competente para conocer las acciones de  reparación</w:t>
        <w:br/>
        <w:t xml:space="preserve">     directa instauradas por las víctimas que pretenden la reparación de los</w:t>
        <w:br/>
        <w:t xml:space="preserve">     daños antijurídicos causados por el Estado.</w:t>
        <w:br/>
        <w:br/>
        <w:br/>
        <w:t xml:space="preserve"> 29.  Además  de  lo  anterior,  el  Estado  expuso  las  características  y</w:t>
        <w:br/>
        <w:t xml:space="preserve">     posibilidades del recurso contencioso administrativo y  alegó  que,  si</w:t>
        <w:br/>
        <w:t xml:space="preserve">     bien “la reparación integral de las  víctimas  supone  la  adopción  de</w:t>
        <w:br/>
        <w:t xml:space="preserve">     medidas mucho más amplias que  la  simple  indemnización  o  reparación</w:t>
        <w:br/>
        <w:t xml:space="preserve">     pecuniaria de los daños causados, […] también es cierto que, de acuerdo</w:t>
        <w:br/>
        <w:t xml:space="preserve">     con la práctica y actual jurisprudencia de la jurisdicción  contencioso</w:t>
        <w:br/>
        <w:t xml:space="preserve">     administrativa colombiana,  que  sigue  los  estándares  de  reparación</w:t>
        <w:br/>
        <w:t xml:space="preserve">     señalados en la Corte  Interamericana,  esa  vía  judicial  interna  es</w:t>
        <w:br/>
        <w:t xml:space="preserve">     idónea  y  eficaz  para  obtener  la   reparación   en   los   términos</w:t>
        <w:br/>
        <w:t xml:space="preserve">     contemporáneos [… y] para obtener algunas de las  pretensiones  que  se</w:t>
        <w:br/>
        <w:t xml:space="preserve">     solicitan, dentro  de  las  cuales  está  la  indemnización  por  daños</w:t>
        <w:br/>
        <w:t xml:space="preserve">     causados”. Por último, el Estado manifestó que en el presente  caso  no</w:t>
        <w:br/>
        <w:t xml:space="preserve">     es aplicable  el  principio  del  estoppel  porque  la  excepción  cuya</w:t>
        <w:br/>
        <w:t xml:space="preserve">     reconsideración  solicita  ante  la  Corte  fue  presentada  expresa  y</w:t>
        <w:br/>
        <w:t xml:space="preserve">     oportunamente ante la Comisión Interamericana, y ésta la  despachó  con</w:t>
        <w:br/>
        <w:t xml:space="preserve">     fundamento en una apreciación inadecuada. Alegó que ante la  existencia</w:t>
        <w:br/>
        <w:t xml:space="preserve">     de una controversia  jurídica  entre  el  Estado  y  la  Comisión,  que</w:t>
        <w:br/>
        <w:t xml:space="preserve">     involucra como aspecto de fondo  la  interpretación  del  principio  de</w:t>
        <w:br/>
        <w:t xml:space="preserve">     subsidiaridad y el derecho de defensa de los  Estados,  la  Corte  debe</w:t>
        <w:br/>
        <w:t xml:space="preserve">     entrar a resolverla.</w:t>
        <w:br/>
        <w:br/>
        <w:br/>
        <w:t xml:space="preserve"> 30. La Comisión consideró que la cuestión de agotamiento  de  los  recursos</w:t>
        <w:br/>
        <w:t xml:space="preserve">     internos   fue   resuelta   oportunamente   en   la   etapa    procesal</w:t>
        <w:br/>
        <w:t xml:space="preserve">     correspondiente y que, en todo caso, la excepción preliminar  resultaba</w:t>
        <w:br/>
        <w:t xml:space="preserve">     improcedente en lo sustancial. En ese sentido, alegó que el análisis de</w:t>
        <w:br/>
        <w:t xml:space="preserve">     si una persona tiene o no la calidad  de  víctima  en  un  caso  es  de</w:t>
        <w:br/>
        <w:t xml:space="preserve">     naturaleza jurídica distinta al de si una persona cumplió o no con  los</w:t>
        <w:br/>
        <w:t xml:space="preserve">     requisitos de admisibilidad para  acceder  al  Sistema  Interamericano.</w:t>
        <w:br/>
        <w:t xml:space="preserve">     Además, manifestó que las cuestiones relativas a la  identificación  de</w:t>
        <w:br/>
        <w:t xml:space="preserve">     las víctimas incluidas por el Estado  en  la  fundamentación  de  dicha</w:t>
        <w:br/>
        <w:t xml:space="preserve">     excepción, corresponde a una  cuestión  de  fondo.  Señaló  que  en  su</w:t>
        <w:br/>
        <w:t xml:space="preserve">     Informe de admisibilidad  se  pronunció  sobre  la  aplicación  de  las</w:t>
        <w:br/>
        <w:t xml:space="preserve">     excepciones establecidas en  el  artículo  46.2  de  la  Convención  al</w:t>
        <w:br/>
        <w:t xml:space="preserve">     proceso penal, entendido como el recurso  idóneo,  así  como  sobre  la</w:t>
        <w:br/>
        <w:t xml:space="preserve">     acción  de  reparación  directa  ante   la   jurisdicción   contencioso</w:t>
        <w:br/>
        <w:t xml:space="preserve">     administrativa, explicando las razones  por  las  cuales  no  resultaba</w:t>
        <w:br/>
        <w:t xml:space="preserve">     necesario agotar dicho recurso en casos como el presente.</w:t>
        <w:br/>
        <w:br/>
        <w:br/>
        <w:t xml:space="preserve"> 31. En relación con el argumento de la idoneidad y efectividad  de  la  vía</w:t>
        <w:br/>
        <w:t xml:space="preserve">     contencioso administrativa para reparar las  alegadas  violaciones  del</w:t>
        <w:br/>
        <w:t xml:space="preserve">     presente caso, la Comisión alegó que la acción de reparación directa no</w:t>
        <w:br/>
        <w:t xml:space="preserve">     constituye un medio para el esclarecimiento de la verdad, la  obtención</w:t>
        <w:br/>
        <w:t xml:space="preserve">     de justicia y sanción de los responsables, elementos primordiales de la</w:t>
        <w:br/>
        <w:t xml:space="preserve">     reparación  en  casos  de  violaciones  de  derechos  humanos.  Recordó</w:t>
        <w:br/>
        <w:t xml:space="preserve">     asimismo que ha sido criterio constante de la  Comisión  Interamericana</w:t>
        <w:br/>
        <w:t xml:space="preserve">     que en casos de violaciones al derecho a la vida e integridad personal,</w:t>
        <w:br/>
        <w:t xml:space="preserve">     el recurso idóneo para remediar la  situación  es  la  investigación  y</w:t>
        <w:br/>
        <w:t xml:space="preserve">     proceso penal, el cual debe ser iniciado de oficio y adelantado con  la</w:t>
        <w:br/>
        <w:t xml:space="preserve">     debida diligencia.</w:t>
        <w:br/>
        <w:br/>
        <w:br/>
        <w:t xml:space="preserve"> 32. Por su parte,  los  representantes  agregaron  a  lo  señalado  por  la</w:t>
        <w:br/>
        <w:t xml:space="preserve">     Comisión que el Estado, en el ejercicio de su derecho a la defensa,  ha</w:t>
        <w:br/>
        <w:t xml:space="preserve">     modificado su posición respecto de lo planteado ante  la  Comisión,  en</w:t>
        <w:br/>
        <w:t xml:space="preserve">     contra de  sus  actos  propios,  al  haber  citado  jurisprudencia  que</w:t>
        <w:br/>
        <w:t xml:space="preserve">     establece que la jurisdicción contencioso administrativa no  constituye</w:t>
        <w:br/>
        <w:t xml:space="preserve">     en sí misma un recurso único y suficiente para la  reparación  integral</w:t>
        <w:br/>
        <w:t xml:space="preserve">     de violaciones a derechos humanos. Así, manifestaron que el  Estado,  a</w:t>
        <w:br/>
        <w:t xml:space="preserve">     través de su contestación, alegó un requisito adicional  para  que  las</w:t>
        <w:br/>
        <w:t xml:space="preserve">     víctimas puedan sostener un  litigio  ante  la  Corte  en  beneficio  y</w:t>
        <w:br/>
        <w:t xml:space="preserve">     protección de su derecho a la reparación integral, sugiriendo que ellas</w:t>
        <w:br/>
        <w:t xml:space="preserve">     sólo tienen un recurso para acceder a este derecho  y  en  caso  de  no</w:t>
        <w:br/>
        <w:t xml:space="preserve">     haberlo agotado, sería razón suficiente para que el Tribunal no tuviese</w:t>
        <w:br/>
        <w:t xml:space="preserve">     competencia para pronunciarse sobre el mismo y de esta forma  negar  la</w:t>
        <w:br/>
        <w:t xml:space="preserve">     garantía sobre el derecho solicitado. El hecho de que  algunas  de  las</w:t>
        <w:br/>
        <w:t xml:space="preserve">     presuntas víctimas no hayan acudido a la jurisdicción contenciosa no es</w:t>
        <w:br/>
        <w:t xml:space="preserve">     suficiente argumento para negarles el acceso a la justicia y su derecho</w:t>
        <w:br/>
        <w:t xml:space="preserve">     a la reparación ante la Corte. En suma, se trataría de un análisis  que</w:t>
        <w:br/>
        <w:t xml:space="preserve">     presenta el Estado utilizando la figura establecida en el  artículo  42</w:t>
        <w:br/>
        <w:t xml:space="preserve">     del Reglamento, con el objetivo de excluir a  18  víctimas,  que  según</w:t>
        <w:br/>
        <w:t xml:space="preserve">     indican, han sido oportunamente acreditadas tanto por la Comisión  como</w:t>
        <w:br/>
        <w:t xml:space="preserve">     por los representantes[23].</w:t>
        <w:br/>
        <w:br/>
        <w:br/>
        <w:t>B.2. Consideraciones de la Corte</w:t>
        <w:br/>
        <w:br/>
        <w:br/>
        <w:t xml:space="preserve"> 33. El artículo  46.1.a)  de  la  Convención  Americana  dispone  que  para</w:t>
        <w:br/>
        <w:t xml:space="preserve">     determinar la admisibilidad de una petición o  comunicación  presentada</w:t>
        <w:br/>
        <w:t xml:space="preserve">     ante la Comisión Interamericana, de conformidad con los artículos 44  o</w:t>
        <w:br/>
        <w:t xml:space="preserve">     45 de la Convención, es necesario que se hayan  interpuesto  y  agotado</w:t>
        <w:br/>
        <w:t xml:space="preserve">     los recursos de la  jurisdicción  interna,  según  los  principios  del</w:t>
        <w:br/>
        <w:t xml:space="preserve">     Derecho Internacional generalmente reconocidos[24]. La  Corte  recuerda</w:t>
        <w:br/>
        <w:t xml:space="preserve">     que la regla del previo  agotamiento  de  los  recursos  internos  está</w:t>
        <w:br/>
        <w:t xml:space="preserve">     concebida en interés del Estado, pues busca  dispensarlo  de  responder</w:t>
        <w:br/>
        <w:t xml:space="preserve">     ante un órgano internacional por actos que  se  le  imputen,  antes  de</w:t>
        <w:br/>
        <w:t xml:space="preserve">     haber tenido la ocasión de remediarlos con sus propios  medios[25].  Lo</w:t>
        <w:br/>
        <w:t xml:space="preserve">     anterior significa que no sólo deben existir formalmente esos recursos,</w:t>
        <w:br/>
        <w:t xml:space="preserve">     sino que también deben ser adecuados y efectivos, como resulta  de  las</w:t>
        <w:br/>
        <w:t xml:space="preserve">     excepciones contempladas en el artículo 46.2 de la Convención[26].</w:t>
        <w:br/>
        <w:br/>
        <w:br/>
        <w:t xml:space="preserve"> 34. Asimismo, esta  Corte  ha  sostenido  de  manera  consistente  que  una</w:t>
        <w:br/>
        <w:t xml:space="preserve">     objeción al ejercicio de la jurisdicción  de  la  Corte  basada  en  la</w:t>
        <w:br/>
        <w:t xml:space="preserve">     supuesta falta  de  agotamiento  de  los  recursos  internos  debe  ser</w:t>
        <w:br/>
        <w:t xml:space="preserve">     presentada en el momento procesal oportuno[27],  esto  es,  durante  la</w:t>
        <w:br/>
        <w:t xml:space="preserve">     admisibilidad del procedimiento ante la Comisión[28]. En  ese  sentido,</w:t>
        <w:br/>
        <w:t xml:space="preserve">     al alegar la falta de agotamiento de los recursos internos  corresponde</w:t>
        <w:br/>
        <w:t xml:space="preserve">     al Estado señalar en esa debida  oportunidad  los  recursos  que  deben</w:t>
        <w:br/>
        <w:t xml:space="preserve">     agotarse y su efectividad. El Tribunal reitera  que  la  interpretación</w:t>
        <w:br/>
        <w:t xml:space="preserve">     que ha dado al artículo 46.1.a) de la Convención por más de dos décadas</w:t>
        <w:br/>
        <w:t xml:space="preserve">     está en conformidad con el Derecho Internacional[29].</w:t>
        <w:br/>
        <w:br/>
        <w:br/>
        <w:t xml:space="preserve"> 35. La segunda excepción preliminar presentada por el Estado se  refiere  a</w:t>
        <w:br/>
        <w:t xml:space="preserve">     la idoneidad de la jurisdicción contencioso  administrativa  colombiana</w:t>
        <w:br/>
        <w:t xml:space="preserve">     para ser considerado como un recurso que, en los términos del  artículo</w:t>
        <w:br/>
        <w:t xml:space="preserve">     46 de la Convención, debía ser agotado, en este  caso  por  18  de  las</w:t>
        <w:br/>
        <w:t xml:space="preserve">     presuntas víctimas que no habrían acudido a esa vía para solicitar  una</w:t>
        <w:br/>
        <w:t xml:space="preserve">     reparación. El Estado alegó que las reparaciones que  puedan  otorgarse</w:t>
        <w:br/>
        <w:t xml:space="preserve">     en esa vía jurisdiccional son conformes con los criterios desarrollados</w:t>
        <w:br/>
        <w:t xml:space="preserve">     por este Tribunal en relación con la reparación integral del  daño.  De</w:t>
        <w:br/>
        <w:t xml:space="preserve">     tal  manera,  sería  necesario  considerar  si  debe  acudirse  a   ese</w:t>
        <w:br/>
        <w:t xml:space="preserve">     procedimiento  interno  a  efectos  de  acceder   a   la   Comisión   y</w:t>
        <w:br/>
        <w:t xml:space="preserve">     eventualmente a la competencia contenciosa de la Corte Interamericana.</w:t>
        <w:br/>
        <w:br/>
        <w:br/>
        <w:t xml:space="preserve"> 36. En el presente caso, en el Informe de Admisibilidad Nº 25/03  de  6  de</w:t>
        <w:br/>
        <w:t xml:space="preserve">     marzo de 2003 la Comisión se  pronunció  sobre  la  aplicación  de  las</w:t>
        <w:br/>
        <w:t xml:space="preserve">     excepciones establecidas en  el  artículo  46.2  de  la  Convención  al</w:t>
        <w:br/>
        <w:t xml:space="preserve">     proceso penal, entendiéndolo como el recurso idóneo, así como sobre  la</w:t>
        <w:br/>
        <w:t xml:space="preserve">     acción  de  reparación  directa  ante   la   jurisdicción   contencioso</w:t>
        <w:br/>
        <w:t xml:space="preserve">     administrativa, considerando que no  resultaba  necesario  agotar  este</w:t>
        <w:br/>
        <w:t xml:space="preserve">     recurso en casos como el presente,  pues  éste  “es  un  mecanismo  que</w:t>
        <w:br/>
        <w:t xml:space="preserve">     procura la supervisión de la actividad administrativa del Estado y  que</w:t>
        <w:br/>
        <w:t xml:space="preserve">     únicamente permite obtener una indemnización  por  daños  y  perjuicios</w:t>
        <w:br/>
        <w:t xml:space="preserve">     causados por abuso de autoridad”[30].</w:t>
        <w:br/>
        <w:br/>
        <w:br/>
        <w:t xml:space="preserve"> 37.  En  el  caso  Cepeda  Vargas   Vs.   Colombia[31],   relativo   a   la</w:t>
        <w:br/>
        <w:t xml:space="preserve">     responsabilidad del Estado por una ejecución  extrajudicial,  la  Corte</w:t>
        <w:br/>
        <w:t xml:space="preserve">     analizó si los recursos contencioso-administrativos habían  contribuido</w:t>
        <w:br/>
        <w:t xml:space="preserve">     efectivamente a determinar los alcances de la responsabilidad estatal y</w:t>
        <w:br/>
        <w:t xml:space="preserve">     a asegurar la no repetición de  los  actos  lesivos,  considerando,  en</w:t>
        <w:br/>
        <w:t xml:space="preserve">     particular, que lo decidido en esa vía “puede ser relevante en  lo  que</w:t>
        <w:br/>
        <w:t xml:space="preserve">     concierne a la obligación de reparar  integralmente  una  violación  de</w:t>
        <w:br/>
        <w:t xml:space="preserve">     derechos”[32]. Así, en el fondo de ese caso la Corte  destacó  que  los</w:t>
        <w:br/>
        <w:t xml:space="preserve">     tribunales  contencioso  administrativos  no  establecieron  todos  los</w:t>
        <w:br/>
        <w:t xml:space="preserve">     alcances de la responsabilidad estatal, aun cuando estaban  llamados  a</w:t>
        <w:br/>
        <w:t xml:space="preserve">     hacerlo[33]. Luego, en el capítulo de reparaciones de ese  caso,  y  en</w:t>
        <w:br/>
        <w:t xml:space="preserve">     atención a que una reparación integral y adecuada no puede ser reducida</w:t>
        <w:br/>
        <w:t xml:space="preserve">     al pago de compensación a las víctimas o sus familiares[34] (pues según</w:t>
        <w:br/>
        <w:t xml:space="preserve">     el caso son además necesarias medidas de rehabilitación, satisfacción y</w:t>
        <w:br/>
        <w:t xml:space="preserve">     garantías  de  no  repetición),   la   Corte   tomó   en   cuenta   las</w:t>
        <w:br/>
        <w:t xml:space="preserve">     indemnizaciones otorgadas en  dichos  procesos,  considerando  que  “de</w:t>
        <w:br/>
        <w:t xml:space="preserve">     existir mecanismos nacionales para determinar formas de reparación [que</w:t>
        <w:br/>
        <w:t xml:space="preserve">     satisfagan] criterios de objetividad, razonabilidad y efectividad  para</w:t>
        <w:br/>
        <w:t xml:space="preserve">     reparar adecuadamente las violaciones de  derechos  declaradas”,  tales</w:t>
        <w:br/>
        <w:t xml:space="preserve">     procedimientos  y  sus  resultados  “pueden  ser   valorados”[35].   No</w:t>
        <w:br/>
        <w:t xml:space="preserve">     obstante, si esos mecanismos no satisfacen tales criterios, corresponde</w:t>
        <w:br/>
        <w:t xml:space="preserve">     a  la  Corte,  en   ejercicio   de   su   competencia   subsidiaria   y</w:t>
        <w:br/>
        <w:t xml:space="preserve">     complementaria, disponer las reparaciones pertinentes[36].</w:t>
        <w:br/>
        <w:br/>
        <w:br/>
        <w:t xml:space="preserve"> 38. En atención a todo lo anterior, la Corte coincide con el Estado en  que</w:t>
        <w:br/>
        <w:t xml:space="preserve">     el  proceso  contencioso  administrativo  puede  ser  relevante  en  la</w:t>
        <w:br/>
        <w:t xml:space="preserve">     calificación y definición de determinados aspectos  o  alcances  de  la</w:t>
        <w:br/>
        <w:t xml:space="preserve">     responsabilidad  estatal,  así  como  en  la  satisfacción  de  ciertas</w:t>
        <w:br/>
        <w:t xml:space="preserve">     pretensiones en el marco de  una  reparación  integral.  Por  ello,  lo</w:t>
        <w:br/>
        <w:t xml:space="preserve">     decidido a nivel interno en esa jurisdicción puede ser tomado en cuenta</w:t>
        <w:br/>
        <w:t xml:space="preserve">     al momento de valorar las solicitudes de reparaciones en un  caso  ante</w:t>
        <w:br/>
        <w:t xml:space="preserve">     el Sistema Interamericano, pues las víctimas  o  sus  familiares  deben</w:t>
        <w:br/>
        <w:t xml:space="preserve">     tener   amplias   oportunidades   en   la   búsqueda   de   una   justa</w:t>
        <w:br/>
        <w:t xml:space="preserve">     compensación[37]. Sin embargo, la vía  contencioso-administrativa  será</w:t>
        <w:br/>
        <w:t xml:space="preserve">     relevante en  casos  en  que  haya  sido  efectivamente  intentada  por</w:t>
        <w:br/>
        <w:t xml:space="preserve">     personas afectadas por violaciones a sus derechos o por sus familiares.</w:t>
        <w:br/>
        <w:t xml:space="preserve">     Es decir, no es un recurso que necesariamente deba ser siempre agotado,</w:t>
        <w:br/>
        <w:t xml:space="preserve">     por lo que no inhibe la  competencia  de  la  Corte  para  conocer  del</w:t>
        <w:br/>
        <w:t xml:space="preserve">     presente caso. Sin perjuicio de ello, la Corte tomará en cuenta, en  lo</w:t>
        <w:br/>
        <w:t xml:space="preserve">     pertinente, los alcances  y  resultados  de  esa  vía  judicial  en  la</w:t>
        <w:br/>
        <w:t xml:space="preserve">     determinación completa y adecuada de la  responsabilidad  estatal,  así</w:t>
        <w:br/>
        <w:t xml:space="preserve">     como en lo que corresponde a la fijación de una reparación  integral  a</w:t>
        <w:br/>
        <w:t xml:space="preserve">     favor de las presuntas víctimas.  Tales  apreciaciones  y  valoraciones</w:t>
        <w:br/>
        <w:t xml:space="preserve">     deben  realizarse  en  atención  a  las  circunstancias  de  cada  caso</w:t>
        <w:br/>
        <w:t xml:space="preserve">     específico, según la naturaleza del derecho que se alega violado  y  de</w:t>
        <w:br/>
        <w:t xml:space="preserve">     las pretensiones de quien lo ha incoado.  Sin  embargo,  este  análisis</w:t>
        <w:br/>
        <w:t xml:space="preserve">     puede corresponder, consecuentemente, al fondo  del  asunto  o,  en  su</w:t>
        <w:br/>
        <w:t xml:space="preserve">     caso, a la fase de reparaciones.</w:t>
        <w:br/>
        <w:br/>
        <w:br/>
        <w:t xml:space="preserve"> 39. Por lo anterior, la Corte desestima  la  segunda  excepción  preliminar</w:t>
        <w:br/>
        <w:t xml:space="preserve">     opuesta por el Estado.</w:t>
        <w:br/>
        <w:br/>
        <w:br/>
        <w:br/>
        <w:br/>
        <w:br/>
        <w:t xml:space="preserve">                                     IV</w:t>
        <w:br/>
        <w:br/>
        <w:t xml:space="preserve">                                 COMPETENCIA</w:t>
        <w:br/>
        <w:br/>
        <w:br/>
        <w:t xml:space="preserve"> 40. La Corte Interamericana es competente para conocer del  presente  caso,</w:t>
        <w:br/>
        <w:t xml:space="preserve">     en los términos del artículo 62.3 de la Convención, dado  que  Colombia</w:t>
        <w:br/>
        <w:t xml:space="preserve">     es Estado Parte en la Convención Americana desde el 31 de julio de 1973</w:t>
        <w:br/>
        <w:t xml:space="preserve">     y reconoció la competencia contenciosa de la Corte el 21  de  junio  de</w:t>
        <w:br/>
        <w:t xml:space="preserve">     1985.</w:t>
        <w:br/>
        <w:br/>
        <w:br/>
        <w:t>V</w:t>
        <w:br/>
        <w:br/>
        <w:t xml:space="preserve">                                   PRUEBA</w:t>
        <w:br/>
        <w:br/>
        <w:br/>
        <w:t xml:space="preserve"> 41. Con base en lo establecido en los artículos 46, 47, 48, 50, 51, 57 y 58</w:t>
        <w:br/>
        <w:t xml:space="preserve">     del Reglamento, así como en su jurisprudencia relativa a la prueba y su</w:t>
        <w:br/>
        <w:t xml:space="preserve">     apreciación[38],  la  Corte  examinará   y   valorará   los   elementos</w:t>
        <w:br/>
        <w:t xml:space="preserve">     probatorios documentales remitidos por la Comisión, los  representantes</w:t>
        <w:br/>
        <w:t xml:space="preserve">     y  el  Estado  en  diversas  oportunidades  procesales,  así  como  las</w:t>
        <w:br/>
        <w:t xml:space="preserve">     declaraciones de las presuntas víctimas y testigos,  y  los  dictámenes</w:t>
        <w:br/>
        <w:t xml:space="preserve">     periciales rendidos. Para ello, el Tribunal se atendrá a los principios</w:t>
        <w:br/>
        <w:t xml:space="preserve">     de la sana crítica, dentro del marco normativo correspondiente[39].</w:t>
        <w:br/>
        <w:br/>
        <w:br/>
        <w:br/>
        <w:br/>
        <w:br/>
        <w:t xml:space="preserve">      A. Prueba documental, testimonial y pericial</w:t>
        <w:br/>
        <w:br/>
        <w:br/>
        <w:t xml:space="preserve"> 42. La Corte recibió documentos presentados por la Comisión Interamericana,</w:t>
        <w:br/>
        <w:t xml:space="preserve">     los  representantes  y  el  Estado.  Asimismo,  la  Corte  recibió  las</w:t>
        <w:br/>
        <w:t xml:space="preserve">     declaraciones  rendidas  ante  fedatario  público  (afidávit)  por   17</w:t>
        <w:br/>
        <w:t xml:space="preserve">     presuntas víctimas, a saber: 1) Jorge Henry  Vanegas  Ortiz;  2)  Mario</w:t>
        <w:br/>
        <w:t xml:space="preserve">     Galvis Gelves; 3) María Cenobia Panqueva; 4) Lucero Talero Sánchez;  5)</w:t>
        <w:br/>
        <w:t xml:space="preserve">     Ana Miriam Duran Mora; 6) Giovanny Díaz Cobos; 7) Norelis Leal Pacheco;</w:t>
        <w:br/>
        <w:t xml:space="preserve">     8) José Rafael Hernández; 9) Deicy  Damarys  Cedano;  10)  Nilsan  Díaz</w:t>
        <w:br/>
        <w:t xml:space="preserve">     Herrera; 11) Hugo Fernely Pastrana Vargas; 12) Luis Felipe Duran  Mora;</w:t>
        <w:br/>
        <w:t xml:space="preserve">     13) Gladys Arciniegas  Calvo;  14)  Milciades  Bonilla;  15)  Margarita</w:t>
        <w:br/>
        <w:t xml:space="preserve">     Tilano; 16) Rusmira Daza Rojas; 17) Mónica Alicia Bello Tilano, y por 4</w:t>
        <w:br/>
        <w:t xml:space="preserve">     peritos, a saber: 1) José Quiroga; 2) Ana Deutsch; 3) Carlos  J.  López</w:t>
        <w:br/>
        <w:t xml:space="preserve">     Hurtado, y 4) Elizabeth Silvia Salmon Garate. La Corte recibió  también</w:t>
        <w:br/>
        <w:t xml:space="preserve">     el testimonio de Dom  Rizzi.  En  cuanto  a  las  pruebas  rendidas  en</w:t>
        <w:br/>
        <w:t xml:space="preserve">     audiencia pública, la Corte escuchó las declaraciones de las  presuntas</w:t>
        <w:br/>
        <w:t xml:space="preserve">     víctimas Alba Yaneth García y  Marcos  Neite  González,  así  como  del</w:t>
        <w:br/>
        <w:t xml:space="preserve">     General (r) Jairo García Camargo, testigo ofrecido por el Estado, y del</w:t>
        <w:br/>
        <w:t xml:space="preserve">     perito Alejandro Valencia Villa, ofrecido por la Comisión. Este  último</w:t>
        <w:br/>
        <w:t xml:space="preserve">     además entregó un documento escrito sobre su peritaje el 29 de junio de</w:t>
        <w:br/>
        <w:t xml:space="preserve">     2012.</w:t>
        <w:br/>
        <w:br/>
        <w:br/>
        <w:br/>
        <w:br/>
        <w:t xml:space="preserve">      B. Admisión de la prueba documental</w:t>
        <w:br/>
        <w:br/>
        <w:br/>
        <w:t xml:space="preserve"> 43. En el presente  caso,  como  en  otros,  el  Tribunal  admite  aquellos</w:t>
        <w:br/>
        <w:t xml:space="preserve">     documentos remitidos por las partes en la debida  oportunidad  procesal</w:t>
        <w:br/>
        <w:t xml:space="preserve">     que no fueron controvertidos ni objetados,  ni  cuya  autenticidad  fue</w:t>
        <w:br/>
        <w:t xml:space="preserve">     puesta en duda[40].</w:t>
        <w:br/>
        <w:br/>
        <w:br/>
        <w:t xml:space="preserve"> 44. En cuanto a las notas  de  prensa  presentadas  por  las  partes  y  la</w:t>
        <w:br/>
        <w:t xml:space="preserve">     Comisión junto con sus distintos escritos, este Tribunal ha considerado</w:t>
        <w:br/>
        <w:t xml:space="preserve">     que podrán ser apreciadas cuando recojan hechos públicos y  notorios  o</w:t>
        <w:br/>
        <w:t xml:space="preserve">     declaraciones de funcionarios del Estado, o cuando corroboren  aspectos</w:t>
        <w:br/>
        <w:t xml:space="preserve">     relacionados con el caso[41]. El Tribunal decide admitir los documentos</w:t>
        <w:br/>
        <w:t xml:space="preserve">     que se encuentren completos o que, por lo menos, permitan constatar  su</w:t>
        <w:br/>
        <w:t xml:space="preserve">     fuente y fecha de publicación, y los  valorará  tomando  en  cuenta  el</w:t>
        <w:br/>
        <w:t xml:space="preserve">     conjunto del acervo probatorio, las observaciones de las partes  y  las</w:t>
        <w:br/>
        <w:t xml:space="preserve">     reglas de la  sana  crítica[42].  Con  respecto  a  algunos  documentos</w:t>
        <w:br/>
        <w:t xml:space="preserve">     señalados por las partes por medio de enlaces electrónicos, el Tribunal</w:t>
        <w:br/>
        <w:t xml:space="preserve">     ha establecido  que  si  una  parte  proporciona  al  menos  el  enlace</w:t>
        <w:br/>
        <w:t xml:space="preserve">     electrónico directo del documento que cita como  prueba  y  es  posible</w:t>
        <w:br/>
        <w:t xml:space="preserve">     acceder a  éste,  no  se  ve  afectada  la  seguridad  jurídica  ni  el</w:t>
        <w:br/>
        <w:t xml:space="preserve">     equilibrio  procesal,  porque  es  inmediatamente  localizable  por  el</w:t>
        <w:br/>
        <w:t xml:space="preserve">     Tribunal y por las otras partes[43].</w:t>
        <w:br/>
        <w:br/>
        <w:br/>
        <w:t xml:space="preserve"> 45. La Corte observa que, mediante nota de Secretaría del 21  de  marzo  de</w:t>
        <w:br/>
        <w:t xml:space="preserve">     2012, se otorgó al Estado la oportunidad de remitir algunos anexos a la</w:t>
        <w:br/>
        <w:t xml:space="preserve">     contestación a la demanda que se encontraban ilegibles  o  incompletos.</w:t>
        <w:br/>
        <w:t xml:space="preserve">     Se señala que también los representantes habían solicitado parte de  la</w:t>
        <w:br/>
        <w:t xml:space="preserve">     misma documentación al Estado. El 28 de marzo de 2012 el  Estado  envió</w:t>
        <w:br/>
        <w:t xml:space="preserve">     algunos de los documentos requeridos y solicitó una prórroga  para  los</w:t>
        <w:br/>
        <w:t xml:space="preserve">     demás. El plazo adicional fue otorgado y el 17  de  abril  de  2012  el</w:t>
        <w:br/>
        <w:t xml:space="preserve">     Estado entregó los documentos que faltaban.</w:t>
        <w:br/>
        <w:br/>
        <w:br/>
        <w:t xml:space="preserve"> 46. En su escrito de observaciones  a  las  excepciones  preliminares,  los</w:t>
        <w:br/>
        <w:t xml:space="preserve">     representantes resaltaron que algunos  anexos[44]  presentados  por  el</w:t>
        <w:br/>
        <w:t xml:space="preserve">     Estado no  serían  pruebas.  La  Corte  considera  que  varios  de  los</w:t>
        <w:br/>
        <w:t xml:space="preserve">     documentos presentados  por  el  Estado  efectivamente  no  constituyen</w:t>
        <w:br/>
        <w:t xml:space="preserve">     medios probatorios, por lo que  no  serán  valorados  como  tales  sino</w:t>
        <w:br/>
        <w:t xml:space="preserve">     únicamente como parte de los alegatos del Estado.</w:t>
        <w:br/>
        <w:br/>
        <w:br/>
        <w:t xml:space="preserve"> 47. Mediante Resolución del Presidente de 5 de junio de 2012  (supra  párr.</w:t>
        <w:br/>
        <w:t xml:space="preserve">     11),  se  solicitó  al  Estado  que  presentara  copia  de  determinada</w:t>
        <w:br/>
        <w:t xml:space="preserve">     documentación requerida por los representantes[45].  La  Corte  observa</w:t>
        <w:br/>
        <w:t xml:space="preserve">     que el 27 de junio de 2012 el Estado presentó  solo  una  parte  de  la</w:t>
        <w:br/>
        <w:t xml:space="preserve">     documentación requerida[46].</w:t>
        <w:br/>
        <w:br/>
        <w:br/>
        <w:t xml:space="preserve"> 48. Por otro lado, en su contestación el Estado solicitó a la Corte:</w:t>
        <w:br/>
        <w:br/>
        <w:br/>
        <w:t xml:space="preserve">   “1. […] que oficie a la Corte Suprema de Justicia de Colombia a que se</w:t>
        <w:br/>
        <w:t xml:space="preserve">   expida copia de todo el proceso penal adelantado por los hechos</w:t>
        <w:br/>
        <w:t xml:space="preserve">   ocurridos en Santo Domingo el 13 de diciembre de 1998 en contra de los</w:t>
        <w:br/>
        <w:t xml:space="preserve">   pilotos.</w:t>
        <w:br/>
        <w:br/>
        <w:br/>
        <w:t xml:space="preserve">   2. […] que en caso de que considere necesario allegar las copias</w:t>
        <w:br/>
        <w:t xml:space="preserve">   auténticas de los documentos que el Estado colombiano presenta como</w:t>
        <w:br/>
        <w:t xml:space="preserve">   pruebas y que reposan en el expediente del proceso penal adelantado en</w:t>
        <w:br/>
        <w:t xml:space="preserve">   contra de los tripulantes de la aeronave UH1H, se oficie a la Corte</w:t>
        <w:br/>
        <w:t xml:space="preserve">   Suprema de Justicia Colombiana para el envío de copia aut[é]ntica de las</w:t>
        <w:br/>
        <w:t xml:space="preserve">   piezas procesales, tal y como lo hizo el Estado Colombiano el 31 de</w:t>
        <w:br/>
        <w:t xml:space="preserve">   enero de 2012”, y</w:t>
        <w:br/>
        <w:br/>
        <w:br/>
        <w:t xml:space="preserve">   “3. […] que en caso de que considere necesario tener copias auténticas</w:t>
        <w:br/>
        <w:t xml:space="preserve">   de los procesos adelantados ante la Procuraduría General de la Nación y</w:t>
        <w:br/>
        <w:t xml:space="preserve">   ante el Consejo de Estado, oficie a esas entidades para tramitar el</w:t>
        <w:br/>
        <w:t xml:space="preserve">   envío de dichas piezas procesales”.</w:t>
        <w:br/>
        <w:br/>
        <w:br/>
        <w:t xml:space="preserve"> 49. Al respecto, en el párrafo 39 de la referida Resolución de 5  de  junio</w:t>
        <w:br/>
        <w:t xml:space="preserve">     de 2012 el Presidente indicó que “en su  debida  oportunidad  la  Corte</w:t>
        <w:br/>
        <w:t xml:space="preserve">     decidiría  acerca  de  la  pertinencia  de  requerir  la  documentación</w:t>
        <w:br/>
        <w:t xml:space="preserve">     referida por el Estado [en el párrafo considerativo 38 de  la  misma]”,</w:t>
        <w:br/>
        <w:t xml:space="preserve">     transcrita en el párrafo anterior.</w:t>
        <w:br/>
        <w:br/>
        <w:br/>
        <w:t xml:space="preserve"> 50. El 28 de junio de 2012 el Estado remitió, por iniciativa propia, copias</w:t>
        <w:br/>
        <w:t xml:space="preserve">     de “la integralidad del expediente penal”. Mediante nota de  Secretaría</w:t>
        <w:br/>
        <w:t xml:space="preserve">     de 4 de julio de 2012 se hizo notar que el Presidente del  Tribunal  no</w:t>
        <w:br/>
        <w:t xml:space="preserve">     requirió, en la referida Resolución, la documentación  señalada  en  el</w:t>
        <w:br/>
        <w:t xml:space="preserve">     párrafo considerativo  38  de  la  misma.  En  consecuencia,  siguiendo</w:t>
        <w:br/>
        <w:t xml:space="preserve">     instrucciones del Pleno del Tribunal, se transmitió en esa  oportunidad</w:t>
        <w:br/>
        <w:t xml:space="preserve">     la documentación remitida por el Estado, en  el  entendido  de  que  la</w:t>
        <w:br/>
        <w:t xml:space="preserve">     admisibilidad de la misma sería  determinada  en  el  momento  procesal</w:t>
        <w:br/>
        <w:t xml:space="preserve">     oportuno.  Si  bien  esta  documentación  fue  presentada   de   manera</w:t>
        <w:br/>
        <w:t xml:space="preserve">     extemporánea, pues el Estado tuvo la oportunidad de  presentarla  junto</w:t>
        <w:br/>
        <w:t xml:space="preserve">     con su contestación si la estimaba útil y necesaria para demostrar  sus</w:t>
        <w:br/>
        <w:t xml:space="preserve">     argumentos, y puesto que tampoco fue  requerida  por  el  Tribunal,  la</w:t>
        <w:br/>
        <w:t xml:space="preserve">     misma es incorporada al expediente del presente caso en la  medida  que</w:t>
        <w:br/>
        <w:t xml:space="preserve">     algunos de los documentos allí contenidos fueron referenciados por  las</w:t>
        <w:br/>
        <w:t xml:space="preserve">     partes en sus escritos, o en  otra  prueba  aportada  oportunamente,  y</w:t>
        <w:br/>
        <w:t xml:space="preserve">     pueden ser útiles para resolver este caso.</w:t>
        <w:br/>
        <w:br/>
        <w:br/>
        <w:t xml:space="preserve"> 51. Por otro lado, los representantes remitieron, como anexo a sus alegatos</w:t>
        <w:br/>
        <w:t xml:space="preserve">     finales escritos, una resolución que habría emitido la Fiscalía General</w:t>
        <w:br/>
        <w:t xml:space="preserve">     de la Nación de Colombia el 24 de julio de 2012 en relación con lo  que</w:t>
        <w:br/>
        <w:t xml:space="preserve">     consideran un hecho superviniente. El Estado solicitó a  la  Corte  que</w:t>
        <w:br/>
        <w:t xml:space="preserve">     dicho documento sea incorporado y presentó sus propias  consideraciones</w:t>
        <w:br/>
        <w:t xml:space="preserve">     sobre el valor o alcances probatorios de esa resolución. Este documento</w:t>
        <w:br/>
        <w:t xml:space="preserve">     se incorpora al expediente y será valorado en conjunto  con  el  acervo</w:t>
        <w:br/>
        <w:t xml:space="preserve">     probatorio y en lo pertinente para el presente caso. Los  demás  anexos</w:t>
        <w:br/>
        <w:t xml:space="preserve">     presentados  por  los  representantes  con  los  alegatos  finales  son</w:t>
        <w:br/>
        <w:t xml:space="preserve">     inadmisibles, por no haber sido  presentados  en  el  momento  procesal</w:t>
        <w:br/>
        <w:t xml:space="preserve">     oportuno, sin justificarse en alguna de las causales  previstas  en  el</w:t>
        <w:br/>
        <w:t xml:space="preserve">     artículo 57.2 del Reglamento y únicamente serán tomados en  cuenta,  en</w:t>
        <w:br/>
        <w:t xml:space="preserve">     lo pertinente, como parte de sus alegatos.</w:t>
        <w:br/>
        <w:br/>
        <w:br/>
        <w:br/>
        <w:br/>
        <w:br/>
        <w:t xml:space="preserve">      C. Admisión de las declaraciones de las presuntas víctimas y de la</w:t>
        <w:br/>
        <w:t xml:space="preserve">      prueba testimonial y pericial</w:t>
        <w:br/>
        <w:br/>
        <w:br/>
        <w:t xml:space="preserve"> 52. Asimismo, la Corte admite como pruebas las declaraciones  y  dictámenes</w:t>
        <w:br/>
        <w:t xml:space="preserve">     rendidos por las presuntas víctimas y por los peritos en  la  audiencia</w:t>
        <w:br/>
        <w:t xml:space="preserve">     pública y mediante declaraciones juradas y, por ende, su valoración  se</w:t>
        <w:br/>
        <w:t xml:space="preserve">     hará en conjunto con los demás elementos del acervo probatorio[47].</w:t>
        <w:br/>
        <w:br/>
        <w:br/>
        <w:br/>
        <w:br/>
        <w:br/>
        <w:t xml:space="preserve">                                     VI</w:t>
        <w:br/>
        <w:br/>
        <w:t xml:space="preserve">                                   HECHOS</w:t>
        <w:br/>
        <w:br/>
        <w:br/>
        <w:br/>
        <w:br/>
        <w:t xml:space="preserve">      A. Contexto en el Departamento de Arauca</w:t>
        <w:br/>
        <w:br/>
        <w:br/>
        <w:t xml:space="preserve"> 53. El departamento de Arauca se encuentra en el  nororiente  de  Colombia,</w:t>
        <w:br/>
        <w:t xml:space="preserve">     limita con Venezuela, y se  encuentra  dividido  en  siete  municipios:</w:t>
        <w:br/>
        <w:t xml:space="preserve">     Arauca, Arauquita, Saravena, Cravo Norte, Fortul, Puerto Rondón y Tame.</w:t>
        <w:br/>
        <w:t xml:space="preserve">     El Municipio de Tame se localiza  en  el  extremo  sur  occidental  del</w:t>
        <w:br/>
        <w:t xml:space="preserve">     departamento, donde confluyen dos ejes viales principales; la  ruta  de</w:t>
        <w:br/>
        <w:t xml:space="preserve">     los libertadores (Bogotá-Tuna-Tame-Arauca-Caracas)  y  la  troncal  del</w:t>
        <w:br/>
        <w:t xml:space="preserve">     llano   (Bogotá-Villavicencio-Yopal-Tame-Saravena).    Además,    dicho</w:t>
        <w:br/>
        <w:t xml:space="preserve">     Municipio es el punto  de  distribución  del  tráfico  terrestre  hacia</w:t>
        <w:br/>
        <w:t xml:space="preserve">     Puerto Rondón, Cravo Norte y Fortul[48]. En este  último  municipio  se</w:t>
        <w:br/>
        <w:t xml:space="preserve">     encuentra la vereda de Santo Domingo[49].</w:t>
        <w:br/>
        <w:br/>
        <w:br/>
        <w:t xml:space="preserve"> 54. En el año 1998 la vereda de Santo Domingo era una población de la  zona</w:t>
        <w:br/>
        <w:t xml:space="preserve">     rural del municipio de Tame de 247 personas agrupadas en unas 47  casas</w:t>
        <w:br/>
        <w:t xml:space="preserve">     ubicadas[50] a la orilla de la carretera  que  conduce  de  Tame  a  la</w:t>
        <w:br/>
        <w:t xml:space="preserve">     capital del departamento[51].</w:t>
        <w:br/>
        <w:br/>
        <w:t xml:space="preserve"> 55. En lo que se  refiere  a  los  aspectos  vinculados  con  la  geografía</w:t>
        <w:br/>
        <w:t xml:space="preserve">     económica, no hay controversia en torno al hecho de que la  explotación</w:t>
        <w:br/>
        <w:t xml:space="preserve">     petrolera es una de las  actividades  económicas  más  importantes  del</w:t>
        <w:br/>
        <w:t xml:space="preserve">     departamento[52].  En  1983  la  transnacional   Occidental   Petroleum</w:t>
        <w:br/>
        <w:t xml:space="preserve">     Corporation (en adelante “OXY”) descubrió  el  yacimiento  de  petróleo</w:t>
        <w:br/>
        <w:t xml:space="preserve">     Caño Limón[53]. Desde su descubrimiento la OXY opera el campo  de  Caño</w:t>
        <w:br/>
        <w:t xml:space="preserve">     Limón, cuyo petróleo es transportado a través del oleoducto Caño  Limón</w:t>
        <w:br/>
        <w:t xml:space="preserve">     – Coveñas el cual  es  operado  por  la  empresa  colombiana  ECOPETROL</w:t>
        <w:br/>
        <w:t xml:space="preserve">     S.A.[54].</w:t>
        <w:br/>
        <w:br/>
        <w:t xml:space="preserve"> 56. Tampoco ha sido controvertido que el conflicto armado  en  Arauca  está</w:t>
        <w:br/>
        <w:t xml:space="preserve">     íntimamente ligado a las finanzas derivadas del petróleo y la ubicación</w:t>
        <w:br/>
        <w:t xml:space="preserve">     del oleoducto Caño Limón-Coveñas[55], siendo además zona de tránsito de</w:t>
        <w:br/>
        <w:t xml:space="preserve">     las mercancías y productos con destino a  Venezuela,  tanto  de  origen</w:t>
        <w:br/>
        <w:t xml:space="preserve">     lícito como ilícito[56]. Estos factores hacen de esta región  una  zona</w:t>
        <w:br/>
        <w:t xml:space="preserve">     de importancia estratégica, los que han facilitado  el  establecimiento</w:t>
        <w:br/>
        <w:t xml:space="preserve">     de grupos armados ilegales desde los años 1980[57].</w:t>
        <w:br/>
        <w:br/>
        <w:br/>
        <w:t xml:space="preserve"> 57.  Según  alegaron  los  representantes,  observó  la  Comisión,  y   fue</w:t>
        <w:br/>
        <w:t xml:space="preserve">     reconocido por el Estado, en 1998 existía una  situación  de  violencia</w:t>
        <w:br/>
        <w:t xml:space="preserve">     generalizada en el departamento de Arauca,  que  afectaba  tanto  a  la</w:t>
        <w:br/>
        <w:t xml:space="preserve">     población civil como a las autoridades civiles[58]. Además, durante  la</w:t>
        <w:br/>
        <w:t xml:space="preserve">     década de los noventa se dio un incremento de la militarización  en  el</w:t>
        <w:br/>
        <w:t xml:space="preserve">     Departamento de Arauca[59].</w:t>
        <w:br/>
        <w:br/>
        <w:br/>
        <w:t xml:space="preserve"> 58.  De  acuerdo  con  el  Observatorio  de  Derechos  Humanos  y   Derecho</w:t>
        <w:br/>
        <w:t xml:space="preserve">     Internacional Humanitario de la Vicepresidencia  de  la  República,  la</w:t>
        <w:br/>
        <w:t xml:space="preserve">     guerrilla del Ejército de  Liberación  Nacional  (en  adelante  también</w:t>
        <w:br/>
        <w:t xml:space="preserve">     “ELN”) se asentó en Arauca como uno de los principales escenarios de su</w:t>
        <w:br/>
        <w:t xml:space="preserve">     accionar en la mitad de los años setenta, mientras que la guerrilla  de</w:t>
        <w:br/>
        <w:t xml:space="preserve">     las FARC arribó a ese departamento a comienzos de los años noventa[60].</w:t>
        <w:br/>
        <w:br/>
        <w:br/>
        <w:br/>
        <w:br/>
        <w:t xml:space="preserve"> 59. En julio de 1980 Ecopetrol y OXY suscribieron el contrato de asociación</w:t>
        <w:br/>
        <w:t xml:space="preserve">     Cravo Norte, para la exploración y explotación de hidrocarburos  en  el</w:t>
        <w:br/>
        <w:t xml:space="preserve">     Departamento de Arauca[61]. Es un hecho no controvertido que,  ante  la</w:t>
        <w:br/>
        <w:t xml:space="preserve">     difícil situación de  orden  público  que  afectaba  la  operación  del</w:t>
        <w:br/>
        <w:t xml:space="preserve">     oleoducto, el 12 de septiembre de 1996 Ecopetrol y OXY (como Asociación</w:t>
        <w:br/>
        <w:t xml:space="preserve">     Cravo Norte), suscribieron un acuerdo de colaboración mediante el  cual</w:t>
        <w:br/>
        <w:t xml:space="preserve">     las empresas extractivas se comprometían a proporcionar ayuda económica</w:t>
        <w:br/>
        <w:t xml:space="preserve">     para apoyar a las unidades de la XVIII Brigada[62].</w:t>
        <w:br/>
        <w:br/>
        <w:br/>
        <w:br/>
        <w:br/>
        <w:br/>
        <w:br/>
        <w:t xml:space="preserve">      B.    Hechos que precedieron al bombardeo del 13 de diciembre de 1998</w:t>
        <w:br/>
        <w:br/>
        <w:br/>
        <w:t xml:space="preserve"> 60. El 12 de diciembre de 1998 se llevaba a cabo  en  la  vereda  de  Santo</w:t>
        <w:br/>
        <w:t xml:space="preserve">     Domingo un “bazar”[63], en el marco del  cual  se  realizaron  diversos</w:t>
        <w:br/>
        <w:t xml:space="preserve">     eventos deportivos[64]. Por ello, los  representantes  precisaron,  sin</w:t>
        <w:br/>
        <w:t xml:space="preserve">     que fuera controvertido por el Estado, que además de los lugareños,  se</w:t>
        <w:br/>
        <w:t xml:space="preserve">     encontraban presentes visitantes de poblaciones cercanas[65].</w:t>
        <w:br/>
        <w:br/>
        <w:br/>
        <w:t xml:space="preserve"> 61. Además, es un hecho no controvertido que  ese  mismo  día  las  Fuerzas</w:t>
        <w:br/>
        <w:t xml:space="preserve">     Armadas tomaron conocimiento de que  una  avioneta  Cessna  aterrizaría</w:t>
        <w:br/>
        <w:t xml:space="preserve">     aquel día con dinero o  armas  para  actividades  de  narcotráfico[66],</w:t>
        <w:br/>
        <w:t xml:space="preserve">     hecho que tuvo efectivamente lugar sobre la carretera que conduce de la</w:t>
        <w:br/>
        <w:t xml:space="preserve">     vereda de  Santo  Domingo  a  Panamá  de  Arauca  o  Pueblo  Nuevo[67].</w:t>
        <w:br/>
        <w:t xml:space="preserve">     Posteriormente, una vez aterrizada la  avioneta,  tropas  del  Batallón</w:t>
        <w:br/>
        <w:t xml:space="preserve">     Contraguerrilla No. 36 y Unidades de la  Fuerza  Aérea  “procedieron  a</w:t>
        <w:br/>
        <w:t xml:space="preserve">     inmovilizar la avioneta, pero la  operación  fue  interrumpida  por  un</w:t>
        <w:br/>
        <w:t xml:space="preserve">     grupo de bandoleros [(guerrilleros)] que  se  enfrentaron  a  la  tropa</w:t>
        <w:br/>
        <w:t xml:space="preserve">     empleando armamento de largo alcance […]”[68]. Como consecuencia de  lo</w:t>
        <w:br/>
        <w:t xml:space="preserve">     anterior,  las  Fuerzas  Armadas  planearon   una   operación   militar</w:t>
        <w:br/>
        <w:t xml:space="preserve">     aerotransportada[69]. En el marco de la misma, la Décima Octava Brigada</w:t>
        <w:br/>
        <w:t xml:space="preserve">     del  Ejército  Nacional  y  el  Batallón  Contraguerrilla  No.  36,  en</w:t>
        <w:br/>
        <w:t xml:space="preserve">     ejecución  de  las  operaciones  militares  denominadas  “Relámpago”  y</w:t>
        <w:br/>
        <w:t xml:space="preserve">     “Pantera”, respectivamente, iniciaron  una  operación  militar  que  se</w:t>
        <w:br/>
        <w:t xml:space="preserve">     prolongó durante varios días[70].</w:t>
        <w:br/>
        <w:br/>
        <w:br/>
        <w:t xml:space="preserve"> 62. Es un hecho no controvertido que, en el marco del diseño y organización</w:t>
        <w:br/>
        <w:t xml:space="preserve">     del operativo, se llevó a cabo un “briefing” en el seno  de  la  Fuerza</w:t>
        <w:br/>
        <w:t xml:space="preserve">     Aérea, en el cual  se  sostuvieron  discusiones  de  planificación[71],</w:t>
        <w:br/>
        <w:t xml:space="preserve">     tales como lo relativo  a  la  definición  de  los  medios  que  serían</w:t>
        <w:br/>
        <w:t xml:space="preserve">     utilizados en el mismo. Específicamente, se dispuso la  utilización  de</w:t>
        <w:br/>
        <w:t xml:space="preserve">     varias aeronaves, una de ellas cargada con un dispositivo  cluster  AN-</w:t>
        <w:br/>
        <w:t xml:space="preserve">     M1A2.</w:t>
        <w:br/>
        <w:br/>
        <w:br/>
        <w:t xml:space="preserve"> 63. El dispositivo cluster o municiones racimo (“cluster bombs”)  tipo  AN-</w:t>
        <w:br/>
        <w:t xml:space="preserve">     M1A2[72], es de fabricación estadounidense,  mediría  46.6  pulgadas  y</w:t>
        <w:br/>
        <w:t xml:space="preserve">     pesaría 128 libras[73] y está compuesto por seis granadas o  bombas  de</w:t>
        <w:br/>
        <w:t xml:space="preserve">     fragmentación AN-M41A1 de 20  libras  cada  una,  sujetas  mediante  un</w:t>
        <w:br/>
        <w:t xml:space="preserve">     adaptador de desprendimiento rápido[74] y cuyo propósito  es  el  mismo</w:t>
        <w:br/>
        <w:t xml:space="preserve">     que el de una bomba de fragmentación, a saber, atacar personas o carros</w:t>
        <w:br/>
        <w:t xml:space="preserve">     ligeros[75]. Estas granadas o bombas de fragmentación  están  diseñadas</w:t>
        <w:br/>
        <w:t xml:space="preserve">     para lanzamiento aire–tierra desde una aeronave[76] y  cuando  explotan</w:t>
        <w:br/>
        <w:t xml:space="preserve">     se fragmentan en esquirlas que se esparcen[77]. Según señala el  manual</w:t>
        <w:br/>
        <w:t xml:space="preserve">     técnico del artefacto, para un  lanzamiento  del  dispositivo  en  bajo</w:t>
        <w:br/>
        <w:t xml:space="preserve">     nivel con  un  ángulo  de  75º  para  impacto,  el  alcance  máximo  de</w:t>
        <w:br/>
        <w:t xml:space="preserve">     dispersión no excede los 30 metros, y superada  la  distancia  de  13.4</w:t>
        <w:br/>
        <w:t xml:space="preserve">     metros, los impactos no tienen efectos mortales[78].  Sin  embargo,  es</w:t>
        <w:br/>
        <w:t xml:space="preserve">     importante resaltar que, de la prueba aportada se  puede  concluir  que</w:t>
        <w:br/>
        <w:t xml:space="preserve">     los efectos de las mismas varían en función de la  velocidad  remanente</w:t>
        <w:br/>
        <w:t xml:space="preserve">     de la bomba al momento de su impacto, ángulo de  caída[79],  altura  de</w:t>
        <w:br/>
        <w:t xml:space="preserve">     detonación y la naturaleza del suelo donde impacta[80]. Al respecto, la</w:t>
        <w:br/>
        <w:t xml:space="preserve">     Corte observa que  en  el  estudio  balístico  de  las  diligencias  de</w:t>
        <w:br/>
        <w:t xml:space="preserve">     inspección con prueba de campo realizada en la base aérea de  Apiay  el</w:t>
        <w:br/>
        <w:t xml:space="preserve">     12 de agosto de 2003, en  las  cuales  se  efectuaron  lanzamientos  de</w:t>
        <w:br/>
        <w:t xml:space="preserve">     artefactos similares al que  fuera  utilizado  en  los  enfrentamientos</w:t>
        <w:br/>
        <w:t xml:space="preserve">     cerca de Santo Domingo,  se  pudo  constatar  que  se  habían  recogido</w:t>
        <w:br/>
        <w:t xml:space="preserve">     fragmentos de las bombas “a 100 metros alrededor [de] cada una  de  los</w:t>
        <w:br/>
        <w:t xml:space="preserve">     seis cráteres”[81].</w:t>
        <w:br/>
        <w:br/>
        <w:br/>
        <w:t xml:space="preserve"> 64. Es también un hecho no controvertido que, cerca de las 16:00  horas  de</w:t>
        <w:br/>
        <w:t xml:space="preserve">     aquel día, varias aeronaves sobrevolaron la zona mientras se efectuaban</w:t>
        <w:br/>
        <w:t xml:space="preserve">     disparos en zonas muy cercanas al caserío de Santo Domingo[82] La Corte</w:t>
        <w:br/>
        <w:t xml:space="preserve">     observa que en la orden de operaciones “Pantera” del 12 de diciembre de</w:t>
        <w:br/>
        <w:t xml:space="preserve">     1998 el Comandante del Batallón Contraguerrilla No.  36  Mayor  J.M.G.,</w:t>
        <w:br/>
        <w:t xml:space="preserve">     determinó como misión “desarrollar operaciones de  registro  y  control</w:t>
        <w:br/>
        <w:t xml:space="preserve">     militar de área en el sector aledaño al caserío de  Santo  Domingo  […]</w:t>
        <w:br/>
        <w:t xml:space="preserve">     con el propósito de capturar al grupo subversivo  que  delinque  en  el</w:t>
        <w:br/>
        <w:t xml:space="preserve">     sector”[83].</w:t>
        <w:br/>
        <w:br/>
        <w:t xml:space="preserve"> 65. Asimismo, no fue controvertido por el Estado que fue emitida una  orden</w:t>
        <w:br/>
        <w:t xml:space="preserve">     de operaciones fragmentaria “Pantera II” de la misma fecha, en la  cual</w:t>
        <w:br/>
        <w:t xml:space="preserve">     el Comandante señaló que dicha operación “consist[ía] en  efectuar  una</w:t>
        <w:br/>
        <w:t xml:space="preserve">     operación  ofensiva  de  contraguerrillas  realizando   un   movimiento</w:t>
        <w:br/>
        <w:t xml:space="preserve">     aerotransportado […] hasta llegar  al  área  de  Santo  Domingo”  y  se</w:t>
        <w:br/>
        <w:t xml:space="preserve">     dispuso realizar operaciones ofensivas de contraguerrillas de ocupación</w:t>
        <w:br/>
        <w:t xml:space="preserve">     y registro militar del área en el sector de Santo Domingo, municipio de</w:t>
        <w:br/>
        <w:t xml:space="preserve">     Tame, a partir del día 13 de diciembre de 1998 a las 06:00 am[84].</w:t>
        <w:br/>
        <w:br/>
        <w:br/>
        <w:t xml:space="preserve"> 66. Consta en la prueba aportada y en los  alegatos  presentados,  que  los</w:t>
        <w:br/>
        <w:t xml:space="preserve">     disparos se intensificaron en la noche, pararon en la  madrugada  y  se</w:t>
        <w:br/>
        <w:t xml:space="preserve">     reanudaron el 13 de diciembre  de  1998  aproximadamente  a  las  05:30</w:t>
        <w:br/>
        <w:t xml:space="preserve">     am[85].</w:t>
        <w:br/>
        <w:br/>
        <w:br/>
        <w:t xml:space="preserve"> 67. Los representantes  agregaron,  sin  que  fuera  controvertido  por  el</w:t>
        <w:br/>
        <w:t xml:space="preserve">     Estado, que  debido  a  la  proximidad  de  las  hostilidades,  quienes</w:t>
        <w:br/>
        <w:t xml:space="preserve">     asistieron  a  un  partido  de  fútbol  debieron  pernoctar  en   Santo</w:t>
        <w:br/>
        <w:t xml:space="preserve">     Domingo[86].  Como  medida  preventiva,  durante   la   noche   algunos</w:t>
        <w:br/>
        <w:t xml:space="preserve">     habitantes encendieron las  luces  para  identificarse  como  población</w:t>
        <w:br/>
        <w:t xml:space="preserve">     civil[87].</w:t>
        <w:br/>
        <w:br/>
        <w:br/>
        <w:br/>
        <w:br/>
        <w:br/>
        <w:br/>
        <w:br/>
        <w:br/>
        <w:t xml:space="preserve">        C. El bombardeo a la vereda de Santo Domingo el 13 de  diciembre  de</w:t>
        <w:br/>
        <w:t xml:space="preserve">        1998 y hechos posteriores</w:t>
        <w:br/>
        <w:br/>
        <w:br/>
        <w:t xml:space="preserve">                  C.1. Hechos no controvertidos</w:t>
        <w:br/>
        <w:br/>
        <w:br/>
        <w:t xml:space="preserve"> 68. Es un hecho no controvertido que el 13  de  diciembre  de  1998  varias</w:t>
        <w:br/>
        <w:t xml:space="preserve">     aeronaves sobrevolaban los alrededores de Santo Domingo en horas de  la</w:t>
        <w:br/>
        <w:t xml:space="preserve">     mañana y en mayor número a partir  de  las  09:00  am[88],  las  cuales</w:t>
        <w:br/>
        <w:t xml:space="preserve">     posteriormente fueron identificadas así: i) helicóptero Black  Hawk  UH</w:t>
        <w:br/>
        <w:t xml:space="preserve">     60L artillado, bajo el mando del Mayor S.G. (nombre de identificación o</w:t>
        <w:br/>
        <w:t xml:space="preserve">     “call sign”: “Arpía”); ii) helicóptero UH1H  4407  que  portaba  bombas</w:t>
        <w:br/>
        <w:t xml:space="preserve">     cluster, piloteado por el Teniente C.R.P. (nombre de  identificación  o</w:t>
        <w:br/>
        <w:t xml:space="preserve">     call sign: “Lechuza”); iii) helicóptero Hughes–500 artillado, al  mando</w:t>
        <w:br/>
        <w:t xml:space="preserve">     del Teniente L.S. (nombre de identificación o call sign: “Hunter”); iv)</w:t>
        <w:br/>
        <w:t xml:space="preserve">     avión Skymaster tripulado por dos extranjeros y el Capitán de la Fuerza</w:t>
        <w:br/>
        <w:t xml:space="preserve">     Aérea  Colombiana  C.G.  (nombre  de  identificación   o   call   sign:</w:t>
        <w:br/>
        <w:t xml:space="preserve">     “Gavilán”); v) helicóptero  UH  60,  piloteado  por  el  Capitán  R.G.G</w:t>
        <w:br/>
        <w:t xml:space="preserve">     (nombre de identificación o call sign: “Spock”), y vi)  helicóptero  MI</w:t>
        <w:br/>
        <w:t xml:space="preserve">     17  de  la  empresa  Heliandes  piloteado  por  un  civil  (nombre   de</w:t>
        <w:br/>
        <w:t xml:space="preserve">     identificación o call sign:  “Pegasso”)[89].  En  su  contestación,  el</w:t>
        <w:br/>
        <w:t xml:space="preserve">     Estado reconoció que el Helicóptero UH1H portaba un dispositivo cluster</w:t>
        <w:br/>
        <w:t xml:space="preserve">     de tipo AN-M1A2.</w:t>
        <w:br/>
        <w:br/>
        <w:br/>
        <w:t xml:space="preserve"> 69. Tampoco ha sido controvertido que en el marco de las operaciones que se</w:t>
        <w:br/>
        <w:t xml:space="preserve">     presentaban  en  la  zona,  a  las  10:02:09  am,  la  tripulación  del</w:t>
        <w:br/>
        <w:t xml:space="preserve">     helicóptero UH1H 4407 de la Fuerza Aérea Colombiana  integrada  por  el</w:t>
        <w:br/>
        <w:t xml:space="preserve">     piloto Teniente C.R.P., el copiloto Teniente J.J.V. y el técnico de  la</w:t>
        <w:br/>
        <w:t xml:space="preserve">     aeronave H.M.H.A., lanzó un dispositivo cluster (“AN-M1A2”)[90].</w:t>
        <w:br/>
        <w:br/>
        <w:t xml:space="preserve"> 70. Del mismo modo no fue controvertido que, de los sucesos ocurridos entre</w:t>
        <w:br/>
        <w:t xml:space="preserve">     el 12 y 14  de  diciembre  en  Santo  Domingo,  resultaron  muertas  17</w:t>
        <w:br/>
        <w:t xml:space="preserve">     personas[91], de las cuales 6 eran niños y niñas, y a su vez, según  el</w:t>
        <w:br/>
        <w:t xml:space="preserve">     Informe  de  Fondo  de   la   Comisión[92],   resultaron   heridas   27</w:t>
        <w:br/>
        <w:t xml:space="preserve">     personas[93], entre ellas 10 niñas y niños[94].</w:t>
        <w:br/>
        <w:br/>
        <w:br/>
        <w:t xml:space="preserve">           C.2. Hechos controvertidos</w:t>
        <w:br/>
        <w:br/>
        <w:br/>
        <w:t xml:space="preserve"> 71. En cuanto a los demás hechos específicos en torno al presunto bombardeo</w:t>
        <w:br/>
        <w:t xml:space="preserve">     a la vereda de Santo Domingo del 13 de  diciembre  de  1998,  la  Corte</w:t>
        <w:br/>
        <w:t xml:space="preserve">     observa que, según lo alegado por las partes  y  lo  concluido  por  la</w:t>
        <w:br/>
        <w:t xml:space="preserve">     Comisión, se desprende que hay dos versiones de lo ocurrido.</w:t>
        <w:br/>
        <w:br/>
        <w:br/>
        <w:t xml:space="preserve"> 72. Por un lado, los testimonios de pobladores de Santo Domingo señalan que</w:t>
        <w:br/>
        <w:t xml:space="preserve">     el dispositivo cluster AN-M1A2 fue lanzado sobre la zona urbana  de  la</w:t>
        <w:br/>
        <w:t xml:space="preserve">     vereda de Santo Domingo[95]. Dicha hipótesis se sustentaría  además  en</w:t>
        <w:br/>
        <w:t xml:space="preserve">     el dictamen de inspección y estudio de balística  y  explosivos  de  la</w:t>
        <w:br/>
        <w:t xml:space="preserve">     Fiscalía General de la Nación, según la cual “luego de comparar algunos</w:t>
        <w:br/>
        <w:t xml:space="preserve">     de los  fragmentos  recuperados  en  inspecciones  judiciales  a  Santo</w:t>
        <w:br/>
        <w:t xml:space="preserve">     Domingo y  en  las  necropsias  de  algunas  de  las  víctimas  de  las</w:t>
        <w:br/>
        <w:t xml:space="preserve">     explosiones del 13 de diciembre de 1998, con las  piezas  constitutivas</w:t>
        <w:br/>
        <w:t xml:space="preserve">     de las bombas AN–M1A2 del dispositivo cluster se observó compatibilidad</w:t>
        <w:br/>
        <w:t xml:space="preserve">     y correspondencia de su morfología  y  dimensiones  entre  los  mismos,</w:t>
        <w:br/>
        <w:t xml:space="preserve">     específicamente  con  el  cordón  o  anillos  de  hierro  que  recubren</w:t>
        <w:br/>
        <w:t xml:space="preserve">     longitudinalmente el cuerpo de este tipo de  bombas.  Igualmente  otros</w:t>
        <w:br/>
        <w:t xml:space="preserve">     fragmentos de constitución de aluminio y latón recuperados en el  sitio</w:t>
        <w:br/>
        <w:t xml:space="preserve">     de los hechos […] corresponden a la  cabeza  o  nariz  de  la  espoleta</w:t>
        <w:br/>
        <w:t xml:space="preserve">     AN–M1A2  […]”[96].  Esa  hipótesis  se  sustentaría  también   en   las</w:t>
        <w:br/>
        <w:t xml:space="preserve">     conclusiones de la sentencia del Juzgado Doce  Penal  del  Circuito  de</w:t>
        <w:br/>
        <w:t xml:space="preserve">     Conocimiento de Bogotá D.C, en la cual se  declaró  responsable  a  los</w:t>
        <w:br/>
        <w:t xml:space="preserve">     pilotos del helicóptero UH1H 4407 de la FAC[97], que  fuera  confirmada</w:t>
        <w:br/>
        <w:t xml:space="preserve">     por el tribunal Superior Distrito judicial  de  Bogotá[98],  y  en  las</w:t>
        <w:br/>
        <w:t xml:space="preserve">     providencias en el fuero  contencioso  administrativo  que  se  refiere</w:t>
        <w:br/>
        <w:t xml:space="preserve">     integralmente a lo actuado  en  sede  penal[99].  Del  mismo  modo,  el</w:t>
        <w:br/>
        <w:t xml:space="preserve">     proceso disciplinario arrojó los mismos resultados  y  sancionó  a  los</w:t>
        <w:br/>
        <w:t xml:space="preserve">     imputados por los hechos de Santo Domingo[100].</w:t>
        <w:br/>
        <w:br/>
        <w:br/>
        <w:t xml:space="preserve"> 73. Por otro lado, surge una segunda versión de los hechos que se desprende</w:t>
        <w:br/>
        <w:t xml:space="preserve">     de las declaraciones de miembros de la Fuerza Área[101] y según la cual</w:t>
        <w:br/>
        <w:t xml:space="preserve">     la Fuerza Aérea lanzó una bomba ligera, pero no sobre el  caserío  sino</w:t>
        <w:br/>
        <w:t xml:space="preserve">     en una mata de monte a más de 500  metros  de  la  población  de  Santo</w:t>
        <w:br/>
        <w:t xml:space="preserve">     Domingo[102]. Además, según esta hipótesis,  las  víctimas  civiles  lo</w:t>
        <w:br/>
        <w:t xml:space="preserve">     fueron por acción de un artefacto explosivo instalado por  miembros  de</w:t>
        <w:br/>
        <w:t xml:space="preserve">     las  FARC  en  el  cofre  de  un  camión  en  la  calle  principal  del</w:t>
        <w:br/>
        <w:t xml:space="preserve">     caserío[103], por lo cual la muerte y las heridas de las personas antes</w:t>
        <w:br/>
        <w:t xml:space="preserve">     relacionadas no pudo ser causada por  el  Estado[104].  Cabe  resaltar,</w:t>
        <w:br/>
        <w:t xml:space="preserve">     asimismo, que en el proceso penal se presentaron dos versiones  de  los</w:t>
        <w:br/>
        <w:t xml:space="preserve">     militares sobre los hechos del caso: las que negaron la utilización del</w:t>
        <w:br/>
        <w:t xml:space="preserve">     dispositivo cluster y las que lo reconocieron  pero  indicaron  que  el</w:t>
        <w:br/>
        <w:t xml:space="preserve">     punto de caída del mismo  se  situó  al  norte  del  caserío  de  Santo</w:t>
        <w:br/>
        <w:t xml:space="preserve">     Domingo[105].</w:t>
        <w:br/>
        <w:br/>
        <w:br/>
        <w:t xml:space="preserve"> 74. La Corte observa que, de los alegatos  y  la  prueba  que  obra  en  el</w:t>
        <w:br/>
        <w:t xml:space="preserve">     expediente, se desprende que también existen dos versiones en  torno  a</w:t>
        <w:br/>
        <w:t xml:space="preserve">     presuntos ametrallamientos contra la población civil  que  se  alejaban</w:t>
        <w:br/>
        <w:t xml:space="preserve">     del caserío de Santo Domingo, luego de la  explosión  en  horas  de  la</w:t>
        <w:br/>
        <w:t xml:space="preserve">     mañana de ese mismo  día.  Por  un  lado,  los  testimonios  de  varios</w:t>
        <w:br/>
        <w:t xml:space="preserve">     habitantes de Santo Domingo y de otras personas presentes indican,  que</w:t>
        <w:br/>
        <w:t xml:space="preserve">     luego de las 10.00 am, la  Fuerza  Área  Colombiana  hizo  uso  de  las</w:t>
        <w:br/>
        <w:t xml:space="preserve">     ametralladoras  desde  las  aeronaves  contra  las  personas   que   se</w:t>
        <w:br/>
        <w:t xml:space="preserve">     desplazaban en la carretera en dirección opuesta al caserío,  ya  fuera</w:t>
        <w:br/>
        <w:t xml:space="preserve">     caminando o en un vehículo[106]. Esta versión es controvertida  por  el</w:t>
        <w:br/>
        <w:t xml:space="preserve">     Estado, el cual alega que la Fuerza Aérea no  efectuó  ametrallamientos</w:t>
        <w:br/>
        <w:t xml:space="preserve">     en contra de la población civil o sobre el caserío  de  Santo  Domingo,</w:t>
        <w:br/>
        <w:t xml:space="preserve">     con base en que, de acuerdo  con  las  necropsias  y  a  las  historias</w:t>
        <w:br/>
        <w:t xml:space="preserve">     clínicas, las presuntas víctimas no reportaron lesiones producidas  por</w:t>
        <w:br/>
        <w:t xml:space="preserve">     este tipo de munición[107] y que  el  registro  fílmico  de  la  misión</w:t>
        <w:br/>
        <w:t xml:space="preserve">     demuestra que, aunque se discutió  la  posibilidad  de  llevar  a  cabo</w:t>
        <w:br/>
        <w:t xml:space="preserve">     alguna acción persuasiva para lograr detener a un vehículo y  verificar</w:t>
        <w:br/>
        <w:t xml:space="preserve">     si entre sus tripulantes se encontraban miembros de las FARC, la  misma</w:t>
        <w:br/>
        <w:t xml:space="preserve">     no se llevó a cabo dada la posibilidad de  que  resultara  afectada  la</w:t>
        <w:br/>
        <w:t xml:space="preserve">     población civil.</w:t>
        <w:br/>
        <w:br/>
        <w:br/>
        <w:br/>
        <w:br/>
        <w:br/>
        <w:t>D.    Desplazamiento de la población de Santo Domingo</w:t>
        <w:br/>
        <w:br/>
        <w:br/>
        <w:t xml:space="preserve"> 75. Es un hecho no controvertido que como consecuencia de los hechos del 13</w:t>
        <w:br/>
        <w:t xml:space="preserve">     de diciembre de 1998, la población de Santo Domingo tuvo que  abandonar</w:t>
        <w:br/>
        <w:t xml:space="preserve">     sus residencias  y  movilizarse  al  corregimiento  de  Betoyes  en  el</w:t>
        <w:br/>
        <w:t xml:space="preserve">     municipio de Tame, y  a  las  ciudades  de  Tame  y  Saravena[108].  El</w:t>
        <w:br/>
        <w:t xml:space="preserve">     desplazamiento comenzó durante las primeras horas  de  la  mañana[109],</w:t>
        <w:br/>
        <w:t xml:space="preserve">     pero se intensificó a partir de las 10 am, cuando  grupos  de  personas</w:t>
        <w:br/>
        <w:t xml:space="preserve">     salían de Santo Domingo[110]. A  partir  de  las  10:21  am,  según  se</w:t>
        <w:br/>
        <w:t xml:space="preserve">     observa en el  video  del  Skymaster  y  según  fue  señalado  por  los</w:t>
        <w:br/>
        <w:t xml:space="preserve">     testimonios de varios habitantes de Santo Domingo[111], la movilización</w:t>
        <w:br/>
        <w:t xml:space="preserve">     de los pobladores fue ayudada por un camión blanco en  el  cual  varias</w:t>
        <w:br/>
        <w:t xml:space="preserve">     personas – algunas de ellas heridas  –  eran  transportadas  fuera  del</w:t>
        <w:br/>
        <w:t xml:space="preserve">     caserío[112].</w:t>
        <w:br/>
        <w:br/>
        <w:br/>
        <w:t xml:space="preserve"> 76. En una declaración de 15 de diciembre de 1998, el  entonces  secretario</w:t>
        <w:br/>
        <w:t xml:space="preserve">     de gobierno del municipio de Tame llamó la atención sobre el número  de</w:t>
        <w:br/>
        <w:t xml:space="preserve">     personas desplazadas como consecuencia de  los  hechos,  e  indicó  que</w:t>
        <w:br/>
        <w:t xml:space="preserve">     "[a]l menos  unas  200  personas  han  abandonado  veredas  y  caseríos</w:t>
        <w:br/>
        <w:t xml:space="preserve">     cercanos a Santo Domingo y han [llegado] a esa  localidad  buscando  la</w:t>
        <w:br/>
        <w:t xml:space="preserve">     protección del Gobierno y la seguridad para sus hijos. En camiones, los</w:t>
        <w:br/>
        <w:t xml:space="preserve">     desplazados  han  salido  de  la   zona   de   combates   huyendo   del</w:t>
        <w:br/>
        <w:t xml:space="preserve">     enfrentamiento armado"[113]. La misma inquietud fue  expresada  por  el</w:t>
        <w:br/>
        <w:t xml:space="preserve">     entonces Gobernador del departamento de Arauca, según el  cual  en  los</w:t>
        <w:br/>
        <w:t xml:space="preserve">     días siguientes a los hechos de Santo Domingo se encontraban “casi  300</w:t>
        <w:br/>
        <w:t xml:space="preserve">     personas desplazadas”, con una situación crítica sobre  todo  entre  la</w:t>
        <w:br/>
        <w:t xml:space="preserve">     población infantil[114].</w:t>
        <w:br/>
        <w:br/>
        <w:br/>
        <w:t xml:space="preserve"> 77. La Corte observa además que diferentes inspecciones realizadas en Santo</w:t>
        <w:br/>
        <w:t xml:space="preserve">     Domingo en diciembre  de  1998  muestran  que  la  vereda  se  encontró</w:t>
        <w:br/>
        <w:t xml:space="preserve">     deshabitada después de los hechos del 13 de diciembre[115].</w:t>
        <w:br/>
        <w:br/>
        <w:br/>
        <w:t xml:space="preserve"> 78. También es un hecho no controvertido que el regreso de  varios  de  los</w:t>
        <w:br/>
        <w:t xml:space="preserve">     pobladores se efectuó a partir de enero de 1999[116], tras lo  cual  el</w:t>
        <w:br/>
        <w:t xml:space="preserve">     31 de diciembre de 1999 se  firmó  un  convenio  interinstitucional  de</w:t>
        <w:br/>
        <w:t xml:space="preserve">     cooperación  entre  el  departamento  de  Arauca  y  el  Instituto   de</w:t>
        <w:br/>
        <w:t xml:space="preserve">     Desarrollo Araucano (en adelante también “IDEAR”),  con  el  objeto  de</w:t>
        <w:br/>
        <w:t xml:space="preserve">     reubicar,  reconstruir,  y  mejorar   las   47   viviendas   de   Santo</w:t>
        <w:br/>
        <w:t xml:space="preserve">     Domingo[117].</w:t>
        <w:br/>
        <w:br/>
        <w:br/>
        <w:br/>
        <w:br/>
        <w:t xml:space="preserve">      E.    Saqueos, apropiación de bienes y destrucción de bienes</w:t>
        <w:br/>
        <w:br/>
        <w:t xml:space="preserve"> 79. Es un hecho no controvertido que después de que los pobladores de Santo</w:t>
        <w:br/>
        <w:t xml:space="preserve">     Domingo  tuvieron  que  abandonar  sus  hogares  y   desplazarse   como</w:t>
        <w:br/>
        <w:t xml:space="preserve">     consecuencia de los hechos del 13 de diciembre de 1998,  hubo  daños  y</w:t>
        <w:br/>
        <w:t xml:space="preserve">     saqueos en algunas de las viviendas. Eso fue confirmado cuando  algunos</w:t>
        <w:br/>
        <w:t xml:space="preserve">     habitantes del pueblo fueron días después a verificar y cuantificar los</w:t>
        <w:br/>
        <w:t xml:space="preserve">     daños a sus bienes y pérdidas en general[118]. Del mismo modo,  no  hay</w:t>
        <w:br/>
        <w:t xml:space="preserve">     controversia en torno al hecho de que, como consecuencia de los eventos</w:t>
        <w:br/>
        <w:t xml:space="preserve">     ocurridos los días 13  y  14  de  diciembre,  resultaron  destruidos  o</w:t>
        <w:br/>
        <w:t xml:space="preserve">     dañados bienes muebles y viviendas ubicados  en  el  caserío  de  Santo</w:t>
        <w:br/>
        <w:t xml:space="preserve">     Domingo.  Los  saqueos  y  los  daños  a  los  bienes  fueron   también</w:t>
        <w:br/>
        <w:t xml:space="preserve">     confirmados a través de dos inspecciones realizadas en  el  pueblo.  La</w:t>
        <w:br/>
        <w:t xml:space="preserve">     primera tuvo lugar el 14 de diciembre de 1998 y fue llevada a cabo  por</w:t>
        <w:br/>
        <w:t xml:space="preserve">     una comisión conformada por la Defensoría del Pueblo  y  el  Ministerio</w:t>
        <w:br/>
        <w:t xml:space="preserve">     del Interior, y la segunda el 28 de diciembre de 1998, en  cumplimiento</w:t>
        <w:br/>
        <w:t xml:space="preserve">     de lo ordenado  por  la  Comisión  de  Fiscales  Delegados  dentro  del</w:t>
        <w:br/>
        <w:t xml:space="preserve">     radicado Nº 419 UNDH[119].</w:t>
        <w:br/>
        <w:br/>
        <w:br/>
        <w:br/>
        <w:t xml:space="preserve">      F. Las investigaciones sobre la muerte  y  heridas  de  las  presuntas</w:t>
        <w:br/>
        <w:t xml:space="preserve">      víctimas por el bombardeo a  la  vereda  de  Santo  Domingo  y  hechos</w:t>
        <w:br/>
        <w:t xml:space="preserve">      posteriores.</w:t>
        <w:br/>
        <w:br/>
        <w:br/>
        <w:t xml:space="preserve">           F.1. Las Jurisdicciones Penal Militar y Penal Ordinaria</w:t>
        <w:br/>
        <w:br/>
        <w:br/>
        <w:t xml:space="preserve"> 80.   El  14  de  diciembre   de   1998   iniciaron   simultáneamente   las</w:t>
        <w:br/>
        <w:t xml:space="preserve">     investigaciones en la justicia ordinaria y  la  penal  militar.  En  la</w:t>
        <w:br/>
        <w:t xml:space="preserve">     justicia ordinaria,  la  Fiscalía  41  Delegada  ante  los  Jueces  del</w:t>
        <w:br/>
        <w:t xml:space="preserve">     Circuito de Tame (Arauca) dispuso la apertura de investigación  previa.</w:t>
        <w:br/>
        <w:t xml:space="preserve">     Por otro lado, el 15  de  diciembre  de  1998  el  entonces  Comandante</w:t>
        <w:br/>
        <w:t xml:space="preserve">     General de las Fuerzas  Militares  solicitó  que  se  investigaran  los</w:t>
        <w:br/>
        <w:t xml:space="preserve">     hechos, por lo que asumió conocimiento el Juzgado de Primera  Instancia</w:t>
        <w:br/>
        <w:t xml:space="preserve">     de Apiay (departamento del Meta)[120].</w:t>
        <w:br/>
        <w:br/>
        <w:br/>
        <w:t xml:space="preserve"> 81. El 17 de diciembre de 1998 un Fiscal Regional de la Unidad Nacional  de</w:t>
        <w:br/>
        <w:t xml:space="preserve">     Derechos Humanos abrió una  investigación  preliminar  por  los  mismos</w:t>
        <w:br/>
        <w:t xml:space="preserve">     hechos bajo el radicado 419, en la que ordenó el  recaudo  de  diversos</w:t>
        <w:br/>
        <w:t xml:space="preserve">     medios probatorios, entre ellos la recolección  de  testimonios  y  una</w:t>
        <w:br/>
        <w:t xml:space="preserve">     inspección al lugar de los hechos. El 19 de diciembre de 1998 incorporó</w:t>
        <w:br/>
        <w:t xml:space="preserve">     a esta actuación las diligencias iniciales de la Fiscalía de Tame[121].</w:t>
        <w:br/>
        <w:br/>
        <w:br/>
        <w:t xml:space="preserve"> 82. El 12 de enero de 1999 el Juzgado de Apiay comisionó al Juzgado 118  de</w:t>
        <w:br/>
        <w:t xml:space="preserve">     Instrucción   Penal   Militar    para    que    realizara    indagación</w:t>
        <w:br/>
        <w:t xml:space="preserve">     preliminar[122].</w:t>
        <w:br/>
        <w:br/>
        <w:br/>
        <w:t xml:space="preserve"> 83. En cuanto a  la  investigación  adelantada  en  la  jurisdicción  penal</w:t>
        <w:br/>
        <w:t xml:space="preserve">     militar, el 28 de diciembre de 1998 ese juzgado dispuso “abstenerse  de</w:t>
        <w:br/>
        <w:t xml:space="preserve">     iniciar proceso  penal  en  contra  de  los  integrantes  del  Ejército</w:t>
        <w:br/>
        <w:t xml:space="preserve">     Nacional adscrito al Batallón de Contraguerrilla 36 Comuneros  por  los</w:t>
        <w:br/>
        <w:t xml:space="preserve">     hechos ocurridos el 13 de diciembre de 1998  en  el  caserío  de  Santo</w:t>
        <w:br/>
        <w:t xml:space="preserve">     Domingo en horas de la mañana”[123].</w:t>
        <w:br/>
        <w:br/>
        <w:br/>
        <w:t xml:space="preserve"> 84. El 29 de marzo de 1999 el Departamento Administrativo de Seguridad  (en</w:t>
        <w:br/>
        <w:t xml:space="preserve">     adelante “DAS”), a través de la división de criminalística, realizó una</w:t>
        <w:br/>
        <w:t xml:space="preserve">     experticia sobre seis muestras de residuos post explosión[124].</w:t>
        <w:br/>
        <w:br/>
        <w:br/>
        <w:t xml:space="preserve"> 85. El 20 de mayo de 1999 la Unidad de Instrucción Penal Militar,  a  cargo</w:t>
        <w:br/>
        <w:t xml:space="preserve">     de un capitán  de  la  Fuerza  Aérea  Colombiana,  decidió  no  iniciar</w:t>
        <w:br/>
        <w:t xml:space="preserve">     investigación contra los miembros de ésta por las muertes  de  personas</w:t>
        <w:br/>
        <w:t xml:space="preserve">     en Santo Domingo durante los combates  registrados  del  12  al  18  de</w:t>
        <w:br/>
        <w:t xml:space="preserve">     diciembre de 1998[125]. El Ministerio Público apeló  dicha  resolución,</w:t>
        <w:br/>
        <w:t xml:space="preserve">     en vista de lo cual la Unidad de Instrucción Penal Militar resolvió  no</w:t>
        <w:br/>
        <w:t xml:space="preserve">     abrir investigación y remitir copias de la investigación a la Unidad de</w:t>
        <w:br/>
        <w:t xml:space="preserve">     Derechos Humanos de la Fiscalía General de la Nación, donde ya  cursaba</w:t>
        <w:br/>
        <w:t xml:space="preserve">     la  investigación  419  por  los  hechos  de  Santo  Domingo,  y  a  la</w:t>
        <w:br/>
        <w:t xml:space="preserve">     Procuraduría General de  la  Nación  para  que  iniciara  investigación</w:t>
        <w:br/>
        <w:t xml:space="preserve">     disciplinaria[126].</w:t>
        <w:br/>
        <w:br/>
        <w:br/>
        <w:t xml:space="preserve"> 86. El 11 de febrero de 2000, en la investigación preliminar adelantada por</w:t>
        <w:br/>
        <w:t xml:space="preserve">     la Unidad Nacional de Derechos Humanos, se efectuó inspección  judicial</w:t>
        <w:br/>
        <w:t xml:space="preserve">     en el poblado de Santo Domingo, en la que participaron los  peritos  de</w:t>
        <w:br/>
        <w:t xml:space="preserve">     Balística y  Explosivos  del  Cuerpo  Técnico  de  Investigaciones  (en</w:t>
        <w:br/>
        <w:t xml:space="preserve">     adelante también “CTI”), acompañados de un Fiscal de Derechos  Humanos,</w:t>
        <w:br/>
        <w:t xml:space="preserve">     un delegado de la Procuraduría General de la Nación y un funcionario de</w:t>
        <w:br/>
        <w:t xml:space="preserve">     la Presidencia de la Republica[127].</w:t>
        <w:br/>
        <w:br/>
        <w:br/>
        <w:t xml:space="preserve"> 87. El 15 de marzo de 2000 se realizó una diligencia de inspección judicial</w:t>
        <w:br/>
        <w:t xml:space="preserve">     al Almacén de Armamento de la Base Aérea de Apiay (Meta), con el fin de</w:t>
        <w:br/>
        <w:t xml:space="preserve">     efectuar mediciones de cada una de las piezas del  dispositivo  cluster</w:t>
        <w:br/>
        <w:t xml:space="preserve">     AN-M1A2, realizar tomas de video[128] y comparación de aquellas con los</w:t>
        <w:br/>
        <w:t xml:space="preserve">     fragmentos “post explosión” recuperados en  la  inspección  judicial  a</w:t>
        <w:br/>
        <w:t xml:space="preserve">     Santo Domingo[129].</w:t>
        <w:br/>
        <w:br/>
        <w:br/>
        <w:t xml:space="preserve"> 88. El 17 de marzo de 2000 la Fiscalía General de la Nación envió una carta</w:t>
        <w:br/>
        <w:t xml:space="preserve">     al agregado jurídico del Federal Bureau of Investigation (FBI)  de  los</w:t>
        <w:br/>
        <w:t xml:space="preserve">     Estados Unidos  de  América  (en  adelante  “FBI”),  mediante  la  cual</w:t>
        <w:br/>
        <w:t xml:space="preserve">     solicitó la realización de un dictamen técnico que ayude  a  esclarecer</w:t>
        <w:br/>
        <w:t xml:space="preserve">     los hechos[130]. El 1 de mayo del  2000  el  FBI  remitió  el  dictamen</w:t>
        <w:br/>
        <w:t xml:space="preserve">     técnico[131].</w:t>
        <w:br/>
        <w:br/>
        <w:br/>
        <w:t xml:space="preserve"> 89. El 28 de abril de 2000 los informes de las inspecciones judiciales y el</w:t>
        <w:br/>
        <w:t xml:space="preserve">     plano  topográfico  fueron  allegados  a  la  investigación.  Para   la</w:t>
        <w:br/>
        <w:t xml:space="preserve">     obtención del dictamen pericial  se  tuvieron  en  cuenta  patrones  de</w:t>
        <w:br/>
        <w:t xml:space="preserve">     comparación entre los “fragmentos recuperados en necropsias de  algunas</w:t>
        <w:br/>
        <w:t xml:space="preserve">     víctimas de las explosiones  del  13  de  diciembre  de  1998”[132],  e</w:t>
        <w:br/>
        <w:t xml:space="preserve">     “información propia de la bomba cluster en el Almacén de la Base  Aérea</w:t>
        <w:br/>
        <w:t xml:space="preserve">     de Apiay”[133].</w:t>
        <w:br/>
        <w:br/>
        <w:br/>
        <w:t xml:space="preserve"> 90. El 30 de mayo de 2000 la Unidad de  Derechos  Humanos  de  la  Fiscalía</w:t>
        <w:br/>
        <w:t xml:space="preserve">     General de la Nación resolvió revocar  el  auto  mediante  el  cual  la</w:t>
        <w:br/>
        <w:t xml:space="preserve">     justicia penal militar se abstuvo  de  abrir  investigación  y,  en  su</w:t>
        <w:br/>
        <w:t xml:space="preserve">     lugar, decretó la apertura de investigación y señaló que la competencia</w:t>
        <w:br/>
        <w:t xml:space="preserve">     para investigar los hechos de Santo Domingo radicaba en la jurisdicción</w:t>
        <w:br/>
        <w:t xml:space="preserve">     penal militar por tratarse de actos relacionados con el servicio[134].</w:t>
        <w:br/>
        <w:br/>
        <w:br/>
        <w:t xml:space="preserve"> 91. El 23 de agosto de 2000 se designó nuevamente al Capitán A.V. para  que</w:t>
        <w:br/>
        <w:t xml:space="preserve">     continuara con el  trámite.  El  28  de  agosto  de  2000  el  Juez  de</w:t>
        <w:br/>
        <w:t xml:space="preserve">     Instrucción Penal Militar de la Base Aérea de Apiay dispuso avocarse el</w:t>
        <w:br/>
        <w:t xml:space="preserve">     conocimiento de la investigación “con el fin de  analizar  las  pruebas</w:t>
        <w:br/>
        <w:t xml:space="preserve">     sobrevinientes enviadas por la  Fiscalía,  ordenando  recepcionar  unos</w:t>
        <w:br/>
        <w:t xml:space="preserve">     testimonios”[135]. En  la  misma  providencia,  se  ordenó  anexar  las</w:t>
        <w:br/>
        <w:t xml:space="preserve">     diligencias procedentes de la Fiscalía a  las  archivadas,  conformando</w:t>
        <w:br/>
        <w:t xml:space="preserve">     así un solo proceso[136].</w:t>
        <w:br/>
        <w:br/>
        <w:br/>
        <w:t xml:space="preserve"> 92. El 21 de septiembre de 2000 el Tribunal Superior de Bogotá resolvió una</w:t>
        <w:br/>
        <w:t xml:space="preserve">     acción de  tutela  interpuesta  por  el  capitán  de  la  Fuerza  Aérea</w:t>
        <w:br/>
        <w:t xml:space="preserve">     Colombiana  C.R.P.[137]  que  alegaba  violado  su  derecho  al  debido</w:t>
        <w:br/>
        <w:t xml:space="preserve">     proceso. En el fallo se declaró la nulidad parcial de la providencia de</w:t>
        <w:br/>
        <w:t xml:space="preserve">     30 de mayo de 2000  y  recobró  vigencia  la  decisión  de  no  iniciar</w:t>
        <w:br/>
        <w:t xml:space="preserve">     investigación contra la tripulación del helicóptero UH1H[138].</w:t>
        <w:br/>
        <w:br/>
        <w:br/>
        <w:t xml:space="preserve"> 93. El 21 de noviembre de 2000, mediante Resolución Ministerial N.  38,  el</w:t>
        <w:br/>
        <w:t xml:space="preserve">     comandante general de las Fuerzas Militares F.T.S., conformó una Unidad</w:t>
        <w:br/>
        <w:t xml:space="preserve">     de Instrucción  Penal  Militar  Especial  (en  adelante  “UIPME”)  para</w:t>
        <w:br/>
        <w:t xml:space="preserve">     investigar los hechos, conformada por una capitán de  la  Fuerza  Aérea</w:t>
        <w:br/>
        <w:t xml:space="preserve">     Colombiana y dos jueces de instrucción penal militar. El 9  de  febrero</w:t>
        <w:br/>
        <w:t xml:space="preserve">     de 2001 la UIPME dispuso revocar el auto inhibitorio proferido el 20 de</w:t>
        <w:br/>
        <w:t xml:space="preserve">     mayo de 2000 por la justicia penal militar y ordenó la apertura  de  un</w:t>
        <w:br/>
        <w:t xml:space="preserve">     proceso formal en contra de la tripulación del helicóptero[139].</w:t>
        <w:br/>
        <w:br/>
        <w:br/>
        <w:t xml:space="preserve"> 94. El 11 de diciembre de 2000, una vez que el Juez  de  Instrucción  Penal</w:t>
        <w:br/>
        <w:t xml:space="preserve">     Militar de Apiay le remitió el expediente, la  directora  de  la  UIPME</w:t>
        <w:br/>
        <w:t xml:space="preserve">     asumió la investigación y le asigno el número 001-J121[140].</w:t>
        <w:br/>
        <w:br/>
        <w:br/>
        <w:t xml:space="preserve"> 95. El 9 de febrero de 2001 la Jueza  121  de  Instrucción  Penal  Militar,</w:t>
        <w:br/>
        <w:t xml:space="preserve">     directora de la UIPME, dispuso revocar el auto  inhibitorio,  proferido</w:t>
        <w:br/>
        <w:t xml:space="preserve">     el 20 de mayo de 1999, y ordenó abrir proceso penal  formal  contra  la</w:t>
        <w:br/>
        <w:t xml:space="preserve">     tripulación del helicóptero UH1H, integrada  por  los  señores  capitán</w:t>
        <w:br/>
        <w:t xml:space="preserve">     C.R.P., teniente J.J.V. y el técnico H.H.A., por los presuntos  delitos</w:t>
        <w:br/>
        <w:t xml:space="preserve">     de homicidio, lesiones personales y daño en bien ajeno[141].</w:t>
        <w:br/>
        <w:br/>
        <w:br/>
        <w:t xml:space="preserve"> 96. El 14 de junio de  2001  la  UIPME  profirió  resolución  de  situación</w:t>
        <w:br/>
        <w:t xml:space="preserve">     jurídica  en  la  que  impuso  medida  de  aseguramiento  de  detención</w:t>
        <w:br/>
        <w:t xml:space="preserve">     preventiva con beneficio  de  libertad  provisional  respecto  de  esas</w:t>
        <w:br/>
        <w:t xml:space="preserve">     personas por la presunta  comisión  de  homicidio  culposo  y  lesiones</w:t>
        <w:br/>
        <w:t xml:space="preserve">     personales[142].</w:t>
        <w:br/>
        <w:br/>
        <w:br/>
        <w:t xml:space="preserve"> 97. El mismo 14 de junio de 2001  un  fiscal  especializado  de  la  Unidad</w:t>
        <w:br/>
        <w:t xml:space="preserve">     Nacional de Derechos Humanos  de  la  Fiscalía  General  de  la  Nación</w:t>
        <w:br/>
        <w:t xml:space="preserve">     reclamó la competencia para conocer del caso en vista de que se  habían</w:t>
        <w:br/>
        <w:t xml:space="preserve">     allegado nuevas pruebas que apuntaban hacia la comisión de un crimen de</w:t>
        <w:br/>
        <w:t xml:space="preserve">     lesa humanidad[143].</w:t>
        <w:br/>
        <w:br/>
        <w:br/>
        <w:t xml:space="preserve"> 98. El 30 de junio de 2001 el Juzgado 122 de Instrucción Penal Militar,  en</w:t>
        <w:br/>
        <w:t xml:space="preserve">     su condición de juez de primera instancia, no accedió a la solicitud de</w:t>
        <w:br/>
        <w:t xml:space="preserve">     la Fiscalía  negándose  a  remitir  las  diligencias  por  competencia,</w:t>
        <w:br/>
        <w:t xml:space="preserve">     dejando trabado el conflicto positivo de competencias propuesto[144].</w:t>
        <w:br/>
        <w:br/>
        <w:br/>
        <w:t xml:space="preserve"> 99. El 18 de octubre de  2001  la  Sala  Jurisdiccional  Disciplinaria  del</w:t>
        <w:br/>
        <w:t xml:space="preserve">     Consejo Superior de la Judicatura declaró que la competencia  sobre  el</w:t>
        <w:br/>
        <w:t xml:space="preserve">     presente caso le correspondía a  la  justicia  penal  militar[145].  La</w:t>
        <w:br/>
        <w:t xml:space="preserve">     señora Alba Janeth García Guevara interpuso una acción de tutela contra</w:t>
        <w:br/>
        <w:t xml:space="preserve">     esa decisión del Consejo Superior de la Judicatura.</w:t>
        <w:br/>
        <w:br/>
        <w:br/>
        <w:t>100. El 27 de noviembre de 2001 el Juzgado 30 Penal del Circuito  de  Bogotá</w:t>
        <w:br/>
        <w:t xml:space="preserve">     resolvió conceder la tutela y dejar sin efecto la sentencia del Consejo</w:t>
        <w:br/>
        <w:t xml:space="preserve">     Superior de la Judicatura.  El  12  de  febrero  de  2002  el  Tribunal</w:t>
        <w:br/>
        <w:t xml:space="preserve">     Superior del  Distrito  Judicial  de  Bogotá  resolvió  un  recurso  de</w:t>
        <w:br/>
        <w:t xml:space="preserve">     apelación y decidió revocar el fallo de primera instancia  y  negar  la</w:t>
        <w:br/>
        <w:t xml:space="preserve">     tutela[146].</w:t>
        <w:br/>
        <w:br/>
        <w:br/>
        <w:t>101. El 31 de octubre de 2002 la  Sala  Primera  de  Revisión  de  la  Corte</w:t>
        <w:br/>
        <w:t xml:space="preserve">     Constitucional profirió la sentencia T-932 de 2002,  mediante  la  cual</w:t>
        <w:br/>
        <w:t xml:space="preserve">     revocó la sentencia de segunda instancia y  en  su  lugar  confirmó  la</w:t>
        <w:br/>
        <w:t xml:space="preserve">     sentencia dictada el  27  de  noviembre  de  2001  (supra  párr.  100).</w:t>
        <w:br/>
        <w:t xml:space="preserve">     Asimismo, ordenó a la Sala  Jurisdiccional  Disciplinaria  del  Consejo</w:t>
        <w:br/>
        <w:t xml:space="preserve">     Superior de la Judicatura dictar una nueva sentencia en 15 días[147].</w:t>
        <w:br/>
        <w:br/>
        <w:br/>
        <w:t>102. El 6 de febrero  de  2003  la  Sala  jurisdiccional  Disciplinaria  del</w:t>
        <w:br/>
        <w:t xml:space="preserve">     Consejo Superior de la Judicatura, en atención a  lo  ordenado  por  la</w:t>
        <w:br/>
        <w:t xml:space="preserve">     Corte Constitucional, resolvió el conflicto positivo de  competencia  a</w:t>
        <w:br/>
        <w:t xml:space="preserve">     favor de la justicia ordinaria[148].</w:t>
        <w:br/>
        <w:br/>
        <w:br/>
        <w:t>103.  El  17  de  febrero  de  2003,   en   acatamiento   de   la   decisión</w:t>
        <w:br/>
        <w:t xml:space="preserve">     constitucional, la Jueza 121 de Instrucción Penal  Militar  remitió  el</w:t>
        <w:br/>
        <w:t xml:space="preserve">     expediente por la masacre de Santo Domingo  a  la  Unidad  de  Derechos</w:t>
        <w:br/>
        <w:t xml:space="preserve">     Humanos de la Fiscalía General de la Nación.</w:t>
        <w:br/>
        <w:br/>
        <w:br/>
        <w:br/>
        <w:br/>
        <w:br/>
        <w:t>F.2   Jurisdicción penal ordinaria</w:t>
        <w:br/>
        <w:br/>
        <w:br/>
        <w:t>104. El 12 de agosto de 2003 la Fiscalía  realizó  una  prueba  en  la  base</w:t>
        <w:br/>
        <w:t xml:space="preserve">     aérea de Apiay (Meta) consistente en el lanzamiento de  un  dispositivo</w:t>
        <w:br/>
        <w:t xml:space="preserve">     cluster sobre una  vía  que  cumplía  con  parámetros  similares  a  la</w:t>
        <w:br/>
        <w:t xml:space="preserve">     carretera que atraviesa Santo Domingo[149].</w:t>
        <w:br/>
        <w:br/>
        <w:br/>
        <w:t>105. El 19 de diciembre  de  2003  la  Unidad  de  Derechos  Humanos  de  la</w:t>
        <w:br/>
        <w:t xml:space="preserve">     Fiscalía calificó el merito de la instrucción adelantada contra C.R.P.,</w:t>
        <w:br/>
        <w:t xml:space="preserve">     J.J.V. y H.H.A., acusándolos como presuntos responsables  de  homicidio</w:t>
        <w:br/>
        <w:t xml:space="preserve">     culposo y  lesiones  personales  culposas.  Igualmente,  el  instructor</w:t>
        <w:br/>
        <w:t xml:space="preserve">     acogió la petición de las partes civiles de proseguir la  investigación</w:t>
        <w:br/>
        <w:t xml:space="preserve">     contra  otros  presuntos  responsables  y  de  remitir  copias  de   la</w:t>
        <w:br/>
        <w:t xml:space="preserve">     investigación para que se investigara el punible falso testimonio en el</w:t>
        <w:br/>
        <w:t xml:space="preserve">     que hubiera podido incurrir el ciudadano R.V.G.[150].</w:t>
        <w:br/>
        <w:br/>
        <w:br/>
        <w:t>106. El 26 de agosto de 2004, un Fiscal delegado ante el  Tribunal  Superior</w:t>
        <w:br/>
        <w:t xml:space="preserve">     de Bogotá confirmó la resolución de acusación proferida contra  C.R.P.,</w:t>
        <w:br/>
        <w:t xml:space="preserve">     J.J.V. y H.H.A. como presuntos  responsables  de  homicidio  culposo  y</w:t>
        <w:br/>
        <w:t xml:space="preserve">     lesiones personales culposas  en  calidad  de  presuntos  autores[151].</w:t>
        <w:br/>
        <w:t xml:space="preserve">     Posteriormente, el conocimiento de la  causa  correspondió  al  Juzgado</w:t>
        <w:br/>
        <w:t xml:space="preserve">     Único Promiscuo del Circuito de Saravena, el cual avocó conocimiento el</w:t>
        <w:br/>
        <w:t xml:space="preserve">     19 de octubre de  2004  y  dispuso  la  celebración  de  una  audiencia</w:t>
        <w:br/>
        <w:t xml:space="preserve">     preparatoria para el 16 de diciembre de 2004. Los defensores de dos  de</w:t>
        <w:br/>
        <w:t xml:space="preserve">     los procesados solicitaron el cambio de radicación  del  proceso  a  la</w:t>
        <w:br/>
        <w:t xml:space="preserve">     ciudad de Bogotá y el 17 de febrero de 2005, la Sala de Casación  Penal</w:t>
        <w:br/>
        <w:t xml:space="preserve">     de la Corte Suprema ordenó el cambio de radicación al  reparto  de  los</w:t>
        <w:br/>
        <w:t xml:space="preserve">     Juzgados Penales del Circuito de Bogotá[152].</w:t>
        <w:br/>
        <w:br/>
        <w:br/>
        <w:t>107. El 19 de octubre de 2004 se dio inicio a  la  etapa  de  juicio  en  el</w:t>
        <w:br/>
        <w:t xml:space="preserve">     Juzgado Promiscuo del Circuito de Saravena (Arauca)  y  se  fijó  fecha</w:t>
        <w:br/>
        <w:t xml:space="preserve">     para la  audiencia  preparatoria  el  16  de  diciembre  de  2004.  Los</w:t>
        <w:br/>
        <w:t xml:space="preserve">     defensores de los imputados solicitaron el cambio de radicación  de  la</w:t>
        <w:br/>
        <w:t xml:space="preserve">     actuación, al considerar que carecían de garantías suficientes  en  esa</w:t>
        <w:br/>
        <w:t xml:space="preserve">     localidad para que se realizara un juicio justo[153].</w:t>
        <w:br/>
        <w:br/>
        <w:br/>
        <w:t>108. El 17 de febrero de 2005 esa petición fue acogida por la sala penal  de</w:t>
        <w:br/>
        <w:t xml:space="preserve">     la Corte Suprema de Justicia, disponiendo que el juicio lo efectuara un</w:t>
        <w:br/>
        <w:t xml:space="preserve">     Juzgado Penal  del  Circuito  de  Bogotá[154].  Luego  de  someterse  a</w:t>
        <w:br/>
        <w:t xml:space="preserve">     reparto, el proceso le correspondió al Juzgado 12[155].</w:t>
        <w:br/>
        <w:br/>
        <w:br/>
        <w:t>109. El 21 de septiembre de 2007 el Juzgado 12 Penal del Circuito de  Bogotá</w:t>
        <w:br/>
        <w:t xml:space="preserve">     dictó sentencia de primera instancia en la que condenó a  los  miembros</w:t>
        <w:br/>
        <w:t xml:space="preserve">     de la Fuerza Aérea C.R.P., J.J.V. y H.M.H.A. a la pena principal de  72</w:t>
        <w:br/>
        <w:t xml:space="preserve">     meses de prisión y multa de  $270.000.00  pesos  colombianos,  y  a  la</w:t>
        <w:br/>
        <w:t xml:space="preserve">     accesoria de interdicción en el ejercicio de los derechos  y  funciones</w:t>
        <w:br/>
        <w:t xml:space="preserve">     públicas durante el mismo periodo de la  pena  privativa  de  libertad,</w:t>
        <w:br/>
        <w:t xml:space="preserve">     como autores penalmente  responsables  del  concurso  homogéneo  de  17</w:t>
        <w:br/>
        <w:t xml:space="preserve">     homicidios culposos,  en  concurso  heterogéneo  y  simultáneo  con  18</w:t>
        <w:br/>
        <w:t xml:space="preserve">     lesiones personales culposas[156].</w:t>
        <w:br/>
        <w:br/>
        <w:br/>
        <w:t>110. Dicha sentencia fue apelada por varios de los sujetos procesales  y  el</w:t>
        <w:br/>
        <w:t xml:space="preserve">     30 de enero de 2009 el Tribunal Superior de Bogotá declaró  la  nulidad</w:t>
        <w:br/>
        <w:t xml:space="preserve">     de lo actuado a partir de la clausura de la etapa  probatoria  bajo  el</w:t>
        <w:br/>
        <w:t xml:space="preserve">     argumento de que durante el juicio sobrevinieron pruebas  que  imponían</w:t>
        <w:br/>
        <w:t xml:space="preserve">     la variación de la imputación subjetiva hacia una conducta dolosa en el</w:t>
        <w:br/>
        <w:t xml:space="preserve">     grado de eventual[157].</w:t>
        <w:br/>
        <w:br/>
        <w:br/>
        <w:t>111. Posteriormente, la Fiscalía varió la calificación jurídica y el  24  de</w:t>
        <w:br/>
        <w:t xml:space="preserve">     septiembre de 2009 el Juzgado 12 Penal del  Circuito  de  Bogotá  dictó</w:t>
        <w:br/>
        <w:t xml:space="preserve">     nuevamente sentencia de primera instancia en la que condenó al  Capitán</w:t>
        <w:br/>
        <w:t xml:space="preserve">     C.R.P. y al Teniente J.J.V. a la pena principal de 380 meses de prisión</w:t>
        <w:br/>
        <w:t xml:space="preserve">     y multa de 44.000 pesos colombianos y a la accesoria de interdicción en</w:t>
        <w:br/>
        <w:t xml:space="preserve">     el ejercicio de los derechos y funciones públicas durante diez  años  e</w:t>
        <w:br/>
        <w:t xml:space="preserve">     inhabilidad  para  desempeñar  cualquier  cargo  de  la  administración</w:t>
        <w:br/>
        <w:t xml:space="preserve">     pública durante cinco años, como responsables del concurso homogéneo de</w:t>
        <w:br/>
        <w:t xml:space="preserve">     17 homicidios, en concurso heterogéneo y  simultáneo  con  18  lesiones</w:t>
        <w:br/>
        <w:t xml:space="preserve">     personales cometidos bajos la modalidad subjetiva  del  dolo  eventual.</w:t>
        <w:br/>
        <w:t xml:space="preserve">     Asimismo, condenó al Técnico H.M.H.A. a la pena principal de  72  meses</w:t>
        <w:br/>
        <w:t xml:space="preserve">     de prisión y multa de $181.000 pesos colombianos y como pena  accesoria</w:t>
        <w:br/>
        <w:t xml:space="preserve">     la interdicción en el ejercicio de los derechos  y  funciones  públicas</w:t>
        <w:br/>
        <w:t xml:space="preserve">     durante el mismo lapso de la pena privativa de libertad  e  inhabilidad</w:t>
        <w:br/>
        <w:t xml:space="preserve">     para desempeñar cualquier cargo de la  administración  pública  durante</w:t>
        <w:br/>
        <w:t xml:space="preserve">     cinco años, como responsable de esos mismos hechos[158].</w:t>
        <w:br/>
        <w:br/>
        <w:br/>
        <w:t>112. El 31 de agosto de 2010 la Fiscal 29  especializada  de  la  Unidad  de</w:t>
        <w:br/>
        <w:t xml:space="preserve">     Derechos Humanos dispuso la apertura  de  investigación  formal  contra</w:t>
        <w:br/>
        <w:t xml:space="preserve">     S.A.G.V. y G.D.L.S., ambos oficiales en servicio activo  en  la  Fuerza</w:t>
        <w:br/>
        <w:t xml:space="preserve">     Aérea  Colombiana,  disponiendo  oírlos   en   indagatoria   para   que</w:t>
        <w:br/>
        <w:t xml:space="preserve">     respondieran penalmente como coautores del  concurso  homogéneo  de  17</w:t>
        <w:br/>
        <w:t xml:space="preserve">     homicidios y 18 lesiones personales cometidas bajo la modalidad de dolo</w:t>
        <w:br/>
        <w:t xml:space="preserve">     eventual[159].</w:t>
        <w:br/>
        <w:br/>
        <w:br/>
        <w:t>113. El 15 de junio de  2011  el  Tribunal  Superior  Distrito  judicial  de</w:t>
        <w:br/>
        <w:t xml:space="preserve">     Bogotá, Sala Penal, resolvió los  recursos  de  apelación  interpuestos</w:t>
        <w:br/>
        <w:t xml:space="preserve">     contra la sentencia de primer grado proferida contra C.R.P.,  J.J.V.  y</w:t>
        <w:br/>
        <w:t xml:space="preserve">     H.M.H.A. En este fallo absolvió a este último; declaró la  prescripción</w:t>
        <w:br/>
        <w:t xml:space="preserve">     de la acción penal de las 18 lesiones personales  por  las  que  fueron</w:t>
        <w:br/>
        <w:t xml:space="preserve">     condenados los dos primeros, disponiendo la cesación  de  procedimiento</w:t>
        <w:br/>
        <w:t xml:space="preserve">     por esas conductas, y modificó la sentencia impuesta a  los  otros  dos</w:t>
        <w:br/>
        <w:t xml:space="preserve">     oficiales de la Fuerza Aérea Colombiana, imponiéndole a los  procesados</w:t>
        <w:br/>
        <w:t xml:space="preserve">     360 meses de prisión como responsables del concurso  homogéneo  por  el</w:t>
        <w:br/>
        <w:t xml:space="preserve">     que habían sido acusados[160]. Contra esta sentencia fue interpuesto un</w:t>
        <w:br/>
        <w:t xml:space="preserve">     recurso de casación ante la Corte  Suprema  de  Justicia,  el  cual  se</w:t>
        <w:br/>
        <w:t xml:space="preserve">     encuentra aún pendiente de decisión[161].</w:t>
        <w:br/>
        <w:br/>
        <w:br/>
        <w:t>114. El 8 de septiembre de 2011 la defensa de  los  procesados  presentó  un</w:t>
        <w:br/>
        <w:t xml:space="preserve">     control de legalidad contra la medida de  aseguramiento,  la  cual  fue</w:t>
        <w:br/>
        <w:t xml:space="preserve">     declarada infundada por el Juez Penal adjunto del Circuito de  Saravena</w:t>
        <w:br/>
        <w:t xml:space="preserve">     con sede en Arauca[162].</w:t>
        <w:br/>
        <w:br/>
        <w:br/>
        <w:t>115. El 10 de octubre de 2011 la Fiscal General de la Nación decidió  variar</w:t>
        <w:br/>
        <w:t xml:space="preserve">     la asignación de la investigación  radicada  bajo  el  número  419  que</w:t>
        <w:br/>
        <w:t xml:space="preserve">     adelantaba la Fiscalía  29  Especializada  de  la  Unidad  Nacional  de</w:t>
        <w:br/>
        <w:t xml:space="preserve">     Derechos Humanos[163]. Al día siguiente, la jefa de la Unidad  Nacional</w:t>
        <w:br/>
        <w:t xml:space="preserve">     de Derechos Humanos  y  Derecho  Internacional  Humanitario  asignó  al</w:t>
        <w:br/>
        <w:t xml:space="preserve">     Fiscal 22 Especializado de la Unidad de Derechos humanos para llevar  a</w:t>
        <w:br/>
        <w:t xml:space="preserve">     cabo la investigación penal en relación con los pilotos y coroneles  de</w:t>
        <w:br/>
        <w:t xml:space="preserve">     la Fuerza Aérea Colombiana, S.G.V., G.D.L.S. y C.A.G.M.[164].</w:t>
        <w:br/>
        <w:br/>
        <w:br/>
        <w:t>116. El 2 de noviembre de 2011 el Fiscal 22 decidió decretar la nulidad  del</w:t>
        <w:br/>
        <w:t xml:space="preserve">     cierre de la investigación, que fuera decretada mediante resolución  de</w:t>
        <w:br/>
        <w:t xml:space="preserve">     7 de septiembre de 2011, con el objeto de proseguirla para pronunciarse</w:t>
        <w:br/>
        <w:t xml:space="preserve">     sobre la procedencia de las pruebas solicitadas por los  sindicados  en</w:t>
        <w:br/>
        <w:t xml:space="preserve">     sus respectivas indagatorias[165].</w:t>
        <w:br/>
        <w:br/>
        <w:br/>
        <w:t>117. El 18 de noviembre de 2011 el Fiscal 22 dejó en libertad al coronel  de</w:t>
        <w:br/>
        <w:t xml:space="preserve">     la Fuerza Aérea Colombiana S.A.G.V. y al Mayor G.L. por vencimiento  de</w:t>
        <w:br/>
        <w:t xml:space="preserve">     términos[166].</w:t>
        <w:br/>
        <w:br/>
        <w:br/>
        <w:t>118. El 3 de enero de 2012 la Unidad Nacional de Derechos Humanos y  Derecho</w:t>
        <w:br/>
        <w:t xml:space="preserve">     Internacional Humanitario resolvió recurso de reposición interpuesto en</w:t>
        <w:br/>
        <w:t xml:space="preserve">     contra de la Resolución del 9 de diciembre de 2011,  por  medio  de  la</w:t>
        <w:br/>
        <w:t xml:space="preserve">     cual se ordenan pruebas solicitadas por la defensa, niega  otras  y  se</w:t>
        <w:br/>
        <w:t xml:space="preserve">     decretan pruebas de oficio[167].</w:t>
        <w:br/>
        <w:br/>
        <w:br/>
        <w:t>119. No fue aportada información suficiente para determinar si  los  agentes</w:t>
        <w:br/>
        <w:t xml:space="preserve">     estatales condenados en segunda instancia han  cumplido  las  sanciones</w:t>
        <w:br/>
        <w:t xml:space="preserve">     que les fueron impuestas.</w:t>
        <w:br/>
        <w:br/>
        <w:br/>
        <w:t xml:space="preserve">           F.3.  Investigación disciplinaria</w:t>
        <w:br/>
        <w:br/>
        <w:br/>
        <w:t>120. El 13 de diciembre de 1998  el  Director  Nacional  de  Investigaciones</w:t>
        <w:br/>
        <w:t xml:space="preserve">     Especiales de la Procuraduría General de la Nación inició de oficio una</w:t>
        <w:br/>
        <w:t xml:space="preserve">     indagación preliminar disciplinaria.</w:t>
        <w:br/>
        <w:br/>
        <w:br/>
        <w:t>121. El  13  de  junio  de  2000  la  Procuraduría  ordenó  la  apertura  de</w:t>
        <w:br/>
        <w:t xml:space="preserve">     investigación contra el Capitán C.R.P., el Teniente J.J.V., el  Técnico</w:t>
        <w:br/>
        <w:t xml:space="preserve">     de Vuelo H.M.H.A. y el Comandante del Batallón Contraguerrillas No,  36</w:t>
        <w:br/>
        <w:t xml:space="preserve">     "Comuneros", Mayor del Ejército Nacional J.M.G.G.[168].</w:t>
        <w:br/>
        <w:br/>
        <w:br/>
        <w:t>122. El 27 de octubre de 2000 se  formularon  cargos  disciplinarios  contra</w:t>
        <w:br/>
        <w:t xml:space="preserve">     C.R.P., J.J.V. y H.M.H.A. Concretamente, al Capitán C.R.P. se le imputó</w:t>
        <w:br/>
        <w:t xml:space="preserve">     el  lanzamiento  de  un  artefacto  explosivo  tipo  cluster,  teniendo</w:t>
        <w:br/>
        <w:t xml:space="preserve">     conocimiento del peligro que ello acarreaba.  La  Procuraduría  sostuvo</w:t>
        <w:br/>
        <w:t xml:space="preserve">     que dicho comportamiento constituye  una  violación  grave  al  Derecho</w:t>
        <w:br/>
        <w:t xml:space="preserve">     Internacional Humanitario, el cual se estructuró en el marco  del  dolo</w:t>
        <w:br/>
        <w:t xml:space="preserve">     eventual[169]. Al Técnico de Vuelo H.M.H.A. se le imputó que al momento</w:t>
        <w:br/>
        <w:t xml:space="preserve">     de las operaciones militares en el caserío de Santo Domingo, atendiendo</w:t>
        <w:br/>
        <w:t xml:space="preserve">     la orden impartida por el piloto de la aeronave mencionada, disparó  un</w:t>
        <w:br/>
        <w:t xml:space="preserve">     dispositivo cluster a  un  blanco  previamente  seleccionado,  teniendo</w:t>
        <w:br/>
        <w:t xml:space="preserve">     conocimiento que el mismo se  encontraba  situado  dentro  del  caserío</w:t>
        <w:br/>
        <w:t xml:space="preserve">     cerca al lugar donde la mayoría de los habitantes se hallaban reunidos.</w:t>
        <w:br/>
        <w:t xml:space="preserve">     Dicha conducta se adecuó a título de dolo eventual[170].</w:t>
        <w:br/>
        <w:br/>
        <w:br/>
        <w:t>123. El 2 de octubre de 2002 la Comisión Disciplinaria Especial, creada  por</w:t>
        <w:br/>
        <w:t xml:space="preserve">     el Procurador General de la Nación, profirió fallo de primera instancia</w:t>
        <w:br/>
        <w:t xml:space="preserve">     en el que sancionó al Capitán C.R.P. y al Técnico de Vuelo  H.M.H.A.  a</w:t>
        <w:br/>
        <w:t xml:space="preserve">     suspensión en el ejercicio de sus cargos por tres meses y  absolvió  al</w:t>
        <w:br/>
        <w:t xml:space="preserve">     Mayor J.M.G.G. y al Teniente J.J.V.[171]. Los sancionados  apelaron  el</w:t>
        <w:br/>
        <w:t xml:space="preserve">     fallo y el 19  de  diciembre  de  2002  la  Sala  Disciplinaria  de  la</w:t>
        <w:br/>
        <w:t xml:space="preserve">     Procuraduría General de  la  Nación  resolvió  confirmar  el  fallo  de</w:t>
        <w:br/>
        <w:t xml:space="preserve">     primera instancia[172].</w:t>
        <w:br/>
        <w:br/>
        <w:br/>
        <w:br/>
        <w:br/>
        <w:br/>
        <w:t>G.    Proceso contencioso administrativo</w:t>
        <w:br/>
        <w:br/>
        <w:br/>
        <w:t>124. El 25 de septiembre de  2000  el  señor  Alejandro  Álvarez  Pabón,  en</w:t>
        <w:br/>
        <w:t xml:space="preserve">     representación de las familias de 16 personas que  murieron[173]  y  13</w:t>
        <w:br/>
        <w:t xml:space="preserve">     que resultaron heridas[174], presentó una demanda de reparación directa</w:t>
        <w:br/>
        <w:t xml:space="preserve">     contra la Nación – Ministerio de Defensa - Fuerza  Aérea  Colombiana  -</w:t>
        <w:br/>
        <w:t xml:space="preserve">     por la muertes y lesiones causadas por  el  lanzamiento  de  una  bomba</w:t>
        <w:br/>
        <w:t xml:space="preserve">     cluster sobre la población civil de Santo Domingo desde un  helicóptero</w:t>
        <w:br/>
        <w:t xml:space="preserve">     de la Fuerza Aérea  Colombiana  y  por  el  saqueo  y  destrucción  del</w:t>
        <w:br/>
        <w:t xml:space="preserve">     establecimiento “El OASIS”  de  propiedad  de  Mario  Galvis  y  Teresa</w:t>
        <w:br/>
        <w:t xml:space="preserve">     Mujica; el  saqueo  y  destrucción  del  establecimiento  “Droguería  y</w:t>
        <w:br/>
        <w:t xml:space="preserve">     Misceláneas Santo Domingo” propiedad de María Panqueva; la  destrucción</w:t>
        <w:br/>
        <w:t xml:space="preserve">     del vehículo Chevrolet de placas UR-2408 de propiedad de  Víctor  Julio</w:t>
        <w:br/>
        <w:t xml:space="preserve">     Palomino; el saqueo del establecimiento dedicado a la venta de  prendas</w:t>
        <w:br/>
        <w:t xml:space="preserve">     de vestir, zapatos y misceláneas de propiedad de Henry Ferney  Pastrana</w:t>
        <w:br/>
        <w:t xml:space="preserve">     Vargas;  y  el  incendio  y  destrucción  total  de   una   gasolinera,</w:t>
        <w:br/>
        <w:t xml:space="preserve">     restaurante y hospedaje de propiedad de María Antonia Rojas[175].</w:t>
        <w:br/>
        <w:br/>
        <w:br/>
        <w:t>125. El 20 de mayo de 2004 el Tribunal Contencioso Administrativo de  Arauca</w:t>
        <w:br/>
        <w:t xml:space="preserve">     declaró la responsabilidad del Estado por falla en el servicio por  los</w:t>
        <w:br/>
        <w:t xml:space="preserve">     hechos acaecidos el 13 de diciembre de 1998 en Santo Domingo a favor de</w:t>
        <w:br/>
        <w:t xml:space="preserve">     23 grupos familiares (litisconsortes  facultativos)  y  se  dispusieron</w:t>
        <w:br/>
        <w:t xml:space="preserve">     indemnizaciones. Ambas partes apelaron el fallo y tras una audiencia de</w:t>
        <w:br/>
        <w:t xml:space="preserve">     conciliación en la que no se logró ningún acuerdo, el 24  de  noviembre</w:t>
        <w:br/>
        <w:t xml:space="preserve">     de 2006  las  partes  llegaron  a  un  acuerdo  conciliatorio  que  fue</w:t>
        <w:br/>
        <w:t xml:space="preserve">     ratificado en audiencia de 8  de  noviembre  de  2007[176].  El  13  de</w:t>
        <w:br/>
        <w:t xml:space="preserve">     diciembre de 2007 la Sección Tercera del Consejo de  Estado  aprobó  la</w:t>
        <w:br/>
        <w:t xml:space="preserve">     conciliación entre la Nación y 19 de los 23 litisconsortes facultativos</w:t>
        <w:br/>
        <w:t xml:space="preserve">     y declaró terminado el proceso respecto de ellos, además de improbar el</w:t>
        <w:br/>
        <w:t xml:space="preserve">     acuerdo  respecto  de  los  cuatro  restantes  y   ordenó   seguir   el</w:t>
        <w:br/>
        <w:t xml:space="preserve">     proceso[177]. El 19 de noviembre de 2008 la Sección Tercera del Consejo</w:t>
        <w:br/>
        <w:t xml:space="preserve">     de Estado declaró patrimonialmente responsable a la Nación - Ministerio</w:t>
        <w:br/>
        <w:t xml:space="preserve">     de Defensa - Fuerza Aérea Colombiana por los perjuicios  ocasionados  a</w:t>
        <w:br/>
        <w:t xml:space="preserve">     los cuatro litisconsortes respecto de quienes continuó el  proceso  por</w:t>
        <w:br/>
        <w:t xml:space="preserve">     los hechos ocurridos el 13 de diciembre de 1998[178].</w:t>
        <w:br/>
        <w:br/>
        <w:br/>
        <w:t>126. Mediante resoluciones N. 0979 de 18 de marzo de 2009[179] y N. 1560  de</w:t>
        <w:br/>
        <w:t xml:space="preserve">     27 de abril de 2009[180] el Ministerio de Defensa pagó al representante</w:t>
        <w:br/>
        <w:t xml:space="preserve">     de las presuntas víctimas un total de cinco mil setecientos cincuenta y</w:t>
        <w:br/>
        <w:t xml:space="preserve">     ocho millones setecientos cincuenta y nueve mil  quinientos  diecinueve</w:t>
        <w:br/>
        <w:t xml:space="preserve">     pesos  con  veinte  centavos  ($5,758,759,019,20)   por   concepto   de</w:t>
        <w:br/>
        <w:t xml:space="preserve">     reparaciones e indemnizaciones por los hechos de Santo  Domingo[181]  a</w:t>
        <w:br/>
        <w:t xml:space="preserve">     23 grupos familiares comprendidos por 111 personas, entre  las  que  se</w:t>
        <w:br/>
        <w:t xml:space="preserve">     encuentran familiares de 16 personas que murieron, así como 13  de  las</w:t>
        <w:br/>
        <w:t xml:space="preserve">     personas que resultaron heridas y sus familiares[182].</w:t>
        <w:br/>
        <w:br/>
        <w:br/>
        <w:br/>
        <w:br/>
        <w:t xml:space="preserve">                                     VII</w:t>
        <w:br/>
        <w:br/>
        <w:br/>
        <w:t xml:space="preserve">                                    FONDO</w:t>
        <w:br/>
        <w:br/>
        <w:br/>
        <w:t>127. En razón de la controversia planteada por  el  Estado  en  el  presente</w:t>
        <w:br/>
        <w:t xml:space="preserve">     caso, la  Corte  considera  pertinente  analizar  en  primer  lugar  lo</w:t>
        <w:br/>
        <w:t xml:space="preserve">     relativo a la  alegada  violación  de  los  artículos  8  y  25  de  la</w:t>
        <w:br/>
        <w:t xml:space="preserve">     Convención, respecto de lo cual el Estado planteó un “reconocimiento de</w:t>
        <w:br/>
        <w:t xml:space="preserve">     responsabilidad”, luego de lo  cual  analizará  las  demás  violaciones</w:t>
        <w:br/>
        <w:t xml:space="preserve">     alegadas a los derechos a la vida, integridad personal, a  las  medidas</w:t>
        <w:br/>
        <w:t xml:space="preserve">     especiales de protección para los niños, a la circulación y residencia,</w:t>
        <w:br/>
        <w:t xml:space="preserve">     a la honra y dignidad y a la propiedad, así como al  deber  de  adoptar</w:t>
        <w:br/>
        <w:t xml:space="preserve">     disposiciones de derecho interno.</w:t>
        <w:br/>
        <w:br/>
        <w:br/>
        <w:br/>
        <w:br/>
        <w:br/>
        <w:br/>
        <w:br/>
        <w:t xml:space="preserve">                                    VII-1</w:t>
        <w:br/>
        <w:br/>
        <w:t xml:space="preserve">        DERECHO A LAS GARANTÍAS JUDICIALES Y A LA PROTECCIÓN JUDICIAL</w:t>
        <w:br/>
        <w:br/>
        <w:br/>
        <w:br/>
        <w:br/>
        <w:t xml:space="preserve">      A.    Argumentos de la Comisión y alegatos de las partes</w:t>
        <w:br/>
        <w:br/>
        <w:t xml:space="preserve">              A.1.    Acto    estatal    denominado    “reconocimiento    de</w:t>
        <w:br/>
        <w:t>responsabilidad”</w:t>
        <w:br/>
        <w:br/>
        <w:br/>
        <w:t>128. En relación con lo sostenido acerca  de  lo  ocurrido  en  el  presente</w:t>
        <w:br/>
        <w:t xml:space="preserve">     caso, el Estado planteó un “reconocimiento de responsabilidad”  en  los</w:t>
        <w:br/>
        <w:t xml:space="preserve">     siguientes términos:</w:t>
        <w:br/>
        <w:br/>
        <w:br/>
        <w:t xml:space="preserve">    […] la existencia de dos  decisiones  [de  un  juzgado  y  un  tribunal</w:t>
        <w:br/>
        <w:t xml:space="preserve">    superior penales] que, por un lado,  condenan  a  los  pilotos  de  las</w:t>
        <w:br/>
        <w:t xml:space="preserve">    aeronaves de la Fuerza Aérea Colombiana  por  la  muerte  y  lesión  de</w:t>
        <w:br/>
        <w:t xml:space="preserve">    varios pobladores de Santo Domingo, y por otro,  una  sentencia  de  un</w:t>
        <w:br/>
        <w:t xml:space="preserve">    juzgado penal que condena a alias Grannobles  por  la  misma  muerte  y</w:t>
        <w:br/>
        <w:t xml:space="preserve">    lesión  de  los  pobladores  de  Santo  Domingo,  no  dan  certeza   ni</w:t>
        <w:br/>
        <w:t xml:space="preserve">    efectividad a las víctimas, acerca de la verdad de los hechos ocurridos</w:t>
        <w:br/>
        <w:t xml:space="preserve">    en Santo Domingo.</w:t>
        <w:br/>
        <w:br/>
        <w:br/>
        <w:t xml:space="preserve">    En este sentido, el Estado acepta parcialmente  su  responsabilidad  en</w:t>
        <w:br/>
        <w:t xml:space="preserve">    relación con los derechos consagrados en los artículos 8 y  25  [de  la</w:t>
        <w:br/>
        <w:t xml:space="preserve">    Convención], pero [no] en la forma como es presentada la versión de los</w:t>
        <w:br/>
        <w:t xml:space="preserve">    hechos y las pretensiones por parte  de  la  Comisión,  [sino]  en  los</w:t>
        <w:br/>
        <w:t xml:space="preserve">    precisos términos que se expondrán a continuación:</w:t>
        <w:br/>
        <w:br/>
        <w:br/>
        <w:t xml:space="preserve">       (i) Los procesos penales de primera y segunda instancia  fallados  en</w:t>
        <w:br/>
        <w:t xml:space="preserve">      el 2011 han presentado falencias probatorias graves que han llevado  a</w:t>
        <w:br/>
        <w:t xml:space="preserve">      que en la actualidad no exista una única sentencia penal en firme  que</w:t>
        <w:br/>
        <w:t xml:space="preserve">      determine los autores materiales de los fatídicos hechos.  […]  Existe</w:t>
        <w:br/>
        <w:t xml:space="preserve">      otra decisión judicial interna, en firme y ejecutoriada,  que  condena</w:t>
        <w:br/>
        <w:t xml:space="preserve">      por esos hechos a Alias Grannobles,  cabecilla  de  las  FARC.  Dichas</w:t>
        <w:br/>
        <w:t xml:space="preserve">      falencias, han conducido a que en la  actualidad,  exista  un  recurso</w:t>
        <w:br/>
        <w:t xml:space="preserve">      extraordinario de  casación  interpuesto  ante  la  Corte  Suprema  de</w:t>
        <w:br/>
        <w:t xml:space="preserve">      Justicia  -institución  que   estará   encargada   de   resolver   las</w:t>
        <w:br/>
        <w:t xml:space="preserve">      incertidumbres sobre la autoría de los hechos. […] Es  decir,  existen</w:t>
        <w:br/>
        <w:t xml:space="preserve">      dos sentencias contradictorias y diametralmente opuestas.</w:t>
        <w:br/>
        <w:br/>
        <w:br/>
        <w:t xml:space="preserve">      (iii) Las principales falencias probatorias [de las sentencias penales</w:t>
        <w:br/>
        <w:t xml:space="preserve">      de primera y segunda instancia] que distorsionaron la  verdad  de  los</w:t>
        <w:br/>
        <w:t xml:space="preserve">      hechos, pueden ser resumidas [así]:</w:t>
        <w:br/>
        <w:br/>
        <w:br/>
        <w:t xml:space="preserve">      1. […] Se omitió por las instancias penales  analizar  individualmente</w:t>
        <w:br/>
        <w:t xml:space="preserve">         las pruebas en  su  totalidad  para  luego  ser  estudiadas  en  su</w:t>
        <w:br/>
        <w:t xml:space="preserve">         conjunto de cara a las reglas de la sana crítica;</w:t>
        <w:br/>
        <w:br/>
        <w:br/>
        <w:t xml:space="preserve">      2. El fallo  judicial  de  segunda  instancia  contiene  una  indebida</w:t>
        <w:br/>
        <w:t xml:space="preserve">         valoración probatoria;</w:t>
        <w:br/>
        <w:br/>
        <w:br/>
        <w:t xml:space="preserve">      3. Ausencia de  cadena  de  custodia  de  las  evidencias  probatorias</w:t>
        <w:br/>
        <w:t xml:space="preserve">         recaudadas en Santo Domingo, [… en los] levantamientos de cadáveres</w:t>
        <w:br/>
        <w:t xml:space="preserve">         [que no fueron realizados] por  autoridades  competentes  sino  que</w:t>
        <w:br/>
        <w:t xml:space="preserve">         fueron trasladados a Tame de forma indebida por los habitantes  del</w:t>
        <w:br/>
        <w:t xml:space="preserve">         caserío; [… y] con las esquirlas  y  dos  proyectiles  calibre  .50</w:t>
        <w:br/>
        <w:t xml:space="preserve">         entregadas por la señora María Panqueva en diligencia de inspección</w:t>
        <w:br/>
        <w:t xml:space="preserve">         judicial.  [Esto]  pone  en  serias  dudas   la   certeza   de   la</w:t>
        <w:br/>
        <w:t xml:space="preserve">         circunstancias de modo, tiempo y lugar en donde se encontraron  las</w:t>
        <w:br/>
        <w:t xml:space="preserve">         evidencias;</w:t>
        <w:br/>
        <w:br/>
        <w:br/>
        <w:t xml:space="preserve">      4. Hubo serias irregularidades procesales en el recaudo  y  valoración</w:t>
        <w:br/>
        <w:t xml:space="preserve">         del material probatorio;</w:t>
        <w:br/>
        <w:br/>
        <w:br/>
        <w:t xml:space="preserve">      5. Las conclusiones del informe rendido por el FBI el 10 de junio  del</w:t>
        <w:br/>
        <w:t xml:space="preserve">         2000, usado como prueba en el proceso penal interno están  fundadas</w:t>
        <w:br/>
        <w:t xml:space="preserve">         en premisas falsas. Las  evidencias  remitidas  fueron  previamente</w:t>
        <w:br/>
        <w:t xml:space="preserve">         modificadas;</w:t>
        <w:br/>
        <w:br/>
        <w:br/>
        <w:t xml:space="preserve">      6. Indebida valoración del video 14 del Skymaster,  video  fundamental</w:t>
        <w:br/>
        <w:t xml:space="preserve">         por el que fueron condenados los tripulantes del helicóptero UH1H y</w:t>
        <w:br/>
        <w:t xml:space="preserve">         que fue malinterpretado por los jueces penales de primera y segunda</w:t>
        <w:br/>
        <w:t xml:space="preserve">         instancia, y</w:t>
        <w:br/>
        <w:br/>
        <w:br/>
        <w:t xml:space="preserve">      7. Indebida valoración sobre el poder de alcance y destrucción  de  la</w:t>
        <w:br/>
        <w:t xml:space="preserve">         bomba AN-M1A2. Incluso, las sentencias penales carecen de  sustento</w:t>
        <w:br/>
        <w:t xml:space="preserve">         técnico para establecer el alcance real de la bomba, pues basan  su</w:t>
        <w:br/>
        <w:t xml:space="preserve">         fallo en información contenida de la página web Wikipedia.</w:t>
        <w:br/>
        <w:br/>
        <w:br/>
        <w:t xml:space="preserve">    Bajo  esta  óptica,  el  Estado  Colombiano  reconoce  parcialmente  su</w:t>
        <w:br/>
        <w:t xml:space="preserve">    responsabilidad por la violación del derecho a la verdad y el acceso  a</w:t>
        <w:br/>
        <w:t xml:space="preserve">    la administración de justicia. Considera  que  las  víctimas  no  deben</w:t>
        <w:br/>
        <w:t xml:space="preserve">    soportar a costa de la verdad, las falencias probatorias en las que  se</w:t>
        <w:br/>
        <w:t xml:space="preserve">    ha incurrido a lo largo de los procesos penales internos.</w:t>
        <w:br/>
        <w:br/>
        <w:br/>
        <w:t>129. El Estado señaló que reconocía responsabilidad únicamente  respecto  de</w:t>
        <w:br/>
        <w:t xml:space="preserve">     una parte de las presuntas víctimas[183] e “insiste de  todas  maneras,</w:t>
        <w:br/>
        <w:t xml:space="preserve">     que este reconocimiento de  responsabilidad  no  implica  reconocer  ni</w:t>
        <w:br/>
        <w:t xml:space="preserve">     aceptar  los  hechos  presentados   por   la   Comisión   y   por   las</w:t>
        <w:br/>
        <w:t xml:space="preserve">     víctimas”[184]. Manifestó que tampoco aceptó responsabilidad durante el</w:t>
        <w:br/>
        <w:t xml:space="preserve">     trámite ante la Comisión,  pues  en  esas  oportunidades  se  limitó  a</w:t>
        <w:br/>
        <w:t xml:space="preserve">     informar acerca del estado procesal de las investigaciones  judiciales,</w:t>
        <w:br/>
        <w:t xml:space="preserve">     sin que pueda entenderse que aceptaba algunos de los hechos  planteados</w:t>
        <w:br/>
        <w:t xml:space="preserve">     por los peticionarios  o  que  estuviera  reconociendo  algún  tipo  de</w:t>
        <w:br/>
        <w:t xml:space="preserve">     responsabilidad. Por ello, el Estado consideró que la  versión  de  los</w:t>
        <w:br/>
        <w:t xml:space="preserve">     hechos presentada en su contestación debe ser evaluada de forma íntegra</w:t>
        <w:br/>
        <w:t xml:space="preserve">     por la Corte y que en el presente caso no se configura  la  figura  del</w:t>
        <w:br/>
        <w:t xml:space="preserve">     estoppel.</w:t>
        <w:br/>
        <w:br/>
        <w:br/>
        <w:t>130. Respecto del acto estatal anterior, los representantes alegaron que  el</w:t>
        <w:br/>
        <w:t xml:space="preserve">     Estado violó el principio de estoppel, ya que durante todo  el  trámite</w:t>
        <w:br/>
        <w:t xml:space="preserve">     del proceso  ante  la  Comisión  Interamericana  mantuvo  una  posición</w:t>
        <w:br/>
        <w:t xml:space="preserve">     enfocada  en  demostrar  que  sus  tres   recursos   internos   estaban</w:t>
        <w:br/>
        <w:t xml:space="preserve">     desarrollándose  de   acuerdo   con   los   estándares   nacionales   e</w:t>
        <w:br/>
        <w:t xml:space="preserve">     internacionales, posición que varió de forma radical  a  través  de  su</w:t>
        <w:br/>
        <w:t xml:space="preserve">     escrito de contestación. Además, alegaron que la decisión  del  Juzgado</w:t>
        <w:br/>
        <w:t xml:space="preserve">     de Arauca de 31 de enero de 2011 no es un hecho sobreviniente porque el</w:t>
        <w:br/>
        <w:t xml:space="preserve">     Estado no lo informó a la Comisión en su oportunidad,  a  pesar  de  lo</w:t>
        <w:br/>
        <w:t xml:space="preserve">     cual es ahora utilizada de manera extemporánea por  para  remplazar  el</w:t>
        <w:br/>
        <w:t xml:space="preserve">     marco fáctico del litigio y negar su responsabilidad internacional,  lo</w:t>
        <w:br/>
        <w:t xml:space="preserve">     que es contrario a los principios de buena fe y estoppel.  Además,  los</w:t>
        <w:br/>
        <w:t xml:space="preserve">     representantes manifestaron que en el proceso  en  que  se  emitió  ese</w:t>
        <w:br/>
        <w:t xml:space="preserve">     fallo se originó en una investigación penal diferente[185], en la  cual</w:t>
        <w:br/>
        <w:t xml:space="preserve">     no se investigó la muerte  de  los  civiles  en  la  masacre  de  Santo</w:t>
        <w:br/>
        <w:t xml:space="preserve">     Domingo, a pesar de lo cual ese fallo también condenó a un  guerrillero</w:t>
        <w:br/>
        <w:t xml:space="preserve">     como responsable de la masacre de Santo Domingo y del homicidio tentado</w:t>
        <w:br/>
        <w:t xml:space="preserve">     de Alba Janeth García Guevara (una de las presuntas  víctimas  de  este</w:t>
        <w:br/>
        <w:t xml:space="preserve">     caso)[186]. En razón de lo anterior, alegaron que el referido  acto  de</w:t>
        <w:br/>
        <w:t xml:space="preserve">     reconocimiento del Estado no es acorde con las violaciones alegadas por</w:t>
        <w:br/>
        <w:t xml:space="preserve">     ellos y por la Comisión y, por el contrario, transgrede el derecho a la</w:t>
        <w:br/>
        <w:t xml:space="preserve">     verdad, pues el referido hecho que presenta como fundamento  del  mismo</w:t>
        <w:br/>
        <w:t xml:space="preserve">     no es sobreviniente, no conforma el marco fáctico del caso y  desconoce</w:t>
        <w:br/>
        <w:t xml:space="preserve">     los derechos de las víctimas[187]. Los representantes alegaron que  ese</w:t>
        <w:br/>
        <w:t xml:space="preserve">     fallo, así como las notorias falencias entre la acusación realizada por</w:t>
        <w:br/>
        <w:t xml:space="preserve">     la Fiscalía,  “generaron  nuevamente  un  factor  de  violación  a  los</w:t>
        <w:br/>
        <w:t xml:space="preserve">     artículos 8 y 25  de  la  Convención  Americana  en  perjuicio  de  las</w:t>
        <w:br/>
        <w:t xml:space="preserve">     víctimas”, razón por la cual, puesto que  solo  existe  la  posibilidad</w:t>
        <w:br/>
        <w:t xml:space="preserve">     extraordinaria y residual de que  la  Corte  Constitucional  colombiana</w:t>
        <w:br/>
        <w:t xml:space="preserve">     revise los fallos de tutela, solicitaron a  la  Corte  que  realice  un</w:t>
        <w:br/>
        <w:t xml:space="preserve">     “examen en el fondo del asunto sobre las graves consecuencias que tiene</w:t>
        <w:br/>
        <w:t xml:space="preserve">     este accionar contra los derechos convencionales de las víctimas”.</w:t>
        <w:br/>
        <w:br/>
        <w:br/>
        <w:t>131. Por su parte, la Comisión alegó que lo manifestado  por  el  Estado  no</w:t>
        <w:br/>
        <w:t xml:space="preserve">     constituye un reconocimiento  de  responsabilidad,  ni  aun  de  manera</w:t>
        <w:br/>
        <w:t xml:space="preserve">     parcial. Observó que el mismo Estado indicó en su contestación  que  no</w:t>
        <w:br/>
        <w:t xml:space="preserve">     reconoce   su   responsabilidad   sobre   las   pretensiones   de   los</w:t>
        <w:br/>
        <w:t xml:space="preserve">     representantes, ni sobre los hechos y las violaciones  establecidas  en</w:t>
        <w:br/>
        <w:t xml:space="preserve">     su Informe de Fondo, en el cual  analizó  cuestiones  distintas  a  las</w:t>
        <w:br/>
        <w:t xml:space="preserve">     denominadas por el Estado como “falencias probatorias”  en  el  proceso</w:t>
        <w:br/>
        <w:t xml:space="preserve">     penal que culminó con las condenas en primera y segunda instancia. Así,</w:t>
        <w:br/>
        <w:t xml:space="preserve">     observó  que  lo  denominado  por  el  Estado  como  un  reconocimiento</w:t>
        <w:br/>
        <w:t xml:space="preserve">     constituye precisamente el sustento de su controversia sobre  el  marco</w:t>
        <w:br/>
        <w:t xml:space="preserve">     fáctico y jurídico del Informe de fondo. Observó que, por el contrario,</w:t>
        <w:br/>
        <w:t xml:space="preserve">     durante la etapa de fondo del caso ante la Comisión  el  Estado  indicó</w:t>
        <w:br/>
        <w:t xml:space="preserve">     que sus procesos internos, incluyendo el proceso penal que  actualmente</w:t>
        <w:br/>
        <w:t xml:space="preserve">     critica, constituyeron una clara y profunda investigación de los hechos</w:t>
        <w:br/>
        <w:t xml:space="preserve">     y que ese proceso penal se  adelantó  de  acuerdo  con  los  estándares</w:t>
        <w:br/>
        <w:t xml:space="preserve">     nacionales  e  internacionales,  cumpliendo  con  sus  obligaciones  en</w:t>
        <w:br/>
        <w:t xml:space="preserve">     materia de investigación y determinación de los responsables,  lo  cual</w:t>
        <w:br/>
        <w:t xml:space="preserve">     sostuvo incluso después de aprobado el Informe de fondo,  en  la  etapa</w:t>
        <w:br/>
        <w:t xml:space="preserve">     previa al envío del caso a la Corte y con posterioridad a la  sentencia</w:t>
        <w:br/>
        <w:t xml:space="preserve">     que condenó a un miembro de las FARC por estos hechos.  En  conclusión,</w:t>
        <w:br/>
        <w:t xml:space="preserve">     la Comisión consideró que el acto del Estado no debe ser analizado bajo</w:t>
        <w:br/>
        <w:t xml:space="preserve">     la figura jurídica del reconocimiento de responsabilidad internacional,</w:t>
        <w:br/>
        <w:t xml:space="preserve">     sino a la luz del principio de estoppel.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A.2.  Respecto de las investigaciones y procesos internos</w:t>
        <w:br/>
        <w:br/>
        <w:br/>
        <w:t>132. La Comisión y los representantes consideraron que el Estado  violó  los</w:t>
        <w:br/>
        <w:t xml:space="preserve">     derechos a las garantías judiciales y protección judicial,  reconocidos</w:t>
        <w:br/>
        <w:t xml:space="preserve">     en los artículos 8[188] y 25[189] en relación con el artículo 1.1 de la</w:t>
        <w:br/>
        <w:t xml:space="preserve">     Convención Americana.</w:t>
        <w:br/>
        <w:br/>
        <w:br/>
        <w:t>133. La Comisión observó que fueron  adelantados  procesos  penales  en  las</w:t>
        <w:br/>
        <w:t xml:space="preserve">     jurisdicciones  penal  militar,  penal   ordinaria,   disciplinaria   y</w:t>
        <w:br/>
        <w:t xml:space="preserve">     contencioso administrativa. En cuanto a la investigación en la justicia</w:t>
        <w:br/>
        <w:t xml:space="preserve">     penal ordinaria, observó que en septiembre de 2009 el Juzgado 12  Penal</w:t>
        <w:br/>
        <w:t xml:space="preserve">     condenó en primera instancia  a  tres  oficiales  de  la  Fuerza  Aérea</w:t>
        <w:br/>
        <w:t xml:space="preserve">     Colombiana,  tripulantes  de  la  aeronave  que  lanzó  el  dispositivo</w:t>
        <w:br/>
        <w:t xml:space="preserve">     cluster, como responsables materiales de los hechos. A pesar  de  ello,</w:t>
        <w:br/>
        <w:t xml:space="preserve">     la Comisión estimó que “no se  han  clarificado  en  su  totalidad  las</w:t>
        <w:br/>
        <w:t xml:space="preserve">     responsabilidades intelectuales en la  planificación  y  ejecución  del</w:t>
        <w:br/>
        <w:t xml:space="preserve">     bombardeo”, las que se efectuaron con la autorización de  altos  mandos</w:t>
        <w:br/>
        <w:t xml:space="preserve">     militares. En cuanto al procedimiento  disciplinario,  la  Comisión  se</w:t>
        <w:br/>
        <w:t xml:space="preserve">     limitó a observar los resultados de  lo  actuado  por  la  Procuraduría</w:t>
        <w:br/>
        <w:t xml:space="preserve">     General de la Nación, que sancionó a dos de los oficiales y absolvió  a</w:t>
        <w:br/>
        <w:t xml:space="preserve">     otro. Por último, respecto de los procesos contencioso administrativos,</w:t>
        <w:br/>
        <w:t xml:space="preserve">     la Comisión observó que, tras cinco años de dictada  la  sentencia,  en</w:t>
        <w:br/>
        <w:t xml:space="preserve">     2009 el Estado indemnizó a los familiares de 16 personas que murieron y</w:t>
        <w:br/>
        <w:t xml:space="preserve">     13 personas que resultaron heridas y sus familias, lo cual valoró  como</w:t>
        <w:br/>
        <w:t xml:space="preserve">     esfuerzos del Estado que constituyen  una  reparación  parcial  de  los</w:t>
        <w:br/>
        <w:t xml:space="preserve">     daños a algunas familias, pero que no han tenido impacto en la falta de</w:t>
        <w:br/>
        <w:t xml:space="preserve">     investigación y sanción de los hechos.</w:t>
        <w:br/>
        <w:br/>
        <w:br/>
        <w:t>134. En consecuencia, la Comisión recomendó al Estado,  inter  alia,  llevar</w:t>
        <w:br/>
        <w:t xml:space="preserve">     adelante  una  investigación  imparcial,  exhaustiva  y  en  un   plazo</w:t>
        <w:br/>
        <w:t xml:space="preserve">     razonable para juzgar y sancionar  a  todos  los  responsables  de  los</w:t>
        <w:br/>
        <w:t xml:space="preserve">     hechos; investigar los vínculos entre agentes del Estado y  la  empresa</w:t>
        <w:br/>
        <w:t xml:space="preserve">     extractiva que desarrolla actividades en la zona donde  ocurrieron  los</w:t>
        <w:br/>
        <w:t xml:space="preserve">     hechos, así como “reparar  adecuadamente”  las  violaciones  declaradas</w:t>
        <w:br/>
        <w:t xml:space="preserve">     tanto en el aspecto material como moral, incluyendo el  establecimiento</w:t>
        <w:br/>
        <w:t xml:space="preserve">     y difusión de la verdad de los hechos.</w:t>
        <w:br/>
        <w:br/>
        <w:br/>
        <w:t>135. Por su parte, los representantes  manifestaron,  en  relación  con  las</w:t>
        <w:br/>
        <w:t xml:space="preserve">     investigaciones y procesos penales, que el aparato judicial  colombiano</w:t>
        <w:br/>
        <w:t xml:space="preserve">     no ha investigado, efectivamente y en un plazo razonable, la  totalidad</w:t>
        <w:br/>
        <w:t xml:space="preserve">     de los hechos y conductas delictivas, ni ha judicializado y  sancionado</w:t>
        <w:br/>
        <w:t xml:space="preserve">     a todos los responsables de la masacre. Criticaron el hecho de  que  la</w:t>
        <w:br/>
        <w:t xml:space="preserve">     investigación  estuviera  inicialmente  bajo  la   jurisdicción   penal</w:t>
        <w:br/>
        <w:t xml:space="preserve">     militar, lo cual calificaron como un intento de lograr la impunidad  en</w:t>
        <w:br/>
        <w:t xml:space="preserve">     este caso en violación del derecho a un juez natural, reconocido en  el</w:t>
        <w:br/>
        <w:t xml:space="preserve">     artículo 8.1 de la Convención. Por otro lado, alegaron que, aun  cuando</w:t>
        <w:br/>
        <w:t xml:space="preserve">     existen fuertes elementos de prueba  que  establecen  la  participación</w:t>
        <w:br/>
        <w:t xml:space="preserve">     intelectual de altos mandos militares en la planeación de la  operación</w:t>
        <w:br/>
        <w:t xml:space="preserve">     así como el posterior encubrimiento, sólo dos  responsables  materiales</w:t>
        <w:br/>
        <w:t xml:space="preserve">     han sido juzgados, quienes no se encuentran privados de libertad y cuya</w:t>
        <w:br/>
        <w:t xml:space="preserve">     condena  no  se  encuentra  en  firme.  Además,   estimaron   necesario</w:t>
        <w:br/>
        <w:t xml:space="preserve">     establecer judicialmente  la  participación  de  agentes  de  seguridad</w:t>
        <w:br/>
        <w:t xml:space="preserve">     privados en función de vigilancia y protección de  bienes  de  la  OXY,</w:t>
        <w:br/>
        <w:t xml:space="preserve">     quienes  actuaron  como  agentes  estatales,  así  como   la   especial</w:t>
        <w:br/>
        <w:t xml:space="preserve">     colaboración  económica  y  armamentista  (con  el  avión  Skymaster  y</w:t>
        <w:br/>
        <w:t xml:space="preserve">     helicóptero MI-17) que sostuvo esta transnacional con la Brigada XVIII,</w:t>
        <w:br/>
        <w:t xml:space="preserve">     en perjuicio de las víctimas. Además, alegaron que la falta de  avances</w:t>
        <w:br/>
        <w:t xml:space="preserve">     significativos en el transcurso del proceso generó la  prescripción  de</w:t>
        <w:br/>
        <w:t xml:space="preserve">     la acción penal respecto a las afectaciones a  la  propiedad  y  a  las</w:t>
        <w:br/>
        <w:t xml:space="preserve">     lesiones causadas a las presuntas víctimas, en tanto  la  investigación</w:t>
        <w:br/>
        <w:t xml:space="preserve">     frente a los heridos se habría llevado a cabo por el delito de lesiones</w:t>
        <w:br/>
        <w:t xml:space="preserve">     personales y no por homicidio  en  grado  de  tentativa.  Alegaron  que</w:t>
        <w:br/>
        <w:t xml:space="preserve">     tampoco se han investigado  los  actos  de  ametrallamiento  contra  la</w:t>
        <w:br/>
        <w:t xml:space="preserve">     población que intentaba auxiliar a los heridos,  ni  el  desplazamiento</w:t>
        <w:br/>
        <w:t xml:space="preserve">     forzado, conductas que no se encontraban tipificadas en la  legislación</w:t>
        <w:br/>
        <w:t xml:space="preserve">     penal para la época de los  hechos,  ni  lo  delitos  en  que  pudieron</w:t>
        <w:br/>
        <w:t xml:space="preserve">     incurrir los supuestos reinsertados de las FARC  que  rindieron  falsos</w:t>
        <w:br/>
        <w:t xml:space="preserve">     testimonios en la investigación penal.</w:t>
        <w:br/>
        <w:br/>
        <w:br/>
        <w:t>136. En cuanto al procedimiento disciplinario, los  representantes  alegaron</w:t>
        <w:br/>
        <w:t xml:space="preserve">     que si bien en su  instrucción  se  observa  una  actividad  probatoria</w:t>
        <w:br/>
        <w:t xml:space="preserve">     activa, el ente disciplinario tampoco realizó un análisis  integral  de</w:t>
        <w:br/>
        <w:t xml:space="preserve">     la “Operación  Relámpago  II”  que  permitiera  el  establecimiento  de</w:t>
        <w:br/>
        <w:t xml:space="preserve">     responsabilidad disciplinaria de funcionarios que  participaron  en  la</w:t>
        <w:br/>
        <w:t xml:space="preserve">     planeación  del  bombardeo,  ni  investigó  la  conducta   de   quienes</w:t>
        <w:br/>
        <w:t xml:space="preserve">     permitieron u  ordenaron  que  actores  privados  ejercieran  funciones</w:t>
        <w:br/>
        <w:t xml:space="preserve">     públicas privativas de las Fuerzas Militares. Además, alegaron  que  la</w:t>
        <w:br/>
        <w:t xml:space="preserve">     sanción de tres meses impuesta, sin la destitución de los responsables,</w:t>
        <w:br/>
        <w:t xml:space="preserve">     es desproporcionada.</w:t>
        <w:br/>
        <w:br/>
        <w:br/>
        <w:t>137.  En  lo   relativo   al   proceso   contencioso   administrativo,   los</w:t>
        <w:br/>
        <w:t xml:space="preserve">     representantes alegaron que existen conductas que no fueron  objeto  de</w:t>
        <w:br/>
        <w:t xml:space="preserve">     debate  y/o  reconocimiento  judicial,  entre   ellas   el   detrimento</w:t>
        <w:br/>
        <w:t xml:space="preserve">     patrimonial que sufrieron algunos bienes, el desplazamiento forzado  de</w:t>
        <w:br/>
        <w:t xml:space="preserve">     la totalidad de la población y los daños colectivos y sociales  que  la</w:t>
        <w:br/>
        <w:t xml:space="preserve">     masacre generó. Además, alegaron que el daño  físico  de  las  personas</w:t>
        <w:br/>
        <w:t xml:space="preserve">     sobrevivientes con secuelas permanentes,  y  sus  consecuencias  en  el</w:t>
        <w:br/>
        <w:t xml:space="preserve">     proyecto de vida y ocupacional, no fueron adecuadamente valoradas.</w:t>
        <w:br/>
        <w:br/>
        <w:br/>
        <w:t>138. Por su parte, el Estado manifestó que las afirmaciones presentadas  por</w:t>
        <w:br/>
        <w:t xml:space="preserve">     la Comisión no están ajustadas a la realidad, pues existe una  decisión</w:t>
        <w:br/>
        <w:t xml:space="preserve">     de la justicia colombiana de 31 de enero de 2011 del Juzgado Penal  del</w:t>
        <w:br/>
        <w:t xml:space="preserve">     Circuito  Especializado  de  Arauca,  en  la  cual  fue  condenado   un</w:t>
        <w:br/>
        <w:t xml:space="preserve">     guerrillero de las FARC (“alias Grannobles”) como responsable por tales</w:t>
        <w:br/>
        <w:t xml:space="preserve">     hechos de Santo Domingo. Esto demuestra, junto con otras  pruebas,  que</w:t>
        <w:br/>
        <w:t xml:space="preserve">     la Fuerza Aérea Colombiana no lanzó ninguna bomba en el casco urbano de</w:t>
        <w:br/>
        <w:t xml:space="preserve">     la población de Santo  Domingo  y  que  las  muertes  ocurridas  fueron</w:t>
        <w:br/>
        <w:t xml:space="preserve">     causadas por una bomba que instaló la  guerrilla  de  las  FARC  en  un</w:t>
        <w:br/>
        <w:t xml:space="preserve">     camión que estaba en la  calle  principal  de  la  población.  En  este</w:t>
        <w:br/>
        <w:t xml:space="preserve">     sentido, el Estado alegó que no se ha vulnerado el derecho a la  verdad</w:t>
        <w:br/>
        <w:t xml:space="preserve">     por no haber investigado a los supuestos  autores  intelectuales,  dado</w:t>
        <w:br/>
        <w:t xml:space="preserve">     que existe la referida  sentencia  penal  ejecutoriada  en  la  que  se</w:t>
        <w:br/>
        <w:t xml:space="preserve">     condenó al referido cabecilla de las FARC por los hechos y, además, que</w:t>
        <w:br/>
        <w:t xml:space="preserve">     bajo las reglas y protocolos de la cadena de mando no era necesaria  la</w:t>
        <w:br/>
        <w:t xml:space="preserve">     autorización del  Comandante  de  la  Fuerza  Aérea  para  ejecutar  la</w:t>
        <w:br/>
        <w:t xml:space="preserve">     operación en que fue lanzado el artefacto explosivo AN-M1A2, pues  ésta</w:t>
        <w:br/>
        <w:t xml:space="preserve">     fue catalogada como una “misión Charlie”. A su vez, señaló que no  hubo</w:t>
        <w:br/>
        <w:t xml:space="preserve">     obstrucción de la justicia por parte de  agentes  estatales,  pues  las</w:t>
        <w:br/>
        <w:t xml:space="preserve">     declaraciones de miembros de la Fuerza Pública sobre los hechos,  lejos</w:t>
        <w:br/>
        <w:t xml:space="preserve">     de ser un instrumento de impunidad,  han  coadyuvado  a  esclarecer  la</w:t>
        <w:br/>
        <w:t xml:space="preserve">     verdad y fueron parte del ejercicio de su derecho de  defensa.  Además,</w:t>
        <w:br/>
        <w:t xml:space="preserve">     alegó que fueron iniciados  varios  procesos  judiciales,  que  por  su</w:t>
        <w:br/>
        <w:t xml:space="preserve">     complejidad aún están en curso, inclusive uno abierto desde el año 2011</w:t>
        <w:br/>
        <w:t xml:space="preserve">     en que se investiga a miembros de la Fuerza Pública por  los  presuntos</w:t>
        <w:br/>
        <w:t xml:space="preserve">     ametrallamientos ocasionados sobre la población civil.</w:t>
        <w:br/>
        <w:br/>
        <w:br/>
        <w:t>139. En cuanto a la jurisdicción penal militar, el  Estado  alegó  que,  aun</w:t>
        <w:br/>
        <w:t xml:space="preserve">     cuando inicialmente el caso fue enjuiciado por la misma, ésta no  actuó</w:t>
        <w:br/>
        <w:t xml:space="preserve">     de manera parcializada y el caso  fue  finalmente  investigado  por  la</w:t>
        <w:br/>
        <w:t xml:space="preserve">     justicia ordinaria.</w:t>
        <w:br/>
        <w:br/>
        <w:br/>
        <w:t>140. A su vez, el Estado sostuvo que ya realizó la “reparación integral”  de</w:t>
        <w:br/>
        <w:t xml:space="preserve">     las víctimas  mediante  los  procesos  surtidos  ante  la  jurisdicción</w:t>
        <w:br/>
        <w:t xml:space="preserve">     contencioso administrativa, en los que fue solicitada la  indemnización</w:t>
        <w:br/>
        <w:t xml:space="preserve">     correspondiente   a   los   perjuicios   materiales   e    inmateriales</w:t>
        <w:br/>
        <w:t xml:space="preserve">     causados[190]. Alegó que fueron reparados la  totalidad  de  los  daños</w:t>
        <w:br/>
        <w:t xml:space="preserve">     ocasionados por el operativo legítimo de la fuerza pública, a través de</w:t>
        <w:br/>
        <w:t xml:space="preserve">     la teoría del “daño especial”, a  aquellas  personas  que  probaron  su</w:t>
        <w:br/>
        <w:t xml:space="preserve">     calidad de víctimas y los daños causados, accediendo parcialmente a las</w:t>
        <w:br/>
        <w:t xml:space="preserve">     pretensiones indemnizatorias de los demandantes. En virtud del  acuerdo</w:t>
        <w:br/>
        <w:t xml:space="preserve">     conciliatorio aprobado por el Consejo de Estado, fueron reparadas 19 de</w:t>
        <w:br/>
        <w:t xml:space="preserve">     las 23 familias que instauraran demandas[191]. El Estado solicitó  que,</w:t>
        <w:br/>
        <w:t xml:space="preserve">     no obstante lo anterior, en caso de determinarse la responsabilidad del</w:t>
        <w:br/>
        <w:t xml:space="preserve">     Estado, al momento de establecer las reparaciones  la  Corte  tenga  en</w:t>
        <w:br/>
        <w:t xml:space="preserve">     cuenta las indemnizaciones otorgadas en el derecho interno, de modo que</w:t>
        <w:br/>
        <w:t xml:space="preserve">     los montos previamente asignados puedan ser deducidos de las sumas  que</w:t>
        <w:br/>
        <w:t xml:space="preserve">     fije la sentencia.</w:t>
        <w:br/>
        <w:br/>
        <w:br/>
        <w:br/>
        <w:br/>
        <w:t>B.     Consideraciones de la Corte</w:t>
        <w:br/>
        <w:br/>
        <w:t xml:space="preserve">           B.1.  Pronunciamiento sobre el objeto del  presente  caso  y  el</w:t>
        <w:br/>
        <w:t xml:space="preserve">                 acto estatal denominado “reconocimiento de responsabilidad”</w:t>
        <w:br/>
        <w:br/>
        <w:br/>
        <w:br/>
        <w:br/>
        <w:t>141. En el proceso del presente caso ante la Corte,  el  Estado  ha  variado</w:t>
        <w:br/>
        <w:t xml:space="preserve">     sustancialmente su argumentación con respecto a lo  sostenido  ante  la</w:t>
        <w:br/>
        <w:t xml:space="preserve">     Comisión, en cuanto a cómo ocurrieron los  hechos  del  caso  y  a  las</w:t>
        <w:br/>
        <w:t xml:space="preserve">     actuaciones de sus órganos de administración de justicia  al  respecto,</w:t>
        <w:br/>
        <w:t xml:space="preserve">     principalmente a partir de una hipótesis  fáctica  sustentada  en  gran</w:t>
        <w:br/>
        <w:t xml:space="preserve">     medida en un fallo dictado el 31 de enero de 2011 por el Juzgado  Penal</w:t>
        <w:br/>
        <w:t xml:space="preserve">     del Circuito Especializado de Arauca. A partir de ese fallo, además, el</w:t>
        <w:br/>
        <w:t xml:space="preserve">     Estado   presentó   un   acto   que   denominó    “reconocimiento    de</w:t>
        <w:br/>
        <w:t xml:space="preserve">     responsabilidad” respecto de la alegada violación de los artículos  8.1</w:t>
        <w:br/>
        <w:t xml:space="preserve">     y 25 de la Convención. La Comisión y los representantes alegan que este</w:t>
        <w:br/>
        <w:t xml:space="preserve">     hecho excede el marco fáctico del caso, que el Estado ha  incurrido  en</w:t>
        <w:br/>
        <w:t xml:space="preserve">     vulneración del principio de estoppel y que el reconocimiento no es tal</w:t>
        <w:br/>
        <w:t xml:space="preserve">     o no es válido. Corresponde  a  la  Corte  recordar  el  objeto  de  la</w:t>
        <w:br/>
        <w:t xml:space="preserve">     responsabilidad de los Estados Parte en la Convención, a fin de valorar</w:t>
        <w:br/>
        <w:t xml:space="preserve">     la posición del Estado, definir el objeto del presente caso y  analizar</w:t>
        <w:br/>
        <w:t xml:space="preserve">     lo  correspondiente  a  los  derechos  a  las  garantías  judiciales  y</w:t>
        <w:br/>
        <w:t xml:space="preserve">     protección judicial.</w:t>
        <w:br/>
        <w:br/>
        <w:br/>
        <w:t>142. La responsabilidad estatal bajo la Convención sólo puede ser exigida  a</w:t>
        <w:br/>
        <w:t xml:space="preserve">     nivel internacional después de que el Estado haya tenido la oportunidad</w:t>
        <w:br/>
        <w:t xml:space="preserve">     de declarar la violación y reparar el daño ocasionado por  sus  propios</w:t>
        <w:br/>
        <w:t xml:space="preserve">     medios.  Esto  se  asienta  en  el   principio   de   complementariedad</w:t>
        <w:br/>
        <w:t xml:space="preserve">     (subsidiariedad),   que    informa    transversalmente    el    Sistema</w:t>
        <w:br/>
        <w:t xml:space="preserve">     Interamericano de Derechos Humanos, el cual es, tal como lo expresa  el</w:t>
        <w:br/>
        <w:t xml:space="preserve">     Preámbulo  de   la   misma   Convención   Americana,   “coadyuvante   o</w:t>
        <w:br/>
        <w:t xml:space="preserve">     complementario de la [protección] que ofrece el derecho interno de  los</w:t>
        <w:br/>
        <w:t xml:space="preserve">     Estados americanos”. De tal manera, el Estado “es el principal  garante</w:t>
        <w:br/>
        <w:t xml:space="preserve">     de los derechos humanos de la personas, de manera que, si se produce un</w:t>
        <w:br/>
        <w:t xml:space="preserve">     acto violatorio de dichos derechos, es el propio Estado quien tiene  el</w:t>
        <w:br/>
        <w:t xml:space="preserve">     deber de resolver el asunto a nivel interno y, [en su  caso,]  reparar,</w:t>
        <w:br/>
        <w:t xml:space="preserve">     antes de tener que responder ante instancias  internacionales  como  el</w:t>
        <w:br/>
        <w:t xml:space="preserve">     Sistema Interamericano, lo cual deriva  del  carácter  subsidiario  que</w:t>
        <w:br/>
        <w:t xml:space="preserve">     reviste el proceso internacional frente a los  sistemas  nacionales  de</w:t>
        <w:br/>
        <w:t xml:space="preserve">     garantías  de  los  derechos  humanos”[192].  Esas  ideas  también  han</w:t>
        <w:br/>
        <w:t xml:space="preserve">     adquirido forma en la jurisprudencia reciente bajo la concepción de que</w:t>
        <w:br/>
        <w:t xml:space="preserve">     todas las autoridades y órganos de un Estado  Parte  en  la  Convención</w:t>
        <w:br/>
        <w:t xml:space="preserve">     tienen la obligación de ejercer un “control de convencionalidad” [193].</w:t>
        <w:br/>
        <w:br/>
        <w:br/>
        <w:t>143. Lo anterior significa que  se  ha  instaurado  un  control  dinámico  y</w:t>
        <w:br/>
        <w:t xml:space="preserve">     complementario de las obligaciones convencionales  de  los  Estados  de</w:t>
        <w:br/>
        <w:t xml:space="preserve">     respetar  y  garantizar  derechos  humanos,  conjuntamente  entre   las</w:t>
        <w:br/>
        <w:t xml:space="preserve">     autoridades  internas  (primariamente  obligadas)  y   las   instancias</w:t>
        <w:br/>
        <w:t xml:space="preserve">     internacionales (en forma complementaria), de modo que los criterios de</w:t>
        <w:br/>
        <w:t xml:space="preserve">     decisión  puedan  ser  conformados  y  adecuados  entre  sí.  Así,   la</w:t>
        <w:br/>
        <w:t xml:space="preserve">     jurisprudencia de la Corte muestra casos en que se  retoman  decisiones</w:t>
        <w:br/>
        <w:t xml:space="preserve">     de tribunales internos para fundamentar y conceptualizar  la  violación</w:t>
        <w:br/>
        <w:t xml:space="preserve">     de la Convención en el caso  específico[194].  En  otros  casos  se  ha</w:t>
        <w:br/>
        <w:t xml:space="preserve">     reconocido   que,   en   forma   concordante   con   las   obligaciones</w:t>
        <w:br/>
        <w:t xml:space="preserve">     internacionales, los órganos,  instancias  o  tribunales  internos  han</w:t>
        <w:br/>
        <w:t xml:space="preserve">     adoptado medidas adecuadas para remediar la situación que dio origen al</w:t>
        <w:br/>
        <w:t xml:space="preserve">     caso[195]; ya han resuelto la  violación  alegada[196];  han  dispuesto</w:t>
        <w:br/>
        <w:t xml:space="preserve">     reparaciones razonables[197], o han ejercido  un  adecuado  control  de</w:t>
        <w:br/>
        <w:t xml:space="preserve">     convencionalidad[198].</w:t>
        <w:br/>
        <w:br/>
        <w:br/>
        <w:t>144. Es decir, si bien  el  Sistema  tiene  dos  órganos  “competentes  para</w:t>
        <w:br/>
        <w:t xml:space="preserve">     conocer  de  los  asuntos  relacionados  con  el  cumplimiento  de  los</w:t>
        <w:br/>
        <w:t xml:space="preserve">     compromisos contraídos por los Estados Partes en  la  Convención”[199],</w:t>
        <w:br/>
        <w:t xml:space="preserve">     la Corte solo puede “conocer  un  caso”  cuando  se  han  “agotado  los</w:t>
        <w:br/>
        <w:t xml:space="preserve">     procedimientos  previstos  en  los  artículos  48  a   50”   de   dicho</w:t>
        <w:br/>
        <w:t xml:space="preserve">     instrumento, sea el procedimiento de peticiones  individuales  ante  la</w:t>
        <w:br/>
        <w:t xml:space="preserve">     Comisión Interamericana. De tal modo, solamente si un  caso  no  se  ha</w:t>
        <w:br/>
        <w:t xml:space="preserve">     solucionado a nivel interno, como correspondería primariamente  hacerlo</w:t>
        <w:br/>
        <w:t xml:space="preserve">     a cualquier Estado Parte en la Convención  en  ejercicio  efectivo  del</w:t>
        <w:br/>
        <w:t xml:space="preserve">     control de convencionalidad, entonces el  caso  puede  llegar  ante  el</w:t>
        <w:br/>
        <w:t xml:space="preserve">     Sistema, en cuyo caso debería resolverse ante la Comisión y,  solamente</w:t>
        <w:br/>
        <w:t xml:space="preserve">     si las recomendaciones de ésta no han sido cumplidas,  el  caso  podría</w:t>
        <w:br/>
        <w:t xml:space="preserve">     llegar ante la  Corte.  De  tal  manera,  el  funcionamiento  lógico  y</w:t>
        <w:br/>
        <w:t xml:space="preserve">     adecuado del Sistema Interamericano de Derechos Humanos implica que, en</w:t>
        <w:br/>
        <w:t xml:space="preserve">     tanto  “sistema”,  las  partes  deben  presentar   sus   posiciones   e</w:t>
        <w:br/>
        <w:t xml:space="preserve">     información sobre los hechos en forma coherente y de  acuerdo  con  los</w:t>
        <w:br/>
        <w:t xml:space="preserve">     principios de buena fe y seguridad jurídica, de modo que permitan a las</w:t>
        <w:br/>
        <w:t xml:space="preserve">     otras partes y a los órganos interamericanos una adecuada sustanciación</w:t>
        <w:br/>
        <w:t xml:space="preserve">     de los casos. La posición asumida por el  Estado  en  el  procedimiento</w:t>
        <w:br/>
        <w:t xml:space="preserve">     ante la Comisión determina también en gran medida la  posición  de  las</w:t>
        <w:br/>
        <w:t xml:space="preserve">     presuntas víctimas, sus familiares o sus representantes, lo que llega a</w:t>
        <w:br/>
        <w:t xml:space="preserve">     afectar el curso del procedimiento[200].</w:t>
        <w:br/>
        <w:br/>
        <w:br/>
        <w:t>145. Es precisamente por esta necesidad de coherencia  en  el  planteamiento</w:t>
        <w:br/>
        <w:t xml:space="preserve">     de los hechos y alegatos que, una vez sometido un caso contencioso ante</w:t>
        <w:br/>
        <w:t xml:space="preserve">     la Corte por parte de la Comisión, el Informe de fondo (y anteriormente</w:t>
        <w:br/>
        <w:t xml:space="preserve">     la demanda) determina el marco fáctico del proceso[201] y  enmarca  las</w:t>
        <w:br/>
        <w:t xml:space="preserve">     pretensiones de derecho  y  de  reparaciones[202].  Ciertamente  no  se</w:t>
        <w:br/>
        <w:t xml:space="preserve">     excluye la posibilidad de las partes de  exponer  aquellos  hechos  que</w:t>
        <w:br/>
        <w:t xml:space="preserve">     permitan explicar o aclarar ese marco fáctico, como tampoco los  hechos</w:t>
        <w:br/>
        <w:t xml:space="preserve">     que  permitan  al  Estado  interesado  desestimar  los  que  han   sido</w:t>
        <w:br/>
        <w:t xml:space="preserve">     considerados en  el  Informe  de  Fondo[203].  Tampoco  se  excluye  la</w:t>
        <w:br/>
        <w:t xml:space="preserve">     posibilidad de las  partes  de  presentar  hechos  supervinientes,  que</w:t>
        <w:br/>
        <w:t xml:space="preserve">     podrían ser remitidos al Tribunal en cualquier estado del proceso antes</w:t>
        <w:br/>
        <w:t xml:space="preserve">     de la emisión de la sentencia[204].  No  obstante,  en  definitiva,  al</w:t>
        <w:br/>
        <w:t xml:space="preserve">     decidir en cada caso acerca  de  la  procedencia  de  alegatos  de  tal</w:t>
        <w:br/>
        <w:t xml:space="preserve">     naturaleza, la Corte debe resguardar  el  equilibrio  procesal  de  las</w:t>
        <w:br/>
        <w:t xml:space="preserve">     partes[205], pues no puede considerar hechos alegados  por  las  partes</w:t>
        <w:br/>
        <w:t xml:space="preserve">     que no conforman el marco fáctico, ni referirse a alegatos  de  derecho</w:t>
        <w:br/>
        <w:t xml:space="preserve">     respecto de hechos que lo excedan[206].</w:t>
        <w:br/>
        <w:br/>
        <w:br/>
        <w:t>146. Como consecuencia de todo lo anterior, y puesto  que  el  Estado  tiene</w:t>
        <w:br/>
        <w:t xml:space="preserve">     acceso a los medios de prueba, si en  su  contestación  ante  la  Corte</w:t>
        <w:br/>
        <w:t xml:space="preserve">     plantea una posición contradictoria con respecto a la sostenida ante la</w:t>
        <w:br/>
        <w:t xml:space="preserve">     Comisión, que implique una modificación sustancial  del  marco  fáctico</w:t>
        <w:br/>
        <w:t xml:space="preserve">     del  caso,  podría   desvirtuarse   el   funcionamiento   del   Sistema</w:t>
        <w:br/>
        <w:t xml:space="preserve">     Interamericano y el principio de igualdad de armas en el  proceso  ante</w:t>
        <w:br/>
        <w:t xml:space="preserve">     la Corte, pues la contraparte y la Comisión ya no podrían modificar sus</w:t>
        <w:br/>
        <w:t xml:space="preserve">     posiciones ni su ofrecimiento probatorio.</w:t>
        <w:br/>
        <w:br/>
        <w:br/>
        <w:t>147. Así, según surge  de  las  comunicaciones  presentadas  por  el  Estado</w:t>
        <w:br/>
        <w:t xml:space="preserve">     durante el trámite del caso ante  la  Comisión,  éste  informó  que  se</w:t>
        <w:br/>
        <w:t xml:space="preserve">     encontraban en curso tres procesos judiciales:  un  proceso  penal,  un</w:t>
        <w:br/>
        <w:t xml:space="preserve">     proceso disciplinario y el contencioso administrativo. Desde un  inicio</w:t>
        <w:br/>
        <w:t xml:space="preserve">     el Estado se refirió al proceso penal  contra  los  tripulantes  de  la</w:t>
        <w:br/>
        <w:t xml:space="preserve">     aeronave UH1H[207]. El 28 de diciembre de 2005,  con  posterioridad  al</w:t>
        <w:br/>
        <w:t xml:space="preserve">     Informe de admisibilidad, el Estado mantuvo su posición en cuanto a los</w:t>
        <w:br/>
        <w:t xml:space="preserve">     tres procesos y señaló que estaba “llevando a cabo las  investigaciones</w:t>
        <w:br/>
        <w:t xml:space="preserve">     pertinentes por las autoridades civiles competentes según el  principio</w:t>
        <w:br/>
        <w:t xml:space="preserve">     del juez natural y, en consecuencia está  procesando  a  los  presuntos</w:t>
        <w:br/>
        <w:t xml:space="preserve">     responsables de los hechos”[208]. El 14 de diciembre de 2006 el  Estado</w:t>
        <w:br/>
        <w:t xml:space="preserve">     manifestó que “el proceso penal que se adelanta en el Juzgado 12  Penal</w:t>
        <w:br/>
        <w:t xml:space="preserve">     ha establecido quienes fueron las víctimas y está pendiente de  decidir</w:t>
        <w:br/>
        <w:t xml:space="preserve">     la responsabilidad penal que le pueda caber a los acusados” y que  “las</w:t>
        <w:br/>
        <w:t xml:space="preserve">     autoridades colombianas han llevado a cabo una investigación  adecuada,</w:t>
        <w:br/>
        <w:t xml:space="preserve">     efectiva, seria, independiente y oportuna”[209].  El  13  de  julio  de</w:t>
        <w:br/>
        <w:t xml:space="preserve">     2011, tras la notificación del Informe de fondo, previo  al  envío  del</w:t>
        <w:br/>
        <w:t xml:space="preserve">     caso ante la Corte y meses después de emitido el fallo de 31  de  enero</w:t>
        <w:br/>
        <w:t xml:space="preserve">     de 2011, el Estado respondió  a  la  solicitud  de  información  de  la</w:t>
        <w:br/>
        <w:t xml:space="preserve">     Comisión  sobre  el  cumplimiento  de  sus  recomendaciones,   en   los</w:t>
        <w:br/>
        <w:t xml:space="preserve">     siguientes términos: “es oportuno anotar  que  los  mencionados  [tres]</w:t>
        <w:br/>
        <w:t xml:space="preserve">     procesos se desarrollaron de acuerdo con los  estándares  nacionales  e</w:t>
        <w:br/>
        <w:t xml:space="preserve">     internacionales, asegurando en todo momento los derechos de las  partes</w:t>
        <w:br/>
        <w:t xml:space="preserve">     y demás principios y garantías procesales, cumpliendo el Estado de  esa</w:t>
        <w:br/>
        <w:t xml:space="preserve">     manera con sus obligaciones en materia de investigación y determinación</w:t>
        <w:br/>
        <w:t xml:space="preserve">     de los responsables de los hechos  que  nos  ocupan”.  Por  último,  el</w:t>
        <w:br/>
        <w:t xml:space="preserve">     Estado presentó información actualizada sobre este proceso penal,  pues</w:t>
        <w:br/>
        <w:t xml:space="preserve">     para ese momento ya se  había  confirmado  también  la  condena  contra</w:t>
        <w:br/>
        <w:t xml:space="preserve">     miembros de la Fuerza Aérea en segunda instancia. Unos días después, el</w:t>
        <w:br/>
        <w:t xml:space="preserve">     19 de julio de 2011 el Estado envió un último escrito ante la  Comisión</w:t>
        <w:br/>
        <w:t xml:space="preserve">     en que se expresó en términos similares[210].</w:t>
        <w:br/>
        <w:br/>
        <w:br/>
        <w:t>148.  De  tal  manera,   tanto   los   representantes   como   la   Comisión</w:t>
        <w:br/>
        <w:t xml:space="preserve">     Interamericana actuaron en el procedimiento ante ésta con base  en  esa</w:t>
        <w:br/>
        <w:t xml:space="preserve">     posición adoptada por el Estado y, en esos  términos,  fue  dictado  el</w:t>
        <w:br/>
        <w:t xml:space="preserve">     Informe de fondo y, posteriormente, presentado el caso ante  la  Corte.</w:t>
        <w:br/>
        <w:t xml:space="preserve">     Bajo los principios de estoppel[211],  buena  fe,  equidad  procesal  y</w:t>
        <w:br/>
        <w:t xml:space="preserve">     seguridad jurídica, el Estado no puede variar  tan  sustancialmente  su</w:t>
        <w:br/>
        <w:t xml:space="preserve">     posición respecto de lo planteado ante la Comisión  Interamericana,  al</w:t>
        <w:br/>
        <w:t xml:space="preserve">     presentar ahora una hipótesis acerca de los hechos con base en un fallo</w:t>
        <w:br/>
        <w:t xml:space="preserve">     dictado en el marco de un proceso penal que no fue  objeto  de  debate,</w:t>
        <w:br/>
        <w:t xml:space="preserve">     por decisión del propio Estado, durante el trámite  del  caso  ante  la</w:t>
        <w:br/>
        <w:t xml:space="preserve">     Comisión. En esos términos, la referida decisión del Juzgado Penal  del</w:t>
        <w:br/>
        <w:t xml:space="preserve">     Circuito Especializado de Arauca de 31 de enero de 2011,  invocada  por</w:t>
        <w:br/>
        <w:t xml:space="preserve">     el Estado, no puede ser  considerada  como  un  hecho  superviniente  o</w:t>
        <w:br/>
        <w:t xml:space="preserve">     complementario, no sólo porque el Estado la conocía desde antes que  la</w:t>
        <w:br/>
        <w:t xml:space="preserve">     Comisión emitiera el Informe de fondo 61/11 de 24 de marzo de  2011  (a</w:t>
        <w:br/>
        <w:t xml:space="preserve">     pesar de lo cual no se lo informó en esa oportunidad ni  luego  de  que</w:t>
        <w:br/>
        <w:t xml:space="preserve">     éste le fuera notificado), sino principalmente porque el proceso dentro</w:t>
        <w:br/>
        <w:t xml:space="preserve">     del cual  fue  dictado  no  constituyó  parte  del  marco  fáctico  del</w:t>
        <w:br/>
        <w:t xml:space="preserve">     caso[212].</w:t>
        <w:br/>
        <w:br/>
        <w:br/>
        <w:t>149. De todas maneras, si bien  no  corresponde  a  la  Corte  analizar  las</w:t>
        <w:br/>
        <w:t xml:space="preserve">     alegadas  falencias  de  dicho  fallo  de  31  de  enero  de  2011,  ni</w:t>
        <w:br/>
        <w:t xml:space="preserve">     pronunciarse acerca de un alegado nuevo  “factor  de  violación  a  los</w:t>
        <w:br/>
        <w:t xml:space="preserve">     artículos 8 y 25 de la Convención en perjuicio de las víctimas”,  según</w:t>
        <w:br/>
        <w:t xml:space="preserve">     solicitaron los representantes, la Corte observa que  aquel  fallo  fue</w:t>
        <w:br/>
        <w:t xml:space="preserve">     dictado en un proceso en que no se  investigaron  las  muertes  de  los</w:t>
        <w:br/>
        <w:t xml:space="preserve">     civiles en los hechos de  Santo  Domingo.  Así,  según  informaron  los</w:t>
        <w:br/>
        <w:t xml:space="preserve">     representantes, en la decisión del  Tribunal  Superior  de  Arauca  que</w:t>
        <w:br/>
        <w:t xml:space="preserve">     declaró con lugar una acción de  tutela  interpuesta  por  una  de  las</w:t>
        <w:br/>
        <w:t xml:space="preserve">     presuntas víctimas contra aquel fallo, se observó que  “[en]  el  fallo</w:t>
        <w:br/>
        <w:t xml:space="preserve">     materia del amparo constitucional  […]  se  trascendió  por  parte  del</w:t>
        <w:br/>
        <w:t xml:space="preserve">     titular de la época del despacho accionado, el  marco  fáctico  que  le</w:t>
        <w:br/>
        <w:t xml:space="preserve">     trazó  la  acusación  proferida  dentro  del   mismo   [contra   “alias</w:t>
        <w:br/>
        <w:t xml:space="preserve">     Grannobles”], pues en ésta no se incluyeron, desde  la  perspectiva  de</w:t>
        <w:br/>
        <w:t xml:space="preserve">     los hechos […], las muertes ni las lesiones de las víctimas distintas a</w:t>
        <w:br/>
        <w:t xml:space="preserve">     los militares que se enfrentaron con la guerrilla con  ocasión  de  los</w:t>
        <w:br/>
        <w:t xml:space="preserve">     acontecimientos delimitados en esa  resolución  acusatoria,  y  las  de</w:t>
        <w:br/>
        <w:t xml:space="preserve">     quienes no fueron materia de investigación en  el  proceso  dentro  del</w:t>
        <w:br/>
        <w:t xml:space="preserve">     cual  dicho  fallo  fue  emitido  […]   son   objeto   de   los   otros</w:t>
        <w:br/>
        <w:t xml:space="preserve">     diligenciamientos cuyos datos fueron allegados al presente  trámite  de</w:t>
        <w:br/>
        <w:t xml:space="preserve">     tutela (uno, que se halla en espera que la Corte Suprema  de  Justicia,</w:t>
        <w:br/>
        <w:t xml:space="preserve">     Sala de Casación  Penal,  resuelva  en  sede  de  Casación  la  condena</w:t>
        <w:br/>
        <w:t xml:space="preserve">     impuesta a los militares allí encausados, y  el  otro  a  cargo  de  la</w:t>
        <w:br/>
        <w:t xml:space="preserve">     Fiscalía 22 Especializada de la Unidad Nacional de Derechos  Humanos  y</w:t>
        <w:br/>
        <w:t xml:space="preserve">     DIH con sede en Bogotá)”[213].</w:t>
        <w:br/>
        <w:br/>
        <w:br/>
        <w:t>150. Es decir, según ese Tribunal Superior, en el fallo de 31  de  enero  de</w:t>
        <w:br/>
        <w:t xml:space="preserve">     2011 el Juzgado Penal de Arauca se habría “pronunci[ado]  sobre  hechos</w:t>
        <w:br/>
        <w:t xml:space="preserve">     respecto de los cuales no tenía competencia” y “la misma situación  que</w:t>
        <w:br/>
        <w:t xml:space="preserve">     afecta a la accionante, es predicable de todas las personas incluidas a</w:t>
        <w:br/>
        <w:t xml:space="preserve">     título de víctimas como fallecidas o lesionadas, de la población  civil</w:t>
        <w:br/>
        <w:t xml:space="preserve">     del caserío de Santo Domingo […] pues  sólo  fueron  cubiertos  por  la</w:t>
        <w:br/>
        <w:t xml:space="preserve">     acusación y en esa calidad, los miembros  de  las  [Fuerzas  Militares]</w:t>
        <w:br/>
        <w:t xml:space="preserve">     específicamente detalladas en la acusación”. Es decir, ese fallo habría</w:t>
        <w:br/>
        <w:t xml:space="preserve">     sido el primer acto en dicho proceso en el que  se  hizo  referencia  a</w:t>
        <w:br/>
        <w:t xml:space="preserve">     víctimas civiles, según indicó la propia Fiscalía General de la  Nación</w:t>
        <w:br/>
        <w:t xml:space="preserve">     en el contexto de la referida acción de tutela y en una  resolución  de</w:t>
        <w:br/>
        <w:t xml:space="preserve">     mayo de 2012 que dispone remitir copias disciplinarias y  penales  para</w:t>
        <w:br/>
        <w:t xml:space="preserve">     investigar al juez que dictó el fallo[214].  Si  bien  este  fallo  del</w:t>
        <w:br/>
        <w:t xml:space="preserve">     Tribunal Superior fue  revocado  en  segunda  instancia  por  la  Corte</w:t>
        <w:br/>
        <w:t xml:space="preserve">     Suprema de Justicia  el  10  de  mayo  de  2012,  lo  fue  por  razones</w:t>
        <w:br/>
        <w:t xml:space="preserve">     procesales[215] y no desvirtuó la anterior consideración  del  Tribunal</w:t>
        <w:br/>
        <w:t xml:space="preserve">     Superior. Según manifestaron los representantes, actualmente la  acción</w:t>
        <w:br/>
        <w:t xml:space="preserve">     de tutela se encontraría a la espera de  que  la  Corte  Constitucional</w:t>
        <w:br/>
        <w:t xml:space="preserve">     decida sobre su eventual revisión[216].</w:t>
        <w:br/>
        <w:br/>
        <w:br/>
        <w:t>151. Por otro lado, en lo que  respecta  al  acto  que  el  Estado  denominó</w:t>
        <w:br/>
        <w:t xml:space="preserve">     “reconocimiento de responsabilidad”, que se basa  ampliamente  en  este</w:t>
        <w:br/>
        <w:t xml:space="preserve">     fallo de 31 de enero de 2011, corresponde  a  la  Corte  determinar  la</w:t>
        <w:br/>
        <w:t xml:space="preserve">     procedencia y efectos jurídicos  del  mismo,  de  conformidad  con  los</w:t>
        <w:br/>
        <w:t xml:space="preserve">     artículos 62 y 63 del Reglamento y  en  ejercicio  de  sus  poderes  de</w:t>
        <w:br/>
        <w:t xml:space="preserve">     tutela judicial internacional de  los  derechos  humanos,  cuestión  de</w:t>
        <w:br/>
        <w:t xml:space="preserve">     orden público internacional que trasciende la voluntad de  las  partes.</w:t>
        <w:br/>
        <w:t xml:space="preserve">     En caso de  determinar  que  tal  acto  constituye  un  reconocimiento,</w:t>
        <w:br/>
        <w:t xml:space="preserve">     corresponde establecer si ofrece una base suficiente, en  los  términos</w:t>
        <w:br/>
        <w:t xml:space="preserve">     de la Convención, para continuar el conocimiento del fondo y determinar</w:t>
        <w:br/>
        <w:t xml:space="preserve">     las eventuales reparaciones[217]. Para estos efectos, la  facultad  del</w:t>
        <w:br/>
        <w:t xml:space="preserve">     Tribunal no se limita únicamente a constatar, registrar  o  tomar  nota</w:t>
        <w:br/>
        <w:t xml:space="preserve">     del acto de reconocimiento efectuado por el Estado, o a  verificar  las</w:t>
        <w:br/>
        <w:t xml:space="preserve">     condiciones formales del mismo, sino que  lo  debe  confrontar  con  la</w:t>
        <w:br/>
        <w:t xml:space="preserve">     naturaleza y gravedad de las violaciones  alegadas,  las  exigencias  e</w:t>
        <w:br/>
        <w:t xml:space="preserve">     interés de  la  justicia,  las  circunstancias  particulares  del  caso</w:t>
        <w:br/>
        <w:t xml:space="preserve">     concreto y la actitud y posiciones de las partes[218],  de  manera  tal</w:t>
        <w:br/>
        <w:t xml:space="preserve">     que pueda precisar, en cuanto sea posible  y  en  el  ejercicio  de  su</w:t>
        <w:br/>
        <w:t xml:space="preserve">     competencia, la verdad de lo acontecido[219].</w:t>
        <w:br/>
        <w:br/>
        <w:br/>
        <w:t>152. Puesto que el Estado plantea tal “reconocimiento” por la violación  del</w:t>
        <w:br/>
        <w:t xml:space="preserve">     derecho a la verdad y “el acceso a la administración  de  justicia”  de</w:t>
        <w:br/>
        <w:t xml:space="preserve">     las presuntas víctimas, alegando que existen una “enorme  confusión”  y</w:t>
        <w:br/>
        <w:t xml:space="preserve">     posiciones  contradictorias  sobre  los  hechos  por   las   “falencias</w:t>
        <w:br/>
        <w:t xml:space="preserve">     probatorias en las que se ha incurrido  a  lo  largo  de  los  procesos</w:t>
        <w:br/>
        <w:t xml:space="preserve">     penales internos”, tal acto contradice lo que sostuvo ante la Comisión.</w:t>
        <w:br/>
        <w:t xml:space="preserve">     En los términos en que el propio Estado lo  ha  expuesto,  el  referido</w:t>
        <w:br/>
        <w:t xml:space="preserve">     acto “no implica reconocer ni aceptar los  hechos  presentados  por  la</w:t>
        <w:br/>
        <w:t xml:space="preserve">     Comisión y por las víctimas”, por lo que  en  realidad  no  se  estaría</w:t>
        <w:br/>
        <w:t xml:space="preserve">     allanando a las pretensiones de la contraparte. En todo caso, según  lo</w:t>
        <w:br/>
        <w:t xml:space="preserve">     señalado, uno de esos dos procesos penales, que el Estado refiere  como</w:t>
        <w:br/>
        <w:t xml:space="preserve">     contradictorio con el otro, no conforma el objeto  del  presente  caso,</w:t>
        <w:br/>
        <w:t xml:space="preserve">     por lo cual el planteamiento del Estado queda insubsistente y  no  será</w:t>
        <w:br/>
        <w:t xml:space="preserve">     considerado como un reconocimiento de responsabilidad, ni tiene efectos</w:t>
        <w:br/>
        <w:t xml:space="preserve">     jurídicos.</w:t>
        <w:br/>
        <w:br/>
        <w:br/>
        <w:t>153. Por ende, la Corte pasa a considerar los demás argumentos  relacionados</w:t>
        <w:br/>
        <w:t xml:space="preserve">     con la investigación de los hechos y  la  conducción  de  los  procesos</w:t>
        <w:br/>
        <w:t xml:space="preserve">     internos.</w:t>
        <w:br/>
        <w:br/>
        <w:br/>
        <w:br/>
        <w:br/>
        <w:br/>
        <w:br/>
        <w:t xml:space="preserve">           B.2.  Obligación de investigar y procesos internos</w:t>
        <w:br/>
        <w:br/>
        <w:br/>
        <w:t>154. En el entendido de que, dada la naturaleza de los hechos  del  presente</w:t>
        <w:br/>
        <w:t xml:space="preserve">     caso, la vía penal ordinaria juega un rol principal en la determinación</w:t>
        <w:br/>
        <w:t xml:space="preserve">     de los hechos y las  responsabilidades  que  correspondan,  es  posible</w:t>
        <w:br/>
        <w:t xml:space="preserve">     considerar si los procesos tramitados en esa jurisdicción y en las vías</w:t>
        <w:br/>
        <w:t xml:space="preserve">     disciplinaria y  contencioso-administrativa  han  resultado  “útiles  o</w:t>
        <w:br/>
        <w:t xml:space="preserve">     eficaces para garantizar el derecho  de  acceso  a  la  justicia,  como</w:t>
        <w:br/>
        <w:t xml:space="preserve">     complemento para  establecer  la  verdad,  determinar  los  alcances  y</w:t>
        <w:br/>
        <w:t xml:space="preserve">     dimensiones de la responsabilidad estatal y reparar  integralmente  las</w:t>
        <w:br/>
        <w:t xml:space="preserve">     violaciones”[220].</w:t>
        <w:br/>
        <w:br/>
        <w:br/>
        <w:t>155. La Corte recuerda que, en virtud de  la  protección  otorgada  por  los</w:t>
        <w:br/>
        <w:t xml:space="preserve">     artículos 8 y 25 de  la  Convención,  los  Estados  están  obligados  a</w:t>
        <w:br/>
        <w:t xml:space="preserve">     suministrar recursos judiciales efectivos a las víctimas de violaciones</w:t>
        <w:br/>
        <w:t xml:space="preserve">     de los derechos humanos, que deben ser sustanciados de conformidad  con</w:t>
        <w:br/>
        <w:t xml:space="preserve">     las reglas del debido proceso  legal[221].  Asimismo,  el  Tribunal  ha</w:t>
        <w:br/>
        <w:t xml:space="preserve">     señalado que el derecho de acceso  a  la  justicia  debe  asegurar,  en</w:t>
        <w:br/>
        <w:t xml:space="preserve">     tiempo razonable, el derecho de las presuntas víctimas o sus familiares</w:t>
        <w:br/>
        <w:t xml:space="preserve">     a que se haga todo lo necesario para conocer la verdad de lo sucedido y</w:t>
        <w:br/>
        <w:t xml:space="preserve">     se sancione a los eventuales responsables[222].</w:t>
        <w:br/>
        <w:br/>
        <w:br/>
        <w:t>156. La Corte ha establecido que la obligación de garantizar (artículo  1.1)</w:t>
        <w:br/>
        <w:t xml:space="preserve">     comprende  el  deber  jurídico  de   “prevenir,   razonablemente,   las</w:t>
        <w:br/>
        <w:t xml:space="preserve">     violaciones de los derechos humanos, de investigar seriamente  con  los</w:t>
        <w:br/>
        <w:t xml:space="preserve">     medios a su alcance las violaciones que se hayan  cometido  dentro  del</w:t>
        <w:br/>
        <w:t xml:space="preserve">     ámbito de su jurisdicción a fin de identificar a los  responsables,  de</w:t>
        <w:br/>
        <w:t xml:space="preserve">     imponer [a los responsables] las sanciones pertinentes y de asegurar  a</w:t>
        <w:br/>
        <w:t xml:space="preserve">     la víctima una adecuada reparación”. Lo decisivo es dilucidar  “si  una</w:t>
        <w:br/>
        <w:t xml:space="preserve">     determinada violación […] ha tenido lugar con el apoyo o la  tolerancia</w:t>
        <w:br/>
        <w:t xml:space="preserve">     del poder público o si éste ha actuado de manera que la transgresión se</w:t>
        <w:br/>
        <w:t xml:space="preserve">     haya cumplido en defecto de toda  prevención  o  impunemente”[223].  La</w:t>
        <w:br/>
        <w:t xml:space="preserve">     obligación de investigar debe cumplirse diligentemente para  evitar  la</w:t>
        <w:br/>
        <w:t xml:space="preserve">     impunidad y que este tipo de hechos vuelvan a repetirse[224].</w:t>
        <w:br/>
        <w:br/>
        <w:br/>
        <w:t>157. Si bien la Corte ha establecido que el deber de investigar  es  uno  de</w:t>
        <w:br/>
        <w:t xml:space="preserve">     medio, no  de  resultado,  ello  no  significa,  sin  embargo,  que  la</w:t>
        <w:br/>
        <w:t xml:space="preserve">     investigación  pueda  ser  emprendida  como  “una   simple   formalidad</w:t>
        <w:br/>
        <w:t xml:space="preserve">     condenada de antemano a ser infructuosa”[225] o como una  mera  gestión</w:t>
        <w:br/>
        <w:t xml:space="preserve">     de intereses particulares, que dependa de la iniciativa procesal de las</w:t>
        <w:br/>
        <w:t xml:space="preserve">     víctimas o de sus familiares o de la aportación  privada  de  elementos</w:t>
        <w:br/>
        <w:t xml:space="preserve">     probatorios[226].  Es  responsabilidad  de  las  autoridades  estatales</w:t>
        <w:br/>
        <w:t xml:space="preserve">     realizar una investigación seria, imparcial y efectiva  por  todos  los</w:t>
        <w:br/>
        <w:t xml:space="preserve">     medios legales disponibles y orientada a la determinación de la  verdad</w:t>
        <w:br/>
        <w:t xml:space="preserve">     y a la persecución, captura, enjuiciamiento y eventual castigo  de  los</w:t>
        <w:br/>
        <w:t xml:space="preserve">     autores de los hechos, especialmente en un caso como el presente en  el</w:t>
        <w:br/>
        <w:t xml:space="preserve">     cual estaban involucrados agentes estatales[227].</w:t>
        <w:br/>
        <w:br/>
        <w:br/>
        <w:t>158. En cuanto  a  la  jurisdicción  penal  militar,  la  Corte  reitera  su</w:t>
        <w:br/>
        <w:t xml:space="preserve">     jurisprudencia constante[228] sobre la falta de competencia de la misma</w:t>
        <w:br/>
        <w:t xml:space="preserve">     para juzgar violaciones de derechos humanos y el alcance restrictivo  y</w:t>
        <w:br/>
        <w:t xml:space="preserve">     excepcional que debe tener en los Estados que aún  la  conserven.  Esta</w:t>
        <w:br/>
        <w:t xml:space="preserve">     Corte ha establecido que, en razón del bien jurídico  lesionado,  dicha</w:t>
        <w:br/>
        <w:t xml:space="preserve">     jurisdicción no es el fuero competente para investigar y, en  su  caso,</w:t>
        <w:br/>
        <w:t xml:space="preserve">     juzgar y sancionar a los autores de violaciones de derechos humanos,  y</w:t>
        <w:br/>
        <w:t xml:space="preserve">     que en el fuero militar sólo se puede juzgar a militares activos por la</w:t>
        <w:br/>
        <w:t xml:space="preserve">     comisión de delitos o faltas  que  por  su  propia  naturaleza  atenten</w:t>
        <w:br/>
        <w:t xml:space="preserve">     contra bienes jurídicos propios del orden militar[229].</w:t>
        <w:br/>
        <w:br/>
        <w:br/>
        <w:t>159. En el presente caso, si bien  las  investigaciones  de  los  hechos  se</w:t>
        <w:br/>
        <w:t xml:space="preserve">     habrían visto retrasadas mientras estuvieron  bajo  competencia  de  la</w:t>
        <w:br/>
        <w:t xml:space="preserve">     jurisdicción penal  militar,  posteriormente  la  Corte  Constitucional</w:t>
        <w:br/>
        <w:t xml:space="preserve">     colombiana determinó que aquéllas correspondían  a  la  justicia  penal</w:t>
        <w:br/>
        <w:t xml:space="preserve">     ordinaria[230] y ordenó  al  Consejo  Superior  de  la  Judicatura  que</w:t>
        <w:br/>
        <w:t xml:space="preserve">     dictara una nueva  sentencia.  Dicho  Consejo,  entonces,  resolvió  el</w:t>
        <w:br/>
        <w:t xml:space="preserve">     conflicto de competencias a favor de la jurisdicción  penal  ordinaria,</w:t>
        <w:br/>
        <w:t xml:space="preserve">     en la cual efectivamente continuó la investigación (supra párr. 102).</w:t>
        <w:br/>
        <w:br/>
        <w:br/>
        <w:t>160. Una vez la investigación estuvo en la justicia ordinaria,  la  Fiscalía</w:t>
        <w:br/>
        <w:t xml:space="preserve">     General de la Nación  realizó  numerosas  y  efectivas  diligencias  de</w:t>
        <w:br/>
        <w:t xml:space="preserve">     investigación que produjeron resultados tangibles (supra párrs.  104  y</w:t>
        <w:br/>
        <w:t xml:space="preserve">     ss.) y le permitieron presentar acusación. El 24 de septiembre de  2009</w:t>
        <w:br/>
        <w:t xml:space="preserve">     el Juzgado 12 Penal  del  Circuito  de  Conocimiento  de  Bogotá  dictó</w:t>
        <w:br/>
        <w:t xml:space="preserve">     sentencia de primera instancia, en la cual se condena a  tres  miembros</w:t>
        <w:br/>
        <w:t xml:space="preserve">     de  la  Fuerza  Aérea  como  autores  del  concurso  homogéneo  de   17</w:t>
        <w:br/>
        <w:t xml:space="preserve">     homicidios, en  concurso  heterogéneo  y  simultáneo  con  18  lesiones</w:t>
        <w:br/>
        <w:t xml:space="preserve">     personales, considerando:</w:t>
        <w:br/>
        <w:br/>
        <w:br/>
        <w:t xml:space="preserve">     […] “es indudable que la tripulación del UH1H  era  consciente  de  la</w:t>
        <w:br/>
        <w:t xml:space="preserve">    prohibición de atacar el caserío y a sus pobladores, no solo porque así</w:t>
        <w:br/>
        <w:t xml:space="preserve">    lo  afirmaron  reiteradamente  durante  el  proceso,  sino  porque   en</w:t>
        <w:br/>
        <w:t xml:space="preserve">    desarrollo del principio de distinción, así lo imponían los manuales  y</w:t>
        <w:br/>
        <w:t xml:space="preserve">    reglamentos de la Fuerza Aérea Colombiana vigentes el 13  de  diciembre</w:t>
        <w:br/>
        <w:t xml:space="preserve">    de 1998, que eran de su obligatorio conocimiento. […]</w:t>
        <w:br/>
        <w:br/>
        <w:br/>
        <w:t xml:space="preserve">    […] en el expediente quedó suficientemente acreditado que antes  de  la</w:t>
        <w:br/>
        <w:t xml:space="preserve">    operación aérea de la mañana del 13 de diciembre de 1998, por  la  cual</w:t>
        <w:br/>
        <w:t xml:space="preserve">    se produjo el resultado que dio lugar a este proceso, se reunieron  los</w:t>
        <w:br/>
        <w:t xml:space="preserve">    pilotos de  las  aeronaves  que  participaron,  entre  otras  personas,</w:t>
        <w:br/>
        <w:t xml:space="preserve">    seleccionando los blancos a abatir, las aeronaves que  intervendrían  y</w:t>
        <w:br/>
        <w:t xml:space="preserve">    las armas que utilizarían. Además, al momento de la entrega del racimo,</w:t>
        <w:br/>
        <w:t xml:space="preserve">    el piloto del UH 500, entonces Teniente G.L. le señaló a la tripulación</w:t>
        <w:br/>
        <w:t xml:space="preserve">    del UH1H el lugar donde debían lanzar el  dispositivo,  motivo  por  el</w:t>
        <w:br/>
        <w:t xml:space="preserve">    cual el juzgado estima que obran suficientes pruebas  en  la  actuación</w:t>
        <w:br/>
        <w:t xml:space="preserve">    para compulsar copias de esta providencia en su contra,  aduciendo  que</w:t>
        <w:br/>
        <w:t xml:space="preserve">    los delitos no han prescrito[231].</w:t>
        <w:br/>
        <w:br/>
        <w:br/>
        <w:t xml:space="preserve">    En síntesis, no hay la menor duda de  que  la  causa  material  de  las</w:t>
        <w:br/>
        <w:t xml:space="preserve">    muertes y lesiones por las  que  se  procede  fue  el  lanzamiento  del</w:t>
        <w:br/>
        <w:t xml:space="preserve">    artefacto cluster que cayó dentro del caserío, afectando a las personas</w:t>
        <w:br/>
        <w:t xml:space="preserve">    que se encontraban dentro del perímetro de alcance  de  los  fragmentos</w:t>
        <w:br/>
        <w:t xml:space="preserve">    que componen las 6 bombas[232].</w:t>
        <w:br/>
        <w:br/>
        <w:br/>
        <w:t>161. La anterior decisión fue confirmada por la sentencia de 15 de junio  de</w:t>
        <w:br/>
        <w:t xml:space="preserve">     2011 del Tribunal  Superior  Distrito  del  Judicial  de  Bogotá,  Sala</w:t>
        <w:br/>
        <w:t xml:space="preserve">     Penal[233].</w:t>
        <w:br/>
        <w:br/>
        <w:br/>
        <w:t>162. En cuanto a lo alegado  por  los  representantes,  sobre  la  falta  de</w:t>
        <w:br/>
        <w:t xml:space="preserve">     diligencia en el establecimiento de  la  totalidad  de  responsables  y</w:t>
        <w:br/>
        <w:t xml:space="preserve">     circunstancias de ocurrencia de los hechos en la vía  penal  ordinaria,</w:t>
        <w:br/>
        <w:t xml:space="preserve">     la Corte no es un tribunal  penal  en  el  que  pueda  determinarse  la</w:t>
        <w:br/>
        <w:t xml:space="preserve">     responsabilidad  penal  de  los  individuos[234],   por   lo   que   la</w:t>
        <w:br/>
        <w:t xml:space="preserve">     responsabilidad  de  los  Estados  bajo  la  Convención  no  debe   ser</w:t>
        <w:br/>
        <w:t xml:space="preserve">     confundida   con   la   responsabilidad    criminal    de    individuos</w:t>
        <w:br/>
        <w:t xml:space="preserve">     particulares[235]. Para establecer que se ha producido una violación de</w:t>
        <w:br/>
        <w:t xml:space="preserve">     los derechos consagrados en la Convención no  se  requiere  determinar,</w:t>
        <w:br/>
        <w:t xml:space="preserve">     como ocurre en el derecho penal interno, la culpabilidad de sus autores</w:t>
        <w:br/>
        <w:t xml:space="preserve">     o su intencionalidad, ni es preciso identificar individualmente  a  los</w:t>
        <w:br/>
        <w:t xml:space="preserve">     agentes a los cuales  se  atribuyen  los  hechos  violatorios[236].  Es</w:t>
        <w:br/>
        <w:t xml:space="preserve">     suficiente  que  exista  una  obligación  del  Estado  que  haya   sido</w:t>
        <w:br/>
        <w:t xml:space="preserve">     incumplida por éste[237].</w:t>
        <w:br/>
        <w:br/>
        <w:br/>
        <w:t>163. Además, la Corte constata que  los  representantes  no  han  presentado</w:t>
        <w:br/>
        <w:t xml:space="preserve">     suficientes bases fácticas y  argumentativas  para  considerar  que  la</w:t>
        <w:br/>
        <w:t xml:space="preserve">     violación de los derechos  a  las  garantías  judiciales  y  protección</w:t>
        <w:br/>
        <w:t xml:space="preserve">     judicial se configura por una falta  de  investigación  de  la  posible</w:t>
        <w:br/>
        <w:t xml:space="preserve">     responsabilidad penal  de  otros  actores  militares  de  la  Operación</w:t>
        <w:br/>
        <w:t xml:space="preserve">     “Relámpago II”, que habrían tomado parte en la  definición  del  uso  y</w:t>
        <w:br/>
        <w:t xml:space="preserve">     sitio  de  lanzamiento  del  dispositivo  cluster  o  que  conocían  la</w:t>
        <w:br/>
        <w:t xml:space="preserve">     presencia de población civil en el caserío de Santo Domingo.  Asimismo,</w:t>
        <w:br/>
        <w:t xml:space="preserve">     según se analiza más adelante (infra párr. 246), los representantes  no</w:t>
        <w:br/>
        <w:t xml:space="preserve">     presentaron alegatos concretos y específicos ni  pruebas  que  permitan</w:t>
        <w:br/>
        <w:t xml:space="preserve">     relacionar la actividad de las empresas transnacionales que operaban en</w:t>
        <w:br/>
        <w:t xml:space="preserve">     la zona o  que  tenían  contratos  con  las  Fuerzas  Armadas  con  las</w:t>
        <w:br/>
        <w:t xml:space="preserve">     violaciones declaradas en relación con los hechos  del  caso.  Si  bien</w:t>
        <w:br/>
        <w:t xml:space="preserve">     tales hipótesis son plausibles, dadas  las  proporciones  y  resultados</w:t>
        <w:br/>
        <w:t xml:space="preserve">     significativos del operativo aéreo desplegado en este caso, no han sido</w:t>
        <w:br/>
        <w:t xml:space="preserve">     aportados suficientes elementos para considerar que una exploración más</w:t>
        <w:br/>
        <w:t xml:space="preserve">     profunda de  esas  líneas  de  investigación  conlleven  una  violación</w:t>
        <w:br/>
        <w:t xml:space="preserve">     específica a la Convención, sin perjuicio de los alcances de esas otras</w:t>
        <w:br/>
        <w:t xml:space="preserve">     posibles responsabilidades penales o administrativas  que  en  adelante</w:t>
        <w:br/>
        <w:t xml:space="preserve">     corresponda determinar a las autoridades competentes  internas  en  los</w:t>
        <w:br/>
        <w:t xml:space="preserve">     procesos penales en curso o en otros que deban abrirse.</w:t>
        <w:br/>
        <w:br/>
        <w:br/>
        <w:t>164. En cuanto a la razonabilidad en el  plazo  para  el  desarrollo  de  la</w:t>
        <w:br/>
        <w:t xml:space="preserve">     investigación, en tanto puede constituir, en principio y por sí  misma,</w:t>
        <w:br/>
        <w:t xml:space="preserve">     una violación de las garantías judiciales[238], la Corte ha considerado</w:t>
        <w:br/>
        <w:t xml:space="preserve">     cuatro elementos para determinarla:  i)  complejidad  del  asunto;  ii)</w:t>
        <w:br/>
        <w:t xml:space="preserve">     actividad procesal del interesado; iii)  conducta  de  las  autoridades</w:t>
        <w:br/>
        <w:t xml:space="preserve">     judiciales[239], y iv) afectación generada en la situación jurídica  de</w:t>
        <w:br/>
        <w:t xml:space="preserve">     la persona involucrada en el proceso[240].</w:t>
        <w:br/>
        <w:br/>
        <w:br/>
        <w:t>165.  La  Corte  considera  indudable  que  este  es   un   caso   complejo,</w:t>
        <w:br/>
        <w:t xml:space="preserve">     principalmente por todos los  aspectos  técnicos  que  involucraba  una</w:t>
        <w:br/>
        <w:t xml:space="preserve">     investigación efectiva, así como por la pluralidad  de  víctimas  y  la</w:t>
        <w:br/>
        <w:t xml:space="preserve">     cantidad de actores de la Fuerza Aérea Colombiana y  del  Ejército  que</w:t>
        <w:br/>
        <w:t xml:space="preserve">     tuvieron participación en ese contexto específico de  conflicto  armado</w:t>
        <w:br/>
        <w:t xml:space="preserve">     en la zona. Han sido referidas numerosas diligencias  de  investigación</w:t>
        <w:br/>
        <w:t xml:space="preserve">     conducidas por la Fiscalía  General  de  la  Nación,  que  denotan  una</w:t>
        <w:br/>
        <w:t xml:space="preserve">     actividad constante en la búsqueda de determinación de los hechos y  un</w:t>
        <w:br/>
        <w:t xml:space="preserve">     seguimiento plausible de líneas lógicas de investigación, sin perjuicio</w:t>
        <w:br/>
        <w:t xml:space="preserve">     de lo que aún corresponda investigar. Aún si está pendiente de decisión</w:t>
        <w:br/>
        <w:t xml:space="preserve">     el recurso de casación,  es  posible  considerar  que  las  autoridades</w:t>
        <w:br/>
        <w:t xml:space="preserve">     jurisdiccionales ordinarias han  venido  cumpliendo  adecuadamente  sus</w:t>
        <w:br/>
        <w:t xml:space="preserve">     funciones. Además, si bien en este caso la investigación es un deber ex</w:t>
        <w:br/>
        <w:t xml:space="preserve">     officio del Estado, las víctimas han asumido una posición activa en las</w:t>
        <w:br/>
        <w:t xml:space="preserve">     investigaciones. Por último, en las  circunstancias  del  caso,  no  es</w:t>
        <w:br/>
        <w:t xml:space="preserve">     necesario  realizar  el  análisis  del  cuarto   elemento   del   plazo</w:t>
        <w:br/>
        <w:t xml:space="preserve">     razonable[241]. En consecuencia, no ha sido demostrado  que  el  Estado</w:t>
        <w:br/>
        <w:t xml:space="preserve">     incurriera en violación del artículo 8 de la Convención por exceder  el</w:t>
        <w:br/>
        <w:t xml:space="preserve">     plazo razonable en las investigaciones.</w:t>
        <w:br/>
        <w:br/>
        <w:br/>
        <w:t>166.  Por  último,  los  representantes  manifestaron  preocupaciones  sobre</w:t>
        <w:br/>
        <w:t xml:space="preserve">     iniciativas  legislativas  que  se  han  impulsado  en   Colombia,   en</w:t>
        <w:br/>
        <w:t xml:space="preserve">     particular la conocida como el  “marco  jurídico  para  la  paz”,  cuyo</w:t>
        <w:br/>
        <w:t xml:space="preserve">     objetivo  sería  “darle  coherencia  a  los   diferentes   instrumentos</w:t>
        <w:br/>
        <w:t xml:space="preserve">     jurídicos de justicia transicional en el marco del artículo  22  de  la</w:t>
        <w:br/>
        <w:t xml:space="preserve">     Constitución política de Colombia”, aprobada  por  el  Congreso  de  la</w:t>
        <w:br/>
        <w:t xml:space="preserve">     República de Colombia en junio de 2012.  La  Corte  observa  que  tales</w:t>
        <w:br/>
        <w:t xml:space="preserve">     hechos exceden el marco fáctico  del  presente  caso,  por  lo  que  no</w:t>
        <w:br/>
        <w:t xml:space="preserve">     corresponde pronunciarse al respecto.</w:t>
        <w:br/>
        <w:br/>
        <w:br/>
        <w:t>167. Respecto del procedimiento disciplinario, la Corte ha  considerado  que</w:t>
        <w:br/>
        <w:t xml:space="preserve">     puede ser valorado en tanto coadyuve al esclarecimiento de los hechos y</w:t>
        <w:br/>
        <w:t xml:space="preserve">     sus decisiones son relevantes en cuanto al valor simbólico del  mensaje</w:t>
        <w:br/>
        <w:t xml:space="preserve">     de  reproche  que  puede  significar  ese  tipo   de   sanciones   para</w:t>
        <w:br/>
        <w:t xml:space="preserve">     funcionarios públicos y miembros de instituciones públicas[242].  A  su</w:t>
        <w:br/>
        <w:t xml:space="preserve">     vez, en tanto tiende a la protección de la función administrativa y  la</w:t>
        <w:br/>
        <w:t xml:space="preserve">     corrección y control de los funcionarios públicos, una investigación de</w:t>
        <w:br/>
        <w:t xml:space="preserve">     esta naturaleza puede complementar pero no  sustituir  a  cabalidad  la</w:t>
        <w:br/>
        <w:t xml:space="preserve">     función de la jurisdicción penal en  casos  de  graves  violaciones  de</w:t>
        <w:br/>
        <w:t xml:space="preserve">     derechos humanos[243]. En el presente caso, la Corte considera  que  el</w:t>
        <w:br/>
        <w:t xml:space="preserve">     procedimiento   disciplinario   ha   contribuido   a   determinar    la</w:t>
        <w:br/>
        <w:t xml:space="preserve">     responsabilidad del Estado en este caso[244].</w:t>
        <w:br/>
        <w:br/>
        <w:br/>
        <w:t>168. En lo que concierne al proceso contencioso  administrativo,  además  de</w:t>
        <w:br/>
        <w:t xml:space="preserve">     ser relevante para efectos de reparaciones, la Corte considera  que  en</w:t>
        <w:br/>
        <w:t xml:space="preserve">     este caso puede ser valorado positivamente, pues ya ha  establecido  la</w:t>
        <w:br/>
        <w:t xml:space="preserve">     responsabilidad del Estado. Mediante sentencia de 20 de mayo de 2004 el</w:t>
        <w:br/>
        <w:t xml:space="preserve">     Tribunal  Contencioso  Administrativo  de  Arauca  declaró  al   Estado</w:t>
        <w:br/>
        <w:t xml:space="preserve">     colombiano administrativamente responsable por los hechos. El título de</w:t>
        <w:br/>
        <w:t xml:space="preserve">     imputación sobre  el  que  se  fundó  la  decisión  fue  “falla  en  el</w:t>
        <w:br/>
        <w:t xml:space="preserve">     servicio”:</w:t>
        <w:br/>
        <w:br/>
        <w:br/>
        <w:t xml:space="preserve">    Quedó entonces plenamente establecida la responsabilidad de  la  Fuerza</w:t>
        <w:br/>
        <w:t xml:space="preserve">    Aérea Colombiana en los hechos por los cuales se reclama la  reparación</w:t>
        <w:br/>
        <w:t xml:space="preserve">    de los daños causados, pues como afirmó la misma Inspección General  de</w:t>
        <w:br/>
        <w:t xml:space="preserve">    la Fuerza Aérea Colombiana al momento de hacer indagación preliminar.</w:t>
        <w:br/>
        <w:br/>
        <w:br/>
        <w:t xml:space="preserve">    Las autoridades están instituidas para proteger, entre otros, la vida y</w:t>
        <w:br/>
        <w:t xml:space="preserve">    los bienes de las personas, estando legitimadas para el  empleo  de  la</w:t>
        <w:br/>
        <w:t xml:space="preserve">    fuerza y las armas para combatir a quienes atacan el sistema legalmente</w:t>
        <w:br/>
        <w:t xml:space="preserve">    constituido y  su  sociedad;  pero  en  medio  del  conflicto  se  debe</w:t>
        <w:br/>
        <w:t xml:space="preserve">    distinguir entre combatientes y no combatientes.</w:t>
        <w:br/>
        <w:br/>
        <w:br/>
        <w:t xml:space="preserve">    Al haberse disparado por parte de un helicóptero  de  la  Fuerza  Aérea</w:t>
        <w:br/>
        <w:t xml:space="preserve">    Colombiana en forma indiscriminada contra un objetivo  civil,  al  lado</w:t>
        <w:br/>
        <w:t xml:space="preserve">    del cual se encontraban civiles no participantes en  el  conflicto,  se</w:t>
        <w:br/>
        <w:t xml:space="preserve">    desconoció el contenido obligacional del Estado por parte de uno de sus</w:t>
        <w:br/>
        <w:t xml:space="preserve">    agentes, produciéndose así una falla del servicio, lo  cual  compromete</w:t>
        <w:br/>
        <w:t xml:space="preserve">    su  responsabilidad  patrimonial  y  así,  necesariamente,  tendrá  que</w:t>
        <w:br/>
        <w:t xml:space="preserve">    declararse […][245].</w:t>
        <w:br/>
        <w:br/>
        <w:br/>
        <w:t>169. Mediante sentencia de 19 de noviembre de 2008 la  Sección  Tercera  del</w:t>
        <w:br/>
        <w:t xml:space="preserve">     Consejo de Estado aprobó los acuerdos conciliatorios  alcanzados  entre</w:t>
        <w:br/>
        <w:t xml:space="preserve">     las presuntas víctimas  y  el  Ministerio  de  Defensa  y,  además,  se</w:t>
        <w:br/>
        <w:t xml:space="preserve">     pronunció respecto de cuatro de las demandas en las que no fue aprobado</w:t>
        <w:br/>
        <w:t xml:space="preserve">     acuerdo[246].</w:t>
        <w:br/>
        <w:br/>
        <w:br/>
        <w:t>170. Al respecto, es  oportuno  observar  que  el  Estado  manifestó  en  su</w:t>
        <w:br/>
        <w:t xml:space="preserve">     contestación que la conciliación suscitada en segunda instancia impidió</w:t>
        <w:br/>
        <w:t xml:space="preserve">     que el Consejo de Estado se pronunciara sobre el título de  imputación,</w:t>
        <w:br/>
        <w:t xml:space="preserve">     “pero al interior de los debates en sede administrativa para  autorizar</w:t>
        <w:br/>
        <w:t xml:space="preserve">     la conciliación judicial (en el seno del comité de  conciliaciones  del</w:t>
        <w:br/>
        <w:t xml:space="preserve">     Ministerio de Defensa) siempre se tuvo claro que la conciliación  tenía</w:t>
        <w:br/>
        <w:t xml:space="preserve">     como fundamento la teoría  del  daño  especial  y  no  los  títulos  de</w:t>
        <w:br/>
        <w:t xml:space="preserve">     responsabilidad subjetiva”. Así,  alegó  que  las  reparaciones  y  los</w:t>
        <w:br/>
        <w:t xml:space="preserve">     reconocimientos realizados por el Estado en  el  acuerdo  conciliatorio</w:t>
        <w:br/>
        <w:t xml:space="preserve">     “deben interpretarse en el marco de la posible  responsabilidad  de  la</w:t>
        <w:br/>
        <w:t xml:space="preserve">     administración por daño  especial”,  según  la  cual  el  Estado  puede</w:t>
        <w:br/>
        <w:t xml:space="preserve">     reparar daños causados con su actuar válido y legitimo, por lo  que  no</w:t>
        <w:br/>
        <w:t xml:space="preserve">     fue admitida la ilegitimidad  de  las  acciones  desarrolladas  por  la</w:t>
        <w:br/>
        <w:t xml:space="preserve">     Fuerza Aérea Colombiana ni equivale a la responsabilidad  internacional</w:t>
        <w:br/>
        <w:t xml:space="preserve">     del Estado en el marco de la Convención. Además, el  Estado  “declar[ó]</w:t>
        <w:br/>
        <w:t xml:space="preserve">     que respeta y acata las decisiones adoptadas por la  justicia  interna,</w:t>
        <w:br/>
        <w:t xml:space="preserve">     [p]ero en relación al caso concreto, considera que la valoración actual</w:t>
        <w:br/>
        <w:t xml:space="preserve">     de la pruebas evidencia que […] el Estado actuó de  manera  legítima  y</w:t>
        <w:br/>
        <w:t xml:space="preserve">     oportuna, en pleno ejercicio de  sus  competencias  constitucionales  y</w:t>
        <w:br/>
        <w:t xml:space="preserve">     legales [y, p]or tanto,  resulta  inexistente  la  falla  del  servicio</w:t>
        <w:br/>
        <w:t xml:space="preserve">     declarada por la justicia interna como fundamento de la responsabilidad</w:t>
        <w:br/>
        <w:t xml:space="preserve">     administrativa del Estado”. Sin embargo,  la  Corte  observa  que  este</w:t>
        <w:br/>
        <w:t xml:space="preserve">     alegato del  Estado  no  tiene  sustento  alguno  en  lo  efectivamente</w:t>
        <w:br/>
        <w:t xml:space="preserve">     declarado  en  las  referidas  decisiones  de  los  propios  tribunales</w:t>
        <w:br/>
        <w:t xml:space="preserve">     contencioso-administrativos[247].</w:t>
        <w:br/>
        <w:br/>
        <w:br/>
        <w:t>171. En definitiva, en las circunstancias de este caso,  para  la  Corte  lo</w:t>
        <w:br/>
        <w:t xml:space="preserve">     relevante es que los órganos de administración de justicia internos  ya</w:t>
        <w:br/>
        <w:t xml:space="preserve">     han determinado ampliamente varios alcances de la  responsabilidad  del</w:t>
        <w:br/>
        <w:t xml:space="preserve">     Estado  por  los  hechos,  independientemente   de   los   niveles   de</w:t>
        <w:br/>
        <w:t xml:space="preserve">     responsabilidad  individual,  penal  o  disciplinaria  de  los  agentes</w:t>
        <w:br/>
        <w:t xml:space="preserve">     estatales  o  de  particulares,  cuya  definición  corresponde   a   la</w:t>
        <w:br/>
        <w:t xml:space="preserve">     jurisdicción interna, aún si no todos los hechos  o  calificaciones  de</w:t>
        <w:br/>
        <w:t xml:space="preserve">     los  hechos  han  sido   suficiente   o   totalmente   investigados   o</w:t>
        <w:br/>
        <w:t xml:space="preserve">     esclarecidos. En tales términos,  y  en  aplicación  del  principio  de</w:t>
        <w:br/>
        <w:t xml:space="preserve">     complementariedad, no habría sido necesario que la Corte se pronunciara</w:t>
        <w:br/>
        <w:t xml:space="preserve">     sobre los hechos que generaron las violaciones de derechos  reconocidas</w:t>
        <w:br/>
        <w:t xml:space="preserve">     y reparadas a nivel interno, a saber las que se refieren a los derechos</w:t>
        <w:br/>
        <w:t xml:space="preserve">     a la vida, integridad personal y medidas especiales de protección  para</w:t>
        <w:br/>
        <w:t xml:space="preserve">     los niños.</w:t>
        <w:br/>
        <w:br/>
        <w:br/>
        <w:t>172. Sin embargo, según fue observado, durante el proceso ante la  Corte  el</w:t>
        <w:br/>
        <w:t xml:space="preserve">     Estado ha pretendido desconocer y ha puesto en duda lo que sus  órganos</w:t>
        <w:br/>
        <w:t xml:space="preserve">     judiciales y administrativos han realizado para determinar la verdad de</w:t>
        <w:br/>
        <w:t xml:space="preserve">     lo sucedido y las responsabilidades subsecuentes, así como para reparar</w:t>
        <w:br/>
        <w:t xml:space="preserve">     a las víctimas de los hechos del  presente  caso,  y  ha  mantenido  la</w:t>
        <w:br/>
        <w:t xml:space="preserve">     controversia sobre los hechos. En razón de ello, y sin perjuicio de  lo</w:t>
        <w:br/>
        <w:t xml:space="preserve">     valorado en este capítulo, la Corte continuará con el análisis  de  las</w:t>
        <w:br/>
        <w:t xml:space="preserve">     demás violaciones alegadas.</w:t>
        <w:br/>
        <w:br/>
        <w:br/>
        <w:t xml:space="preserve">                                      *</w:t>
        <w:br/>
        <w:br/>
        <w:br/>
        <w:t>173. En atención a todo lo anterior, no fue demostrado que el Estado  dejara</w:t>
        <w:br/>
        <w:t xml:space="preserve">     de realizar una investigación seria,  diligente,  exhaustiva  y  en  un</w:t>
        <w:br/>
        <w:t xml:space="preserve">     plazo razonable, y por el contrario,  es  posible  considerar  que  los</w:t>
        <w:br/>
        <w:t xml:space="preserve">     otros  mecanismos  y  procedimientos  internos  han  coadyuvado  en  el</w:t>
        <w:br/>
        <w:t xml:space="preserve">     esclarecimiento de la verdad y en la determinación de los  alcances  de</w:t>
        <w:br/>
        <w:t xml:space="preserve">     la responsabilidad del Estado. En consecuencia, la Corte considera  que</w:t>
        <w:br/>
        <w:t xml:space="preserve">     el Estado no violó los artículos 8 y 25 de la Convención en este caso.</w:t>
        <w:br/>
        <w:br/>
        <w:br/>
        <w:br/>
        <w:t xml:space="preserve">                                    VII-2</w:t>
        <w:br/>
        <w:br/>
        <w:t xml:space="preserve"> DERECHOS A LA VIDA, A LA INTEGRIDAD PERSONAL Y A LAS MEDIDAS DE PROTECCIÓN</w:t>
        <w:br/>
        <w:t xml:space="preserve">  DE LOS NIÑOS y NIÑAS Y DEBER DE ADOPTAR DISPOSICIONES DE DERECHO INTERNO</w:t>
        <w:br/>
        <w:br/>
        <w:br/>
        <w:br/>
        <w:t xml:space="preserve">      A.    Argumentos de la Comisión y alegatos de las partes</w:t>
        <w:br/>
        <w:br/>
        <w:br/>
        <w:t xml:space="preserve">           A.1. Derecho a la vida</w:t>
        <w:br/>
        <w:br/>
        <w:br/>
        <w:t>174. La Comisión concluyó en su Informe que el  Estado  violó  los  derechos</w:t>
        <w:br/>
        <w:t xml:space="preserve">     reconocidos en el artículo 4.1 de la Convención[248], en  relación  con</w:t>
        <w:br/>
        <w:t xml:space="preserve">     el artículo 1.1 de la misma, en perjuicio de las 17 personas fallecidas</w:t>
        <w:br/>
        <w:t xml:space="preserve">     de la vereda de Santo Domingo el 13 de diciembre de 1998,  en  relación</w:t>
        <w:br/>
        <w:t xml:space="preserve">     con el lanzamiento del dispositivo cluster sobre la zona urbana  de  la</w:t>
        <w:br/>
        <w:t xml:space="preserve">     vereda. La Comisión también afirmó que  “la  circunstancia  de  que  27</w:t>
        <w:br/>
        <w:t xml:space="preserve">     personas hayan resultado heridas y no muertas [fue] meramente fortuita”</w:t>
        <w:br/>
        <w:t xml:space="preserve">     y por eso consideró que la violación  del  artículo  4  también  aplica</w:t>
        <w:br/>
        <w:t xml:space="preserve">     respecto de los heridos en el  bombardeo.  La  Comisión  se  refirió  a</w:t>
        <w:br/>
        <w:t xml:space="preserve">     principios y normas del Derecho Internacional Humanitario  y  consideró</w:t>
        <w:br/>
        <w:t xml:space="preserve">     “que la precisión de los dispositivos cluster es limitada y que  tienen</w:t>
        <w:br/>
        <w:t xml:space="preserve">     un gran poder antipersonal” y que quienes se encontraban en  la  vereda</w:t>
        <w:br/>
        <w:t xml:space="preserve">     al momento del bombardeo eran civiles, lo cual  era  conocido  por  los</w:t>
        <w:br/>
        <w:t xml:space="preserve">     miembros de la Fuerza Pública que tripulaban las aeronaves.</w:t>
        <w:br/>
        <w:br/>
        <w:br/>
        <w:t>175. Los representantes coincidieron con lo manifestado por la  Comisión  y,</w:t>
        <w:br/>
        <w:t xml:space="preserve">     además de lo señalado anteriormente,  agregaron  que  en  los  procesos</w:t>
        <w:br/>
        <w:t xml:space="preserve">     penales, disciplinario y contencioso administrativo a nivel interno  se</w:t>
        <w:br/>
        <w:t xml:space="preserve">     estableció de manera indudable que la explosión en  Santo  Domingo  fue</w:t>
        <w:br/>
        <w:t xml:space="preserve">     causada por el lanzamiento de un dispositivo cluster por  parte  de  la</w:t>
        <w:br/>
        <w:t xml:space="preserve">     Fuerza Aérea Colombiana. Los representantes también alegaron  que  “por</w:t>
        <w:br/>
        <w:t xml:space="preserve">     tratarse de un ataque indiscriminado con una bomba de fragmentación […]</w:t>
        <w:br/>
        <w:t xml:space="preserve">     [era] necesario entrar a valorar la situación de todas las personas que</w:t>
        <w:br/>
        <w:t xml:space="preserve">     estaban en el caserío de Santo Domingo en el momento del ataque  aéreo,</w:t>
        <w:br/>
        <w:t xml:space="preserve">     ya que fue  sólo  cuestión  del  azar  que  no  fueran  impactadas  por</w:t>
        <w:br/>
        <w:t xml:space="preserve">     esquirlas ni fragmentos  del  dispositivo  cluster”.  En  ese  sentido,</w:t>
        <w:br/>
        <w:t xml:space="preserve">     alegaron que también “se afectó de manera directa el derecho a la vida”</w:t>
        <w:br/>
        <w:t xml:space="preserve">     de las personas que resultaron gravemente heridas y que,  por  tratarse</w:t>
        <w:br/>
        <w:t xml:space="preserve">     de un ataque indiscriminado con una bomba de  fragmentación  el  Estado</w:t>
        <w:br/>
        <w:t xml:space="preserve">     también es  responsable  por  la  violación  del  artículo  4.1  de  la</w:t>
        <w:br/>
        <w:t xml:space="preserve">     Convención “en perjuicio de todas las personas que se encontraban en el</w:t>
        <w:br/>
        <w:t xml:space="preserve">     momento del lanzamiento” ese día en la vereda de Santo Domingo,  a  las</w:t>
        <w:br/>
        <w:t xml:space="preserve">     cuales no identificaron. Finalmente, los representantes  señalaron  que</w:t>
        <w:br/>
        <w:t xml:space="preserve">     las fallas, obstrucción y desvío  de  la  investigación  penal  también</w:t>
        <w:br/>
        <w:t xml:space="preserve">     constituían violaciones de las obligaciones que tiene el Estado bajo el</w:t>
        <w:br/>
        <w:t xml:space="preserve">     artículo 4 de la Convención, pues “sólo dos responsables materiales del</w:t>
        <w:br/>
        <w:t xml:space="preserve">     asesinato han sido juzgados […] aún cuando existen fuertes elementos de</w:t>
        <w:br/>
        <w:t xml:space="preserve">     prueba que establecen la  participación  intelectual  de  altos  mandos</w:t>
        <w:br/>
        <w:t xml:space="preserve">     militares en la planeación de  la  operación,  así  como  el  posterior</w:t>
        <w:br/>
        <w:t xml:space="preserve">     encubrimiento destinado a garantizar la impunidad en el presente caso”.</w:t>
        <w:br/>
        <w:br/>
        <w:br/>
        <w:br/>
        <w:br/>
        <w:t>176. Por su parte, el Estado alegó que en este caso no se configura  ninguna</w:t>
        <w:br/>
        <w:t xml:space="preserve">     de las estructuras de responsabilidad estatal, por lo que la pretensión</w:t>
        <w:br/>
        <w:t xml:space="preserve">     de la Comisión y de los representantes no debe ser acogida, puesto  que</w:t>
        <w:br/>
        <w:t xml:space="preserve">     se encuentra probado que no  hubo  relación  de  causalidad  entre  las</w:t>
        <w:br/>
        <w:t xml:space="preserve">     acciones desplegadas por los agentes estatales y los  hechos  ocurridos</w:t>
        <w:br/>
        <w:t xml:space="preserve">     en Santo Domingo. Agregó que “no existió ninguna forma de complicidad o</w:t>
        <w:br/>
        <w:t xml:space="preserve">     patrocinio entre las FARC y la fuerza pública”. Por último,  el  Estado</w:t>
        <w:br/>
        <w:t xml:space="preserve">     afirmó que no se había provocado un riesgo objetivo  en  contra  de  la</w:t>
        <w:br/>
        <w:t xml:space="preserve">     población civil  porque  el  dispositivo  AN-M1A2  fue  lanzado  a  una</w:t>
        <w:br/>
        <w:t xml:space="preserve">     distancia en la que no era posible causar daños al caserío “y  que  “el</w:t>
        <w:br/>
        <w:t xml:space="preserve">     poder destructivo de [este tipo de] dispositivo […]  no  excede  de  30</w:t>
        <w:br/>
        <w:t xml:space="preserve">     metros”.</w:t>
        <w:br/>
        <w:br/>
        <w:br/>
        <w:t xml:space="preserve">      A.2. Derecho a la integridad personal</w:t>
        <w:br/>
        <w:br/>
        <w:br/>
        <w:t>177. La Comisión sostuvo que “en el presente caso resultaron heridos  varios</w:t>
        <w:br/>
        <w:t xml:space="preserve">     sobrevivientes que  a  su  vez  son  familiares  de  las  víctimas  que</w:t>
        <w:br/>
        <w:t xml:space="preserve">     perecieron en el bombardeo”. En ese sentido, la Comisión observó que la</w:t>
        <w:br/>
        <w:t xml:space="preserve">     pérdida de un ser querido en  un  contexto  como  el  descrito  permite</w:t>
        <w:br/>
        <w:t xml:space="preserve">     inferir  un  sufrimiento  incompatible  con  el  artículo  5.1  de   la</w:t>
        <w:br/>
        <w:t xml:space="preserve">     Convención Americana[249]. Además, observó que con posterioridad  a  la</w:t>
        <w:br/>
        <w:t xml:space="preserve">     explosión del dispositivo los sobrevivientes y heridos fueron  atacados</w:t>
        <w:br/>
        <w:t xml:space="preserve">     por el helicóptero Arpía.</w:t>
        <w:br/>
        <w:br/>
        <w:br/>
        <w:t>178. Los representantes agregaron a lo alegado por la Comisión  que  después</w:t>
        <w:br/>
        <w:t xml:space="preserve">     de la explosión “los agentes estatales no solo omitieron brindar a  los</w:t>
        <w:br/>
        <w:t xml:space="preserve">     heridos la atención médica requerida, como era su deber,  sino  que  en</w:t>
        <w:br/>
        <w:t xml:space="preserve">     momentos en que algunas personas intentaban  auxiliar  a  los  heridos,</w:t>
        <w:br/>
        <w:t xml:space="preserve">     fueron objeto de nuevos ametrallamientos”.  También  señalaron  que  la</w:t>
        <w:br/>
        <w:t xml:space="preserve">     falta de una investigación efectiva adelantó la profusión  de  columnas</w:t>
        <w:br/>
        <w:t xml:space="preserve">     de opinión, publicaciones periodísticas y mensajes en diferentes medios</w:t>
        <w:br/>
        <w:t xml:space="preserve">     de comunicación según los cuales  las  muertes  y  lesiones  no  serían</w:t>
        <w:br/>
        <w:t xml:space="preserve">     imputables a la Fuerza Aérea Colombiana, sino a  la  guerrilla  de  las</w:t>
        <w:br/>
        <w:t xml:space="preserve">     FARC, y señalaron  que  “estas  versiones  [lesionaron]  a  su  vez  la</w:t>
        <w:br/>
        <w:t xml:space="preserve">     integridad moral de las  víctimas  de  la  masacre,  cuyos  testimonios</w:t>
        <w:br/>
        <w:t xml:space="preserve">     [fueron] cuestionados, tachados de falsos y mentirosos”.</w:t>
        <w:br/>
        <w:br/>
        <w:br/>
        <w:t>179. Por su parte, el Estado alegó que no fue responsable de la violación  o</w:t>
        <w:br/>
        <w:t xml:space="preserve">     puesta en peligro del derecho a la integridad física de los  pobladores</w:t>
        <w:br/>
        <w:t xml:space="preserve">     de Santo Domingo, ya que “probó con suficiencia que ese hecho  obedeció</w:t>
        <w:br/>
        <w:t xml:space="preserve">     a la detonación de un artefacto explosivo de fabricación  casera”  pues</w:t>
        <w:br/>
        <w:t xml:space="preserve">     “no había relación de causalidad entre el  hecho  lesivo  y  la  acción</w:t>
        <w:br/>
        <w:t xml:space="preserve">     desplegada por los agentes estatales”. Agregó también  que  “la  Fuerza</w:t>
        <w:br/>
        <w:t xml:space="preserve">     Aérea no realizó ataques ni con bombas ni con ametralladoras o  cohetes</w:t>
        <w:br/>
        <w:t xml:space="preserve">     sobre las personas que el 13 de diciembre de  1998  se  movilizaban  de</w:t>
        <w:br/>
        <w:t xml:space="preserve">     Santo Domingo hacia las poblaciones aledañas”. El Estado también afirmó</w:t>
        <w:br/>
        <w:t xml:space="preserve">     que no puede admitirse que la emisión de  su  versión  de  los  hechos,</w:t>
        <w:br/>
        <w:t xml:space="preserve">     contraria a las afirmaciones de las víctimas, sea considerada como  una</w:t>
        <w:br/>
        <w:t xml:space="preserve">     violación de la integridad moral de los pobladores de Santo Domingo, ya</w:t>
        <w:br/>
        <w:t xml:space="preserve">     que “ésta descansa sobre múltiples evidencias y constituye el  legítimo</w:t>
        <w:br/>
        <w:t xml:space="preserve">     ejercicio del derecho de contradicción y defensa”.  Agregó  además  que</w:t>
        <w:br/>
        <w:t xml:space="preserve">     “no [realizó] acciones tendientes a la revictimización, hostigamiento o</w:t>
        <w:br/>
        <w:t xml:space="preserve">     estigmatización de las presuntas víctimas”.</w:t>
        <w:br/>
        <w:br/>
        <w:br/>
        <w:t xml:space="preserve">      A.3. Derecho a las medidas de protección para los niños y niñas</w:t>
        <w:br/>
        <w:br/>
        <w:br/>
        <w:t>180. La Comisión consideró que el Estado violó los derechos  reconocidos  en</w:t>
        <w:br/>
        <w:t xml:space="preserve">     el artículo 19 de la Convención Americana[250], en relación con el art.</w:t>
        <w:br/>
        <w:t xml:space="preserve">     1.1, 4 y 5 de la misma, en perjuicio de los  seis  niños  y  niñas  que</w:t>
        <w:br/>
        <w:t xml:space="preserve">     murieron y los otros nueve que resultaron heridos en el bombardeo.</w:t>
        <w:br/>
        <w:br/>
        <w:br/>
        <w:t>181. Los representantes  alegaron  que  el  Estado  no  sólo  incumplió  sus</w:t>
        <w:br/>
        <w:t xml:space="preserve">     obligaciones de protección especial hacia la población infantil  de  la</w:t>
        <w:br/>
        <w:t xml:space="preserve">     vereda  de  Santo  Domingo,  sino  que  incrementó  su   condición   de</w:t>
        <w:br/>
        <w:t xml:space="preserve">     vulnerabilidad al efectuar un ataque indiscriminado contra la población</w:t>
        <w:br/>
        <w:t xml:space="preserve">     civil del caserío. También señalaron que a causa del conflicto  interno</w:t>
        <w:br/>
        <w:t xml:space="preserve">     que vive Colombia, los niños niñas y niños se encuentran en condiciones</w:t>
        <w:br/>
        <w:t xml:space="preserve">     de mayor vulnerabilidad, por lo cual las  obligaciones  del  Estado  se</w:t>
        <w:br/>
        <w:t xml:space="preserve">     intensifican, sin embargo “en el  presente  caso,  los  niños  y  niñas</w:t>
        <w:br/>
        <w:t xml:space="preserve">     fueron asesinados, heridos, unos  quedaron  huérfanos,  otros  debieron</w:t>
        <w:br/>
        <w:t xml:space="preserve">     desplazarse, y se puso  en  riesgo  la  vida  de  la  totalidad  de  la</w:t>
        <w:br/>
        <w:t xml:space="preserve">     población  infantil”.  Agregaron  además  que  los  niños  del  caserío</w:t>
        <w:br/>
        <w:t xml:space="preserve">     “tuvieron que soportar la rudeza de presenciar el ataque, ver a niños y</w:t>
        <w:br/>
        <w:t xml:space="preserve">     adultos, familiares  y  amigos  destrozados”,  así  como  “soportar  la</w:t>
        <w:br/>
        <w:t xml:space="preserve">     situación de desplazamiento de sus familias  y  la  destrucción  de  la</w:t>
        <w:br/>
        <w:t xml:space="preserve">     comunidad de Santo Domingo que constituía su entorno vital”.</w:t>
        <w:br/>
        <w:br/>
        <w:br/>
        <w:t>182. Finalmente, los representantes alegaron  que  “la  actuación  posterior</w:t>
        <w:br/>
        <w:t xml:space="preserve">     del Estado, a través de los pronunciamientos  públicos  efectuados  por</w:t>
        <w:br/>
        <w:t xml:space="preserve">     los altos mandos militares, en el sentido de asegurar y sugerir que  la</w:t>
        <w:br/>
        <w:t xml:space="preserve">     población de Santo Domingo colaboraba con la guerrilla,  multiplicó  el</w:t>
        <w:br/>
        <w:t xml:space="preserve">     riesgo de los niños de ser estigmatizados  en  una  zona  de  conflicto</w:t>
        <w:br/>
        <w:t xml:space="preserve">     armado”, y que el Estado incumplió su obligación convencional  bajo  el</w:t>
        <w:br/>
        <w:t xml:space="preserve">     artículo 19 respecto a la totalidad de la población infantil  de  Santo</w:t>
        <w:br/>
        <w:t xml:space="preserve">     Domingo, puesto  que  “no  tomó  las  medidas  necesarias  para  evitar</w:t>
        <w:br/>
        <w:t xml:space="preserve">     posteriores ataques contra  la  población  civil  en  un  contexto  tan</w:t>
        <w:br/>
        <w:t xml:space="preserve">     complicado  de  conflicto  armado  y  de  irrupción   de   los   grupos</w:t>
        <w:br/>
        <w:t xml:space="preserve">     paramilitares en el departamento de Arauca”.</w:t>
        <w:br/>
        <w:br/>
        <w:br/>
        <w:t>183. Por su parte, el Estado alegó que  reconocía  íntegramente  el  interés</w:t>
        <w:br/>
        <w:t xml:space="preserve">     superior del niño y las obligaciones y protección especial que  debería</w:t>
        <w:br/>
        <w:t xml:space="preserve">     tenerse con éstos, que fue el  grupo  guerrillero  de  las  FARC  quien</w:t>
        <w:br/>
        <w:t xml:space="preserve">     instaló una bomba de fabricación casera en la vereda de Santo  Domingo,</w:t>
        <w:br/>
        <w:t xml:space="preserve">     y que “al advertir la existencia del caserío y la presencia de  civiles</w:t>
        <w:br/>
        <w:t xml:space="preserve">     en aquel lugar, donde con alta probabilidad se encontrarían  [niñas  y]</w:t>
        <w:br/>
        <w:t xml:space="preserve">     niños, la fuerza pública optó para realizar y concentrar  la  operación</w:t>
        <w:br/>
        <w:t xml:space="preserve">     militar en un lugar alejado donde no existiría ninguna probabilidad  de</w:t>
        <w:br/>
        <w:t xml:space="preserve">     afectar a [las personas] menores [de edad]”. El Estado agregó  que  los</w:t>
        <w:br/>
        <w:t xml:space="preserve">     miembros de la Fuerza Pública planearon las operaciones en contra de la</w:t>
        <w:br/>
        <w:t xml:space="preserve">     guerrilla de las FARC para defender a la  población  civil  y  que  por</w:t>
        <w:br/>
        <w:t xml:space="preserve">     tanto la intervención “pretendía cumplir con los deberes de  protección</w:t>
        <w:br/>
        <w:t xml:space="preserve">     y garantías que se le imputan”. Por último, el  Estado  señaló  también</w:t>
        <w:br/>
        <w:t xml:space="preserve">     que lejos de estigmatizar a  los  niños,  siempre  los  consideró  como</w:t>
        <w:br/>
        <w:t xml:space="preserve">     víctimas inocentes de un desafortunado conflicto armado.</w:t>
        <w:br/>
        <w:br/>
        <w:br/>
        <w:t xml:space="preserve">      A.4. Deber de adoptar disposiciones de derecho interno[251]</w:t>
        <w:br/>
        <w:br/>
        <w:br/>
        <w:t>184. La Comisión Interamericana no hizo conclusiones relativas  al  artículo</w:t>
        <w:br/>
        <w:t xml:space="preserve">     2 de la Convención en el Informe de Fondo.</w:t>
        <w:br/>
        <w:br/>
        <w:br/>
        <w:t>185. Los representantes alegaron que “el Estado colombiano no [contaba]  con</w:t>
        <w:br/>
        <w:t xml:space="preserve">     un marco legislativo adecuado que  desarrolle  de  manera  efectiva  la</w:t>
        <w:br/>
        <w:t xml:space="preserve">     obligación de protección de los derechos humanos  en  relación  con  la</w:t>
        <w:br/>
        <w:t xml:space="preserve">     actividad de empresas transnacionales en su territorio”. Señalaron  que</w:t>
        <w:br/>
        <w:t xml:space="preserve">     en el presente  caso  era  claro  que  no  había  sido  investigada  la</w:t>
        <w:br/>
        <w:t xml:space="preserve">     contribución de las empresas privadas OXY y su contratista  en  materia</w:t>
        <w:br/>
        <w:t xml:space="preserve">     de seguridad Airscan en la masacre de Santo Domingo.</w:t>
        <w:br/>
        <w:br/>
        <w:br/>
        <w:t>186. Por su parte, el Estado  alegó  que  “toda  empresa  que  opere  en  la</w:t>
        <w:br/>
        <w:t xml:space="preserve">     jurisdicción colombiana debe sujetarse al marco legal y  constitucional</w:t>
        <w:br/>
        <w:t xml:space="preserve">     del ordenamiento jurídico colombiano [y que]  lo  anterior  incluye  el</w:t>
        <w:br/>
        <w:t xml:space="preserve">     respeto por los derechos humanos”.</w:t>
        <w:br/>
        <w:br/>
        <w:br/>
        <w:br/>
        <w:br/>
        <w:br/>
        <w:br/>
        <w:t xml:space="preserve">      B. Consideraciones de la Corte</w:t>
        <w:br/>
        <w:br/>
        <w:br/>
        <w:t xml:space="preserve">           B.1. Las obligaciones de respetar y garantizar los derechos a la</w:t>
        <w:br/>
        <w:t xml:space="preserve">           vida e integridad personal y  medidas  de  protección  para  las</w:t>
        <w:br/>
        <w:t xml:space="preserve">           niñas y niños</w:t>
        <w:br/>
        <w:br/>
        <w:br/>
        <w:t>187. A la luz  de  lo  alegado  por  las  partes  el  Tribunal  examinará  a</w:t>
        <w:br/>
        <w:t xml:space="preserve">     continuación la alegada responsabilidad internacional de  Colombia  por</w:t>
        <w:br/>
        <w:t xml:space="preserve">     la presunta violación de los  derechos  a  la  vida,  a  la  integridad</w:t>
        <w:br/>
        <w:t xml:space="preserve">     personal y a las medidas de protección de los niños en relación con las</w:t>
        <w:br/>
        <w:t xml:space="preserve">     obligaciones de respeto y de garantía[252]. La Corte estima  pertinente</w:t>
        <w:br/>
        <w:t xml:space="preserve">     realizar un análisis conjunto de estas alegadas  violaciones  en  razón</w:t>
        <w:br/>
        <w:t xml:space="preserve">     del carácter complejo de  las  circunstancias  propias  de  los  hechos</w:t>
        <w:br/>
        <w:t xml:space="preserve">     ocurridos en este caso, que evidencian afectaciones interrelacionadas a</w:t>
        <w:br/>
        <w:t xml:space="preserve">     diversos derechos, impidiendo un análisis fragmentado. Del mismo  modo,</w:t>
        <w:br/>
        <w:t xml:space="preserve">     puesto que los hechos ocurrieron en el contexto de un conflicto  armado</w:t>
        <w:br/>
        <w:t xml:space="preserve">     no internacional, según fue señalado (supra párrs. 21 y ss.), tal  como</w:t>
        <w:br/>
        <w:t xml:space="preserve">     lo ha hecho en otras oportunidades[253], el Tribunal considera  útil  y</w:t>
        <w:br/>
        <w:t xml:space="preserve">     apropiado interpretar el alcance de  las  normas  de  las  obligaciones</w:t>
        <w:br/>
        <w:t xml:space="preserve">     convencionales en forma complementaria con  la  normativa  del  Derecho</w:t>
        <w:br/>
        <w:t xml:space="preserve">     Internacional Humanitario, habida consideración de su especificidad  en</w:t>
        <w:br/>
        <w:t xml:space="preserve">     la materia[254], en particular los Convenios de Ginebra  de  1949[255];</w:t>
        <w:br/>
        <w:t xml:space="preserve">     el artículo 3 común a los cuatro convenios[256]  (en  adelante  también</w:t>
        <w:br/>
        <w:t xml:space="preserve">     “artículo 3 común”); el Protocolo II de los Convenios de Ginebra de  12</w:t>
        <w:br/>
        <w:t xml:space="preserve">     de agosto  de  1949  relativo  a  la  protección  de  las  víctimas  de</w:t>
        <w:br/>
        <w:t xml:space="preserve">     conflictos armados de carácter no internacional (en adelante “Protocolo</w:t>
        <w:br/>
        <w:t xml:space="preserve">     adicional II”),  del  cual  el  Estado  es  parte[257],  y  el  derecho</w:t>
        <w:br/>
        <w:t xml:space="preserve">     internacional humanitario consuetudinario[258].</w:t>
        <w:br/>
        <w:br/>
        <w:br/>
        <w:t>188. Con respecto a los derechos a la vida y a la  integridad  personal,  la</w:t>
        <w:br/>
        <w:t xml:space="preserve">     Corte reitera que los mismos  no  sólo  implican  que  el  Estado  debe</w:t>
        <w:br/>
        <w:t xml:space="preserve">     respetarlos, sino que, además, requiere que el Estado adopte todas  las</w:t>
        <w:br/>
        <w:t xml:space="preserve">     medidas apropiadas para garantizarlos,  en  cumplimiento  de  su  deber</w:t>
        <w:br/>
        <w:t xml:space="preserve">     general establecido en el artículo 1.1 de la Convención Americana[259].</w:t>
        <w:br/>
        <w:t xml:space="preserve">     Con respecto a  lo  anterior  el  Tribunal  ha  señalado  que,  de  las</w:t>
        <w:br/>
        <w:t xml:space="preserve">     obligaciones generales  de  respetar  y  garantizar  los  derechos  que</w:t>
        <w:br/>
        <w:t xml:space="preserve">     establece el artículo 1.1 de la Convención Americana,  derivan  deberes</w:t>
        <w:br/>
        <w:t xml:space="preserve">     especiales determinables en función de las particulares necesidades  de</w:t>
        <w:br/>
        <w:t xml:space="preserve">     protección del sujeto de derecho, ya sea por su  condición  personal  o</w:t>
        <w:br/>
        <w:t xml:space="preserve">     por la situación específica en que se encuentre[260]. Además, la  Corte</w:t>
        <w:br/>
        <w:t xml:space="preserve">     ha establecido también que la responsabilidad internacional del  Estado</w:t>
        <w:br/>
        <w:t xml:space="preserve">     se funda en actos u omisiones de cualquier  poder  u  órgano  de  éste,</w:t>
        <w:br/>
        <w:t xml:space="preserve">     independientemente  de  su  jerarquía,  que  sean  violatorios  de  los</w:t>
        <w:br/>
        <w:t xml:space="preserve">     derechos y obligaciones contenidos en la Convención Americana[261].</w:t>
        <w:br/>
        <w:br/>
        <w:br/>
        <w:t>189. En lo que se refiere a la obligación de  respeto,  la  primera  asumida</w:t>
        <w:br/>
        <w:t xml:space="preserve">     por los Estados Parte, en los  términos  del  citado  artículo  implica</w:t>
        <w:br/>
        <w:t xml:space="preserve">     necesariamente la noción de  la  restricción  al  ejercicio  del  poder</w:t>
        <w:br/>
        <w:t xml:space="preserve">     estatal[262]. Por otro lado, en cuanto a la obligación de garantía,  la</w:t>
        <w:br/>
        <w:t xml:space="preserve">     Corte ha establecido que ésta puede ser cumplida de diferentes maneras,</w:t>
        <w:br/>
        <w:t xml:space="preserve">     en función del derecho específico que el Estado deba  garantizar  y  de</w:t>
        <w:br/>
        <w:t xml:space="preserve">     las  particulares  necesidades  de  protección[263].  Esta   obligación</w:t>
        <w:br/>
        <w:t xml:space="preserve">     implica  el  deber  de  los  Estados  de  organizar  todo  el   aparato</w:t>
        <w:br/>
        <w:t xml:space="preserve">     gubernamental y, en general, todas las  estructuras  a  través  de  las</w:t>
        <w:br/>
        <w:t xml:space="preserve">     cuales se manifiesta el ejercicio del poder público, de manera tal  que</w:t>
        <w:br/>
        <w:t xml:space="preserve">     sean capaces de asegurar jurídicamente el libre y  pleno  ejercicio  de</w:t>
        <w:br/>
        <w:t xml:space="preserve">     los derechos humanos[264]. Como parte de dicha  obligación,  el  Estado</w:t>
        <w:br/>
        <w:t xml:space="preserve">     está en el deber jurídico de “prevenir, razonablemente, las violaciones</w:t>
        <w:br/>
        <w:t xml:space="preserve">     de los derechos humanos, de investigar seriamente con los medios  a  su</w:t>
        <w:br/>
        <w:t xml:space="preserve">     alcance las violaciones que se hayan cometido dentro del ámbito  de  su</w:t>
        <w:br/>
        <w:t xml:space="preserve">     jurisdicción a fin de identificar a los responsables, de imponerles las</w:t>
        <w:br/>
        <w:t xml:space="preserve">     sanciones  pertinentes  y  de  asegurar  a  la  víctima  una   adecuada</w:t>
        <w:br/>
        <w:t xml:space="preserve">     reparación”[265].</w:t>
        <w:br/>
        <w:br/>
        <w:br/>
        <w:t>190. Asimismo, el Tribunal ha establecido que el derecho a la vida ocupa  un</w:t>
        <w:br/>
        <w:t xml:space="preserve">     espacio fundamental en la Convención Americana, por ser el  presupuesto</w:t>
        <w:br/>
        <w:t xml:space="preserve">     esencial para el ejercicio de  los  demás  derechos[266].  Los  Estados</w:t>
        <w:br/>
        <w:t xml:space="preserve">     tienen la obligación de garantizar la creación de las  condiciones  que</w:t>
        <w:br/>
        <w:t xml:space="preserve">     se requieran para que  no  se  produzcan  violaciones  de  ese  derecho</w:t>
        <w:br/>
        <w:t xml:space="preserve">     inalienable y, en particular, el  deber  de  impedir  que  sus  agentes</w:t>
        <w:br/>
        <w:t xml:space="preserve">     atenten contra él. Esta protección activa del derecho  a  la  vida  por</w:t>
        <w:br/>
        <w:t xml:space="preserve">     parte del Estado no sólo involucra a  sus  legisladores,  sino  a  toda</w:t>
        <w:br/>
        <w:t xml:space="preserve">     institución estatal y a quienes deben  resguardar  la  seguridad,  sean</w:t>
        <w:br/>
        <w:t xml:space="preserve">     éstas sus fuerzas de policía o sus fuerzas armadas[267].</w:t>
        <w:br/>
        <w:br/>
        <w:br/>
        <w:t>191. Por otra  parte,  la  Convención  Americana  reconoce  expresamente  el</w:t>
        <w:br/>
        <w:t xml:space="preserve">     derecho a la integridad personal, física y  psíquica,  cuya  infracción</w:t>
        <w:br/>
        <w:t xml:space="preserve">     “es una clase de violación que tiene diversas connotaciones de grado  y</w:t>
        <w:br/>
        <w:t xml:space="preserve">     […] cuyas secuelas físicas y psíquicas varían de intensidad  según  los</w:t>
        <w:br/>
        <w:t xml:space="preserve">     factores endógenos y exógenos  que  deberán  ser  demostrados  en  cada</w:t>
        <w:br/>
        <w:t xml:space="preserve">     situación concreta”[268].  Además,  la  Corte  ha  sostenido  en  otras</w:t>
        <w:br/>
        <w:t xml:space="preserve">     oportunidades que la mera amenaza de que ocurra una conducta  prohibida</w:t>
        <w:br/>
        <w:t xml:space="preserve">     por el artículo 5 de la Convención, cuando sea suficientemente  real  e</w:t>
        <w:br/>
        <w:t xml:space="preserve">     inminente, puede en sí misma estar en conflicto con  el  derecho  a  la</w:t>
        <w:br/>
        <w:t xml:space="preserve">     integridad personal[269].</w:t>
        <w:br/>
        <w:br/>
        <w:br/>
        <w:t>192. Además de lo  anterior,  el  Tribunal  reitera  que  revisten  especial</w:t>
        <w:br/>
        <w:t xml:space="preserve">     gravedad los casos en los cuales las  víctimas  de  violaciones  a  los</w:t>
        <w:br/>
        <w:t xml:space="preserve">     derechos humanos  son  niñas  y  niños[270],  quienes  tienen  derechos</w:t>
        <w:br/>
        <w:t xml:space="preserve">     especiales a los que corresponden deberes específicos por parte  de  la</w:t>
        <w:br/>
        <w:t xml:space="preserve">     familia, la sociedad y el Estado.</w:t>
        <w:br/>
        <w:br/>
        <w:br/>
        <w:t>193. En este sentido, la Corte recuerda que no es un tribunal  penal  ni  de</w:t>
        <w:br/>
        <w:t xml:space="preserve">     alzada[271], y que “corresponde a los tribunales del Estado  el  examen</w:t>
        <w:br/>
        <w:t xml:space="preserve">     de   los   hechos   y   las   pruebas   presentadas   en   las   causas</w:t>
        <w:br/>
        <w:t xml:space="preserve">     particulares”[272]. El presente caso no se refiere  a  la  inocencia  o</w:t>
        <w:br/>
        <w:t xml:space="preserve">     culpabilidad de los integrantes  de  la  Fuerza  Aérea  Colombiana  que</w:t>
        <w:br/>
        <w:t xml:space="preserve">     participaron en las operaciones, ni tampoco de los integrantes  de  los</w:t>
        <w:br/>
        <w:t xml:space="preserve">     grupos guerrilleros FARC que protagonizaron enfrentamientos en  lugares</w:t>
        <w:br/>
        <w:t xml:space="preserve">     muy cercanos a asentamientos de  población  civil,  circunstancias  que</w:t>
        <w:br/>
        <w:t xml:space="preserve">     podrían  ser  en  su  caso  analizadas  por  la  jurisdicción   interna</w:t>
        <w:br/>
        <w:t xml:space="preserve">     competente. El presente caso se trata de la conformidad de los actos de</w:t>
        <w:br/>
        <w:t xml:space="preserve">     los agentes estatales con la Convención Americana. Por ende,  salvo  en</w:t>
        <w:br/>
        <w:t xml:space="preserve">     lo que atañe a  cuestiones  muy  específicas  conforme  al  objeto  del</w:t>
        <w:br/>
        <w:t xml:space="preserve">     presente caso y al  ejercicio  de  su  función  contenciosa,  la  Corte</w:t>
        <w:br/>
        <w:t xml:space="preserve">     determinará si el Estado  es  responsable  por  las  violaciones  a  la</w:t>
        <w:br/>
        <w:t xml:space="preserve">     Convención  alegadas,  sin  que  le  corresponda  analizar   “falencias</w:t>
        <w:br/>
        <w:t xml:space="preserve">     probatorias” de las sentencias penales de primera y segunda  instancia,</w:t>
        <w:br/>
        <w:t xml:space="preserve">     o estructuras penales o criterios de imputación penal individual, según</w:t>
        <w:br/>
        <w:t xml:space="preserve">     pretende el Estado.</w:t>
        <w:br/>
        <w:br/>
        <w:br/>
        <w:t>194. A continuación, el Tribunal pasa a examinar las alegadas violaciones  a</w:t>
        <w:br/>
        <w:t xml:space="preserve">     los artículos 4, 5, 19 y 2 en el siguiente orden: 1) el lanzamiento  de</w:t>
        <w:br/>
        <w:t xml:space="preserve">     un dispositivo cluster AN-M1A2 sobre Santo  Domingo;  2)  los  alegados</w:t>
        <w:br/>
        <w:t xml:space="preserve">     ametrallamientos; 3) las medidas de protección a favor de los  niños  y</w:t>
        <w:br/>
        <w:t xml:space="preserve">     niñas; 4) el derecho a la integridad de los familiares; 5) el deber  de</w:t>
        <w:br/>
        <w:t xml:space="preserve">     adoptar disposiciones de derecho interno, y 6) conclusiones.</w:t>
        <w:br/>
        <w:br/>
        <w:br/>
        <w:t xml:space="preserve">      B.2.   El lanzamiento de un dispositivo AN-M1A2 sobre Santo Domingo</w:t>
        <w:br/>
        <w:br/>
        <w:br/>
        <w:t>195. En lo que se refiere a los hechos  que  llevaron  a  la  muerte  de  17</w:t>
        <w:br/>
        <w:t xml:space="preserve">     personas y lesiones de otras 27 personas en el Caserío de Santo Domingo</w:t>
        <w:br/>
        <w:t xml:space="preserve">     el 13 de diciembre de 1998, según fue señalado, la Corte  observa  que,</w:t>
        <w:br/>
        <w:t xml:space="preserve">     de la prueba aportada y lo alegado se desprende que hay  dos  versiones</w:t>
        <w:br/>
        <w:t xml:space="preserve">     de lo ocurrido: en  primer  lugar,  la  que  fuera  presentada  por  la</w:t>
        <w:br/>
        <w:t xml:space="preserve">     Comisión y los representantes según la cual la Fuerza Aérea  Colombiana</w:t>
        <w:br/>
        <w:t xml:space="preserve">     sería responsable del lanzamiento de un dispositivo  AN-M1A2  sobre  el</w:t>
        <w:br/>
        <w:t xml:space="preserve">     caserío a las 10:02 de la mañana,  versión  también  concluida  por  el</w:t>
        <w:br/>
        <w:t xml:space="preserve">     Juzgado 12 Penal del Circuito de Bogotá (supra párr. 109) y el Tribunal</w:t>
        <w:br/>
        <w:t xml:space="preserve">     Superior Penal de  Bogotá  (supra  párr.  113),  el  cual  se  basó  en</w:t>
        <w:br/>
        <w:t xml:space="preserve">     testimonios y diversas diligencias de investigación llevadas a cabo por</w:t>
        <w:br/>
        <w:t xml:space="preserve">     la Fiscalía General de la  Nación.  La  segunda  versión  surge  de  lo</w:t>
        <w:br/>
        <w:t xml:space="preserve">     alegado, en lo pertinente, por el Estado, que coincide con parte de las</w:t>
        <w:br/>
        <w:t xml:space="preserve">     declaraciones de varios integrantes de las Fuerzas Armadas  Colombianas</w:t>
        <w:br/>
        <w:t xml:space="preserve">     que estuvieron presentes al momento de los  hechos  (supra  párr.  73),</w:t>
        <w:br/>
        <w:t xml:space="preserve">     según la cual el referido dispositivo cluster habría sido  lanzado  500</w:t>
        <w:br/>
        <w:t xml:space="preserve">     metros más al norte del caserío y que la  muertes  y  lesiones  que  se</w:t>
        <w:br/>
        <w:t xml:space="preserve">     produjeron fueron consecuencia  de  la  explosión  de  un  carro  bomba</w:t>
        <w:br/>
        <w:t xml:space="preserve">     supuestamente colocado por las FARC.</w:t>
        <w:br/>
        <w:br/>
        <w:br/>
        <w:t>196. Con respecto a la prueba presentada  el  Tribunal  observa,  en  primer</w:t>
        <w:br/>
        <w:t xml:space="preserve">     lugar, tal cual como lo hiciera el Juzgado 12  Penal  del  Circuito  de</w:t>
        <w:br/>
        <w:t xml:space="preserve">     Bogotá en su  sentencia  de  24  de  septiembre  de  2009,  que  varios</w:t>
        <w:br/>
        <w:t xml:space="preserve">     pobladores de Santo Domingo indican que pudieron observar de qué  forma</w:t>
        <w:br/>
        <w:t xml:space="preserve">     uno  de  los  helicópteros  de  la  Fuerza  Aérea  Colombiana  que   se</w:t>
        <w:br/>
        <w:t xml:space="preserve">     encontraban en el área de las operaciones lanzó bombas en el medio  del</w:t>
        <w:br/>
        <w:t xml:space="preserve">     caserío alrededor de las 10 de la mañana de ese día, causando muertos y</w:t>
        <w:br/>
        <w:t xml:space="preserve">     heridos  entre  la   población   civil[273].   Esos   testimonios   son</w:t>
        <w:br/>
        <w:t xml:space="preserve">     consistentes con varias diligencias de investigación realizadas por  la</w:t>
        <w:br/>
        <w:t xml:space="preserve">     Fiscalía[274].</w:t>
        <w:br/>
        <w:br/>
        <w:br/>
        <w:t>197. La Corte observa que la filmación del avión  Skymaster  muestra  que  a</w:t>
        <w:br/>
        <w:t xml:space="preserve">     partir de las 10:00:40 am se produjo la  siguiente  conversación  entre</w:t>
        <w:br/>
        <w:t xml:space="preserve">     los tripulantes de las diferentes aeronaves que sobrevolaban  la  zona,</w:t>
        <w:br/>
        <w:t xml:space="preserve">     en relación con el lanzamiento del dispositivo AN-M1A2 (en el texto  de</w:t>
        <w:br/>
        <w:t xml:space="preserve">     la grabación también referido como “el racimo” o “regalo grande”).</w:t>
        <w:br/>
        <w:br/>
        <w:t xml:space="preserve">    Teniente J.J.V. copiloto del UH1H (Lechuza) señaló: “Cazador nosotros</w:t>
        <w:br/>
        <w:t xml:space="preserve">    necesitamos tirar el racimo, Cazador, Lechuza necesita tirar el</w:t>
        <w:br/>
        <w:t xml:space="preserve">    racimo”.</w:t>
        <w:br/>
        <w:t xml:space="preserve">    Teniente G.L., piloto del Hughes – 500 (Cazador) respondió: “Lechuza</w:t>
        <w:br/>
        <w:t xml:space="preserve">    necesita tirar el racimo, OK Gavilán y Arpía mantengan que aquí viene</w:t>
        <w:br/>
        <w:t xml:space="preserve">    un regalo grande”.</w:t>
        <w:br/>
        <w:t xml:space="preserve">    Lechuza: “ok ubíqueme”</w:t>
        <w:br/>
        <w:t xml:space="preserve">    Cazador: “¿sí ve la carretera amarilla?”</w:t>
        <w:br/>
        <w:t xml:space="preserve">    Lechuza: “¿dónde la quiere cazador? ¡Dígame dónde la quiere!”</w:t>
        <w:br/>
        <w:t xml:space="preserve">    Cazador: “a la derecha del pueblito hay una mata de monte. La queremos</w:t>
        <w:br/>
        <w:t xml:space="preserve">    al borde whisky [(Oeste)] de esa mata de monte”.</w:t>
        <w:br/>
        <w:t xml:space="preserve">    Lechuza: “¿la mata de monte que está más al whisky o la que está aquí</w:t>
        <w:br/>
        <w:t xml:space="preserve">    pegadita?”</w:t>
        <w:br/>
        <w:t xml:space="preserve">    Cazador: “la que está pegadita”[275]</w:t>
        <w:br/>
        <w:br/>
        <w:t>198. En el mismo video se puede escuchar que a las 10:02:09 am, uno  de  los</w:t>
        <w:br/>
        <w:t xml:space="preserve">     intervinientes en  las  comunicaciones  manifiesta  “ya,  ya  cayó,  ya</w:t>
        <w:br/>
        <w:t xml:space="preserve">     cayó!”, refiriéndose al dispositivo AN-M1A2, y a las 10:02:11  am  otro</w:t>
        <w:br/>
        <w:t xml:space="preserve">     piloto dice: “Si allí se ve el humo”[276]. Sin embargo, si bien  en  la</w:t>
        <w:br/>
        <w:t xml:space="preserve">     imagen del Skymaster se puede observar la “mata de monte”  donde  debía</w:t>
        <w:br/>
        <w:t xml:space="preserve">     haber caído la bomba de acuerdo a las indicaciones, no se logra ver  en</w:t>
        <w:br/>
        <w:t xml:space="preserve">     ningún lugar de la pantalla el humo que afirman estar percibiendo. Unos</w:t>
        <w:br/>
        <w:t xml:space="preserve">     segundos más tarde, a las  10:02:49  am,  es  posible  observar  cuando</w:t>
        <w:br/>
        <w:t xml:space="preserve">     cambia el ángulo de la filmación del Skymaster, en  la  parte  superior</w:t>
        <w:br/>
        <w:t xml:space="preserve">     derecha de la pantalla, una columna  de  humo  oscuro  proveniente  del</w:t>
        <w:br/>
        <w:t xml:space="preserve">     caserío de Santo Domingo, columna  que  no  se  veía  en  las  imágenes</w:t>
        <w:br/>
        <w:t xml:space="preserve">     anteriores (a las 09:16:04, 09:23:23, entre otros)[277]. A las 10:02:50</w:t>
        <w:br/>
        <w:t xml:space="preserve">     am el piloto del Skymaster señala en idioma inglés: “parece ser que hay</w:t>
        <w:br/>
        <w:t xml:space="preserve">     una […]” (“it looks like that there is a…”), frase que se interrumpe  y</w:t>
        <w:br/>
        <w:t xml:space="preserve">     que es seguida por un silencio de más de 30 segundos, sin que se  pueda</w:t>
        <w:br/>
        <w:t xml:space="preserve">     volver a ver la imagen del caserío hasta varios  minutos  después[278].</w:t>
        <w:br/>
        <w:t xml:space="preserve">     Cuando la imagen regresa al caserío de Santo Domingo a las 10:08:19 am,</w:t>
        <w:br/>
        <w:t xml:space="preserve">     la columna de humo no vuelve a verse[279].</w:t>
        <w:br/>
        <w:br/>
        <w:br/>
        <w:t>199. Lo observado en las imágenes del video del Skymaster  coincide  con  lo</w:t>
        <w:br/>
        <w:t xml:space="preserve">     concluido por la sentencia del Juzgado 12 Penal cuando  manifiesta  que</w:t>
        <w:br/>
        <w:t xml:space="preserve">     “se aprecia en el extremo superior derecho de la  pantalla  una  imagen</w:t>
        <w:br/>
        <w:t xml:space="preserve">     tangencial del caserío con humo”[280], así como  con  lo  afirmado  por</w:t>
        <w:br/>
        <w:t xml:space="preserve">     habitantes de Santo Domingo que recuerdan haber visto humo luego de que</w:t>
        <w:br/>
        <w:t xml:space="preserve">     cayeran  las  bombas[281].  Del  mismo  modo,  esas  constataciones   y</w:t>
        <w:br/>
        <w:t xml:space="preserve">     testimonios son consistentes con las experticias técnicas realizadas en</w:t>
        <w:br/>
        <w:t xml:space="preserve">     la diligencia de inspección practicada en la Base de  la  Fuerza  Aérea</w:t>
        <w:br/>
        <w:t xml:space="preserve">     Colombiana en Apiay el día 12 de agosto de 2003, cuando se  llevaron  a</w:t>
        <w:br/>
        <w:t xml:space="preserve">     cabo pruebas de lanzamientos de dispositivos cluster similares  al  que</w:t>
        <w:br/>
        <w:t xml:space="preserve">     fuera utilizado por la Fuerza Aérea en Santo Domingo, en las cuales  se</w:t>
        <w:br/>
        <w:t xml:space="preserve">     puede observar claramente humo  oscuro  luego  de  que  los  artefactos</w:t>
        <w:br/>
        <w:t xml:space="preserve">     tocaran el piso[282]. En el informe técnico  posterior  a  la  referida</w:t>
        <w:br/>
        <w:t xml:space="preserve">     diligencia se llega a iguales conclusiones[283].</w:t>
        <w:br/>
        <w:br/>
        <w:br/>
        <w:t>200. Por otro lado, como fuera señalado por el Juzgado 12 Penal, y según  se</w:t>
        <w:br/>
        <w:t xml:space="preserve">     desprende de la prueba presentada, la Corte constata  que  durante  las</w:t>
        <w:br/>
        <w:t xml:space="preserve">     inspecciones técnicas y las diligencias  de  investigación[284]  fueron</w:t>
        <w:br/>
        <w:t xml:space="preserve">     encontradas – en  el  caserío  y  en  los  cuerpos  de  los  muertos  y</w:t>
        <w:br/>
        <w:t xml:space="preserve">     heridos[285] – esquirlas y fragmentos  correspondientes  a  partes  del</w:t>
        <w:br/>
        <w:t xml:space="preserve">     dispositivo que se alega fue utilizado por la  fuerza  aérea  en  Santo</w:t>
        <w:br/>
        <w:t xml:space="preserve">     Domingo. El Estado no objeta los hallazgos  reseñados,  aunque  discute</w:t>
        <w:br/>
        <w:t xml:space="preserve">     que los mismos sean parte de un dispositivo AN-M1A2[286],  o  que,  aun</w:t>
        <w:br/>
        <w:t xml:space="preserve">     siendo parte de un dispositivo similar, los mismos se hubieran recabado</w:t>
        <w:br/>
        <w:t xml:space="preserve">     como   material   probatorio   respetando   la   cadena   de   custodia</w:t>
        <w:br/>
        <w:t xml:space="preserve">     correspondiente[287].  La  Corte  destaca   que   esos   procedimientos</w:t>
        <w:br/>
        <w:t xml:space="preserve">     estuvieron a cargo de las propias autoridades internas.</w:t>
        <w:br/>
        <w:br/>
        <w:br/>
        <w:t>201. Al respecto,  la  Corte  observa  que  esas  mismas  objeciones  fueron</w:t>
        <w:br/>
        <w:t xml:space="preserve">     planteadas en el marco del proceso penal[288], por lo cual,  reiterando</w:t>
        <w:br/>
        <w:t xml:space="preserve">     que no es un tribunal penal, en principio  no  le  corresponde  decidir</w:t>
        <w:br/>
        <w:t xml:space="preserve">     sobre la autenticidad de una prueba recabada  en  una  investigación  a</w:t>
        <w:br/>
        <w:t xml:space="preserve">     nivel interno, menos aun cuando la misma ha sido tenida por  válida  en</w:t>
        <w:br/>
        <w:t xml:space="preserve">     el fuero judicial competente para ello. Por  tanto,  este  Tribunal  no</w:t>
        <w:br/>
        <w:t xml:space="preserve">     encuentra que existan méritos suficientes para descartar  o  desvirtuar</w:t>
        <w:br/>
        <w:t xml:space="preserve">     la autenticidad y validez de los medios probatorios señalados, más  aún</w:t>
        <w:br/>
        <w:t xml:space="preserve">     cuando en el marco de los procesos llevados  a  cabo  por  la  justicia</w:t>
        <w:br/>
        <w:t xml:space="preserve">     colombiana,   los   mismos   fueron   considerados   como   válidos   y</w:t>
        <w:br/>
        <w:t xml:space="preserve">     auténticos[289].</w:t>
        <w:br/>
        <w:br/>
        <w:br/>
        <w:t>202. Del acervo probatorio surge  que  la  Fiscalía  General  de  la  Nación</w:t>
        <w:br/>
        <w:t xml:space="preserve">     identificó en su investigación seis  posibles  puntos  de  impacto  que</w:t>
        <w:br/>
        <w:t xml:space="preserve">     podrían corresponder a las seis  bombas  que  componen  el  dispositivo</w:t>
        <w:br/>
        <w:t xml:space="preserve">     cluster y que habrían caído a proximidad del lugar donde se encontraban</w:t>
        <w:br/>
        <w:t xml:space="preserve">     las víctimas[290]. Según fue constatado por el Juzgado 12 Penal  y  por</w:t>
        <w:br/>
        <w:t xml:space="preserve">     el Tribunal Superior, tales puntos de impacto serían  consistentes  con</w:t>
        <w:br/>
        <w:t xml:space="preserve">     lo narrado por los testimonios de los pobladores de Santo Domingo[291].</w:t>
        <w:br/>
        <w:t xml:space="preserve">     Al respecto, el Estado alegó que los puntos de impacto:  i)  no  serían</w:t>
        <w:br/>
        <w:t xml:space="preserve">     compatibles con las características de un dispositivo de ese tipo[292];</w:t>
        <w:br/>
        <w:t xml:space="preserve">     ii)  no  se  habrían  producido  o  se  habrían   producido   en   otro</w:t>
        <w:br/>
        <w:t xml:space="preserve">     momento[293], y iii) no serían congruentes con la prueba  recabada  con</w:t>
        <w:br/>
        <w:t xml:space="preserve">     respecto a  la  posición  de  las  víctimas  al  momento  del  supuesto</w:t>
        <w:br/>
        <w:t xml:space="preserve">     lanzamiento (infra nota 294).</w:t>
        <w:br/>
        <w:br/>
        <w:br/>
        <w:t>203. En relación con ese aspecto, el Tribunal reitera que  las  conclusiones</w:t>
        <w:br/>
        <w:t xml:space="preserve">     de la Fiscalía fueron confirmadas por el Juzgado  12  Penal  y  por  el</w:t>
        <w:br/>
        <w:t xml:space="preserve">     Tribunal Superior del Distrito  Judicial  de  Bogotá,  y  no  encuentra</w:t>
        <w:br/>
        <w:t xml:space="preserve">     motivos para desviarse de lo decidido a nivel interno en  relación  con</w:t>
        <w:br/>
        <w:t xml:space="preserve">     este punto. Por tanto,  la  Corte  no  encuentra  que  existan  méritos</w:t>
        <w:br/>
        <w:t xml:space="preserve">     suficientes para considerar que las conclusiones de los peritajes de la</w:t>
        <w:br/>
        <w:t xml:space="preserve">     Fiscalía sean incongruentes con el resto de la prueba presentada en  el</w:t>
        <w:br/>
        <w:t xml:space="preserve">     presente caso[294].</w:t>
        <w:br/>
        <w:br/>
        <w:br/>
        <w:t>204. El Estado también presentó como  prueba  para  sustentar  que  no  hubo</w:t>
        <w:br/>
        <w:t xml:space="preserve">     explosión de un dispositivo cluster, las imágenes del video  Skymaster,</w:t>
        <w:br/>
        <w:t xml:space="preserve">     que enfoca al caserío en momentos  posteriores  al  lanzamiento  a  las</w:t>
        <w:br/>
        <w:t xml:space="preserve">     10:08  am  (aproximadamente  6  minutos  luego  del   lanzamiento   del</w:t>
        <w:br/>
        <w:t xml:space="preserve">     dispositivo AN-M1A2), en las cuales no se verían rastros  de  víctimas,</w:t>
        <w:br/>
        <w:t xml:space="preserve">     cuerpos, cráteres o sangre en las imágenes[295].</w:t>
        <w:br/>
        <w:br/>
        <w:br/>
        <w:t>205. En relación con lo anterior, la Corte observa que  si  bien  es  cierto</w:t>
        <w:br/>
        <w:t xml:space="preserve">     que en las imágenes del caserío filmado a las 10:08 am no  se  observan</w:t>
        <w:br/>
        <w:t xml:space="preserve">     claramente los elementos señalados por el Estado,  también  es  posible</w:t>
        <w:br/>
        <w:t xml:space="preserve">     constatar lo siguiente: i) en el mapa presentado por el Estado con base</w:t>
        <w:br/>
        <w:t xml:space="preserve">     en el croquis de la Fiscalía, en el cual se representa el emplazamiento</w:t>
        <w:br/>
        <w:t xml:space="preserve">     de 24 de las víctimas (muertas  y  heridas)  al  momento  del  supuesto</w:t>
        <w:br/>
        <w:t xml:space="preserve">     impacto de las 6  bombas  de  fragmentación  AN-M41A1[296],  únicamente</w:t>
        <w:br/>
        <w:t xml:space="preserve">     aparecen siete personas ubicadas en áreas que no están cubiertas por el</w:t>
        <w:br/>
        <w:t xml:space="preserve">     techo de las casas, por lo que la observación de las demás víctimas  en</w:t>
        <w:br/>
        <w:t xml:space="preserve">     la imagen del  Skymaster  resultaría  imposible;  ii)  algunas  de  las</w:t>
        <w:br/>
        <w:t xml:space="preserve">     personas heridas afirman haberse quedado dentro de las casas  luego  de</w:t>
        <w:br/>
        <w:t xml:space="preserve">     la caída presunta del dispositivo cluster[297], por lo que la mismas no</w:t>
        <w:br/>
        <w:t xml:space="preserve">     podrían haber sido filmadas por el Skymaster; iii) el plano  presentado</w:t>
        <w:br/>
        <w:t xml:space="preserve">     por el Estado también muestra que algunas de las  víctimas  se  habrían</w:t>
        <w:br/>
        <w:t xml:space="preserve">     encontrado cerca de árboles o de vegetación[298],  posición  que  haría</w:t>
        <w:br/>
        <w:t xml:space="preserve">     difícil su visualización por la filmación aérea; iv)  algunas  víctimas</w:t>
        <w:br/>
        <w:t xml:space="preserve">     heridas o fallecidas fueron transportadas al interior de las casas o  a</w:t>
        <w:br/>
        <w:t xml:space="preserve">     otros lugares[299], y v) las imágenes del Skymaster, particularmente en</w:t>
        <w:br/>
        <w:t xml:space="preserve">     ese momento de la filmación, son poco precisas y no permiten determinar</w:t>
        <w:br/>
        <w:t xml:space="preserve">     con detalles si pueden haber o no cráteres.</w:t>
        <w:br/>
        <w:br/>
        <w:br/>
        <w:t>206. Por otro lado, en lo que se refiere a  la  versión  presentada  por  el</w:t>
        <w:br/>
        <w:t xml:space="preserve">     Estado, al igual que lo hiciera el  Juzgado  12  Penal  y  el  Tribunal</w:t>
        <w:br/>
        <w:t xml:space="preserve">     Superior Distrito judicial de Bogotá, este Tribunal  constata  que  los</w:t>
        <w:br/>
        <w:t xml:space="preserve">     testimonios de los  integrantes  de  la  Fuerza  Aérea  Colombiana  son</w:t>
        <w:br/>
        <w:t xml:space="preserve">     inconsistentes en cuanto al lugar donde  habría  caído  el  dispositivo</w:t>
        <w:br/>
        <w:t xml:space="preserve">     cluster[300]. Mientras que algunos sostenían en un inicio que no  había</w:t>
        <w:br/>
        <w:t xml:space="preserve">     sido lanzado ningún dispositivo cluster, en otras versiones se dice que</w:t>
        <w:br/>
        <w:t xml:space="preserve">     “la bomba cluster fue enviada a tierra a 5 km, 4 km, 2 km,  1  km,  600</w:t>
        <w:br/>
        <w:t xml:space="preserve">     mts o 500 mts  al  norte  del  caserío”[301].  Se  destaca  también  la</w:t>
        <w:br/>
        <w:t xml:space="preserve">     declaración del Capitán S.A.C.E., quien el  13  de  diciembre  de  1998</w:t>
        <w:br/>
        <w:t xml:space="preserve">     estaba a cargo de la compañía Dragón que se  desplazaba  a  pie  y  que</w:t>
        <w:br/>
        <w:t xml:space="preserve">     manifestó que él no percibió la explosión de una bomba  cluster  en  la</w:t>
        <w:br/>
        <w:t xml:space="preserve">     mata de monte[302]. Por el contrario, los testimonios de los pobladores</w:t>
        <w:br/>
        <w:t xml:space="preserve">     de Santo Domingo son todos consistentes en el otro sentido[303].</w:t>
        <w:br/>
        <w:br/>
        <w:br/>
        <w:t>207. Respecto de la hipótesis sostenida por el Estado, en cuanto a  que  fue</w:t>
        <w:br/>
        <w:t xml:space="preserve">     un artefacto de fabricación casera colocado en un camión  rojo  el  que</w:t>
        <w:br/>
        <w:t xml:space="preserve">     habría explotado y causado las muertes y heridas de  las  víctimas,  la</w:t>
        <w:br/>
        <w:t xml:space="preserve">     Corte observa que  el  Estado  no  precisó  a  qué  hora  podría  haber</w:t>
        <w:br/>
        <w:t xml:space="preserve">     explotado. Al respecto, la prueba que aporta el Estado muestra que  aún</w:t>
        <w:br/>
        <w:t xml:space="preserve">     faltando unos minutos para las 10 de la mañana del día 13 de diciembre,</w:t>
        <w:br/>
        <w:t xml:space="preserve">     la imagen del Skymaster enfoca el camión rojo y permite  verificar  que</w:t>
        <w:br/>
        <w:t xml:space="preserve">     el mismo estaría hasta ese momento intacto[304].</w:t>
        <w:br/>
        <w:br/>
        <w:br/>
        <w:t>208. Por otro lado, en las filmaciones de las 10:08:10 am y 10:17:22 am  del</w:t>
        <w:br/>
        <w:t xml:space="preserve">     pueblo, la parte delantera del referido camión aparece dañada,  lo  que</w:t>
        <w:br/>
        <w:t xml:space="preserve">     permite concluir que, de ser exacta la versión planteada por el Estado,</w:t>
        <w:br/>
        <w:t xml:space="preserve">     únicamente podría haber  explotado  la  supuesta  bomba  en  el  camión</w:t>
        <w:br/>
        <w:t xml:space="preserve">     prácticamente al mismo  momento  en  que  fue  lanzado  el  dispositivo</w:t>
        <w:br/>
        <w:t xml:space="preserve">     cluster, esto es, según fue constatado, a  las  10:02:09  (supra  párr.</w:t>
        <w:br/>
        <w:t xml:space="preserve">     198), hipótesis que, además de no ser alegada por el Estado, resultaría</w:t>
        <w:br/>
        <w:t xml:space="preserve">     en una casualidad de tal magnitud que sería improbable.  Tampoco  quedó</w:t>
        <w:br/>
        <w:t xml:space="preserve">     registrado en las filmaciones que  los  pilotos  hubiesen  advertido  o</w:t>
        <w:br/>
        <w:t xml:space="preserve">     visualizado una explosión  en  el  caserío  durante  ese  intervalo  de</w:t>
        <w:br/>
        <w:t xml:space="preserve">     tiempo, distinta a la registrada a las 10:02:09.</w:t>
        <w:br/>
        <w:br/>
        <w:br/>
        <w:t>209. Del mismo modo, como lo  señala  el  Juzgado  12  en  su  sentencia  de</w:t>
        <w:br/>
        <w:t xml:space="preserve">     primera instancia, si fuera cierta la hipótesis del  Estado  implicaría</w:t>
        <w:br/>
        <w:t xml:space="preserve">     necesariamente   que   todas   las   víctimas    habrían    presentando</w:t>
        <w:br/>
        <w:t xml:space="preserve">     conscientemente versiones de  los  hechos  que  no  corresponden  a  la</w:t>
        <w:br/>
        <w:t xml:space="preserve">     realidad, conclusión que no resultaría razonable[305]. Al respecto,  la</w:t>
        <w:br/>
        <w:t xml:space="preserve">     referida  sentencia  subrayó  que  eso  “riñe  con  las  reglas  de  la</w:t>
        <w:br/>
        <w:t xml:space="preserve">     experiencia”, puesto que ello equivale  a  “suponer  que  transcurridas</w:t>
        <w:br/>
        <w:t xml:space="preserve">     escasas horas de la muerte violenta de sus hijos, padres y hermanos, en</w:t>
        <w:br/>
        <w:t xml:space="preserve">     una modalidad excepcional como lo es la  explosión  de  una  bomba,  se</w:t>
        <w:br/>
        <w:t xml:space="preserve">     prestaran tantas personas para incriminar a una institución”[306].</w:t>
        <w:br/>
        <w:br/>
        <w:br/>
        <w:t>210.  Por  tanto,  la  Corte  concluye,   tomando   en   consideración   las</w:t>
        <w:br/>
        <w:t xml:space="preserve">     conclusiones de la sentencia del Juzgado 12 Penal,  confirmada  por  el</w:t>
        <w:br/>
        <w:t xml:space="preserve">     Tribunal Superior en su sentencia de  15  de  junio  de  2011,  que  el</w:t>
        <w:br/>
        <w:t xml:space="preserve">     dispositivo AN-M1A2 lanzado a las 10:02:09 de la mañana del día  13  de</w:t>
        <w:br/>
        <w:t xml:space="preserve">     diciembre de 1998 cayó efectivamente en la  calle  principal  de  Santo</w:t>
        <w:br/>
        <w:t xml:space="preserve">     Domingo, provocando la muerte  de  las  17  presuntas  víctimas  y  las</w:t>
        <w:br/>
        <w:t xml:space="preserve">     heridas de otras 27.</w:t>
        <w:br/>
        <w:br/>
        <w:br/>
        <w:t xml:space="preserve">                                      *</w:t>
        <w:br/>
        <w:br/>
        <w:br/>
        <w:t>211. Una vez establecido la ocurrencia de los hechos,  el  Tribunal  pasa  a</w:t>
        <w:br/>
        <w:t xml:space="preserve">     examinar la responsabilidad del Estado en las afectaciones a la vida  y</w:t>
        <w:br/>
        <w:t xml:space="preserve">     la integridad de las víctimas del  bombardeo.  Para  ello,  como  fuera</w:t>
        <w:br/>
        <w:t xml:space="preserve">     señalado (supra párr. 187), analizará los hechos del caso interpretando</w:t>
        <w:br/>
        <w:t xml:space="preserve">     las disposiciones de la Convención Americana a la luz de las  normas  y</w:t>
        <w:br/>
        <w:t xml:space="preserve">     principios pertinentes del derecho internacional humanitario, a  saber:</w:t>
        <w:br/>
        <w:t xml:space="preserve">     a) el principio de distinción; b) el principio de  proporcionalidad,  y</w:t>
        <w:br/>
        <w:t xml:space="preserve">     c) el principio de precaución.</w:t>
        <w:br/>
        <w:br/>
        <w:br/>
        <w:t xml:space="preserve">      a) El principio de distinción</w:t>
        <w:br/>
        <w:br/>
        <w:br/>
        <w:t>212. De acuerdo a lo establecido por el Derecho  Internacional  Humanitario,</w:t>
        <w:br/>
        <w:t xml:space="preserve">     el principio de distinción se refiere a una norma consuetudinaria  para</w:t>
        <w:br/>
        <w:t xml:space="preserve">     conflictos armados internacionales y no internacionales en la  cual  se</w:t>
        <w:br/>
        <w:t xml:space="preserve">     establece que “[l]as partes en conflicto  deberán  distinguir  en  todo</w:t>
        <w:br/>
        <w:t xml:space="preserve">     momento entre personas civiles y combatientes”, que “[l]os ataques sólo</w:t>
        <w:br/>
        <w:t xml:space="preserve">     podrán dirigirse contra combatientes” y que “[l]os civiles no deben ser</w:t>
        <w:br/>
        <w:t xml:space="preserve">     atacados”[307]. Además, son normas de Derecho Internacional Humanitario</w:t>
        <w:br/>
        <w:t xml:space="preserve">     consuetudinario las que disponen que “[l]as partes en conflicto deberán</w:t>
        <w:br/>
        <w:t xml:space="preserve">     hacer en todo momento la distinción entre bienes de  carácter  civil  y</w:t>
        <w:br/>
        <w:t xml:space="preserve">     objetivos militares”,  de  tal  forma  que  “los  ataques  sólo  podrán</w:t>
        <w:br/>
        <w:t xml:space="preserve">     dirigirse contra objetivos militares”,  mientras  que  “los  bienes  de</w:t>
        <w:br/>
        <w:t xml:space="preserve">     carácter civil no deben ser atacados”[308]. Del mismo modo, el  párrafo</w:t>
        <w:br/>
        <w:t xml:space="preserve">     2 del artículo 13 del Protocolo Adicional II a los Convenios de Ginebra</w:t>
        <w:br/>
        <w:t xml:space="preserve">     prohíbe que tanto las personas civiles como la población civil como tal</w:t>
        <w:br/>
        <w:t xml:space="preserve">     sean objeto de ataques[309]. La jurisprudencia  de  tribunales  penales</w:t>
        <w:br/>
        <w:t xml:space="preserve">     internacionales también se ha referido a este principio[310].</w:t>
        <w:br/>
        <w:br/>
        <w:br/>
        <w:t>213. En el presente caso la Corte dio  por  probado  que,  en  el  marco  de</w:t>
        <w:br/>
        <w:t xml:space="preserve">     enfrentamientos con la guerrilla FARC, el día 13 de diciembre  de  1998</w:t>
        <w:br/>
        <w:t xml:space="preserve">     la Fuerza Aérea Colombiana lanzó un dispositivo cluster  AN-M1A2  sobre</w:t>
        <w:br/>
        <w:t xml:space="preserve">     el caserío de Santo Domingo, causando la muerte y lesiones de  personas</w:t>
        <w:br/>
        <w:t xml:space="preserve">     civiles (supra párr. 210). La Corte toma nota  de  que  las  instancias</w:t>
        <w:br/>
        <w:t xml:space="preserve">     judiciales y administrativas internas han  considerado  que  el  Estado</w:t>
        <w:br/>
        <w:t xml:space="preserve">     incumplió el principio de distinción  en  la  conducción  del  referido</w:t>
        <w:br/>
        <w:t xml:space="preserve">     operativo aéreo.</w:t>
        <w:br/>
        <w:br/>
        <w:br/>
        <w:t xml:space="preserve">      b) El principio de proporcionalidad</w:t>
        <w:br/>
        <w:br/>
        <w:br/>
        <w:t>214. De acuerdo a lo establecido por el Derecho  Internacional  Humanitario,</w:t>
        <w:br/>
        <w:t xml:space="preserve">     el principio de proporcionalidad se refiere a una norma consuetudinaria</w:t>
        <w:br/>
        <w:t xml:space="preserve">     para conflictos armados internacionales y  no  internacionales,  en  la</w:t>
        <w:br/>
        <w:t xml:space="preserve">     cual se establece que “[q]ueda prohibido lanzar un ataque cuando sea de</w:t>
        <w:br/>
        <w:t xml:space="preserve">     prever que cause incidentalmente muertos y heridos entre  la  población</w:t>
        <w:br/>
        <w:t xml:space="preserve">     civil, daños a bienes  de  carácter  civil  o  ambas  cosas,  que  sean</w:t>
        <w:br/>
        <w:t xml:space="preserve">     excesivos en  relación  con  la  ventaja  militar  concreta  y  directa</w:t>
        <w:br/>
        <w:t xml:space="preserve">     prevista”[311]. El referido principio establece entonces una  limitante</w:t>
        <w:br/>
        <w:t xml:space="preserve">     a la finalidad de la guerra que prescribe que el uso de  la  fuerza  no</w:t>
        <w:br/>
        <w:t xml:space="preserve">     debe  ser  desproporcionado,  limitándolo  a  lo   indispensable   para</w:t>
        <w:br/>
        <w:t xml:space="preserve">     conseguir la ventaja militar perseguida[312].</w:t>
        <w:br/>
        <w:br/>
        <w:br/>
        <w:t>215. Sobre el particular, como ya fuera señalado,  si  bien  el  lanzamiento</w:t>
        <w:br/>
        <w:t xml:space="preserve">     del dispositivo cluster afectó directamente a la población del  caserío</w:t>
        <w:br/>
        <w:t xml:space="preserve">     de Santo Domingo, el objetivo militar más general de la operación aérea</w:t>
        <w:br/>
        <w:t xml:space="preserve">     habría sido la guerrilla presumiblemente ubicada en una mata  de  monte</w:t>
        <w:br/>
        <w:t xml:space="preserve">     cerca de Santo Domingo. En  esta  hipótesis,  la  ventaja  militar  que</w:t>
        <w:br/>
        <w:t xml:space="preserve">     esperaba obtener la Fuerza Aérea Colombiana era  socavar  la  capacidad</w:t>
        <w:br/>
        <w:t xml:space="preserve">     militar de los integrantes de la guerrilla ubicados en un  lugar  donde</w:t>
        <w:br/>
        <w:t xml:space="preserve">     presumiblemente no había  presencia  de  población  civil  que  pudiera</w:t>
        <w:br/>
        <w:t xml:space="preserve">     resultar afectada incidentalmente por el dispositivo cluster. Por ende,</w:t>
        <w:br/>
        <w:t xml:space="preserve">     el Tribunal considera que no corresponde  analizar  el  lanzamiento  de</w:t>
        <w:br/>
        <w:t xml:space="preserve">     dicho dispositivo a la luz del principio  de  proporcionalidad,  puesto</w:t>
        <w:br/>
        <w:t xml:space="preserve">     que un análisis  semejante  implicaría  determinar  si  los  muertos  y</w:t>
        <w:br/>
        <w:t xml:space="preserve">     heridos entre la población civil pueden ser  considerado  un  resultado</w:t>
        <w:br/>
        <w:t xml:space="preserve">     “excesivo” en relación  con  la  ventaja  militar  concreta  y  directa</w:t>
        <w:br/>
        <w:t xml:space="preserve">     esperada en caso de haberse impactado un objetivo militar, lo  cual  no</w:t>
        <w:br/>
        <w:t xml:space="preserve">     ocurrió en las circunstancias del caso.</w:t>
        <w:br/>
        <w:br/>
        <w:br/>
        <w:t xml:space="preserve">      c) El principio de precaución</w:t>
        <w:br/>
        <w:br/>
        <w:br/>
        <w:t>216. De acuerdo a lo establecido por el Derecho  Internacional  Humanitario,</w:t>
        <w:br/>
        <w:t xml:space="preserve">     el principio de precaución se refiere a una norma consuetudinaria  para</w:t>
        <w:br/>
        <w:t xml:space="preserve">     conflictos armados internacionales y no internacionales en la  cual  se</w:t>
        <w:br/>
        <w:t xml:space="preserve">     establece que “[l]as operaciones se realizarán con un cuidado constante</w:t>
        <w:br/>
        <w:t xml:space="preserve">     de preservar a la población civil, a las personas civiles y los  bienes</w:t>
        <w:br/>
        <w:t xml:space="preserve">     de  carácter  civil”,  y  que  “[s]e  tomarán  todas  las  precauciones</w:t>
        <w:br/>
        <w:t xml:space="preserve">     factibles para evitar o reducir en todo caso a un mínimo, el número  de</w:t>
        <w:br/>
        <w:t xml:space="preserve">     muertos y heridos entre la población civil, así como los daños a bienes</w:t>
        <w:br/>
        <w:t xml:space="preserve">     de carácter civil, que pudieran causar incidentalmente”[313]. Del mismo</w:t>
        <w:br/>
        <w:t xml:space="preserve">     modo, la norma 17 de Derecho Internacional Humanitario  Consuetudinario</w:t>
        <w:br/>
        <w:t xml:space="preserve">     dispone  que  “[l]as  partes  en  conflicto  deberán  tomar  todas  las</w:t>
        <w:br/>
        <w:t xml:space="preserve">     precauciones factibles en la elección de los medios y métodos de guerra</w:t>
        <w:br/>
        <w:t xml:space="preserve">     para evitar, o reducir en todo caso a un mínimo, el número de muertos y</w:t>
        <w:br/>
        <w:t xml:space="preserve">     de heridos entre la población civil, así como los daños a los bienes de</w:t>
        <w:br/>
        <w:t xml:space="preserve">     carácter civil, que pudieran causar incidentalmente”,  y  la  norma  18</w:t>
        <w:br/>
        <w:t xml:space="preserve">     señala que “las partes en conflicto  deberán  hacer  todo  lo  que  sea</w:t>
        <w:br/>
        <w:t xml:space="preserve">     factible para evaluar si el ataque causará  incidentalmente  muertos  o</w:t>
        <w:br/>
        <w:t xml:space="preserve">     heridos entre la población civil, daños a bienes de  carácter  civil  o</w:t>
        <w:br/>
        <w:t xml:space="preserve">     ambas cosas, que sean excesivos en  relación  con  la  ventaja  militar</w:t>
        <w:br/>
        <w:t xml:space="preserve">     concreta y directa prevista”[314].</w:t>
        <w:br/>
        <w:br/>
        <w:br/>
        <w:t>217. Con base en la prueba que obra en el expediente la  Corte  observa,  en</w:t>
        <w:br/>
        <w:t xml:space="preserve">     primer lugar, tal como lo hiciera notar la  sentencia  del  Juzgado  12</w:t>
        <w:br/>
        <w:t xml:space="preserve">     Penal del Circuito de Bogotá[315], y tal  como  surge  de  las  pruebas</w:t>
        <w:br/>
        <w:t xml:space="preserve">     balísticas realizadas en Apiay (supra párr. 63), que el dispositivo AN-</w:t>
        <w:br/>
        <w:t xml:space="preserve">     M1A2, desarrollado en la década de 1940[316] es un arma  imprecisa[317]</w:t>
        <w:br/>
        <w:t xml:space="preserve">     con un mecanismo de lanzamiento operado manualmente por  medio  de  una</w:t>
        <w:br/>
        <w:t xml:space="preserve">     cuerda que se jala cuando el piloto  da  la  orden[318].  Además,  cabe</w:t>
        <w:br/>
        <w:t xml:space="preserve">     recordar que el dispositivo está compuesto por seis bombas (supra párr.</w:t>
        <w:br/>
        <w:t xml:space="preserve">     63) que se desprenden del cluster al momento del lanzamiento[319] y que</w:t>
        <w:br/>
        <w:t xml:space="preserve">     este tipo de artefacto cae por efecto de la gravedad[320]. Al respecto,</w:t>
        <w:br/>
        <w:t xml:space="preserve">     como se ha podido comprobar en la diligencia de Apiay (supra párr. 63),</w:t>
        <w:br/>
        <w:t xml:space="preserve">     pueden haber diferencias de varias decenas de metros entre  los  puntos</w:t>
        <w:br/>
        <w:t xml:space="preserve">     de impacto de cada una de las bombas AN-M41A1 que lo componen[321].  En</w:t>
        <w:br/>
        <w:t xml:space="preserve">     ese mismo sentido, la Corte no puede dejar de advertir que el  dictamen</w:t>
        <w:br/>
        <w:t xml:space="preserve">     técnico sobre la referida diligencia precisa que al momento de efectuar</w:t>
        <w:br/>
        <w:t xml:space="preserve">     las pruebas balísticas con dispositivos AN-M1A2  se  había  ubicado  un</w:t>
        <w:br/>
        <w:t xml:space="preserve">     punto “para una observación segura” a 250 metros del punto  de  impacto</w:t>
        <w:br/>
        <w:t xml:space="preserve">     previsto de las bombas[322].</w:t>
        <w:br/>
        <w:br/>
        <w:br/>
        <w:t>218. Sobre la imprecisión del arma utilizada cabe también agregar que,  como</w:t>
        <w:br/>
        <w:t xml:space="preserve">     observara el Juzgado Penal 12 en su sentencia de primera instancia,  no</w:t>
        <w:br/>
        <w:t xml:space="preserve">     existe  certeza  de  que  el  técnico  encargado  del  lanzamiento  del</w:t>
        <w:br/>
        <w:t xml:space="preserve">     dispositivo tuviera contacto visual con el caserío antes de activar  el</w:t>
        <w:br/>
        <w:t xml:space="preserve">     dispositivo que liberó la cluster, e incluso, las  evidencias  permiten</w:t>
        <w:br/>
        <w:t xml:space="preserve">     presumir lo  contrario[323].  En  efecto,  según  se  desprende  de  la</w:t>
        <w:br/>
        <w:t xml:space="preserve">     sentencia, la posición que el técnico  requería  para  cumplir  con  su</w:t>
        <w:br/>
        <w:t xml:space="preserve">     función le hacía imposible, atendiendo su ubicación en la cabina de  la</w:t>
        <w:br/>
        <w:t xml:space="preserve">     aeronave, poder visualizar  el  objetivo  señalado,  a  diferencia  del</w:t>
        <w:br/>
        <w:t xml:space="preserve">     piloto y el copiloto, quienes podían avistar la zona.  Lo  anterior  le</w:t>
        <w:br/>
        <w:t xml:space="preserve">     permitió al Juzgado 12 Penal concluir que el técnico de la aeronave que</w:t>
        <w:br/>
        <w:t xml:space="preserve">     procedió  al  lanzamiento   no   visibilizó   el   poblado   antes   de</w:t>
        <w:br/>
        <w:t xml:space="preserve">     efectuarlo[324].</w:t>
        <w:br/>
        <w:br/>
        <w:br/>
        <w:t>219. Del mismo modo, cabe recordar, como lo hiciera la sentencia de  primera</w:t>
        <w:br/>
        <w:t xml:space="preserve">     instancia del Juzgado 12 Penal del Circuito de  Bogotá,  que  el  mismo</w:t>
        <w:br/>
        <w:t xml:space="preserve">     comandante de la base de Apiay señaló, refiriéndose a un dispositivo AN-</w:t>
        <w:br/>
        <w:t xml:space="preserve">     M1A2, que “cada bomba de racimo […] puede generar un  rango  de  acción</w:t>
        <w:br/>
        <w:t xml:space="preserve">     teórica de  150  metros  dependiendo  de  la  dispersión”  y  que  “por</w:t>
        <w:br/>
        <w:t xml:space="preserve">     encontrarse ubicado muy cerca de la carretera y  zona  residencial,  no</w:t>
        <w:br/>
        <w:t xml:space="preserve">     ofrece la seguridad necesaria para ese tipo de pruebas”, explicando así</w:t>
        <w:br/>
        <w:t xml:space="preserve">     por qué motivo la diligencia balística prevista para el año 2000 no fue</w:t>
        <w:br/>
        <w:t xml:space="preserve">     realizada[325].</w:t>
        <w:br/>
        <w:br/>
        <w:br/>
        <w:t>220. Adicionalmente, el Tribunal nota que el Juzgado 12 Penal se  refirió  a</w:t>
        <w:br/>
        <w:t xml:space="preserve">     los manuales y reglamentos de la Fuerza Aérea Colombiana vigentes al 13</w:t>
        <w:br/>
        <w:t xml:space="preserve">     de diciembre de 1998 que “eran de […] obligatorio […] conocimiento”  de</w:t>
        <w:br/>
        <w:t xml:space="preserve">     los pilotos de las aeronaves[326].  En  particular,  se  refirió  a  la</w:t>
        <w:br/>
        <w:t xml:space="preserve">     normatividad  que  reglamentó  los  apoyos  aéreos  así  como   a   los</w:t>
        <w:br/>
        <w:t xml:space="preserve">     lanzamientos de  cohetes  de  precisión  (misiones  “alpha”)  y  a  las</w:t>
        <w:br/>
        <w:t xml:space="preserve">     misiones de bombardeo (misiones “betas”). Sobre las  misiones  “alpha”,</w:t>
        <w:br/>
        <w:t xml:space="preserve">     el Juzgado 12 Penal constató que las  normas  reglamentarias  disponían</w:t>
        <w:br/>
        <w:t xml:space="preserve">     que las mismas “se utilizan como arma contra objetivos específicos  [y]</w:t>
        <w:br/>
        <w:t xml:space="preserve">     a pesar de ser una arma de gran precisión, su uso no es conveniente  en</w:t>
        <w:br/>
        <w:t xml:space="preserve">     áreas pobladas”. En cuanto  a  las  misiones  “beta”,  la  normatividad</w:t>
        <w:br/>
        <w:t xml:space="preserve">     señalaba que las mismas “no deben realizarse  sobre  caseríos  o  zonas</w:t>
        <w:br/>
        <w:t xml:space="preserve">     donde exista  población  civil”[327].  Del  mismo  modo,  la  Directiva</w:t>
        <w:br/>
        <w:t xml:space="preserve">     Permanente NR 300 – 05 de 1996 establecía que el “Oficial de la  Fuerza</w:t>
        <w:br/>
        <w:t xml:space="preserve">     Aérea que comanda la misión de apoyo aerotáctico, podrá suspenderla  si</w:t>
        <w:br/>
        <w:t xml:space="preserve">     evidencia que esta misión puede ocasionar daños a la población civil  o</w:t>
        <w:br/>
        <w:t xml:space="preserve">     que el objetivo está ubicado en  área  poblada"[328].  Por  último,  el</w:t>
        <w:br/>
        <w:t xml:space="preserve">     mismo documento NR 16854/CGFM - EMCD3 - PO - 375  de  8  de  agosto  de</w:t>
        <w:br/>
        <w:t xml:space="preserve">     1998, suscrito por el Comandante  General  de  las  Fuerzas  Militares,</w:t>
        <w:br/>
        <w:t xml:space="preserve">     estableció que “los pilotos de misiones  Alfa  (ametrallamiento),  Beta</w:t>
        <w:br/>
        <w:t xml:space="preserve">     (bombardeo), Charlie (cohetes) […], deberán tener contacto por radio  y</w:t>
        <w:br/>
        <w:t xml:space="preserve">     recibir instrucciones claras, basadas en el uso de referencias  fáciles</w:t>
        <w:br/>
        <w:t xml:space="preserve">     de identificar para facilitar el cumplimiento de la misión”[329].</w:t>
        <w:br/>
        <w:br/>
        <w:br/>
        <w:t>221.  Asimismo,  es  relevante  constatar,  como  lo  hiciera  el   Tribunal</w:t>
        <w:br/>
        <w:t xml:space="preserve">     Superior, que la utilización de armamento explosivo arrojado desde  una</w:t>
        <w:br/>
        <w:t xml:space="preserve">     aeronave constituye una actividad que se cataloga  necesariamente  como</w:t>
        <w:br/>
        <w:t xml:space="preserve">     peligrosa, y que  por  tal  razón  debe  desarrollarse  bajo  estrictas</w:t>
        <w:br/>
        <w:t xml:space="preserve">     condiciones de seguridad que garanticen que solamente se  causará  daño</w:t>
        <w:br/>
        <w:t xml:space="preserve">     al objetivo seleccionado[330].</w:t>
        <w:br/>
        <w:br/>
        <w:br/>
        <w:t>222. Por otro lado, de acuerdo a la prueba presentada,  podría  considerarse</w:t>
        <w:br/>
        <w:t xml:space="preserve">     que el objetivo designado para lanzar el dispositivo cluster no fue  el</w:t>
        <w:br/>
        <w:t xml:space="preserve">     lugar donde terminó cayendo efectivamente. En efecto, el  Estado  alegó</w:t>
        <w:br/>
        <w:t xml:space="preserve">     que la bomba estaba destinada a una mata de monte a 500 metros al norte</w:t>
        <w:br/>
        <w:t xml:space="preserve">     del caserío. Sin embargo, también es cierto que la  referencia  que  el</w:t>
        <w:br/>
        <w:t xml:space="preserve">     piloto de la aeronave “Cazador” le da a la aeronave “Lechuza” (aeronave</w:t>
        <w:br/>
        <w:t xml:space="preserve">     que efectuó el lanzamiento) no se  refiere  a  una  distancia  precisa,</w:t>
        <w:br/>
        <w:t xml:space="preserve">     únicamente se señala una “mata de monte” que está “pegadita” al pueblo,</w:t>
        <w:br/>
        <w:t xml:space="preserve">     del lado derecho (al norte) y precisando que deseaban  el  “racimo”  al</w:t>
        <w:br/>
        <w:t xml:space="preserve">     oeste en esa “mata de monte” (supra párr. 197). Además, como también lo</w:t>
        <w:br/>
        <w:t xml:space="preserve">     constató el Juzgado 12 Penal, unos minutos antes  del  lanzamiento  los</w:t>
        <w:br/>
        <w:t xml:space="preserve">     pilotos de las aeronaves señalaron que la  “mata  de  monte”  que  está</w:t>
        <w:br/>
        <w:t xml:space="preserve">     pegada al pueblo comenzaría a unos 70 metros[331]. El mismo Estado,  en</w:t>
        <w:br/>
        <w:t xml:space="preserve">     su escrito de contestación se contradice en relación con la distancia a</w:t>
        <w:br/>
        <w:t xml:space="preserve">     la cual se encontraría el  objetivo  militar  seleccionado  puesto  que</w:t>
        <w:br/>
        <w:t xml:space="preserve">     señala que “las acciones militares fueron dirigidas […] contra  […]  la</w:t>
        <w:br/>
        <w:t xml:space="preserve">     ‘mata de monte’ ubicada a 100 metros de Santo Domingo  desde  el  punto</w:t>
        <w:br/>
        <w:t xml:space="preserve">     más cercano y a un kilometro desde el más lejano”[332].</w:t>
        <w:br/>
        <w:br/>
        <w:br/>
        <w:t>223. Lo  anterior  permite  a  la  Corte  concluir  que  la  instrucción  de</w:t>
        <w:br/>
        <w:t xml:space="preserve">     lanzamiento fue imprecisa y, si bien  la  misma  indicó  una  “mata  de</w:t>
        <w:br/>
        <w:t xml:space="preserve">     monte”, únicamente se indicó que se deseaba “el racimo” al oeste de  la</w:t>
        <w:br/>
        <w:t xml:space="preserve">     misma, sin precisar  a  qué  distancia  del  caserío,  por  lo  que  la</w:t>
        <w:br/>
        <w:t xml:space="preserve">     instrucción podría haber sido interpretada como que  estaba  designando</w:t>
        <w:br/>
        <w:t xml:space="preserve">     tanto un punto a 500 metros como a  otra  distancia  más  cercana,  que</w:t>
        <w:br/>
        <w:t xml:space="preserve">     podría ser incluso a 70 metros. Por último, es  relevante  reiterar  lo</w:t>
        <w:br/>
        <w:t xml:space="preserve">     observado por el Tribunal Superior de Bogotá que retomó la  declaración</w:t>
        <w:br/>
        <w:t xml:space="preserve">     del Capitán S.A.C.E., en la cual enfatizó que si se hubiese lanzado  el</w:t>
        <w:br/>
        <w:t xml:space="preserve">     cluster en el punto señalado por el Estado (a 500 metros al  norte  del</w:t>
        <w:br/>
        <w:t xml:space="preserve">     caserío), “habría sido catastrófico para sus hombres que se encontraban</w:t>
        <w:br/>
        <w:t xml:space="preserve">     allí”[333].</w:t>
        <w:br/>
        <w:br/>
        <w:br/>
        <w:t>224. En cuanto a las demás circunstancias que rodearon los hechos del 13  de</w:t>
        <w:br/>
        <w:t xml:space="preserve">     diciembre de 1998, el Tribunal considera relevante mencionar que,  unos</w:t>
        <w:br/>
        <w:t xml:space="preserve">     minutos antes del lanzamiento del dispositivo cluster, la Fuerza  Aérea</w:t>
        <w:br/>
        <w:t xml:space="preserve">     Colombiana ya habría cometido un error enviando un cohete de  precisión</w:t>
        <w:br/>
        <w:t xml:space="preserve">     al  malinterpretar  las  consignas  recibidas.  Al   respecto   resulta</w:t>
        <w:br/>
        <w:t xml:space="preserve">     ilustrativa la conversación grabada entre las 09:43 y 09:44 am  por  el</w:t>
        <w:br/>
        <w:t xml:space="preserve">     Skymaster y citada por la sentencia del Juzgado 12  Penal,  por  cuanto</w:t>
        <w:br/>
        <w:t xml:space="preserve">     demuestra “el ímpetu de la operación  aérea  que  crecía”[334]  en  los</w:t>
        <w:br/>
        <w:t xml:space="preserve">     instantes previos al lanzamiento del dispositivo cluster:</w:t>
        <w:br/>
        <w:br/>
        <w:br/>
        <w:t xml:space="preserve">    "no le dé ahí, no le dé ahí, no le dé ahí, no le dé ahí, no le  dé  ahí</w:t>
        <w:br/>
        <w:t xml:space="preserve">    Cazador, no le dé ahí […]. ¿A las  tropas?  ¿Está  disparándole  a  las</w:t>
        <w:br/>
        <w:t xml:space="preserve">    tropas? Eso es lo que está haciendo, está  disparándole  a  las  tropas</w:t>
        <w:br/>
        <w:t xml:space="preserve">    [...] Cazador, Cazador - Dragón. Siga hermano, usted le dio a  toda  la</w:t>
        <w:br/>
        <w:t xml:space="preserve">    carretera y le dije que le diera más hacia  el  whisky  [Oeste]  de  la</w:t>
        <w:br/>
        <w:t xml:space="preserve">    carretera, a la mata de monte, hermano. Ah, jodió al soldado, ¿Cómo? Se</w:t>
        <w:br/>
        <w:t xml:space="preserve">    jodió al soldado! […] Gran pendejo [...] Cazador le dio  exactamente  a</w:t>
        <w:br/>
        <w:t xml:space="preserve">    toda la carretera, toda la tropa está ubicada en la  carretera  […]  le</w:t>
        <w:br/>
        <w:t xml:space="preserve">    dije al cretino ese que le diera al whisky [Oeste] y le dio en toda  la</w:t>
        <w:br/>
        <w:t xml:space="preserve">    carretera”[335].</w:t>
        <w:br/>
        <w:br/>
        <w:t>225. El  Juzgado  12  Penal  también  señaló  en  su  sentencia  de  primera</w:t>
        <w:br/>
        <w:t xml:space="preserve">     instancia  que  segundos  antes  del  lanzamiento  del  dispositivo  la</w:t>
        <w:br/>
        <w:t xml:space="preserve">     “intensidad del combate [era] evidente como se colige de  la  velocidad</w:t>
        <w:br/>
        <w:t xml:space="preserve">     de la conversación y las palabras nerviosas de quienes hablan, al punto</w:t>
        <w:br/>
        <w:t xml:space="preserve">     que a las 10:01:39 a.m., segundos antes de la  entrega,  el  tripulante</w:t>
        <w:br/>
        <w:t xml:space="preserve">     puertorriqueño del Skymaster advierte a C.G. que hay muchas  aeronaves,</w:t>
        <w:br/>
        <w:t xml:space="preserve">     sugiriendo que es necesario ponerles control”[336].</w:t>
        <w:br/>
        <w:br/>
        <w:br/>
        <w:t>226. Por último, el Tribunal Superior de Bogotá se refirió en  su  sentencia</w:t>
        <w:br/>
        <w:t xml:space="preserve">     de segunda instancia a  la  declaración  del  Capitán  S.A.C.E.,  quien</w:t>
        <w:br/>
        <w:t xml:space="preserve">     manifestó que “[no requirió el apoyo aéreo] porque las  condiciones  de</w:t>
        <w:br/>
        <w:t xml:space="preserve">     la vegetación no  lo  permitían”[337].  Eso  permite  concluir  que  la</w:t>
        <w:br/>
        <w:t xml:space="preserve">     aeronave que  lanzó  el  dispositivo  cluster  no  tuvo  la  precaución</w:t>
        <w:br/>
        <w:t xml:space="preserve">     necesaria de averiguar con la tropa de tierra si la bomba era necesaria</w:t>
        <w:br/>
        <w:t xml:space="preserve">     para lograr la eventual afectación de un objetivo militar.</w:t>
        <w:br/>
        <w:br/>
        <w:br/>
        <w:t>227. Por tanto, de acuerdo con todo lo anterior la Corte  constata  que:  i)</w:t>
        <w:br/>
        <w:t xml:space="preserve">     el dispositivo AN-M1A2 utilizado es un arma con precisión limitada; ii)</w:t>
        <w:br/>
        <w:t xml:space="preserve">     la instrucción del lanzamiento del dispositivo tampoco fue precisa,  al</w:t>
        <w:br/>
        <w:t xml:space="preserve">     haberse designado un área de  lanzamiento  que  podía  referirse  a  un</w:t>
        <w:br/>
        <w:t xml:space="preserve">     objetivo que no queda claro si estaba definido, pues podía ir desde los</w:t>
        <w:br/>
        <w:t xml:space="preserve">     70 metros de distancia de Santo Domingo hasta 500 metros más al  norte;</w:t>
        <w:br/>
        <w:t xml:space="preserve">     iii) existían manuales y reglamentos vigentes  para  la  época  de  los</w:t>
        <w:br/>
        <w:t xml:space="preserve">     hechos que indicaban que el tipo de arma como la que fue  utilizada  no</w:t>
        <w:br/>
        <w:t xml:space="preserve">     podía ser utilizada en zonas pobladas o cerca de caseríos con población</w:t>
        <w:br/>
        <w:t xml:space="preserve">     civil; iv) las circunstancias que rodearon los hechos demuestran que ya</w:t>
        <w:br/>
        <w:t xml:space="preserve">     se habían cometido errores con armas más precisas  que  el  dispositivo</w:t>
        <w:br/>
        <w:t xml:space="preserve">     cluster unos minutos antes de las 10:02 de la mañana; v) está  en  duda</w:t>
        <w:br/>
        <w:t xml:space="preserve">     la necesidad de utilizar ese tipo de arma en  los  enfrentamientos  que</w:t>
        <w:br/>
        <w:t xml:space="preserve">     tuvieron lugar el día 13 de diciembre de  1998,  y  vi)  unos  segundos</w:t>
        <w:br/>
        <w:t xml:space="preserve">     antes del lanzamiento, uno de los  pilotos  del  Skymaster  sugirió  la</w:t>
        <w:br/>
        <w:t xml:space="preserve">     necesidad de poner orden con las aeronaves, denotando  un  desorden  de</w:t>
        <w:br/>
        <w:t xml:space="preserve">     las operaciones aéreas para ese momento preciso.</w:t>
        <w:br/>
        <w:br/>
        <w:br/>
        <w:t>228. Además de lo  anterior,  cabe  resaltar  que  no  surge  de  la  prueba</w:t>
        <w:br/>
        <w:t xml:space="preserve">     aportada ni de los diálogos entre los pilotos de las aeronaves  que  se</w:t>
        <w:br/>
        <w:t xml:space="preserve">     tomara en cuenta, en algún momento de las operaciones, el hecho de  que</w:t>
        <w:br/>
        <w:t xml:space="preserve">     en las cercanías se encontraba un caserío poblado por civiles,  ni  que</w:t>
        <w:br/>
        <w:t xml:space="preserve">     se manifestara la necesidad de tener algún tipo de recaudo o precaución</w:t>
        <w:br/>
        <w:t xml:space="preserve">     al tiempo de lanzar dispositivos cluster u otros  cohetes  en  relación</w:t>
        <w:br/>
        <w:t xml:space="preserve">     con la seguridad de la población civil. Por el  contrario,  las  únicas</w:t>
        <w:br/>
        <w:t xml:space="preserve">     inquietudes manifestadas por los pilotos de las  aeronaves  fueron  con</w:t>
        <w:br/>
        <w:t xml:space="preserve">     respecto  a  las  tropas  que  se  encontraban  en  las  cercanías  del</w:t>
        <w:br/>
        <w:t xml:space="preserve">     puente[338].</w:t>
        <w:br/>
        <w:br/>
        <w:br/>
        <w:t>229. En cualquier caso, dada la capacidad letal y la precisión limitada  del</w:t>
        <w:br/>
        <w:t xml:space="preserve">     dispositivo utilizado, el lanzamiento del mismo en el casco urbano  del</w:t>
        <w:br/>
        <w:t xml:space="preserve">     caserío de Santo Domingo o cerca de ahí, es contrario al  principio  de</w:t>
        <w:br/>
        <w:t xml:space="preserve">     precaución.</w:t>
        <w:br/>
        <w:br/>
        <w:br/>
        <w:t xml:space="preserve">                                      *</w:t>
        <w:br/>
        <w:br/>
        <w:br/>
        <w:t>230. Por todo lo  expresado,  este  Tribunal  determina  que  el  Estado  es</w:t>
        <w:br/>
        <w:t xml:space="preserve">     responsable por la violación del derecho a la vida,  reconocido  en  el</w:t>
        <w:br/>
        <w:t xml:space="preserve">     artículo 4.1 de la Convención, en relación  con  el  artículo  1.1  del</w:t>
        <w:br/>
        <w:t xml:space="preserve">     mismo instrumento, en  perjuicio  de  las  personas  fallecidas  en  el</w:t>
        <w:br/>
        <w:t xml:space="preserve">     caserío de Santo Domingo (supra párr. 70 y Cfr. Anexo I), así como  del</w:t>
        <w:br/>
        <w:t xml:space="preserve">     artículo 5.1 de la Convención, en relación con el artículo  1.1  de  la</w:t>
        <w:br/>
        <w:t xml:space="preserve">     misma, en perjuicio de las personas que resultaron heridas (supra párr.</w:t>
        <w:br/>
        <w:t xml:space="preserve">     70 y Cfr. anexo II).</w:t>
        <w:br/>
        <w:br/>
        <w:br/>
        <w:t xml:space="preserve">      B.3.  Los presuntos ametrallamientos</w:t>
        <w:br/>
        <w:br/>
        <w:br/>
        <w:t>231. En lo que se refiere  a  los  presuntos  ametrallamientos,  como  fuera</w:t>
        <w:br/>
        <w:t xml:space="preserve">     señalado anteriormente, existen dos versiones de  los  hechos.  Por  un</w:t>
        <w:br/>
        <w:t xml:space="preserve">     lado, el Estado señala que no hubo  tales  actos  contra  la  población</w:t>
        <w:br/>
        <w:t xml:space="preserve">     civil y, por el otro, la Comisión y los representantes se basan en  las</w:t>
        <w:br/>
        <w:t xml:space="preserve">     conclusiones del Juzgado 12 Penal  y  del  Tribunal  Superior  Distrito</w:t>
        <w:br/>
        <w:t xml:space="preserve">     judicial de Bogotá[339], en las conversaciones de los pilotos  grabadas</w:t>
        <w:br/>
        <w:t xml:space="preserve">     junto con las imágenes del Skymaster y en  los  testimonios  de  varios</w:t>
        <w:br/>
        <w:t xml:space="preserve">     pobladores de Santo Domingo.</w:t>
        <w:br/>
        <w:br/>
        <w:br/>
        <w:t>232. Según fue señalado (supra párrs. 71 y ss.), la Corte constata  que,  de</w:t>
        <w:br/>
        <w:t xml:space="preserve">     la prueba aportada y de lo alegado, se desprende que hay dos  versiones</w:t>
        <w:br/>
        <w:t xml:space="preserve">     de lo ocurrido. Así, el Estado alegó que la  Fuerza  Aérea  no  efectuó</w:t>
        <w:br/>
        <w:t xml:space="preserve">     ametrallamientos en contra de la población civil o sobre el caserío  de</w:t>
        <w:br/>
        <w:t xml:space="preserve">     Santo Domingo.  Sin  embargo,  varios  testimonios  de  pobladores  del</w:t>
        <w:br/>
        <w:t xml:space="preserve">     caserío de Santo Domingo son consistentes en afirmar que  luego  de  la</w:t>
        <w:br/>
        <w:t xml:space="preserve">     explosión del dispositivo cluster, la Fuerza Aérea Colombiana ametralló</w:t>
        <w:br/>
        <w:t xml:space="preserve">     desde las aeronaves en dirección de las personas que estaban huyendo de</w:t>
        <w:br/>
        <w:t xml:space="preserve">     Santo Domingo por  la  carretera  en  dirección  a  Tame.  Además,  los</w:t>
        <w:br/>
        <w:t xml:space="preserve">     testimonios son congruentes con los diálogos  de  los  pilotos  de  las</w:t>
        <w:br/>
        <w:t xml:space="preserve">     aeronaves que tuvieron lugar a partir de las 10:10:33 am en  referencia</w:t>
        <w:br/>
        <w:t xml:space="preserve">     a las personas que se estaban desplazando por la carretera y que fueron</w:t>
        <w:br/>
        <w:t xml:space="preserve">     grabados en el video del Skymaster, en el cual se dice:</w:t>
        <w:br/>
        <w:br/>
        <w:br/>
        <w:t xml:space="preserve">    Skymaster (10:10:33 am) “No, no, que no dispare coño que  son  civiles”</w:t>
        <w:br/>
        <w:t xml:space="preserve">    (10:10:59 am) ¿Es gente de civil?” “Si, esos  son  civiles”;  (10:11:02</w:t>
        <w:br/>
        <w:t xml:space="preserve">    am) “Jesucristo, está disparando sobre civiles […] que no le tire […]”,</w:t>
        <w:br/>
        <w:t xml:space="preserve">    (10:11:11 am) “This motherfucker shot civilian” [este hijo de  puta  le</w:t>
        <w:br/>
        <w:t xml:space="preserve">    disparó a los civiles], (10:11:32 am): “Que no le tire coño”; (10:11:57</w:t>
        <w:br/>
        <w:t xml:space="preserve">    am) Pero pueden ser civiles, ¿le va a disparar  a  civiles?;  (10:12:03</w:t>
        <w:br/>
        <w:t xml:space="preserve">    am) “tienes que hablarle al muchacho ese”; (10:12:04 am) Se ve gente en</w:t>
        <w:br/>
        <w:t xml:space="preserve">    la carretera, corriendo, vestidas de blanco; (10:17:04 am)  Es  que  se</w:t>
        <w:br/>
        <w:t xml:space="preserve">    están escapando, están ya casi llegando al corral. Creo que ese  es  el</w:t>
        <w:br/>
        <w:t xml:space="preserve">    pueblo  también,  que  son   los   civiles   también   que   se   están</w:t>
        <w:br/>
        <w:t xml:space="preserve">    escapando”[340].</w:t>
        <w:br/>
        <w:br/>
        <w:br/>
        <w:t>233.  Tales  testimonios  de  pobladores  de  Santo  Domingo   son   también</w:t>
        <w:br/>
        <w:t xml:space="preserve">     consistentes con las conclusiones a las cuales llegaron el  Juzgado  12</w:t>
        <w:br/>
        <w:t xml:space="preserve">     Penal y el Tribunal Superior de Bogotá (supra párrs. 109  y  113).  Por</w:t>
        <w:br/>
        <w:t xml:space="preserve">     otro lado, también surge de los  diálogos  entre  los  pilotos  de  las</w:t>
        <w:br/>
        <w:t xml:space="preserve">     aeronaves que los mismos expresaron sus dudas en cuanto a la  condición</w:t>
        <w:br/>
        <w:t xml:space="preserve">     de civil o guerrillero de  las  personas  que  se  desplazaban  por  la</w:t>
        <w:br/>
        <w:t xml:space="preserve">     carretera[341].</w:t>
        <w:br/>
        <w:br/>
        <w:br/>
        <w:t>234. En lo que se refiere al principio de distinción, la Corte recuerda  que</w:t>
        <w:br/>
        <w:t xml:space="preserve">     además de las normas de derecho internacional humanitario ya  señaladas</w:t>
        <w:br/>
        <w:t xml:space="preserve">     (supra párr. 212), también son conductas  prohibidas  por  ese  régimen</w:t>
        <w:br/>
        <w:t xml:space="preserve">     normativo las que constituyen ataques indiscriminados “en  los  que  se</w:t>
        <w:br/>
        <w:t xml:space="preserve">     emplean métodos o medios  de  combate  cuyos  efectos  no  sea  posible</w:t>
        <w:br/>
        <w:t xml:space="preserve">     limitar, como exige el derecho internacional humanitario […] y  que  en</w:t>
        <w:br/>
        <w:t xml:space="preserve">     consecuencia, pueden alcanzar indistintamente, […]  tanto  a  objetivos</w:t>
        <w:br/>
        <w:t xml:space="preserve">     militares  como  a  personas  civiles”[342].   Del   mismo   modo,   la</w:t>
        <w:br/>
        <w:t xml:space="preserve">     jurisprudencia del Tribunal Penal para la Ex  Yugoslavia  (en  adelante</w:t>
        <w:br/>
        <w:t xml:space="preserve">     también “TPIY”) ha señalado que “los ataques indiscriminados, es decir,</w:t>
        <w:br/>
        <w:t xml:space="preserve">     los ataques que  golpean  a  civiles  o  bienes  civiles,  y  objetivos</w:t>
        <w:br/>
        <w:t xml:space="preserve">     militares sin distinción, pueden calificar como ataques directos contra</w:t>
        <w:br/>
        <w:t xml:space="preserve">     civiles” y  que  los  mismos  “están  expresamente  prohibidos  por  el</w:t>
        <w:br/>
        <w:t xml:space="preserve">     Protocolo Adicional I [[343]] [siendo que esta] prohibición refleja una</w:t>
        <w:br/>
        <w:t xml:space="preserve">     regla bien establecida del derecho consuetudinario  aplicable  a  todos</w:t>
        <w:br/>
        <w:t xml:space="preserve">     los conflictos armados”[344].</w:t>
        <w:br/>
        <w:br/>
        <w:br/>
        <w:t>235. En el presente caso, la  Corte  constata  que,  según  aparece  en  las</w:t>
        <w:br/>
        <w:t xml:space="preserve">     grabaciones,  los  pilotos  de  las  aeronaves  manifestaron  dudas  en</w:t>
        <w:br/>
        <w:t xml:space="preserve">     relación con el carácter  civil  o  no  de  las  personas  que  estaban</w:t>
        <w:br/>
        <w:t xml:space="preserve">     observando desplazarse en las carreteras hacia Tame, a pesar de lo cual</w:t>
        <w:br/>
        <w:t xml:space="preserve">     hicieron uso de sus armas (en este caso ametralladoras), en  manifiesta</w:t>
        <w:br/>
        <w:t xml:space="preserve">     despreocupación  por  la  vida  e  integridad  de  esas  personas,   en</w:t>
        <w:br/>
        <w:t xml:space="preserve">     incumplimiento del principio de distinción (supra párr. 212). Por  otro</w:t>
        <w:br/>
        <w:t xml:space="preserve">     lado, aun en la hipótesis  de  que  pudiesen  encontrarse  guerrilleros</w:t>
        <w:br/>
        <w:t xml:space="preserve">     entre la población civil, la ventaja militar que se buscaba obtener  al</w:t>
        <w:br/>
        <w:t xml:space="preserve">     atacar a un eventual combatiente adverso mezclado con población  civil,</w:t>
        <w:br/>
        <w:t xml:space="preserve">     no habría sido de  tal  índole  que  pudieran  justificarse  eventuales</w:t>
        <w:br/>
        <w:t xml:space="preserve">     muertos o heridos civiles, por lo que, en esa hipótesis, esas  acciones</w:t>
        <w:br/>
        <w:t xml:space="preserve">     también habrían afectado el principio de proporcionalidad.</w:t>
        <w:br/>
        <w:br/>
        <w:br/>
        <w:t>236. Por último, la Corte constata que los mismos reglamentos y manuales  de</w:t>
        <w:br/>
        <w:t xml:space="preserve">     la Fuerza Aérea Colombiana vigentes al 13 de diciembre de  1998  (supra</w:t>
        <w:br/>
        <w:t xml:space="preserve">     párr. 220) establecían claramente que los  ametrallamientos  únicamente</w:t>
        <w:br/>
        <w:t xml:space="preserve">     pueden tener lugar “en respuesta a ataques o tomas subversivas,  cuando</w:t>
        <w:br/>
        <w:t xml:space="preserve">     se tiene la certeza de no afectar a la población civil [y]  por  ningún</w:t>
        <w:br/>
        <w:t xml:space="preserve">     motivo podrá efectuarse en áreas pobladas o perimétricas”[345], por  lo</w:t>
        <w:br/>
        <w:t xml:space="preserve">     que los ametrallamientos  también  incumplieron  con  el  principio  de</w:t>
        <w:br/>
        <w:t xml:space="preserve">     precaución.</w:t>
        <w:br/>
        <w:br/>
        <w:br/>
        <w:t>237. La Corte constata que  esos  actos  de  miembros  de  la  Fuerza  Aérea</w:t>
        <w:br/>
        <w:t xml:space="preserve">     implican un incumplimiento de la obligación de garantizar los  derechos</w:t>
        <w:br/>
        <w:t xml:space="preserve">     a la vida e integridad personal,  en  los  términos  de  la  Convención</w:t>
        <w:br/>
        <w:t xml:space="preserve">     Americana, de pobladores de Santo Domingo que se vieron  afectados  por</w:t>
        <w:br/>
        <w:t xml:space="preserve">     la puesta en riesgo de sus derechos por el solo  hecho  de  haber  sido</w:t>
        <w:br/>
        <w:t xml:space="preserve">     objeto de esos ataques indiscriminados, independientemente de que nadie</w:t>
        <w:br/>
        <w:t xml:space="preserve">     resultara muerto  o  herido.  Sin  embargo,  los  representantes  y  la</w:t>
        <w:br/>
        <w:t xml:space="preserve">     Comisión no individualizaron a quienes serían  las  víctimas  de  estos</w:t>
        <w:br/>
        <w:t xml:space="preserve">     graves hechos, por lo cual no corresponde que el  Tribunal  formule  un</w:t>
        <w:br/>
        <w:t xml:space="preserve">     pronunciamiento separado al respecto.</w:t>
        <w:br/>
        <w:br/>
        <w:br/>
        <w:t xml:space="preserve">      B.4.  La alegada violación de las medidas de protección a favor de las</w:t>
        <w:br/>
        <w:t xml:space="preserve">           niñas y niños</w:t>
        <w:br/>
        <w:br/>
        <w:br/>
        <w:t>238. La Corte ha afirmado reiteradamente que “tanto la Convención  Americana</w:t>
        <w:br/>
        <w:t xml:space="preserve">     como la Convención sobre los Derechos del Niño forman parte de  un  muy</w:t>
        <w:br/>
        <w:t xml:space="preserve">     comprensivo corpus juris internacional de protección de los  niños  que</w:t>
        <w:br/>
        <w:t xml:space="preserve">     debe  servir  […]  para  fijar  el  contenido  y  los  alcances  de  la</w:t>
        <w:br/>
        <w:t xml:space="preserve">     disposición general  definida  en  el  artículo  19  de  la  Convención</w:t>
        <w:br/>
        <w:t xml:space="preserve">     Americana”[346]. Aún más, en  el  contexto  de  conflictos  armados  no</w:t>
        <w:br/>
        <w:t xml:space="preserve">     internacionales, las obligaciones del Estado a favor de  los  niños  se</w:t>
        <w:br/>
        <w:t xml:space="preserve">     definen en el artículo 4.3 del Protocolo adicional II a  los  Convenios</w:t>
        <w:br/>
        <w:t xml:space="preserve">     de Ginebra, el cual dispone que: “[s]e proporcionarán a los  niños  los</w:t>
        <w:br/>
        <w:t xml:space="preserve">     cuidados y la ayuda que necesiten y, en particular: […] se tomarán  las</w:t>
        <w:br/>
        <w:t xml:space="preserve">     medidas  oportunas  para  facilitar  la   reunión   de   las   familias</w:t>
        <w:br/>
        <w:t xml:space="preserve">     temporalmente separadas […]”[347].</w:t>
        <w:br/>
        <w:br/>
        <w:br/>
        <w:t>239. Cabe recordar que la Corte ha señalado que “la especial  vulnerabilidad</w:t>
        <w:br/>
        <w:t xml:space="preserve">     por su condición de niños y niñas se  hace  aún  más  evidente  en  una</w:t>
        <w:br/>
        <w:t xml:space="preserve">     situación  de  conflicto  armado  interno,  […]  pues  son  los   menos</w:t>
        <w:br/>
        <w:t xml:space="preserve">     preparados para adaptarse o responder a dicha situación y, tristemente,</w:t>
        <w:br/>
        <w:t xml:space="preserve">     son quienes padecen sus excesos de forma desmesurada”[348].</w:t>
        <w:br/>
        <w:br/>
        <w:br/>
        <w:t>240.  En  el  presente  caso,  la  Corte  ha  dado  por  probado  que   como</w:t>
        <w:br/>
        <w:t xml:space="preserve">     consecuencia de los hechos del 13 de diciembre de 1998 en la vereda  de</w:t>
        <w:br/>
        <w:t xml:space="preserve">     Santo Domingo fallecieron seis niños y niñas,  y  otros  10  resultaron</w:t>
        <w:br/>
        <w:t xml:space="preserve">     heridos (supra párr. 70), los cuales fueron vistos por los  pilotos  de</w:t>
        <w:br/>
        <w:t xml:space="preserve">     las aeronaves[349]. Adicionalmente a lo  señalado,  como  se  verá  más</w:t>
        <w:br/>
        <w:t xml:space="preserve">     adelante,  varios  niños  de  Santo  Domingo  se  vieron   forzados   a</w:t>
        <w:br/>
        <w:t xml:space="preserve">     desplazarse (infra párr. 267).</w:t>
        <w:br/>
        <w:br/>
        <w:br/>
        <w:t>241. Habiendo analizado todo lo anterior, la Corte concluye  que  el  Estado</w:t>
        <w:br/>
        <w:t xml:space="preserve">     incumplió con su deber de protección especial  de  las  niñas  y  niños</w:t>
        <w:br/>
        <w:t xml:space="preserve">     afectados por los hechos de Santo Domingo, toda vez que no cumplió  con</w:t>
        <w:br/>
        <w:t xml:space="preserve">     su obligación especial de protección en el marco de un conflicto armado</w:t>
        <w:br/>
        <w:t xml:space="preserve">     no internacional. Por ende, la Corte considera que las  violaciones  de</w:t>
        <w:br/>
        <w:t xml:space="preserve">     los derechos a la vida e integridad personal declaradas  anteriormente,</w:t>
        <w:br/>
        <w:t xml:space="preserve">     deben entenderse en relación con la violación del  artículo  19  de  la</w:t>
        <w:br/>
        <w:t xml:space="preserve">     Convención en perjuicio de los niños y niñas que fallecieron, a  saber:</w:t>
        <w:br/>
        <w:t xml:space="preserve">     Jaime Castro Bello, Egna Margarita  Bello  Tilano,  Luis  Carlos  Neite</w:t>
        <w:br/>
        <w:t xml:space="preserve">     Méndez, Deysi Katherine (o Catherine) Cárdenas Tilano,  Oscar  Esneider</w:t>
        <w:br/>
        <w:t xml:space="preserve">     Vanegas Tulibila y Geovany Hernández Becerra; y de las  niñas  y  niños</w:t>
        <w:br/>
        <w:t xml:space="preserve">     que resultaron heridos, a saber: Alba  Yaneth  García  Guevara,  Marcos</w:t>
        <w:br/>
        <w:t xml:space="preserve">     Aurelio Neite Méndez, Erinson Olimpo Cárdenas, Hilda  Yuraime  Barranco</w:t>
        <w:br/>
        <w:t xml:space="preserve">     Bastilla, Ricardo Ramírez, Yeimi  Viviana  Contreras,  Maryori  Agudelo</w:t>
        <w:br/>
        <w:t xml:space="preserve">     Flórez, Rosmira Daza Rojas, Neftalí Neite González y Lida Barranca.</w:t>
        <w:br/>
        <w:br/>
        <w:br/>
        <w:t xml:space="preserve">      B.5.   La  alegada  violación  al  derecho  a  la  integridad  de  los</w:t>
        <w:br/>
        <w:t xml:space="preserve">      familiares</w:t>
        <w:br/>
        <w:br/>
        <w:br/>
        <w:t>242. La Corte ha considerado en numerosos casos que los  familiares  de  las</w:t>
        <w:br/>
        <w:t xml:space="preserve">     víctimas de violaciones de los derechos humanos pueden ser, a  su  vez,</w:t>
        <w:br/>
        <w:t xml:space="preserve">     víctimas[350]. Al respecto,  la  Corte  considera  pertinente  precisar</w:t>
        <w:br/>
        <w:t xml:space="preserve">     algunos aspectos de su jurisprudencia en relación con la  determinación</w:t>
        <w:br/>
        <w:t xml:space="preserve">     de violaciones a la integridad personal de familiares  de  víctimas  de</w:t>
        <w:br/>
        <w:t xml:space="preserve">     ciertas violaciones de los derechos humanos[351] u otras  personas  con</w:t>
        <w:br/>
        <w:t xml:space="preserve">     vínculos estrechos  a  tales  víctimas[352].  En  efecto,  el  Tribunal</w:t>
        <w:br/>
        <w:t xml:space="preserve">     considera  que  se  puede  declarar  la  violación  del  derecho  a  la</w:t>
        <w:br/>
        <w:t xml:space="preserve">     integridad psíquica y moral  de  familiares  directos  de  víctimas  de</w:t>
        <w:br/>
        <w:t xml:space="preserve">     ciertas violaciones de derechos humanos aplicando una presunción  iuris</w:t>
        <w:br/>
        <w:t xml:space="preserve">     tantum respecto de madres y padres, hijas e hijos, esposos  y  esposas,</w:t>
        <w:br/>
        <w:t xml:space="preserve">     compañeros y compañeras permanentes y hermanos (en adelante “familiares</w:t>
        <w:br/>
        <w:t xml:space="preserve">     directos”), siempre que ello responda a las circunstancias particulares</w:t>
        <w:br/>
        <w:t xml:space="preserve">     en el caso[353]. En el caso de tales familiares  directos,  corresponde</w:t>
        <w:br/>
        <w:t xml:space="preserve">     al Estado desvirtuar dicha  presunción.  En  los  demás  supuestos,  el</w:t>
        <w:br/>
        <w:t xml:space="preserve">     Tribunal deberá analizar si de la prueba que consta en el expediente se</w:t>
        <w:br/>
        <w:t xml:space="preserve">     acredita una violación del derecho  a  la  integridad  personal  de  la</w:t>
        <w:br/>
        <w:t xml:space="preserve">     presunta víctima, sea o no familiar de alguna otra víctima en el  caso,</w:t>
        <w:br/>
        <w:t xml:space="preserve">     en  cuyo  caso  evaluará,   por   ejemplo,   si   existe   un   vínculo</w:t>
        <w:br/>
        <w:t xml:space="preserve">     particularmente estrecho entre  éstos  y  las  víctimas  del  caso  que</w:t>
        <w:br/>
        <w:t xml:space="preserve">     permita a la Corte considerar la violación del derecho a la  integridad</w:t>
        <w:br/>
        <w:t xml:space="preserve">     personal[354].</w:t>
        <w:br/>
        <w:br/>
        <w:br/>
        <w:t>243. En el presente caso, la Corte observa que, de acuerdo con  un  peritaje</w:t>
        <w:br/>
        <w:t xml:space="preserve">     psicológico  aportado,  las   personas   entrevistadas[355]   presentan</w:t>
        <w:br/>
        <w:t xml:space="preserve">     síntomas  crónicos  de  estrés   postraumático,   que   incluyen:   “a)</w:t>
        <w:br/>
        <w:t xml:space="preserve">     pensamientos recurrentes de los hechos; recuerdos perturbadores que  se</w:t>
        <w:br/>
        <w:t xml:space="preserve">     aparecen espontáneamente;  b)  reacción  de  ansiedad  extrema  a  esos</w:t>
        <w:br/>
        <w:t xml:space="preserve">     pensamientos y recuerdos; c) pesadillas y otros sueños  que  evocan  la</w:t>
        <w:br/>
        <w:t xml:space="preserve">     masacre; d) reacciones espontáneas físicas y emocionales ante elementos</w:t>
        <w:br/>
        <w:t xml:space="preserve">     de la vida cotidiana que se asocian con  los  eventos  de  la  masacre,</w:t>
        <w:br/>
        <w:t xml:space="preserve">     reacciones tales como taquicardia, sudor, miedo intenso al ruido de  un</w:t>
        <w:br/>
        <w:t xml:space="preserve">     helicóptero o avión, o de un tiroteo; e)  tristeza  y  sentimientos  de</w:t>
        <w:br/>
        <w:t xml:space="preserve">     dolor al evocar la masacre; f) insomnio, y g) percepción del daño  como</w:t>
        <w:br/>
        <w:t xml:space="preserve">     irreparable, impotencia, sentimiento que la vida ha cambiado su  curso,</w:t>
        <w:br/>
        <w:t xml:space="preserve">     percepción  de  futuro  incierto  y  angustioso”[356].  Además  de   lo</w:t>
        <w:br/>
        <w:t xml:space="preserve">     anterior, la Corte recuerda que, según se desprende de la  prueba,  los</w:t>
        <w:br/>
        <w:t xml:space="preserve">     familiares de las víctimas tuvieron que enfrentar  los  efectos  de  la</w:t>
        <w:br/>
        <w:t xml:space="preserve">     masacre sobre sus seres queridos[357].</w:t>
        <w:br/>
        <w:br/>
        <w:br/>
        <w:t>244. Con  base  en  lo  anterior,  la  Corte  considera  que  el  Estado  es</w:t>
        <w:br/>
        <w:t xml:space="preserve">     responsable por la violación  del  derecho  a  la  integridad  personal</w:t>
        <w:br/>
        <w:t xml:space="preserve">     reconocido en el artículo 5.1 de la  Convención,  en  relación  con  el</w:t>
        <w:br/>
        <w:t xml:space="preserve">     artículo 1.1 de la  misma,  en  perjuicio  de  los  familiares  de  las</w:t>
        <w:br/>
        <w:t xml:space="preserve">     víctimas de los hechos ocurridos en Santo Domingo el 13 de diciembre de</w:t>
        <w:br/>
        <w:t xml:space="preserve">     1998[358].</w:t>
        <w:br/>
        <w:br/>
        <w:br/>
        <w:t xml:space="preserve">      B.6.  El alegado incumplimiento del artículo 2 de la Convención</w:t>
        <w:br/>
        <w:br/>
        <w:br/>
        <w:t>245. La Corte recuerda que el artículo 2  de  la  Convención  obliga  a  los</w:t>
        <w:br/>
        <w:t xml:space="preserve">     Estados  Parte  a   adoptar,   con   arreglo   a   sus   procedimientos</w:t>
        <w:br/>
        <w:t xml:space="preserve">     constitucionales y a las disposiciones de la  Convención,  las  medidas</w:t>
        <w:br/>
        <w:t xml:space="preserve">     legislativas o de  otro  carácter  que  fueren  necesarias  para  hacer</w:t>
        <w:br/>
        <w:t xml:space="preserve">     efectivos los derechos y libertades protegidos por la Convención[359].</w:t>
        <w:br/>
        <w:br/>
        <w:br/>
        <w:t>246. En el presente caso, la Corte constata que si bien  los  representantes</w:t>
        <w:br/>
        <w:t xml:space="preserve">     se refirieron a  la  inexistencia  de  una  marco  legal  adecuado  que</w:t>
        <w:br/>
        <w:t xml:space="preserve">     desarrolle de manera  efectiva  la  obligación  de  protección  de  los</w:t>
        <w:br/>
        <w:t xml:space="preserve">     derechos  humanos  en   relación   con   la   actividad   de   empresas</w:t>
        <w:br/>
        <w:t xml:space="preserve">     transnacionales en su territorio (supra párrs. 55 y 185), los mismos no</w:t>
        <w:br/>
        <w:t xml:space="preserve">     presentaron alegatos concretos y específicos ni  pruebas  que  permitan</w:t>
        <w:br/>
        <w:t xml:space="preserve">     relacionar la actividad de las empresas transnacionales que operaban en</w:t>
        <w:br/>
        <w:t xml:space="preserve">     la zona, o que tenían contratos con las  Fuerzas  Armadas  Colombianas,</w:t>
        <w:br/>
        <w:t xml:space="preserve">     con las violaciones declaradas en relación con los hechos del caso, sin</w:t>
        <w:br/>
        <w:t xml:space="preserve">     perjuicio  de  lo  que  corresponda  investigar   a   las   autoridades</w:t>
        <w:br/>
        <w:t xml:space="preserve">     competentes (supra párr. 163). Más aún, no se alegó claramente  de  qué</w:t>
        <w:br/>
        <w:t xml:space="preserve">     forma un “marco legal adecuado” relativo a la actividad de las empresas</w:t>
        <w:br/>
        <w:t xml:space="preserve">     transnacionales – que tampoco explicaron en qué  consistiría  –  podría</w:t>
        <w:br/>
        <w:t xml:space="preserve">     haber prevenido los  hechos  de  Santo  Domingo.  En  consecuencia,  no</w:t>
        <w:br/>
        <w:t xml:space="preserve">     corresponde analizar  los  hechos  a  la  luz  del  artículo  2  de  la</w:t>
        <w:br/>
        <w:t xml:space="preserve">     Convención.</w:t>
        <w:br/>
        <w:br/>
        <w:br/>
        <w:t xml:space="preserve">      B.7.  Conclusiones</w:t>
        <w:br/>
        <w:br/>
        <w:br/>
        <w:t>247. Por todo lo expresado anteriormente  este  Tribunal  determina  que  el</w:t>
        <w:br/>
        <w:t xml:space="preserve">     Estado  es  responsable  por  la  violación  del  derecho  a  la  vida,</w:t>
        <w:br/>
        <w:t xml:space="preserve">     reconocido en el artículo 4.1 de la  Convención,  en  relación  con  el</w:t>
        <w:br/>
        <w:t xml:space="preserve">     artículo 1.1 de la misma, en perjuicio de las personas fallecidas[360],</w:t>
        <w:br/>
        <w:t xml:space="preserve">     así como del derecho a la integridad personal, contenido en el artículo</w:t>
        <w:br/>
        <w:t xml:space="preserve">     5.1 de la Convención,  en  relación  con  el  artículo  1.1  del  mismo</w:t>
        <w:br/>
        <w:t xml:space="preserve">     instrumento, en perjuicio de las personas que fueron heridas[361],  así</w:t>
        <w:br/>
        <w:t xml:space="preserve">     como de los familiares de todos ellos, y del derecho a  la  medidas  de</w:t>
        <w:br/>
        <w:t xml:space="preserve">     protección de las niñas y niños, reconocido en el  artículo  19  de  la</w:t>
        <w:br/>
        <w:t xml:space="preserve">     Convención, en perjuicio de los niños y niñas muertos y heridos en  los</w:t>
        <w:br/>
        <w:t xml:space="preserve">     mismos hechos[362].</w:t>
        <w:br/>
        <w:br/>
        <w:br/>
        <w:br/>
        <w:br/>
        <w:br/>
        <w:br/>
        <w:br/>
        <w:t xml:space="preserve">                                    VII-3</w:t>
        <w:br/>
        <w:br/>
        <w:t xml:space="preserve">    DERECHO DE CIRCULACIÓN Y RESIDENCIA Y DERECHO A LA PROPIEDAD PRIVADA</w:t>
        <w:br/>
        <w:br/>
        <w:br/>
        <w:br/>
        <w:br/>
        <w:br/>
        <w:br/>
        <w:t xml:space="preserve">      A.    Argumentos de la Comisión y alegatos de las partes</w:t>
        <w:br/>
        <w:br/>
        <w:br/>
        <w:t xml:space="preserve">            A.1. Alegada violación del Derecho de Circulación y Residencia</w:t>
        <w:br/>
        <w:br/>
        <w:br/>
        <w:t>248. La Comisión concluyó que el Estado había violado el derecho  reconocido</w:t>
        <w:br/>
        <w:t xml:space="preserve">     en el artículo 22.1 de la Convención[363], en relación con el art.  1.1</w:t>
        <w:br/>
        <w:t xml:space="preserve">     de la misma, en perjuicio de la población  de  Santo  Domingo.  De  ese</w:t>
        <w:br/>
        <w:t xml:space="preserve">     modo, la Comisión señaló que “tras el bombardeo del 13 de  diciembre  y</w:t>
        <w:br/>
        <w:t xml:space="preserve">     como consecuencia del terror que el mismo causó sobre la población, los</w:t>
        <w:br/>
        <w:t xml:space="preserve">     ataques  contra  los  sobrevivientes  que  trataban  de  escapar  y  la</w:t>
        <w:br/>
        <w:t xml:space="preserve">     destrucción de sus  viviendas,  todos  los  habitantes  abandonaron  la</w:t>
        <w:br/>
        <w:t xml:space="preserve">     vereda de Santo Domingo” y “se movilizaron al corregimiento de  Betoyes</w:t>
        <w:br/>
        <w:t xml:space="preserve">     en el municipio de Tame, y a las ciudades de Tame y Saravena”.  Precisó</w:t>
        <w:br/>
        <w:t xml:space="preserve">     asimismo que la población estuvo desplazada hasta  enero  de  1999.  La</w:t>
        <w:br/>
        <w:t xml:space="preserve">     Comisión estableció en el Informe de fondo que son  víctimas  del  art.</w:t>
        <w:br/>
        <w:t xml:space="preserve">     22.1 las personas heridas[364] y “los demás habitantes de la vereda  de</w:t>
        <w:br/>
        <w:t xml:space="preserve">     Santo Domingo que se desplazaron”.</w:t>
        <w:br/>
        <w:br/>
        <w:br/>
        <w:t>249. Los representantes  agregaron  que  el  Estado  no  cumplió  de  manera</w:t>
        <w:br/>
        <w:t xml:space="preserve">     efectiva  con  las  obligaciones  de  protección  inmediata;   que   el</w:t>
        <w:br/>
        <w:t xml:space="preserve">     desplazamiento forzado generado con la masacre, junto con la obligación</w:t>
        <w:br/>
        <w:t xml:space="preserve">     de reparar integralmente a las víctimas respecto de la vulneración  del</w:t>
        <w:br/>
        <w:t xml:space="preserve">     conjunto  de  derechos,  impone  la  necesidad  de  generar  mecanismos</w:t>
        <w:br/>
        <w:t xml:space="preserve">     judiciales y  administrativos  de  reclamación  que  resulten  idóneos,</w:t>
        <w:br/>
        <w:t xml:space="preserve">     efectivos y que sobre todo garanticen a  las  víctimas  la  posibilidad</w:t>
        <w:br/>
        <w:t xml:space="preserve">     real de recuperar su vida en condiciones de dignidad  y  de  seguridad.</w:t>
        <w:br/>
        <w:t xml:space="preserve">     Los  representantes  consideraron  que  fueron  desplazados  todos  los</w:t>
        <w:br/>
        <w:t xml:space="preserve">     habitantes de Santo Domingo.</w:t>
        <w:br/>
        <w:br/>
        <w:br/>
        <w:t>250. Por su parte el Estado alegó que el ataque, el terror y la  destrucción</w:t>
        <w:br/>
        <w:t xml:space="preserve">     de las viviendas fueron causados por la guerrilla de las FARC y que  la</w:t>
        <w:br/>
        <w:t xml:space="preserve">     vulneración del derecho a la circulación sería imputable a  ese  grupo.</w:t>
        <w:br/>
        <w:t xml:space="preserve">     También manifestó que “el desplazamiento de  los  pobladores  de  Santo</w:t>
        <w:br/>
        <w:t xml:space="preserve">     Domingo no puede imputarse a la Fuerza Pública, quien en  su  deber  de</w:t>
        <w:br/>
        <w:t xml:space="preserve">     garante y protección planeó un operativo terrestre y aéreo, en aras  de</w:t>
        <w:br/>
        <w:t xml:space="preserve">     controlar el orden público y proteger a la población civil”, en el cual</w:t>
        <w:br/>
        <w:t xml:space="preserve">     las directrices de la operación  establecían  “que  la  Fuerza  Pública</w:t>
        <w:br/>
        <w:t xml:space="preserve">     [debería] dar estricto cumplimiento al respeto por los Derechos Humanos</w:t>
        <w:br/>
        <w:t xml:space="preserve">     y Derecho Internacional Humanitario, y [debería] tratar a la  población</w:t>
        <w:br/>
        <w:t xml:space="preserve">     civil de forma respetuosa, amable y firme”.</w:t>
        <w:br/>
        <w:br/>
        <w:br/>
        <w:t>251. Del mismo modo, el Estado señaló que para la fecha  de  los  hechos  se</w:t>
        <w:br/>
        <w:t xml:space="preserve">     encontraba vigente la Ley 387 de 1997, “por la cual se adoptan  medidas</w:t>
        <w:br/>
        <w:t xml:space="preserve">     para la prevención del desplazamiento forzado, la atención,  protección</w:t>
        <w:br/>
        <w:t xml:space="preserve">     y consolidación y  estabilización  socioeconómica  de  los  desplazados</w:t>
        <w:br/>
        <w:t xml:space="preserve">     internos por la violencia en […] Colombia”[365], y cuya  implementación</w:t>
        <w:br/>
        <w:t xml:space="preserve">     estaba coordinada por  la  entonces  Red  de  Solidaridad  Social,  que</w:t>
        <w:br/>
        <w:t xml:space="preserve">     adelantaba labores de impulso al fortalecimiento de  los  mecanismos  y</w:t>
        <w:br/>
        <w:t xml:space="preserve">     las instancias de gestión que materializaban  el  Sistema  de  Atención</w:t>
        <w:br/>
        <w:t xml:space="preserve">     Integral a la Población Desplazada. Además, el Estado afirmó que aunque</w:t>
        <w:br/>
        <w:t xml:space="preserve">     el desplazamiento fue una situación de facto no generada por la  Fuerza</w:t>
        <w:br/>
        <w:t xml:space="preserve">     Pública, se realizó un conjunto de acciones a favor de los desplazados,</w:t>
        <w:br/>
        <w:t xml:space="preserve">     en cuanto:  “i)  prestó  asistencia  humanitaria  de  emergencia  a  la</w:t>
        <w:br/>
        <w:t xml:space="preserve">     población que se movilizó del corregimiento de Santo Domingo  hacia  el</w:t>
        <w:br/>
        <w:t xml:space="preserve">     casco urbano del municipio de  Tame  (Arauca);  ii)  a  través  de  sus</w:t>
        <w:br/>
        <w:t xml:space="preserve">     Fuerzas Militares retomó el control de la  zona,  lo  que  permitió  el</w:t>
        <w:br/>
        <w:t xml:space="preserve">     retorno de toda la población a un  mes  de  los  hechos,  y  iii)  para</w:t>
        <w:br/>
        <w:t xml:space="preserve">     asegurar la sostenibilidad del retorno de los pobladores, subscribió  y</w:t>
        <w:br/>
        <w:t xml:space="preserve">     desarrolló un proyecto de reconstrucción y mejoramiento de vivienda  en</w:t>
        <w:br/>
        <w:t xml:space="preserve">     el corregimiento”. Por último, en relación con  la  atención  posterior</w:t>
        <w:br/>
        <w:t xml:space="preserve">     brindada a algunas de las presuntas víctimas, el Estado señaló que “los</w:t>
        <w:br/>
        <w:t xml:space="preserve">     beneficiarios incluidos en el Registro Único de Víctimas – RUV – fueron</w:t>
        <w:br/>
        <w:t xml:space="preserve">     objeto  de  atención  integral  a  través   del   componente   Atención</w:t>
        <w:br/>
        <w:t xml:space="preserve">     Humanitaria de Emergencia – AHE -, así como de programas sociales  para</w:t>
        <w:br/>
        <w:t xml:space="preserve">     la atención a la población en situación de desplazamiento”, y  que  “de</w:t>
        <w:br/>
        <w:t xml:space="preserve">     acuerdo con la información que reposa en la Red Nacional de Información</w:t>
        <w:br/>
        <w:t xml:space="preserve">     – RNI – se había constatado que las 11 personas con estado incluido  en</w:t>
        <w:br/>
        <w:t xml:space="preserve">     el RUV recibieron atención humanitaria de acuerdo a  su  vulnerabilidad</w:t>
        <w:br/>
        <w:t xml:space="preserve">     en una o más oportunidades”.</w:t>
        <w:br/>
        <w:br/>
        <w:br/>
        <w:t xml:space="preserve">      A.2.  Alegada violación del Derecho a la Propiedad Privada</w:t>
        <w:br/>
        <w:br/>
        <w:br/>
        <w:t>252. La Comisión concluyó que el Estado violó el derecho  reconocido  en  el</w:t>
        <w:br/>
        <w:t xml:space="preserve">     artículo 21 de la Convención[366], en relación con el art.  1.1  de  la</w:t>
        <w:br/>
        <w:t xml:space="preserve">     misma, en prejudicio de las víctimas del bombardeo  de  Santo  Domingo.</w:t>
        <w:br/>
        <w:t xml:space="preserve">     Manifestó que “dada la precisión limitada y gran poder antipersonal  de</w:t>
        <w:br/>
        <w:t xml:space="preserve">     los dispositivos cluster, el bombardeo de la vereda  de  Santo  Domingo</w:t>
        <w:br/>
        <w:t xml:space="preserve">     causó destrucción a las viviendas  y  bienes  muebles  ubicados  en  la</w:t>
        <w:br/>
        <w:t xml:space="preserve">     misma”, y que “en algunas de las  viviendas  se  registró  el  hurto  y</w:t>
        <w:br/>
        <w:t xml:space="preserve">     destrucción de algunos bienes por parte de los soldados que llegaron  a</w:t>
        <w:br/>
        <w:t xml:space="preserve">     la vereda con posterioridad a los hechos”. Al someter el caso  ante  la</w:t>
        <w:br/>
        <w:t xml:space="preserve">     Corte, la Comisión señaló que, “en cuanto a la  identificación  de  las</w:t>
        <w:br/>
        <w:t xml:space="preserve">     víctimas de las violaciones del derecho a la libertad de circulación  y</w:t>
        <w:br/>
        <w:t xml:space="preserve">     residencia y a la propiedad privada, por la  naturaleza  misma  de  los</w:t>
        <w:br/>
        <w:t xml:space="preserve">     hechos del  caso  […]  no  pudo  obtener  información  precisa  que  le</w:t>
        <w:br/>
        <w:t xml:space="preserve">     permitiera individualizar[las] a todas [… por lo cual, …]  teniendo  en</w:t>
        <w:br/>
        <w:t xml:space="preserve">     cuenta las características intrínsecas de las violaciones establecidas,</w:t>
        <w:br/>
        <w:t xml:space="preserve">     así como el desplazamiento y sus consecuencias, en su informe de  fondo</w:t>
        <w:br/>
        <w:t xml:space="preserve">     […]  tomó  en  especial  consideración  la  necesidad  de  aplicar   un</w:t>
        <w:br/>
        <w:t xml:space="preserve">     entendimiento amplio en la definición de las  víctimas”.  Respecto  del</w:t>
        <w:br/>
        <w:t xml:space="preserve">     derecho a la propiedad en particular,  la  Comisión  consideró  que  el</w:t>
        <w:br/>
        <w:t xml:space="preserve">     Estado violó ese derecho en perjuicio  de  10  presuntas  víctimas  que</w:t>
        <w:br/>
        <w:t xml:space="preserve">     identificó, “entre otras víctimas sobrevivientes que  habitaban  en  la</w:t>
        <w:br/>
        <w:t xml:space="preserve">     vereda  de  Santo  Domingo  y  que  sus  bienes  muebles  les  [fueron]</w:t>
        <w:br/>
        <w:t xml:space="preserve">     arrebatados o destruidos y/o causado daño a sus viviendas.</w:t>
        <w:br/>
        <w:br/>
        <w:br/>
        <w:t>253. Los  representantes  agregaron  que  “con  ocasión  del  desplazamiento</w:t>
        <w:br/>
        <w:t xml:space="preserve">     forzado generado por agentes estatales, algunas  familias  perdieron  o</w:t>
        <w:br/>
        <w:t xml:space="preserve">     vieron afectadas  sus  viviendas,  enseres,  cultivos  y  animales  que</w:t>
        <w:br/>
        <w:t xml:space="preserve">     proveían su subsistencia”, y que “los habitantes de Santo  Domingo  que</w:t>
        <w:br/>
        <w:t xml:space="preserve">     accedían a través de sus negocios a  un  nivel  de  vida  sostenible  y</w:t>
        <w:br/>
        <w:t xml:space="preserve">     estable, se vieron en la  necesidad  de  emprender  nuevas  actividades</w:t>
        <w:br/>
        <w:t xml:space="preserve">     laborales,  ya  que  no  contaban  con  recursos  económicos  que   les</w:t>
        <w:br/>
        <w:t xml:space="preserve">     permitieran por lo menos reconstruir los bienes materiales  perdidos  y</w:t>
        <w:br/>
        <w:t xml:space="preserve">     retomar nuevamente sus condiciones de vida digna”.  Los  representantes</w:t>
        <w:br/>
        <w:t xml:space="preserve">     también  observaron  que  “los  actos  de  pillaje  y   saqueo   fueron</w:t>
        <w:br/>
        <w:t xml:space="preserve">     configurados por agentes estatales que desde el 14 de diciembre de 1998</w:t>
        <w:br/>
        <w:t xml:space="preserve">     ejercieron el  control  militar  de  la  zona”  y  que  “la  Cruz  Roja</w:t>
        <w:br/>
        <w:t xml:space="preserve">     Internacional se hizo presente este día  y  verificó  la  presencia  de</w:t>
        <w:br/>
        <w:t xml:space="preserve">     miembros del Ejército Nacional en el caserío”.</w:t>
        <w:br/>
        <w:br/>
        <w:br/>
        <w:t>254. Por su parte, el Estado alegó que no  existió  relación  de  causalidad</w:t>
        <w:br/>
        <w:t xml:space="preserve">     entre la acción estatal y los daños a los bienes  muebles  e  inmuebles</w:t>
        <w:br/>
        <w:t xml:space="preserve">     ubicados en Santo Domingo, y que los autores materiales de los hechos y</w:t>
        <w:br/>
        <w:t xml:space="preserve">     de los daños en los bienes  fueron  las  FARC,  quienes  ingresaron  al</w:t>
        <w:br/>
        <w:t xml:space="preserve">     caserío de  Santo  Domingo  ocasionando  daños  en  los  bienes  de  la</w:t>
        <w:br/>
        <w:t xml:space="preserve">     población civil. Agregó que según se podía observar en la prueba  video</w:t>
        <w:br/>
        <w:t xml:space="preserve">     gráfica, “6 minutos después del lanzamiento de la bomba, los techos  de</w:t>
        <w:br/>
        <w:t xml:space="preserve">     las casas permanecieron intactos [y  que]  en  consecuencia,  no  puede</w:t>
        <w:br/>
        <w:t xml:space="preserve">     afirmarse que la destrucción de las casas hubiera sido causada  por  el</w:t>
        <w:br/>
        <w:t xml:space="preserve">     artefacto explosivo lanzado desde el aire”. Además, el Estado alegó que</w:t>
        <w:br/>
        <w:t xml:space="preserve">     “no existen pruebas que demuestren con el  rigor  científico  requerido</w:t>
        <w:br/>
        <w:t xml:space="preserve">     que la Fuerza Pública cometió actos de pillaje [y que] esto se sustenta</w:t>
        <w:br/>
        <w:t xml:space="preserve">     principalmente en el fallo de la Procuraduría  General  de  la  Nación,</w:t>
        <w:br/>
        <w:t xml:space="preserve">     entidad que absolvió a los  miembros  de  la  Fuerza  Pública  por  los</w:t>
        <w:br/>
        <w:t xml:space="preserve">     supuestos daños materiales ocasionados”. Por último, señaló  que  tanto</w:t>
        <w:br/>
        <w:t xml:space="preserve">     el video del 16 diciembre de 1998, como el video del 28 de diciembre de</w:t>
        <w:br/>
        <w:t xml:space="preserve">     1998 demuestran la presencia dentro del caserío  de  Santo  Domingo  de</w:t>
        <w:br/>
        <w:t xml:space="preserve">     miembros de las FARC y que estos son indicios que prueban que el  grupo</w:t>
        <w:br/>
        <w:t xml:space="preserve">     armado ingresó a las casas para saquearlas.</w:t>
        <w:br/>
        <w:br/>
        <w:br/>
        <w:br/>
        <w:br/>
        <w:br/>
        <w:t>B. Consideraciones de la Corte</w:t>
        <w:br/>
        <w:br/>
        <w:br/>
        <w:t xml:space="preserve">           B.1. Derecho de Circulación y Residencia</w:t>
        <w:br/>
        <w:br/>
        <w:br/>
        <w:t>255. Esta Corte ha señalado en jurisprudencia que el derecho de  circulación</w:t>
        <w:br/>
        <w:t xml:space="preserve">     y de residencia, establecido en el artículo 22.1 de la  Convención,  es</w:t>
        <w:br/>
        <w:t xml:space="preserve">     una  condición  indispensable  para   el   libre   desarrollo   de   la</w:t>
        <w:br/>
        <w:t xml:space="preserve">     persona[367]. En este sentido, mediante  una  interpretación  evolutiva</w:t>
        <w:br/>
        <w:t xml:space="preserve">     del artículo 22 de la Convención,  tomando  en  cuenta  las  normas  de</w:t>
        <w:br/>
        <w:t xml:space="preserve">     interpretación aplicables y de conformidad con el artículo 29.b  de  la</w:t>
        <w:br/>
        <w:t xml:space="preserve">     misma, esta Corte ha considerado que esa disposición también protege el</w:t>
        <w:br/>
        <w:t xml:space="preserve">     derecho a no ser desplazado forzadamente dentro de un Estado  Parte  en</w:t>
        <w:br/>
        <w:t xml:space="preserve">     la misma[368].</w:t>
        <w:br/>
        <w:br/>
        <w:br/>
        <w:t>256. De particular relevancia para el presente caso resultan los  Principios</w:t>
        <w:br/>
        <w:t xml:space="preserve">     Rectores emitidos en 1998 por el Representante del  Secretario  General</w:t>
        <w:br/>
        <w:t xml:space="preserve">     de  las  Naciones  Unidas  sobre  la  cuestión   de   los   desplazados</w:t>
        <w:br/>
        <w:t xml:space="preserve">     internos[369], los cuales se basan en  la  normativa  internacional  de</w:t>
        <w:br/>
        <w:t xml:space="preserve">     derechos humanos y  de  derecho  internacional  humanitario.  La  Corte</w:t>
        <w:br/>
        <w:t xml:space="preserve">     considera  que  varias  de  estas  directrices  permiten  integrar   el</w:t>
        <w:br/>
        <w:t xml:space="preserve">     contenido y alcance del artículo 22 de la Convención en el contexto  de</w:t>
        <w:br/>
        <w:t xml:space="preserve">     desplazamiento forzado interno.</w:t>
        <w:br/>
        <w:br/>
        <w:br/>
        <w:t>257. En el presente caso, la Comisión y los representantes alegaron  que  el</w:t>
        <w:br/>
        <w:t xml:space="preserve">     Estado había incurrido en una violación de dicha disposición por cuanto</w:t>
        <w:br/>
        <w:t xml:space="preserve">     los habitantes de Santo Domingo se vieron forzados a desplazarse  a  lo</w:t>
        <w:br/>
        <w:t xml:space="preserve">     interno del municipio o de la región.</w:t>
        <w:br/>
        <w:br/>
        <w:br/>
        <w:t>258.   Del  video  Skymaster  presentado  como  prueba  por  el  Estado,  se</w:t>
        <w:br/>
        <w:t xml:space="preserve">     desprende que el desplazamiento comenzó durante las primeras  horas  de</w:t>
        <w:br/>
        <w:t xml:space="preserve">     la mañana[370]. El video muestra varios pobladores caminando  sobre  la</w:t>
        <w:br/>
        <w:t xml:space="preserve">     carretera principal del caserío de Santo Domingo con dirección a  Tame.</w:t>
        <w:br/>
        <w:t xml:space="preserve">     Del mismo modo, en ese video se puede constatar que  el  desplazamiento</w:t>
        <w:br/>
        <w:t xml:space="preserve">     se intensificó a partir de las 10 de la mañana, luego  del  lanzamiento</w:t>
        <w:br/>
        <w:t xml:space="preserve">     del dispositivo cluster sobre la población civil de Santo Domingo[371],</w:t>
        <w:br/>
        <w:t xml:space="preserve">     tanto que a las 10:36 uno de los pilotos, observando el  movimiento  de</w:t>
        <w:br/>
        <w:t xml:space="preserve">     las personas en la carretera, comenta que lo que se veía es “el  pueblo</w:t>
        <w:br/>
        <w:t xml:space="preserve">     entero que  se  va”[372].  El  desplazamiento  de  los  pobladores  fue</w:t>
        <w:br/>
        <w:t xml:space="preserve">     constatado también en la sentencia de primera instancia del Juzgado  12</w:t>
        <w:br/>
        <w:t xml:space="preserve">     Penal que condenó a pilotos de la Fuerza Aérea[373].</w:t>
        <w:br/>
        <w:br/>
        <w:br/>
        <w:t>259. Lo anterior  es  confirmado  por  los  testimonios  de  varios  de  los</w:t>
        <w:br/>
        <w:t xml:space="preserve">     pobladores  de  Santo  Domingo  presentados  por  la  Comisión  y   los</w:t>
        <w:br/>
        <w:t xml:space="preserve">     representantes[374]. Al respecto, Nilsa de Jesús Díaz Herrera manifestó</w:t>
        <w:br/>
        <w:t xml:space="preserve">     que “[d]espués [se] refugiaron en  un  internado,  en  la  salida  para</w:t>
        <w:br/>
        <w:t xml:space="preserve">     Villavicencio, [es]tuvieron refugiados como 20  días,  [y  les]  dieron</w:t>
        <w:br/>
        <w:t xml:space="preserve">     comida”[375]. Se destaca también la declaración de Mónica Alicia  Bello</w:t>
        <w:br/>
        <w:t xml:space="preserve">     Tilano, quien contó que “Santo Domingo se quedó solo, porque a la gente</w:t>
        <w:br/>
        <w:t xml:space="preserve">     le daba miedo volver por allá”[376].</w:t>
        <w:br/>
        <w:br/>
        <w:br/>
        <w:t>260.  Del  mismo  modo,  el  Estado  presentó  prueba  en  la  cual  constan</w:t>
        <w:br/>
        <w:t xml:space="preserve">     testimonios que se refieren al desplazamiento  de  los  pobladores  del</w:t>
        <w:br/>
        <w:t xml:space="preserve">     caserío[377]. Sobre el particular un poblador declaró que  “[tuvo]  que</w:t>
        <w:br/>
        <w:t xml:space="preserve">     venir[se] de Santo Domingo, porque el 13 de diciembre de 1998  llegaron</w:t>
        <w:br/>
        <w:t xml:space="preserve">     allá unos helicópteros del Ejército y bombardearon el  caserío  […]  la</w:t>
        <w:br/>
        <w:t xml:space="preserve">     casa que tenía[n] con las bombas quedó como un colador y [tuvieron  que</w:t>
        <w:br/>
        <w:t xml:space="preserve">     ] dejar todo eso por allá abandonado” [378]. En el  mismo  sentido,  la</w:t>
        <w:br/>
        <w:t xml:space="preserve">     Corte  nota  que  el  alto  número  de  personas  desplazadas[379]  fue</w:t>
        <w:br/>
        <w:t xml:space="preserve">     denunciado por el entonces coronel S.A.G.V.[380]. La  denuncia  también</w:t>
        <w:br/>
        <w:t xml:space="preserve">     se refirió al miedo y terror que experimentaron los habitantes de Santo</w:t>
        <w:br/>
        <w:t xml:space="preserve">     Domingo que se desplazaron. La Corte observa también que algunos de los</w:t>
        <w:br/>
        <w:t xml:space="preserve">     pilotos de las diferentes aeronaves que sobrevolaban la zona,  pudieron</w:t>
        <w:br/>
        <w:t xml:space="preserve">     constatar el desplazamiento de los pobladores de Santo Domingo[381].</w:t>
        <w:br/>
        <w:br/>
        <w:br/>
        <w:t>261. A su vez, el Alcalde Municipal de Tame, junto con una  comisión  de  la</w:t>
        <w:br/>
        <w:t xml:space="preserve">     Defensoría del Pueblo y del Ministerio del  Interior,  visitaron  Santo</w:t>
        <w:br/>
        <w:t xml:space="preserve">     Domingo el  día  16  de  diciembre  de  1998  y  corroboraron  que  los</w:t>
        <w:br/>
        <w:t xml:space="preserve">     pobladores de la vereda efectivamente se habían desplazado, ya  que  no</w:t>
        <w:br/>
        <w:t xml:space="preserve">     había población civil  ese  día  en  Santo  Domingo[382].  Lo  anterior</w:t>
        <w:br/>
        <w:t xml:space="preserve">     demuestra, sin que el Estado lo hubiese controvertido, que la vereda se</w:t>
        <w:br/>
        <w:t xml:space="preserve">     encontraba deshabitada después de los hechos del 13 de diciembre[383].</w:t>
        <w:br/>
        <w:br/>
        <w:br/>
        <w:t>262.  La  Corte  valora  lo  manifestado  por  el  Estado,  sin  que   fuera</w:t>
        <w:br/>
        <w:t xml:space="preserve">     controvertido, en cuanto a que “tan pronto se presentaron los hechos  y</w:t>
        <w:br/>
        <w:t xml:space="preserve">     el posterior desplazamiento, el entonces Gobernador del Departamento de</w:t>
        <w:br/>
        <w:t xml:space="preserve">     Arauca citó a un consejo de Gabinete y delegó a un  funcionario  de  la</w:t>
        <w:br/>
        <w:t xml:space="preserve">     Secretaría de Gobierno para que atendiera  directamente  la  situación.</w:t>
        <w:br/>
        <w:t xml:space="preserve">     Éste se dirigió de manera inmediata a Tame y  en  coordinación  con  el</w:t>
        <w:br/>
        <w:t xml:space="preserve">     Alcalde de dicho municipio prestaron la atención humanitaria inicial de</w:t>
        <w:br/>
        <w:t xml:space="preserve">     emergencia a la población que se había movilizado desde Santo  Domingo.</w:t>
        <w:br/>
        <w:t xml:space="preserve">     Además, la ayuda humanitaria de emergencia se  extendió  hasta  los  20</w:t>
        <w:br/>
        <w:t xml:space="preserve">     días posteriores al 13 de diciembre de 1998 y además  de  alimentación,</w:t>
        <w:br/>
        <w:t xml:space="preserve">     incluyó alojamiento y vestuario”[384].</w:t>
        <w:br/>
        <w:br/>
        <w:br/>
        <w:t>263. Con respecto a lo anterior,  el  Estado  alegó  que  “fueron  adoptadas</w:t>
        <w:br/>
        <w:t xml:space="preserve">     medidas para la reconstrucción de Santo Domingo”, y “para  asegurar  la</w:t>
        <w:br/>
        <w:t xml:space="preserve">     sostenibilidad del retorno de los pobladores, subscribió  y  desarrolló</w:t>
        <w:br/>
        <w:t xml:space="preserve">     un  proyecto  de  reconstrucción  y  mejoramiento  de  vivienda  en  el</w:t>
        <w:br/>
        <w:t xml:space="preserve">     corregimiento”. Además, en relación con las  condiciones  de  seguridad</w:t>
        <w:br/>
        <w:t xml:space="preserve">     para el retorno de los desplazados, el Estado  indicó  que,  “luego  de</w:t>
        <w:br/>
        <w:t xml:space="preserve">     repeler los permanentes ataques de las FARC,  el  17  de  diciembre  de</w:t>
        <w:br/>
        <w:t xml:space="preserve">     1998, el Ejército ocupó y aseguró la zona de manera  que  las  personas</w:t>
        <w:br/>
        <w:t xml:space="preserve">     que salieron de sus hogares tuvieron  la  oportunidad  de  regresar  en</w:t>
        <w:br/>
        <w:t xml:space="preserve">     condiciones de seguridad a  Santo  Domingo”.  Añadió  que,  según  “las</w:t>
        <w:br/>
        <w:t xml:space="preserve">     manifestaciones de los declarantes, el proceso de retorno al caserío no</w:t>
        <w:br/>
        <w:t xml:space="preserve">     se prolongó por más de un mes contado a  partir  de  la  fecha  en  que</w:t>
        <w:br/>
        <w:t xml:space="preserve">     ocurrieron los hechos”.</w:t>
        <w:br/>
        <w:br/>
        <w:br/>
        <w:t>264. Al respecto, el  Tribunal  valora  el  hecho  de  que  el  Estado  haya</w:t>
        <w:br/>
        <w:t xml:space="preserve">     brindado ayuda o apoyo a algunos de los desplazados y sus familiares, a</w:t>
        <w:br/>
        <w:t xml:space="preserve">     saber: Deicy Damaris Cedano[385], Nilsan de Jesús Díaz Herrera[386],  y</w:t>
        <w:br/>
        <w:t xml:space="preserve">     respecto de 11 personas que a su vez  se  encuentran  incluidas  en  el</w:t>
        <w:br/>
        <w:t xml:space="preserve">     Registro Único Víctimas. Del mismo modo, el retorno de la seguridad  en</w:t>
        <w:br/>
        <w:t xml:space="preserve">     Santo  Domingo  por  parte  del  Ejercito  Nacional,   sumado   de   la</w:t>
        <w:br/>
        <w:t xml:space="preserve">     reconstrucción de las viviendas[387], fueron elementos importantes para</w:t>
        <w:br/>
        <w:t xml:space="preserve">     que algunas de las personas que  se  desplazaron  pudieran  regresar  a</w:t>
        <w:br/>
        <w:t xml:space="preserve">     Santo Domingo a partir de enero de 1999[388].</w:t>
        <w:br/>
        <w:br/>
        <w:br/>
        <w:t>265. Por otro  lado,  el  Tribunal  nota  que  si  bien  los  representantes</w:t>
        <w:br/>
        <w:t xml:space="preserve">     alegaron la violación del artículo 22 respecto de todos los  habitantes</w:t>
        <w:br/>
        <w:t xml:space="preserve">     de Santo Domingo, también es cierto que la Comisión solo  identificó  e</w:t>
        <w:br/>
        <w:t xml:space="preserve">     individualizó como  presuntas  víctimas  a  las  personas  heridas  del</w:t>
        <w:br/>
        <w:t xml:space="preserve">     bombardeo con el dispositivo cluster. A su vez,  el  Tribunal  constata</w:t>
        <w:br/>
        <w:t xml:space="preserve">     que en el marco de este proceso contencioso, los  representantes  y  la</w:t>
        <w:br/>
        <w:t xml:space="preserve">     Comisión hicieron referencia a 200 o 300 personas desplazadas  sin  que</w:t>
        <w:br/>
        <w:t xml:space="preserve">     fueran individualizadas.</w:t>
        <w:br/>
        <w:br/>
        <w:br/>
        <w:t>266. Con  relación  a  lo  anterior,  la  Corte  observa  que  la  falta  de</w:t>
        <w:br/>
        <w:t xml:space="preserve">     identificación de todas las personas que fueron desplazadas obedece  en</w:t>
        <w:br/>
        <w:t xml:space="preserve">     parte a las circunstancias mismas en que se produjeron los  hechos  del</w:t>
        <w:br/>
        <w:t xml:space="preserve">     caso y al profundo temor  que  han  experimentado  los  pobladores  del</w:t>
        <w:br/>
        <w:t xml:space="preserve">     caserío de Santo Domingo (supra párr. 243). Lo  anterior  impide  saber</w:t>
        <w:br/>
        <w:t xml:space="preserve">     con certeza cuántas personas se vieron desplazadas en este caso. Tal  y</w:t>
        <w:br/>
        <w:t xml:space="preserve">     como lo ha señalado anteriormente[389], la Corte no  deja  de  advertir</w:t>
        <w:br/>
        <w:t xml:space="preserve">     que muchos otros pobladores enfrentaron dicha situación, pero no fueron</w:t>
        <w:br/>
        <w:t xml:space="preserve">     individualizados por la Comisión ni por los representantes, por lo  que</w:t>
        <w:br/>
        <w:t xml:space="preserve">     puede evaluar esta situación únicamente respecto de quienes hayan  sido</w:t>
        <w:br/>
        <w:t xml:space="preserve">     identificados en este proceso como víctimas heridas, sin  perjuicio  de</w:t>
        <w:br/>
        <w:t xml:space="preserve">     las medidas que corresponda al Estado adoptar a nivel interno  respecto</w:t>
        <w:br/>
        <w:t xml:space="preserve">     de otras personas desplazadas.</w:t>
        <w:br/>
        <w:br/>
        <w:br/>
        <w:t>267. En conclusión, efectivamente las personas sobrevivientes de los  hechos</w:t>
        <w:br/>
        <w:t xml:space="preserve">     ocurridos en Santo Domingo los días 13 y 14 de  diciembre  de  1998  se</w:t>
        <w:br/>
        <w:t xml:space="preserve">     vieron forzados a salir de sus lugares  de  residencia  habitual  hasta</w:t>
        <w:br/>
        <w:t xml:space="preserve">     enero de 1999 aproximadamente. En este sentido, este  Tribunal  observa</w:t>
        <w:br/>
        <w:t xml:space="preserve">     que la situación de desplazamiento forzado interno que enfrentaron  las</w:t>
        <w:br/>
        <w:t xml:space="preserve">     víctimas que resultaron heridas y sus familiares fue consecuencia de la</w:t>
        <w:br/>
        <w:t xml:space="preserve">     explosión del dispositivo cluster en el caserío de Santo Domingo (supra</w:t>
        <w:br/>
        <w:t xml:space="preserve">     párr. 210), aunado al miedo y a las afectaciones psicológicas  que  les</w:t>
        <w:br/>
        <w:t xml:space="preserve">     generaron los enfrentamientos cercanos, así como  los  ametrallamientos</w:t>
        <w:br/>
        <w:t xml:space="preserve">     (supra párr. 243).</w:t>
        <w:br/>
        <w:br/>
        <w:br/>
        <w:t>268.  El Estado es responsable de la  violación  del  artículo  22.1  de  la</w:t>
        <w:br/>
        <w:t xml:space="preserve">     Convención, en relación con los  artículos  5.1  y  1.1  de  la  misma,</w:t>
        <w:br/>
        <w:t xml:space="preserve">     respecto de Edwin Fernando Vanegas Tulibila; Milciades  Bonilla  Ostos;</w:t>
        <w:br/>
        <w:t xml:space="preserve">     Ludwing Vanegas; Gleydis Xiomara García Guevara; Mario  Galvis  Gelves;</w:t>
        <w:br/>
        <w:t xml:space="preserve">     Fredy Monoga Villamizar  (o  Fredy  Villamizar  Monoga);  Mónica  Bello</w:t>
        <w:br/>
        <w:t xml:space="preserve">     Tilano; Maribel Daza Rojas; Amalio Neite González; Marian Arévalo; José</w:t>
        <w:br/>
        <w:t xml:space="preserve">     Agudelo Tamayo; María Cenobia Panqueva; Pedro Uriel Duarte Lagos;  Ludo</w:t>
        <w:br/>
        <w:t xml:space="preserve">     Vanegas; Adela Carrillo;  Alcides  Bonilla;  Fredy  Mora.  También  los</w:t>
        <w:br/>
        <w:t xml:space="preserve">     menores Alba  Yaneth  García  Guevara;  Marcos  Aurelio  Neite  Méndez;</w:t>
        <w:br/>
        <w:t xml:space="preserve">     Erinson Olimpo Cárdenas; Hilda Yuraime Barranco; Ricardo Ramírez; Yeimi</w:t>
        <w:br/>
        <w:t xml:space="preserve">     Viviana Contreras; Maryori Agudelo Flórez; Rosmira Daza Rojas;  Neftalí</w:t>
        <w:br/>
        <w:t xml:space="preserve">     Neite González y Lida Barranca.</w:t>
        <w:br/>
        <w:br/>
        <w:br/>
        <w:br/>
        <w:br/>
        <w:br/>
        <w:br/>
        <w:t xml:space="preserve">      B.2.  Derecho a la Propiedad Privada</w:t>
        <w:br/>
        <w:br/>
        <w:br/>
        <w:t>269. La jurisprudencia de la Corte ha desarrollado  un  concepto  amplio  de</w:t>
        <w:br/>
        <w:t xml:space="preserve">     propiedad, el cual abarca, entre otros, el uso y goce de los  “bienes”,</w:t>
        <w:br/>
        <w:t xml:space="preserve">     definidos como cosas materiales apropiables, así como todo derecho  que</w:t>
        <w:br/>
        <w:t xml:space="preserve">     pueda formar parte  del  patrimonio  de  una  persona.  Dicho  concepto</w:t>
        <w:br/>
        <w:t xml:space="preserve">     comprende todos los muebles e inmuebles,  los  elementos  corporales  e</w:t>
        <w:br/>
        <w:t xml:space="preserve">     incorporales  y  cualquier  otro  objeto  inmaterial   susceptible   de</w:t>
        <w:br/>
        <w:t xml:space="preserve">     valor[390].</w:t>
        <w:br/>
        <w:br/>
        <w:br/>
        <w:t>270. Como ya fuera señalado (supra párr. 25), en el presente caso  la  Corte</w:t>
        <w:br/>
        <w:t xml:space="preserve">     considera útil y apropiado interpretar los alcances del artículo 21  de</w:t>
        <w:br/>
        <w:t xml:space="preserve">     la Convención utilizando otros tratados internacionales distintos a  la</w:t>
        <w:br/>
        <w:t xml:space="preserve">     Convención Americana, tales como el Protocolo II de  los  Convenios  de</w:t>
        <w:br/>
        <w:t xml:space="preserve">     Ginebra de 12 de agosto  de  1949  relativo  a  la  protección  de  las</w:t>
        <w:br/>
        <w:t xml:space="preserve">     víctimas de conflictos armados de carácter interno o las  disposiciones</w:t>
        <w:br/>
        <w:t xml:space="preserve">     pertinentes del Derecho Internacional Humanitario Consuetudinario.</w:t>
        <w:br/>
        <w:br/>
        <w:br/>
        <w:t>271.  De  esa  forma,  la  Norma  7  de  Derecho  Internacional  Humanitario</w:t>
        <w:br/>
        <w:t xml:space="preserve">     Consuetudinario dispone que “las partes en [un] conflicto deberán hacer</w:t>
        <w:br/>
        <w:t xml:space="preserve">     en todo  momento  la  distinción  entre  bienes  de  carácter  civil  y</w:t>
        <w:br/>
        <w:t xml:space="preserve">     objetivos militares. Los ataques sólo podrán dirigirse contra objetivos</w:t>
        <w:br/>
        <w:t xml:space="preserve">     militares. Los bienes de carácter civil no deben ser atacados”[391].</w:t>
        <w:br/>
        <w:br/>
        <w:br/>
        <w:t>272. Con respecto al pillaje, el Tribunal observa también que dicho acto  se</w:t>
        <w:br/>
        <w:t xml:space="preserve">     encuentra expresamente prohibido en el artículo 4.2.g. del Protocolo II</w:t>
        <w:br/>
        <w:t xml:space="preserve">     de 1977 y que la toma de un bien en el marco de un conflicto armado sin</w:t>
        <w:br/>
        <w:t xml:space="preserve">     el consentimiento de su propietario es un acto prohibido por el derecho</w:t>
        <w:br/>
        <w:t xml:space="preserve">     humanitario[392]. Asimismo la Corte recuerda que el TPIY ha señalado en</w:t>
        <w:br/>
        <w:t xml:space="preserve">     su jurisprudencia que este delito se comete cuando  existe  apropiación</w:t>
        <w:br/>
        <w:t xml:space="preserve">     intencional e ilícita de bienes públicos o privados[393],  y  que  “los</w:t>
        <w:br/>
        <w:t xml:space="preserve">     actos  de  saqueo  deben  involucrar  graves  consecuencias  para   las</w:t>
        <w:br/>
        <w:t xml:space="preserve">     víctimas. Este será el caso cuando los bienes sean de suficiente  valor</w:t>
        <w:br/>
        <w:t xml:space="preserve">     monetario, o cuando se apropien los bienes  de  una  gran  cantidad  de</w:t>
        <w:br/>
        <w:t xml:space="preserve">     gente, en cuyo caso la escala y el impacto general de los actos de robo</w:t>
        <w:br/>
        <w:t xml:space="preserve">     equivaldrían a  violaciones  graves  del  derecho  y  costumbre  de  la</w:t>
        <w:br/>
        <w:t xml:space="preserve">     guerra”[394].</w:t>
        <w:br/>
        <w:br/>
        <w:br/>
        <w:t>273. Además, la  Corte  ha  estimado  que  por  las  circunstancias  en  que</w:t>
        <w:br/>
        <w:t xml:space="preserve">     tuvieron lugar los  hechos  y  en  especial  por  la  condición  socio-</w:t>
        <w:br/>
        <w:t xml:space="preserve">     económica y de vulnerabilidad  de  la  presuntas  víctimas,  los  daños</w:t>
        <w:br/>
        <w:t xml:space="preserve">     ocasionados a su propiedad pueden tener un efecto  y  magnitud  mayores</w:t>
        <w:br/>
        <w:t xml:space="preserve">     que los que hubiesen tenido para  otras  personas  o  grupos  en  otras</w:t>
        <w:br/>
        <w:t xml:space="preserve">     condiciones. En este sentido, la Corte estima  que  los  Estados  deben</w:t>
        <w:br/>
        <w:t xml:space="preserve">     tomar en cuenta que los grupos de personas que viven en  circunstancias</w:t>
        <w:br/>
        <w:t xml:space="preserve">     adversas y con menos recursos, tales como las  personas  que  viven  en</w:t>
        <w:br/>
        <w:t xml:space="preserve">     condiciones  de  pobreza,  enfrentan  un  incremento  en  el  grado  de</w:t>
        <w:br/>
        <w:t xml:space="preserve">     afectación a sus  derechos  precisamente  por  su  situación  de  mayor</w:t>
        <w:br/>
        <w:t xml:space="preserve">     vulnerabilidad[395].</w:t>
        <w:br/>
        <w:br/>
        <w:br/>
        <w:t>274. En el presente caso, la Corte tuvo por probado que, después de que  los</w:t>
        <w:br/>
        <w:t xml:space="preserve">     pobladores de Santo  Domingo  tuvieron  que  abandonar  sus  hogares  y</w:t>
        <w:br/>
        <w:t xml:space="preserve">     desplazarse como consecuencia de los hechos  del  13  de  diciembre  de</w:t>
        <w:br/>
        <w:t xml:space="preserve">     1998, se produjeron saqueos en algunas de las viviendas  y  tiendas  de</w:t>
        <w:br/>
        <w:t xml:space="preserve">     Santo Domingo así como daños y destrucciones a  los  bienes  muebles  e</w:t>
        <w:br/>
        <w:t xml:space="preserve">     inmuebles (supra párr. 79).</w:t>
        <w:br/>
        <w:br/>
        <w:br/>
        <w:t>275. Con respecto a  los  saqueos  que  se  produjeron  en  el  caserío,  el</w:t>
        <w:br/>
        <w:t xml:space="preserve">     Tribunal observa que los representantes y la  Comisión  alegan  que  el</w:t>
        <w:br/>
        <w:t xml:space="preserve">     Ejército colombiano sería responsable de los mismos, y  se  basan  para</w:t>
        <w:br/>
        <w:t xml:space="preserve">     ello en los testimonios de los pobladores de  Santo  Domingo[396].  Por</w:t>
        <w:br/>
        <w:t xml:space="preserve">     otro lado, el Estado sostuvo  que  los  responsables  de  esos  saqueos</w:t>
        <w:br/>
        <w:t xml:space="preserve">     fueron integrantes de las FARC, para  lo  cual  señaló  las  siguientes</w:t>
        <w:br/>
        <w:t xml:space="preserve">     pruebas: i) video Skymaster del 16 de diciembre de 1998[397]; ii) video</w:t>
        <w:br/>
        <w:t xml:space="preserve">     de la diligencia de inspección de 28 de diciembre de 1998[398], y  iii)</w:t>
        <w:br/>
        <w:t xml:space="preserve">     decisión de la Delegación Disciplinaria para la defensa de los Derechos</w:t>
        <w:br/>
        <w:t xml:space="preserve">     Humanos relativo a actos de pillaje del 2 de octubre de 2002[399].</w:t>
        <w:br/>
        <w:br/>
        <w:br/>
        <w:t>276. En relación con  lo  anterior,  la  Corte  constata  que  si  bien  los</w:t>
        <w:br/>
        <w:t xml:space="preserve">     testimonios de los  habitantes  de  Santo  Domingo  señalaron  que  los</w:t>
        <w:br/>
        <w:t xml:space="preserve">     miembros del Ejército “[habían] roba[do] lo que había”, refiriéndose en</w:t>
        <w:br/>
        <w:t xml:space="preserve">     particular a “ropa [y] prendas”, incluso el  “robo  de  gallinas”[400],</w:t>
        <w:br/>
        <w:t xml:space="preserve">     los mismos no reposan sobre observaciones directas de  los  hechos.  La</w:t>
        <w:br/>
        <w:t xml:space="preserve">     única prueba ocular presentada por los representantes consiste  en  dos</w:t>
        <w:br/>
        <w:t xml:space="preserve">     declaraciones de habitantes de Santo Domingo que indican  que  miembros</w:t>
        <w:br/>
        <w:t xml:space="preserve">     del Ejército habrían  entrado  a  algunas  casas,  entre  ellas  la  de</w:t>
        <w:br/>
        <w:t xml:space="preserve">     Margarita  Tilano,  y  habrían  consumido  productos  de   su   mercado</w:t>
        <w:br/>
        <w:t xml:space="preserve">     comercial, señalando en concreto tomates, cerveza y  gaseosa[401].  Por</w:t>
        <w:br/>
        <w:t xml:space="preserve">     otro lado, la Corte observa que ha sido presentada evidencia  indicando</w:t>
        <w:br/>
        <w:t xml:space="preserve">     que miembros de la guerrilla  FARC  se  encontrarían  presentes  en  el</w:t>
        <w:br/>
        <w:t xml:space="preserve">     caserío de Santo Domingo en fechas posteriores a los hechos  de  13  de</w:t>
        <w:br/>
        <w:t xml:space="preserve">     diciembre de 1998[402].</w:t>
        <w:br/>
        <w:br/>
        <w:br/>
        <w:t>277. Por tanto, la prueba aportada no permite concluir  claramente  que  los</w:t>
        <w:br/>
        <w:t xml:space="preserve">     únicos combatientes que se hicieron presentes en el  caserío  a  partir</w:t>
        <w:br/>
        <w:t xml:space="preserve">     del día 13 de diciembre de 1998 fueran miembros de las Fuerzas  Armadas</w:t>
        <w:br/>
        <w:t xml:space="preserve">     Colombianas, por lo que no hay  suficiente  evidencia  para  considerar</w:t>
        <w:br/>
        <w:t xml:space="preserve">     responsable al Estado de los pillajes y saqueos que la Comisión  y  los</w:t>
        <w:br/>
        <w:t xml:space="preserve">     representantes le atribuyen. Cabe recordar asimismo que la decisión  de</w:t>
        <w:br/>
        <w:t xml:space="preserve">     la Delegación Disciplinaria para la Defensa de  los  Derechos  Humanos,</w:t>
        <w:br/>
        <w:t xml:space="preserve">     relativa a actos de pillaje del 2 de octubre de 2002, destaca que  “las</w:t>
        <w:br/>
        <w:t xml:space="preserve">     reglas de experiencia [indican] que a los miembros de la Fuerza Pública</w:t>
        <w:br/>
        <w:t xml:space="preserve">     no les interesa para nada apropiarse de drogas veterinarias  o  sueros,</w:t>
        <w:br/>
        <w:t xml:space="preserve">     [y  que]  ello  es  propio  de  la  subversión  o  de  la  delincuencia</w:t>
        <w:br/>
        <w:t xml:space="preserve">     común”[403]. Del mismo modo, la  Corte  observa  que  la  naturaleza  y</w:t>
        <w:br/>
        <w:t xml:space="preserve">     entidad de los bienes denunciados como hurtados  (drogas  veterinarias,</w:t>
        <w:br/>
        <w:t xml:space="preserve">     estufas, cilindros para  gas,  varias  vajillas,  ropa,  utensilios  de</w:t>
        <w:br/>
        <w:t xml:space="preserve">     cocina, electrodomésticos, grabadoras,  equipos  de  sonido,  tejas  de</w:t>
        <w:br/>
        <w:t xml:space="preserve">     Zinc) podría ser más consistente con  la  hipótesis  planteada  por  el</w:t>
        <w:br/>
        <w:t xml:space="preserve">     Estado.</w:t>
        <w:br/>
        <w:br/>
        <w:br/>
        <w:t>278. Por último, si bien es posible  concluir  de  los  testimonios  de  los</w:t>
        <w:br/>
        <w:t xml:space="preserve">     profesores de la comunidad que estuvieron en Santo  Domingo  el  14  de</w:t>
        <w:br/>
        <w:t xml:space="preserve">     diciembre de 1998, junto a la Cruz Roja, que miembros del  Ejército  se</w:t>
        <w:br/>
        <w:t xml:space="preserve">     habrían apropiado de tomates, cervezas y gaseosas (supra párr. 276), el</w:t>
        <w:br/>
        <w:t xml:space="preserve">     Tribunal también constata  que  dichos  actos  no  involucraron  graves</w:t>
        <w:br/>
        <w:t xml:space="preserve">     consecuencias para las víctimas.</w:t>
        <w:br/>
        <w:br/>
        <w:br/>
        <w:t>279. Con respecto a los daños que se produjeron  en  el  caserío,  la  Corte</w:t>
        <w:br/>
        <w:t xml:space="preserve">     observa que, de la prueba que obra en el expediente, se puede  concluir</w:t>
        <w:br/>
        <w:t xml:space="preserve">     que se presentaron dos tipos de daños a la propiedad en el  caserío  de</w:t>
        <w:br/>
        <w:t xml:space="preserve">     Santo Domingo como consecuencia de los enfrentamientos en Santo Domingo</w:t>
        <w:br/>
        <w:t xml:space="preserve">     y sus alrededores: i) los que  fueron  resultado  del  lanzamiento  del</w:t>
        <w:br/>
        <w:t xml:space="preserve">     dispositivo cluster, y ii) los que no se pueden atribuir al lanzamiento</w:t>
        <w:br/>
        <w:t xml:space="preserve">     del  dispositivo  y  que  probablemente  fueron  consecuencia  de   los</w:t>
        <w:br/>
        <w:t xml:space="preserve">     sucesivos enfrentamientos que ocurrieron[404]. Entre los daños de  este</w:t>
        <w:br/>
        <w:t xml:space="preserve">     segundo tipo se evidencian los  provocados  a  la  gasolinera  que  fue</w:t>
        <w:br/>
        <w:t xml:space="preserve">     completamente destruida y quemada. Al respecto, la Corte constata  que,</w:t>
        <w:br/>
        <w:t xml:space="preserve">     según surge del video Skymaster, la misma habría sido dañada el día  14</w:t>
        <w:br/>
        <w:t xml:space="preserve">     de diciembre de 1998[405] y no como consecuencia  del  lanzamiento  del</w:t>
        <w:br/>
        <w:t xml:space="preserve">     dispositivo.</w:t>
        <w:br/>
        <w:br/>
        <w:br/>
        <w:t>280. Adicionalmente a lo anterior, este Tribunal advierte  que  no  ha  sido</w:t>
        <w:br/>
        <w:t xml:space="preserve">     aportada prueba suficiente para demostrar que las Fuerzas Armadas  sean</w:t>
        <w:br/>
        <w:t xml:space="preserve">     responsables por otras  destrucciones  ocasionadas  en  Santo  Domingo,</w:t>
        <w:br/>
        <w:t xml:space="preserve">     además de aquellas que son producto del lanzamiento del dispositivo AN-</w:t>
        <w:br/>
        <w:t xml:space="preserve">     M1A2.</w:t>
        <w:br/>
        <w:br/>
        <w:br/>
        <w:t>281. En cuanto a los daños que podría haber ocasionado  el  lanzamiento  del</w:t>
        <w:br/>
        <w:t xml:space="preserve">     dispositivo AN-M1A2, la Corte constata que en los manuales técnicos del</w:t>
        <w:br/>
        <w:t xml:space="preserve">     artefacto que fueron remitidos como prueba, consta que ese tipo de arma</w:t>
        <w:br/>
        <w:t xml:space="preserve">     “busca  tener  impacto  sobre  personas  y  automotores  sin  blindaje,</w:t>
        <w:br/>
        <w:t xml:space="preserve">     proyectando fragmentos alrededor del punto de impacto”[406].  Asimismo,</w:t>
        <w:br/>
        <w:t xml:space="preserve">     el Juzgado 12 Penal del Circuito de Bogotá señaló en su  sentencia  que</w:t>
        <w:br/>
        <w:t xml:space="preserve">     “el racimo de bombas no tiene efecto devastador sobre  estructura  como</w:t>
        <w:br/>
        <w:t xml:space="preserve">     inmuebles  o  árboles,  en  tanto  que  su  poder  es   específicamente</w:t>
        <w:br/>
        <w:t xml:space="preserve">     antipersonal”[407]. Cabe señalar que también los representantes, en sus</w:t>
        <w:br/>
        <w:t xml:space="preserve">     análisis sobre la capacidad destructiva de la bomba utilizada,  señalan</w:t>
        <w:br/>
        <w:t xml:space="preserve">     que este artefacto tiene efectos antipersonales y no la  demolición  de</w:t>
        <w:br/>
        <w:t xml:space="preserve">     objetos[408]. De las pruebas realizadas en la base  de  Apiay  en  2003</w:t>
        <w:br/>
        <w:t xml:space="preserve">     resulta que “muchas de las esquirlas del cuerpo  de  la  bomba  […]  se</w:t>
        <w:br/>
        <w:t xml:space="preserve">     incrustaron y algunas del  espiral  de  fragmentación  atravesaron  los</w:t>
        <w:br/>
        <w:t xml:space="preserve">     tablones  de  madera  [puestos  para  simular  las  fachadas   de   las</w:t>
        <w:br/>
        <w:t xml:space="preserve">     viviendas]”[409]. En este sentido, los únicos daños  que  pueden  haber</w:t>
        <w:br/>
        <w:t xml:space="preserve">     sido causados por la utilización de ese dispositivo son las que  fueron</w:t>
        <w:br/>
        <w:t xml:space="preserve">     producidos por las esquirlas del dispositivo AN-M1A2. En relación a  lo</w:t>
        <w:br/>
        <w:t xml:space="preserve">     anterior, y considerando las pruebas aportadas[410], las construcciones</w:t>
        <w:br/>
        <w:t xml:space="preserve">     que podrían  haber  sido  afectadas  son  las  de  propiedad  de  Mario</w:t>
        <w:br/>
        <w:t xml:space="preserve">     Galvis[411],  Víctor  Palomino[412],  Margarita  Tilano[413]  y  Olimpo</w:t>
        <w:br/>
        <w:t xml:space="preserve">     Cárdenas[414].</w:t>
        <w:br/>
        <w:br/>
        <w:br/>
        <w:t>282. En relación a lo anterior, como resulta claro que los daños  producidos</w:t>
        <w:br/>
        <w:t xml:space="preserve">     por el lanzamiento  de  una  bomba  de  racimo  en  Santo  Domingo  son</w:t>
        <w:br/>
        <w:t xml:space="preserve">     imputables a la Fuerza Aérea Colombiana,  la  Corte  considera  que  el</w:t>
        <w:br/>
        <w:t xml:space="preserve">     Estado es responsable por la violación del artículo 21 de la Convención</w:t>
        <w:br/>
        <w:t xml:space="preserve">     en relación con 1.1 del mismo instrumento, en perjuicio de  los  dueños</w:t>
        <w:br/>
        <w:t xml:space="preserve">     de las tiendas y viviendas afectadas,  a  saber  Mario  Galvis,  Víctor</w:t>
        <w:br/>
        <w:t xml:space="preserve">     Palomino, Margarita Tilano, María Cenobia Panqueva y Olimpo Cárdenas.</w:t>
        <w:br/>
        <w:br/>
        <w:br/>
        <w:br/>
        <w:br/>
        <w:br/>
        <w:t xml:space="preserve">                                    VII-4</w:t>
        <w:br/>
        <w:br/>
        <w:t xml:space="preserve">                             DERECHO A LA HONRA</w:t>
        <w:br/>
        <w:br/>
        <w:br/>
        <w:br/>
        <w:br/>
        <w:br/>
        <w:br/>
        <w:t xml:space="preserve">      A.    Argumentos de la Comisión y alegatos de las partes</w:t>
        <w:br/>
        <w:br/>
        <w:br/>
        <w:t>283. La Comisión Interamericana no argumentó la violación  del  artículo  11</w:t>
        <w:br/>
        <w:t xml:space="preserve">     de la Convención.</w:t>
        <w:br/>
        <w:br/>
        <w:br/>
        <w:t>284. Los representantes alegaron que “desde la ocurrencia de los hechos y  a</w:t>
        <w:br/>
        <w:t xml:space="preserve">     través de tesis orientadas a desviar la investigación penal se  [tenía]</w:t>
        <w:br/>
        <w:t xml:space="preserve">     la afectación al derecho a la honra y dignidad  de  los  habitantes  de</w:t>
        <w:br/>
        <w:t xml:space="preserve">     Santo Domingo [contenido en el artículo 11.1  de  la  Convención[415]],</w:t>
        <w:br/>
        <w:t xml:space="preserve">     […] con sustento en: i) las reiteradas manifestaciones públicas  de  la</w:t>
        <w:br/>
        <w:t xml:space="preserve">     alta cúpula militar en relación  con  el  bombardeo  a  Santo  Domingo,</w:t>
        <w:br/>
        <w:t xml:space="preserve">     asegurando  que  desde  las  casas  disparaban  contra  los  aviones  y</w:t>
        <w:br/>
        <w:t xml:space="preserve">     sugiriendo con ello que los habitantes de la vereda  pertenecían  a  la</w:t>
        <w:br/>
        <w:t xml:space="preserve">     guerrilla y colaboraban en sus actividades ilegales (esto también a  lo</w:t>
        <w:br/>
        <w:t xml:space="preserve">     largo del proceso penal), y ii) la creación del video “La  Gran  Verdad</w:t>
        <w:br/>
        <w:t xml:space="preserve">     sobre Santo Domingo” que en la actualidad es utilizado como fórmula  de</w:t>
        <w:br/>
        <w:t xml:space="preserve">     estigmatización y desconocimiento de la existencia de la masacre”.  Los</w:t>
        <w:br/>
        <w:t xml:space="preserve">     representantes alegaron también que “las  actividades  desplegadas  por</w:t>
        <w:br/>
        <w:t xml:space="preserve">     los agentes del Estado como fórmulas de impunidad [habían conllevado] a</w:t>
        <w:br/>
        <w:t xml:space="preserve">     la visibilización de Santo Domingo como una vereda colaboradora  de  la</w:t>
        <w:br/>
        <w:t xml:space="preserve">     guerrilla” y que “la percepción pública [había tomado] como  cierta  la</w:t>
        <w:br/>
        <w:t xml:space="preserve">     versión difundida por el Estado según la cual los  responsables  de  la</w:t>
        <w:br/>
        <w:t xml:space="preserve">     masacre fueron las FARC, generando un escenario de  estigmatización  en</w:t>
        <w:br/>
        <w:t xml:space="preserve">     contra de las víctimas que están siendo percibidas como mentirosas”.</w:t>
        <w:br/>
        <w:br/>
        <w:br/>
        <w:t>285.  El  Estado  alegó  que  “no  [discutía]  que  se  [hubiera]  producido</w:t>
        <w:br/>
        <w:t xml:space="preserve">     homicidio y múltiples lesiones de civiles, pero  […]  que  esos  no  le</w:t>
        <w:br/>
        <w:t xml:space="preserve">     [podían] ser imputados en la medida que el  daño  a  la  vida  y  a  la</w:t>
        <w:br/>
        <w:t xml:space="preserve">     integridad personal, y la mayoría de los derechos, era atribuible a  la</w:t>
        <w:br/>
        <w:t xml:space="preserve">     explosión de un carro-bomba por parte de las FARC”. El  Estado  también</w:t>
        <w:br/>
        <w:t xml:space="preserve">     señaló que, en el video “La Gran Verdad sobre Santo Domingo”, “se  hace</w:t>
        <w:br/>
        <w:t xml:space="preserve">     un análisis sobre los sucesos ocurridos en Santo Domingo, estableciendo</w:t>
        <w:br/>
        <w:t xml:space="preserve">     mediante declaraciones de miembros de la Fuerza Pública las  razones  y</w:t>
        <w:br/>
        <w:t xml:space="preserve">     pruebas por las cuáles no es posible imputarle a los agentes  estatales</w:t>
        <w:br/>
        <w:t xml:space="preserve">     las muertes y lesiones de los pobladores sino  a  los  miembros  de  la</w:t>
        <w:br/>
        <w:t xml:space="preserve">     FARC”. Agregó que “narrar que fueron las  FARC  los  causantes  de  los</w:t>
        <w:br/>
        <w:t xml:space="preserve">     fatídicos  hechos   discutidos   […]   no   constituye   per   se   una</w:t>
        <w:br/>
        <w:t xml:space="preserve">     estigmatización de las víctimas”, y que “los  civiles  siempre  se  han</w:t>
        <w:br/>
        <w:t xml:space="preserve">     considerado  como  víctimas  del  conflicto  armado  y  de  la  masacre</w:t>
        <w:br/>
        <w:t xml:space="preserve">     realizada por la guerrilla de las FARC en contra de ellos”.</w:t>
        <w:br/>
        <w:br/>
        <w:br/>
        <w:br/>
        <w:br/>
        <w:br/>
        <w:t>B.    Consideraciones de la Corte</w:t>
        <w:br/>
        <w:br/>
        <w:br/>
        <w:t>286. En relación con el derecho a la honra contenido en el  artículo  11  de</w:t>
        <w:br/>
        <w:t xml:space="preserve">     la Convención, la Corte ha señalado que el  mismo  “reconoce  que  toda</w:t>
        <w:br/>
        <w:t xml:space="preserve">     persona tiene derecho al respeto  de  su  honra,  prohíbe  todo  ataque</w:t>
        <w:br/>
        <w:t xml:space="preserve">     ilegal contra la honra o reputación e impone a los Estados el deber  de</w:t>
        <w:br/>
        <w:t xml:space="preserve">     brindar la protección de la  ley  contra  tales  ataques.  En  términos</w:t>
        <w:br/>
        <w:t xml:space="preserve">     generales, el derecho a la honra se relaciona con  la  estima  y  valía</w:t>
        <w:br/>
        <w:t xml:space="preserve">     propia, mientras que la reputación se refiere a la  opinión  que  otros</w:t>
        <w:br/>
        <w:t xml:space="preserve">     tienen de una persona”[416].  El  Tribunal  ha  declarado  violado  ese</w:t>
        <w:br/>
        <w:t xml:space="preserve">     derecho en casos en los cuales se probó que el Estado había sometido  a</w:t>
        <w:br/>
        <w:t xml:space="preserve">     personas o grupos  de  personas  al  odio,  estigmatización,  desprecio</w:t>
        <w:br/>
        <w:t xml:space="preserve">     público,  persecución  o  discriminación  por  medio  de  declaraciones</w:t>
        <w:br/>
        <w:t xml:space="preserve">     públicas por parte de funcionarios públicos[417].</w:t>
        <w:br/>
        <w:br/>
        <w:br/>
        <w:t>287. En el  presente  caso,  la  Corte  observa  que  no  surge  del  acervo</w:t>
        <w:br/>
        <w:t xml:space="preserve">     probatorio ni de la versión sostenida por el  Estado  que  funcionarios</w:t>
        <w:br/>
        <w:t xml:space="preserve">     públicos promovieran versiones de los hechos del caso en las cuales  se</w:t>
        <w:br/>
        <w:t xml:space="preserve">     consideren a  la  población  de  Santo  Domingo  como  colaboradores  e</w:t>
        <w:br/>
        <w:t xml:space="preserve">     integrantes del grupo guerrillero FARC. Por el  contrario,  la  versión</w:t>
        <w:br/>
        <w:t xml:space="preserve">     sostenida por varios integrantes de la Fuerza Aérea Colombiana y por el</w:t>
        <w:br/>
        <w:t xml:space="preserve">     Estado (supra párr. 195) indican que fue la explosión de un camión rojo</w:t>
        <w:br/>
        <w:t xml:space="preserve">     que  provocó  las  muertes,  los  heridos,  las  destrucciones  y   los</w:t>
        <w:br/>
        <w:t xml:space="preserve">     desplazamientos de las personas que habitaban Santo Domingo. Las reglas</w:t>
        <w:br/>
        <w:t xml:space="preserve">     de la crítica y de la experiencia no permiten inferir que se  estuviese</w:t>
        <w:br/>
        <w:t xml:space="preserve">     promoviendo por parte del Estado la hipótesis de la colaboración con la</w:t>
        <w:br/>
        <w:t xml:space="preserve">     guerrilla por parte de la población de Santo Domingo, cuando  el  mismo</w:t>
        <w:br/>
        <w:t xml:space="preserve">     afirma abiertamente que sería la guerrilla quién habría agredido a  los</w:t>
        <w:br/>
        <w:t xml:space="preserve">     habitantes de Santo Domingo a través de medios de guerra  de  semejante</w:t>
        <w:br/>
        <w:t xml:space="preserve">     crueldad.</w:t>
        <w:br/>
        <w:br/>
        <w:br/>
        <w:t>288. En lo que se refiere a las versiones que se hubiesen  ventilado  en  el</w:t>
        <w:br/>
        <w:t xml:space="preserve">     marco de procesos internos, en este  caso  la  Corte  no  se  pronuncia</w:t>
        <w:br/>
        <w:t xml:space="preserve">     acerca de la responsabilidad internacional de un  Estado  Parte  en  la</w:t>
        <w:br/>
        <w:t xml:space="preserve">     Convención Americana  a  la  luz  de  las  expresiones  utilizadas  por</w:t>
        <w:br/>
        <w:t xml:space="preserve">     imputados en el ejercicio de su derecho de defensa y de otros  derechos</w:t>
        <w:br/>
        <w:t xml:space="preserve">     a las garantías  judiciales  contenidas  en  el  artículo  8  de  dicho</w:t>
        <w:br/>
        <w:t xml:space="preserve">     instrumento.</w:t>
        <w:br/>
        <w:br/>
        <w:br/>
        <w:t>289.  Por  todo  lo  expresado  este  Tribunal  considera  que   no   fueron</w:t>
        <w:br/>
        <w:t xml:space="preserve">     presentados elementos de prueba suficientes para analizar los hechos  a</w:t>
        <w:br/>
        <w:t xml:space="preserve">     la luz del artículo 11 de la Convención Americana.</w:t>
        <w:br/>
        <w:br/>
        <w:br/>
        <w:br/>
        <w:t xml:space="preserve">                                    VIII</w:t>
        <w:br/>
        <w:br/>
        <w:t xml:space="preserve">                                Reparaciones</w:t>
        <w:br/>
        <w:br/>
        <w:br/>
        <w:t xml:space="preserve">          (Aplicación del artículo 63.1 de la Convención Americana)</w:t>
        <w:br/>
        <w:br/>
        <w:br/>
        <w:br/>
        <w:t>290. Con base en lo dispuesto en el artículo 63.1 de la Convención[418],  la</w:t>
        <w:br/>
        <w:t xml:space="preserve">     Corte ha indicado que toda violación de  una  obligación  internacional</w:t>
        <w:br/>
        <w:t xml:space="preserve">     que   haya   producido   daño   comporta   el   deber   de    repararlo</w:t>
        <w:br/>
        <w:t xml:space="preserve">     adecuadamente[419]  y   que   esa   disposición   “recoge   una   norma</w:t>
        <w:br/>
        <w:t xml:space="preserve">     consuetudinaria que constituye uno de los principios fundamentales  del</w:t>
        <w:br/>
        <w:t xml:space="preserve">     Derecho  Internacional  contemporáneo  sobre  responsabilidad   de   un</w:t>
        <w:br/>
        <w:t xml:space="preserve">     Estado”[420].</w:t>
        <w:br/>
        <w:br/>
        <w:br/>
        <w:t>291. Este Tribunal ha establecido que las reparaciones deben tener  un  nexo</w:t>
        <w:br/>
        <w:t xml:space="preserve">     causal con los hechos del caso, las violaciones declaradas,  los  daños</w:t>
        <w:br/>
        <w:t xml:space="preserve">     acreditados, así como con las  medidas  solicitadas  para  reparar  los</w:t>
        <w:br/>
        <w:t xml:space="preserve">     daños respectivos.  Por  lo  tanto,  la  Corte  deberá  observar  dicha</w:t>
        <w:br/>
        <w:t xml:space="preserve">     concurrencia para pronunciarse debidamente y conforme a derecho[421].</w:t>
        <w:br/>
        <w:br/>
        <w:br/>
        <w:t>292. La reparación del daño ocasionado por la infracción de  una  obligación</w:t>
        <w:br/>
        <w:t xml:space="preserve">     internacional requiere, siempre que sea posible, la  plena  restitución</w:t>
        <w:br/>
        <w:t xml:space="preserve">     (restitutio in integrum), que consiste en  el  restablecimiento  de  la</w:t>
        <w:br/>
        <w:t xml:space="preserve">     situación anterior. De no ser esto factible, como ocurre en la  mayoría</w:t>
        <w:br/>
        <w:t xml:space="preserve">     de los casos de violaciones a derechos humanos, el Tribunal determinará</w:t>
        <w:br/>
        <w:t xml:space="preserve">     medidas  para  garantizar  los  derechos  conculcados  y  reparar   las</w:t>
        <w:br/>
        <w:t xml:space="preserve">     consecuencias que las infracciones produjeron[422]. Por tanto, la Corte</w:t>
        <w:br/>
        <w:t xml:space="preserve">     ha considerado la necesidad de otorgar diversas medidas de  reparación,</w:t>
        <w:br/>
        <w:t xml:space="preserve">     a fin de resarcir los daños de manera integral, por lo  que  además  de</w:t>
        <w:br/>
        <w:t xml:space="preserve">     las   compensaciones   pecuniarias,   las   medidas   de   restitución,</w:t>
        <w:br/>
        <w:t xml:space="preserve">     satisfacción y garantías de no repetición  tienen  especial  relevancia</w:t>
        <w:br/>
        <w:t xml:space="preserve">     por los daños ocasionados[423].</w:t>
        <w:br/>
        <w:br/>
        <w:br/>
        <w:t>293. En consecuencia, y sin perjuicio de cualquier forma de  reparación  que</w:t>
        <w:br/>
        <w:t xml:space="preserve">     se acuerde posteriormente entre el Estado y las víctimas de la  masacre</w:t>
        <w:br/>
        <w:t xml:space="preserve">     de Santo Domingo, en consideración de las violaciones a  la  Convención</w:t>
        <w:br/>
        <w:t xml:space="preserve">     Americana declaradas en esta Sentencia el Tribunal procederá a disponer</w:t>
        <w:br/>
        <w:t xml:space="preserve">     las medidas dirigidas a  reparar  los  daños  ocasionados.  Para  ello,</w:t>
        <w:br/>
        <w:t xml:space="preserve">     tomará en cuenta las pretensiones de la Comisión y los  representantes,</w:t>
        <w:br/>
        <w:t xml:space="preserve">     así como los argumentos del Estado, a la luz de los  criterios  fijados</w:t>
        <w:br/>
        <w:t xml:space="preserve">     en la jurisprudencia de la  Corte  en  relación  con  la  naturaleza  y</w:t>
        <w:br/>
        <w:t xml:space="preserve">     alcance de la obligación de reparar[424].</w:t>
        <w:br/>
        <w:br/>
        <w:br/>
        <w:br/>
        <w:br/>
        <w:br/>
        <w:br/>
        <w:t xml:space="preserve">      A.     Parte Lesionada</w:t>
        <w:br/>
        <w:br/>
        <w:br/>
        <w:t>294. La Corte considera como “parte lesionada”, conforme  al  artículo  63.1</w:t>
        <w:br/>
        <w:t xml:space="preserve">     de la Convención Americana, a las personas señaladas  en  los  párrafos</w:t>
        <w:br/>
        <w:t xml:space="preserve">     247, 268, y 282 y en los anexos I, II, y III de esta Sentencia,  en  su</w:t>
        <w:br/>
        <w:t xml:space="preserve">     carácter de víctimas de las violaciones declaradas en la misma, por  lo</w:t>
        <w:br/>
        <w:t xml:space="preserve">     que serán considerados beneficiarios de las reparaciones que ordene  el</w:t>
        <w:br/>
        <w:t xml:space="preserve">     Tribunal[425]. Del mismo modo, la Corte ha señalado que  las  presuntas</w:t>
        <w:br/>
        <w:t xml:space="preserve">     víctimas deben estar señaladas en el informe de fondo  de  la  Comisión</w:t>
        <w:br/>
        <w:t xml:space="preserve">     Interamericana[426]  y  observa  que  24  personas  señaladas  por  los</w:t>
        <w:br/>
        <w:t xml:space="preserve">     representantes como familiares de las víctimas no están comprendidos en</w:t>
        <w:br/>
        <w:t xml:space="preserve">     el Informe de fondo dictado por la Comisión en este caso. Sin  embargo,</w:t>
        <w:br/>
        <w:t xml:space="preserve">     de esas 24 personas, seis familiares de dos de las víctimas  fallecidas</w:t>
        <w:br/>
        <w:t xml:space="preserve">     fueron reparados en la vía contencioso administrativa[427], por lo cual</w:t>
        <w:br/>
        <w:t xml:space="preserve">     es posible entender que el Estado los reconoció como víctimas.  De  tal</w:t>
        <w:br/>
        <w:t xml:space="preserve">     manera, la Corte estima que no corresponde considerar como víctimas  ni</w:t>
        <w:br/>
        <w:t xml:space="preserve">     como parte lesionada a  18  personas  presentadas  como  familiares  de</w:t>
        <w:br/>
        <w:t xml:space="preserve">     víctimas por los representantes[428], sin perjuicio de las reparaciones</w:t>
        <w:br/>
        <w:t xml:space="preserve">     que a nivel interno pudieran corresponderles.</w:t>
        <w:br/>
        <w:br/>
        <w:br/>
        <w:br/>
        <w:br/>
        <w:br/>
        <w:br/>
        <w:t xml:space="preserve">      B.     Obligación de investigar</w:t>
        <w:br/>
        <w:br/>
        <w:br/>
        <w:t>295. La Comisión solicitó a la Corte que ordene al Estado, “llevar  adelante</w:t>
        <w:br/>
        <w:t xml:space="preserve">     una investigación imparcial, exhaustiva y dentro de un plazo  razonable</w:t>
        <w:br/>
        <w:t xml:space="preserve">     con el fin de juzgar y sancionar a todos los responsables materiales  e</w:t>
        <w:br/>
        <w:t xml:space="preserve">     intelectuales de las violaciones de derechos humanos declaradas en  [el</w:t>
        <w:br/>
        <w:t xml:space="preserve">     Informe de Fondo]”[429]. Por su lado, los  representantes  coincidieron</w:t>
        <w:br/>
        <w:t xml:space="preserve">     con lo solicitado y señalaron que se ordene al  Estado  garantizar  “el</w:t>
        <w:br/>
        <w:t xml:space="preserve">     acceso a la justicia de los familiares de las  víctimas  de  […]  Santo</w:t>
        <w:br/>
        <w:t xml:space="preserve">     Domingo mediante el desarrollo de un proceso judicial serio  y  eficaz,</w:t>
        <w:br/>
        <w:t xml:space="preserve">     dirigido a investigar,  juzgar  y  sancionar  proporcionalmente  a  los</w:t>
        <w:br/>
        <w:t xml:space="preserve">     autores materiales e intelectuales del bombardeo [de] 13  de  diciembre</w:t>
        <w:br/>
        <w:t xml:space="preserve">     de 1998, el posterior ametrallamiento a los sobrevivientes,  los  actos</w:t>
        <w:br/>
        <w:t xml:space="preserve">     de pillaje y saqueo a las viviendas y la posterior  estigmatización  de</w:t>
        <w:br/>
        <w:t xml:space="preserve">     las víctimas y actos destinados a desviar la investigación”[430].</w:t>
        <w:br/>
        <w:br/>
        <w:br/>
        <w:t>296. Por su parte el Estado indicó de forma genérica que el artículo 149  de</w:t>
        <w:br/>
        <w:t xml:space="preserve">     la Ley 1448  de  2011  (Ley  de  Víctimas)  incluye  la  aplicación  de</w:t>
        <w:br/>
        <w:t xml:space="preserve">     sanciones  a  los  responsables   de   las   violaciones   al   derecho</w:t>
        <w:br/>
        <w:t xml:space="preserve">     internacional humanitario.</w:t>
        <w:br/>
        <w:br/>
        <w:br/>
        <w:t>297. Con respecto a la obligación de investigar, esta Corte  señala  que  no</w:t>
        <w:br/>
        <w:t xml:space="preserve">     fueron declaradas violaciones  en  relación  con  los  derechos  a  las</w:t>
        <w:br/>
        <w:t xml:space="preserve">     garantías judiciales y a la protección judicial (supra párr. 173).  Sin</w:t>
        <w:br/>
        <w:t xml:space="preserve">     perjuicio de ello, según fue indicado (supra párr. 163  e  infra  Punto</w:t>
        <w:br/>
        <w:t xml:space="preserve">     Resolutivo 7), bajo la obligación general contenida en el artículo 1.1.</w:t>
        <w:br/>
        <w:t xml:space="preserve">     de la  Convención  el  Estado  debe  continuar  las  investigaciones  y</w:t>
        <w:br/>
        <w:t xml:space="preserve">     procesos administrativos y judiciales en curso y  continuar  las  demás</w:t>
        <w:br/>
        <w:t xml:space="preserve">     que  correspondan  a  efectos  de   determinar   los   hechos   y   las</w:t>
        <w:br/>
        <w:t xml:space="preserve">     responsabilidades.</w:t>
        <w:br/>
        <w:br/>
        <w:br/>
        <w:br/>
        <w:br/>
        <w:br/>
        <w:br/>
        <w:t xml:space="preserve">      C. Medidas de satisfacción, rehabilitación, restitución y garantías de</w:t>
        <w:br/>
        <w:t xml:space="preserve">      no repetición</w:t>
        <w:br/>
        <w:br/>
        <w:br/>
        <w:t>298. La Comisión solicitó genéricamente a la Corte  que  ordene  al  Estado,</w:t>
        <w:br/>
        <w:t xml:space="preserve">     “establecer, con la participación  de  la  comunidad  en  su  diseño  e</w:t>
        <w:br/>
        <w:t xml:space="preserve">     implementación, una medida de reparación comunitaria que  reconozca  el</w:t>
        <w:br/>
        <w:t xml:space="preserve">     impacto que tuvo el bombardeo sobre la población civil de la vereda  de</w:t>
        <w:br/>
        <w:t xml:space="preserve">     Santo Domingo para remediar las graves y duraderas  consecuencias  para</w:t>
        <w:br/>
        <w:t xml:space="preserve">     la comunidad como tal y que tome en cuenta iniciativas de desarrollo en</w:t>
        <w:br/>
        <w:t xml:space="preserve">     temas  como  salud,  vivienda   y   educación”,   así   como   “reparar</w:t>
        <w:br/>
        <w:t xml:space="preserve">     adecuadamente las violaciones de derechos  humanos  declaradas  [en  el</w:t>
        <w:br/>
        <w:t xml:space="preserve">     Informe de Fondo] tanto en el aspecto material como moral incluyendo el</w:t>
        <w:br/>
        <w:t xml:space="preserve">     establecimiento y difusión de la verdad de los hechos, la  recuperación</w:t>
        <w:br/>
        <w:t xml:space="preserve">     de la memoria de las víctimas fallecidas  y  la  implementación  de  un</w:t>
        <w:br/>
        <w:t xml:space="preserve">     programa  adecuado   de   atención   psicosocial   a   los   familiares</w:t>
        <w:br/>
        <w:t xml:space="preserve">     sobrevivientes”.</w:t>
        <w:br/>
        <w:br/>
        <w:br/>
        <w:t xml:space="preserve">           C.1. Medidas de satisfacción</w:t>
        <w:br/>
        <w:br/>
        <w:br/>
        <w:t>a) Acto público de reconocimiento de responsabilidad</w:t>
        <w:br/>
        <w:br/>
        <w:br/>
        <w:t>299.  Los  representantes  solicitaron  la  realización  de  un  “[a]cto  de</w:t>
        <w:br/>
        <w:t xml:space="preserve">     reconocimiento público a cargo del Estado, [e]n  el  que  se  asuma  la</w:t>
        <w:br/>
        <w:t xml:space="preserve">     responsabilidad por  acción  (responsabilidad  de  sus  agentes  en  la</w:t>
        <w:br/>
        <w:t xml:space="preserve">     ejecución del bombardeo, desplazamiento forzado  y  obstrucción  de  la</w:t>
        <w:br/>
        <w:t xml:space="preserve">     investigación penal) y por omisión  (no  adopción  de  las  medidas  de</w:t>
        <w:br/>
        <w:t xml:space="preserve">     protección de la población civil, falta de  debida  diligencia  en  las</w:t>
        <w:br/>
        <w:t xml:space="preserve">     investigaciones penales) en los hechos cometidos contra la población de</w:t>
        <w:br/>
        <w:t xml:space="preserve">     Santo Domingo el 13 de diciembre de 1998 y sucesivos”[431]. La Comisión</w:t>
        <w:br/>
        <w:t xml:space="preserve">     no presentó  alegatos  específicos  en  relación  con  esta  medida  de</w:t>
        <w:br/>
        <w:t xml:space="preserve">     reparación.</w:t>
        <w:br/>
        <w:br/>
        <w:br/>
        <w:t>300. En cuanto a las medidas de rehabilitación y  satisfacción  solicitadas,</w:t>
        <w:br/>
        <w:t xml:space="preserve">     el Estado indicó genéricamente que los artículos 141 a 143  de  la  Ley</w:t>
        <w:br/>
        <w:t xml:space="preserve">     1448 de 2011 (Ley de Víctimas), se refieren a la  reparación  simbólica</w:t>
        <w:br/>
        <w:t xml:space="preserve">     de las  víctimas,  la  creación  del  día  nacional  de  la  memoria  y</w:t>
        <w:br/>
        <w:t xml:space="preserve">     solidaridad con las víctimas (9 de abril de cada año)  y  el  deber  de</w:t>
        <w:br/>
        <w:t xml:space="preserve">     memoria del Estado,  como  garantías  de  reparación  integral  de  las</w:t>
        <w:br/>
        <w:t xml:space="preserve">     víctimas, por lo que las  medidas  de  satisfacción,  rehabilitación  y</w:t>
        <w:br/>
        <w:t xml:space="preserve">     garantías de no repetición de las presuntas víctimas no son necesarias,</w:t>
        <w:br/>
        <w:t xml:space="preserve">     en tanto que el Estado ya inició el proceso de  reparación  integral  a</w:t>
        <w:br/>
        <w:t xml:space="preserve">     las víctimas de violación de los  derechos  humanos  protegidos  en  la</w:t>
        <w:br/>
        <w:t xml:space="preserve">     Convención Americana[432]. En relación a las  medidas  de  satisfacción</w:t>
        <w:br/>
        <w:t xml:space="preserve">     dirigidas a obtener el  reconocimiento  público  de  responsabilidad  a</w:t>
        <w:br/>
        <w:t xml:space="preserve">     cargo del Estado y la recuperación de la memoria, el Estado dirigió  la</w:t>
        <w:br/>
        <w:t xml:space="preserve">     atención al artículo 139 de la Ley 1448 de 2011 en la cual  se  dispone</w:t>
        <w:br/>
        <w:t xml:space="preserve">     que “[e]l Gobierno  Nacional,  a  través  del  Plan  Nacional  para  la</w:t>
        <w:br/>
        <w:t xml:space="preserve">     Atención y Reparación Integral a  las  Víctimas,  deberá  realizar  las</w:t>
        <w:br/>
        <w:t xml:space="preserve">     acciones tendientes a restablecer la dignidad de la víctima y  difundir</w:t>
        <w:br/>
        <w:t xml:space="preserve">     la verdad sobre  lo  sucedido,  de  acuerdo  a  los  objetivos  de  las</w:t>
        <w:br/>
        <w:t xml:space="preserve">     entidades que conforman el Sistema Nacional de Atención y Reparación  a</w:t>
        <w:br/>
        <w:t xml:space="preserve">     las Víctimas. […]Las medidas de satisfacción deberán ser  interpretadas</w:t>
        <w:br/>
        <w:t xml:space="preserve">     a mero título enunciativo, lo cual implica que a las mismas  se  pueden</w:t>
        <w:br/>
        <w:t xml:space="preserve">     adicionar otras a. Reconocimiento público del carácter de  víctima,  de</w:t>
        <w:br/>
        <w:t xml:space="preserve">     su dignidad, nombre y honor, ante la comunidad y  el  ofensor;  […]  c.</w:t>
        <w:br/>
        <w:t xml:space="preserve">     Realización de actos conmemorativos; d. Realización de  reconocimientos</w:t>
        <w:br/>
        <w:t xml:space="preserve">     públicos[, y] e. Realización de homenajes públicos […]”[433].</w:t>
        <w:br/>
        <w:br/>
        <w:br/>
        <w:t>301. La  Corte  nota  que  el  Estado  se  refirió  a  normatividad  interna</w:t>
        <w:br/>
        <w:t xml:space="preserve">     colombiana mediante la cual se dispone que el  Estado  deberá  realizar</w:t>
        <w:br/>
        <w:t xml:space="preserve">     acciones tendientes a restablecer la dignidad de la víctima, entre  las</w:t>
        <w:br/>
        <w:t xml:space="preserve">     cuales se encuentran  las  medidas  de  satisfacción  como  la  que  se</w:t>
        <w:br/>
        <w:t xml:space="preserve">     solicita. En ese sentido, el Tribunal  valora  la  existencia  de  esas</w:t>
        <w:br/>
        <w:t xml:space="preserve">     disposiciones de derecho interno, sin perjuicio de lo cual  estima  que</w:t>
        <w:br/>
        <w:t xml:space="preserve">     en el presente caso  procede  ordenar  la  medida  solicitada  por  los</w:t>
        <w:br/>
        <w:t xml:space="preserve">     representantes. Por  tanto,  la  Corte,  como  lo  ha  hecho  en  otros</w:t>
        <w:br/>
        <w:t xml:space="preserve">     casos[434], ordena al Estado realizar un acto público de reconocimiento</w:t>
        <w:br/>
        <w:t xml:space="preserve">     de responsabilidad internacional en el cual se haga  referencia  a  los</w:t>
        <w:br/>
        <w:t xml:space="preserve">     hechos del caso y a la responsabilidad declarada en los términos de  la</w:t>
        <w:br/>
        <w:t xml:space="preserve">     presente Sentencia. El acto deberá ser transmitido a través  de  medios</w:t>
        <w:br/>
        <w:t xml:space="preserve">     de comunicación televisivos y/o radiales y deberá  tener  lugar  dentro</w:t>
        <w:br/>
        <w:t xml:space="preserve">     del plazo de 6 meses/un año contado a partir de la notificación  de  la</w:t>
        <w:br/>
        <w:t xml:space="preserve">     presente Sentencia. De igual forma, por las características específicas</w:t>
        <w:br/>
        <w:t xml:space="preserve">     del  presente  caso,  y  en  aras  de  crear   conciencia   sobre   las</w:t>
        <w:br/>
        <w:t xml:space="preserve">     consecuencias  de  los  hechos  del   mismo,   en   dicho   evento   de</w:t>
        <w:br/>
        <w:t xml:space="preserve">     reconocimiento deberán estar presentes altos funcionarios estatales.</w:t>
        <w:br/>
        <w:br/>
        <w:br/>
        <w:t>302. La realización y particularidades de dicho acto deberán  acordarse  con</w:t>
        <w:br/>
        <w:t xml:space="preserve">     las víctimas y sus representantes dentro de los seis meses  posteriores</w:t>
        <w:br/>
        <w:t xml:space="preserve">     a la notificación  de  esta  Sentencia.  Dado  que  los  representantes</w:t>
        <w:br/>
        <w:t xml:space="preserve">     alegaron que no todas las víctimas  residen  en  el  caserío  de  Santo</w:t>
        <w:br/>
        <w:t xml:space="preserve">     Domingo, lo cual no  fue  controvertido  por  el  Estado,  éste  deberá</w:t>
        <w:br/>
        <w:t xml:space="preserve">     garantizar la presencia de las víctimas que no residan en el caserío de</w:t>
        <w:br/>
        <w:t xml:space="preserve">     Santo Domingo y que deseen asistir a dicho acto, para  lo  cual  deberá</w:t>
        <w:br/>
        <w:t xml:space="preserve">     sufragar los gastos de transporte necesarios.</w:t>
        <w:br/>
        <w:br/>
        <w:br/>
        <w:t>b)    Publicaciones</w:t>
        <w:br/>
        <w:br/>
        <w:br/>
        <w:t>303. Si bien no fue solicitado por los  representantes  y  la  Comisión,  la</w:t>
        <w:br/>
        <w:t xml:space="preserve">     Corte  considera  pertinente  disponer,  como  lo  ha  hecho  en  otros</w:t>
        <w:br/>
        <w:t xml:space="preserve">     casos[435], que el Estado publique, en un plazo de seis meses,  contado</w:t>
        <w:br/>
        <w:t xml:space="preserve">     a partir de la notificación de la presente  Sentencia:  a)  el  resumen</w:t>
        <w:br/>
        <w:t xml:space="preserve">     oficial de la presente Sentencia elaborado por la Corte, por  una  sola</w:t>
        <w:br/>
        <w:t xml:space="preserve">     vez en el  diario  oficial;  b)  el  resumen  oficial  de  la  presente</w:t>
        <w:br/>
        <w:t xml:space="preserve">     Sentencia elaborado por la Corte, por una sola vez,  en  un  diario  de</w:t>
        <w:br/>
        <w:t xml:space="preserve">     amplia  circulación  nacional,  y  c)  la  presente  Sentencia  en   su</w:t>
        <w:br/>
        <w:t xml:space="preserve">     integridad, disponible por un período  de  un  año,  en  un  sitio  web</w:t>
        <w:br/>
        <w:t xml:space="preserve">     oficial.</w:t>
        <w:br/>
        <w:br/>
        <w:br/>
        <w:t xml:space="preserve">           C.2. Medidas de rehabilitación</w:t>
        <w:br/>
        <w:br/>
        <w:br/>
        <w:t>304. Los  representantes  solicitaron  a  la  Corte  que  ordene  al  Estado</w:t>
        <w:br/>
        <w:t xml:space="preserve">     “otorgar  a  las  víctimas  y  a  sus  familiares  atención  médica   y</w:t>
        <w:br/>
        <w:t xml:space="preserve">     psicológica, que sea brindada gratuitamente y  de  forma  inmediata,  a</w:t>
        <w:br/>
        <w:t xml:space="preserve">     través  de  sus  instituciones  de   salud,   estatales   o   privadas,</w:t>
        <w:br/>
        <w:t xml:space="preserve">     especializadas en la atención  de  víctimas  de  hechos  de  violencia,</w:t>
        <w:br/>
        <w:t xml:space="preserve">     tratamiento médico y psicológico requerido por las víctimas, de  manera</w:t>
        <w:br/>
        <w:t xml:space="preserve">     que se les brinden tratamientos colectivos, familiares e  individuales,</w:t>
        <w:br/>
        <w:t xml:space="preserve">     previo  dolencias  que  presentan  tales  personas  asegurando  que  se</w:t>
        <w:br/>
        <w:t xml:space="preserve">     proporcione  el  tratamiento  más  adecuado   y   efectivo”[436].   Los</w:t>
        <w:br/>
        <w:t xml:space="preserve">     representantes aclararon que la atención médica  y  psicológica  a  las</w:t>
        <w:br/>
        <w:t xml:space="preserve">     víctimas  debe  ser  implementada   también   desde   una   perspectiva</w:t>
        <w:br/>
        <w:t xml:space="preserve">     psicosocial por  las  violaciones  que  fueron  declaradas  y  por  las</w:t>
        <w:br/>
        <w:t xml:space="preserve">     consecuencias que hoy se siguen generando[437]. La Comisión no presentó</w:t>
        <w:br/>
        <w:t xml:space="preserve">     alegatos específicos en relación con esta medida de reparación.</w:t>
        <w:br/>
        <w:br/>
        <w:br/>
        <w:t>305. El Estado indicó que en  cuanto  a  las  medidas  de  rehabilitación  y</w:t>
        <w:br/>
        <w:t xml:space="preserve">     satisfacción solicitadas, el artículo 137 y siguientes de la  Ley  1448</w:t>
        <w:br/>
        <w:t xml:space="preserve">     (Ley de Víctimas), creó el programa de  atención  psicosocial  y  salud</w:t>
        <w:br/>
        <w:t xml:space="preserve">     integral a víctimas.  Del  mismo  modo,  se  refirió  a  los  programas</w:t>
        <w:br/>
        <w:t xml:space="preserve">     sociales denominados “La estrategia UNIDOS” y “Familias en acción”,  el</w:t>
        <w:br/>
        <w:t xml:space="preserve">     primero congrega a 21 entidades del Estado en la provisión de servicios</w:t>
        <w:br/>
        <w:t xml:space="preserve">     básicos, con los que el Gobierno Nacional espera que las  familias  más</w:t>
        <w:br/>
        <w:t xml:space="preserve">     pobres, incluyendo aquellas que se han visto forzadas  a  abandonar  su</w:t>
        <w:br/>
        <w:t xml:space="preserve">     lugar de residencia, superen su situación de pobreza[438].  Además,  el</w:t>
        <w:br/>
        <w:t xml:space="preserve">     Estado también señaló que se  había  prestado  la  atención  médica  de</w:t>
        <w:br/>
        <w:t xml:space="preserve">     urgencia a las personas heridas en Santo Domingo.</w:t>
        <w:br/>
        <w:br/>
        <w:br/>
        <w:t>306. El Estado también alegó que “tan pronto se presentaron los hechos y  el</w:t>
        <w:br/>
        <w:t xml:space="preserve">     posterior desplazamiento, el entonces Gobernador  del  Departamento  de</w:t>
        <w:br/>
        <w:t xml:space="preserve">     Arauca citó a un consejo de Gabinete y delegó a un  funcionario  de  la</w:t>
        <w:br/>
        <w:t xml:space="preserve">     Secretaría de Gobierno para que atendiera  directamente  la  situación.</w:t>
        <w:br/>
        <w:t xml:space="preserve">     Éste se dirigió de manera inmediata a Tame y  en  coordinación  con  el</w:t>
        <w:br/>
        <w:t xml:space="preserve">     Alcalde de dicho municipio prestaron la atención humanitaria inicial de</w:t>
        <w:br/>
        <w:t xml:space="preserve">     emergencia a la población que se había movilizado desde Santo  Domingo.</w:t>
        <w:br/>
        <w:t xml:space="preserve">     Además, la ayuda humanitaria de emergencia se  extendió  hasta  los  20</w:t>
        <w:br/>
        <w:t xml:space="preserve">     días posteriores al 13 de diciembre de 1998 y además  de  alimentación,</w:t>
        <w:br/>
        <w:t xml:space="preserve">     incluyó alojamiento y vestuario”[439].</w:t>
        <w:br/>
        <w:br/>
        <w:br/>
        <w:t>307. En primer lugar, la Corte valora las iniciativas estatales de  carácter</w:t>
        <w:br/>
        <w:t xml:space="preserve">     general relacionadas con los sistemas de atención pública de la  salud.</w:t>
        <w:br/>
        <w:t xml:space="preserve">     Sin perjuicio de  ello,  considera  pertinente  señalar  que  no  puede</w:t>
        <w:br/>
        <w:t xml:space="preserve">     confundirse la prestación de  los  servicios  sociales  que  el  Estado</w:t>
        <w:br/>
        <w:t xml:space="preserve">     brinda a los individuos con las reparaciones a las que  tienen  derecho</w:t>
        <w:br/>
        <w:t xml:space="preserve">     las víctimas de violaciones de derechos  humanos,  en  razón  del  daño</w:t>
        <w:br/>
        <w:t xml:space="preserve">     específico generado por la violación[440].</w:t>
        <w:br/>
        <w:br/>
        <w:br/>
        <w:t>308. Por otro lado, el Tribunal considera que, aunque el Estado precisó  que</w:t>
        <w:br/>
        <w:t xml:space="preserve">     a las personas que resultaron heridas a causa de los  hechos  ocurridos</w:t>
        <w:br/>
        <w:t xml:space="preserve">     en Santo Domingo el 13 de diciembre de 1998 se les prestó  la  atención</w:t>
        <w:br/>
        <w:t xml:space="preserve">     médica necesaria, mediante la red pública hospitalaria colombiana,  las</w:t>
        <w:br/>
        <w:t xml:space="preserve">     historias clínicas aportadas por el Estado no permiten  confirmar  esta</w:t>
        <w:br/>
        <w:t xml:space="preserve">     afirmación, puesto que todas se refieren a la atención médica  brindada</w:t>
        <w:br/>
        <w:t xml:space="preserve">     el 13 de diciembre de 1998 o en  los  días  siguientes  pero  no  hacen</w:t>
        <w:br/>
        <w:t xml:space="preserve">     referencia a un tratamiento que se hubiese prolongado en el  tiempo  de</w:t>
        <w:br/>
        <w:t xml:space="preserve">     acuerdo a las particularidades concretas de cada víctima.</w:t>
        <w:br/>
        <w:br/>
        <w:br/>
        <w:t>309. Por esta razón, y constatando las violaciones y los daños sufridos  por</w:t>
        <w:br/>
        <w:t xml:space="preserve">     las víctimas, tal como lo  ha  hecho  en  otros  casos[441],  la  Corte</w:t>
        <w:br/>
        <w:t xml:space="preserve">     considera necesario ordenar medidas de rehabilitación  en  el  presente</w:t>
        <w:br/>
        <w:t xml:space="preserve">     caso. En este sentido, el Estado debe brindar gratuitamente,  a  través</w:t>
        <w:br/>
        <w:t xml:space="preserve">     de sus instituciones de salud especializadas, y  de  forma  adecuada  y</w:t>
        <w:br/>
        <w:t xml:space="preserve">     efectiva,  la  atención  y  el  tratamiento   médico,   psicológico   o</w:t>
        <w:br/>
        <w:t xml:space="preserve">     psicosocial a las víctimas y  los  familiares  que  así  lo  soliciten,</w:t>
        <w:br/>
        <w:t xml:space="preserve">     previo consentimiento informado, incluyendo el suministro  gratuito  de</w:t>
        <w:br/>
        <w:t xml:space="preserve">     los medicamentos y exámenes que eventualmente se requieran, tomando  en</w:t>
        <w:br/>
        <w:t xml:space="preserve">     consideración los padecimientos de cada uno  de  ellos.  Asimismo,  los</w:t>
        <w:br/>
        <w:t xml:space="preserve">     tratamientos respectivos deberán prestarse, en la medida de lo posible,</w:t>
        <w:br/>
        <w:t xml:space="preserve">     en los centros más cercanos a sus lugares  de  residencia[442]  por  el</w:t>
        <w:br/>
        <w:t xml:space="preserve">     tiempo que sea necesario.  Al  proveer  el  tratamiento  psicológico  o</w:t>
        <w:br/>
        <w:t xml:space="preserve">     psicosocial  se  debe  considerar,   además,   las   circunstancias   y</w:t>
        <w:br/>
        <w:t xml:space="preserve">     necesidades particulares de cada víctima, de manera que se les  brinden</w:t>
        <w:br/>
        <w:t xml:space="preserve">     tratamientos colectivos, familiares e individuales,  según  lo  que  se</w:t>
        <w:br/>
        <w:t xml:space="preserve">     acuerde  con  cada  una  de  ellas  y   después   de   una   evaluación</w:t>
        <w:br/>
        <w:t xml:space="preserve">     individual[443].</w:t>
        <w:br/>
        <w:br/>
        <w:br/>
        <w:t xml:space="preserve">           C.3.   Otras medidas solicitadas</w:t>
        <w:br/>
        <w:br/>
        <w:br/>
        <w:t>310. La Comisión recomendó al Estado “reparar a los niños y niñas  afectados</w:t>
        <w:br/>
        <w:t xml:space="preserve">     por el bombardeo sobre la vereda de Santo Domingo a través  de  medidas</w:t>
        <w:br/>
        <w:t xml:space="preserve">     en las que prevalezca el interés superior del niño, el  respeto  de  su</w:t>
        <w:br/>
        <w:t xml:space="preserve">     dignidad, el derecho de participación de las niñas y niños, así como el</w:t>
        <w:br/>
        <w:t xml:space="preserve">     respeto de sus opiniones en el proceso de diseño  e  implementación  de</w:t>
        <w:br/>
        <w:t xml:space="preserve">     las medidas de reparación”. Los representantes no presentaron  alegatos</w:t>
        <w:br/>
        <w:t xml:space="preserve">     al respecto. Por su parte, el Estado indicó que había restado la  ayuda</w:t>
        <w:br/>
        <w:t xml:space="preserve">     humanitaria de  emergencia  a  la  población”,  que  “fueron  adoptadas</w:t>
        <w:br/>
        <w:t xml:space="preserve">     medidas para la reconstrucción de Santo Domingo  y el  mejoramiento  de</w:t>
        <w:br/>
        <w:t xml:space="preserve">     sus viviendas” (supra párr. 264), y que “también se le brindó una ayuda</w:t>
        <w:br/>
        <w:t xml:space="preserve">     equivalente a 5.000.000 pesos colombianos a los sujetos que acreditaron</w:t>
        <w:br/>
        <w:t xml:space="preserve">     la calidad de huérfanos por los hechos ocurridos el 13 de diciembre  de</w:t>
        <w:br/>
        <w:t xml:space="preserve">     1998 en dicho caserío”.  Concluyó  señalando  que  todas  esas  medidas</w:t>
        <w:br/>
        <w:t xml:space="preserve">     beneficiaron de manera directa a los niños y niñas sobrevivientes.</w:t>
        <w:br/>
        <w:br/>
        <w:br/>
        <w:t>311. En relación con esta medida de reparación, la Corte  considera  que  no</w:t>
        <w:br/>
        <w:t xml:space="preserve">     queda claro el objeto de lo solicitado por la Comisión.</w:t>
        <w:br/>
        <w:br/>
        <w:br/>
        <w:t>312. Los representantes solicitaron a la Corte  que  ordene  al  Estado  que</w:t>
        <w:br/>
        <w:t xml:space="preserve">     “produzca  un  material  audiovisual  (película   o   documental)   que</w:t>
        <w:br/>
        <w:t xml:space="preserve">     reconstruya en consulta con las víctimas y  sus  representantes,  y  de</w:t>
        <w:br/>
        <w:t xml:space="preserve">     conformidad con la  Sentencia  de  la  Corte,  los  hechos  del  caso”.</w:t>
        <w:br/>
        <w:t xml:space="preserve">     Señalaron asimismo que el cumplimiento de esta medida sería  parte  “de</w:t>
        <w:br/>
        <w:t xml:space="preserve">     una campaña pública que visibilice la condición de población  civil  de</w:t>
        <w:br/>
        <w:t xml:space="preserve">     las víctimas de la masacre y contrarreste  la  estigmatización  [de  la</w:t>
        <w:br/>
        <w:t xml:space="preserve">     cual] fueron objeto como supuestos guerrilleros o colaboradores  de  la</w:t>
        <w:br/>
        <w:t xml:space="preserve">     insurgencia”[444]. La Comisión  no  presentó  alegatos  específicos  en</w:t>
        <w:br/>
        <w:t xml:space="preserve">     relación  con  esta  medida  de  reparación.  El  Estado   se   refirió</w:t>
        <w:br/>
        <w:t xml:space="preserve">     genéricamente al artículo 149 de la Ley 1448 de 2011 (Ley de  Víctimas)</w:t>
        <w:br/>
        <w:t xml:space="preserve">     y señaló que había adoptado medidas  jurídicas,  administrativas  y  de</w:t>
        <w:br/>
        <w:t xml:space="preserve">     otra índole para evitar que se repitan los hechos, dentro de los cuales</w:t>
        <w:br/>
        <w:t xml:space="preserve">     se encuentran la verificación de los hechos y  la  difusión  pública  y</w:t>
        <w:br/>
        <w:t xml:space="preserve">     completa de la verdad, en la  medida  en  que  no  provoque  más  daños</w:t>
        <w:br/>
        <w:t xml:space="preserve">     innecesarios a la víctima, los testigos u otras personas,  ni  cree  un</w:t>
        <w:br/>
        <w:t xml:space="preserve">     peligro para su seguridad.</w:t>
        <w:br/>
        <w:br/>
        <w:br/>
        <w:t>313. Con respecto a esta solicitud, la Corte recuerda que no fue  demostrada</w:t>
        <w:br/>
        <w:t xml:space="preserve">     la alegada violación del derecho al honor de las víctimas de los hechos</w:t>
        <w:br/>
        <w:t xml:space="preserve">     de Santo Domingo, por lo que no estima  pertinente  ordenar  la  medida</w:t>
        <w:br/>
        <w:t xml:space="preserve">     solicitada.</w:t>
        <w:br/>
        <w:br/>
        <w:br/>
        <w:t>314. Los  representantes  solicitaron  a  la  Corte  que  ordene  al  Estado</w:t>
        <w:br/>
        <w:t xml:space="preserve">     garantizar la vida e integridad personal de todas aquellas víctimas que</w:t>
        <w:br/>
        <w:t xml:space="preserve">     vienen participando durante el trámite del proceso y con  posterioridad</w:t>
        <w:br/>
        <w:t xml:space="preserve">     a la sentencia que emita el Tribunal. Agregaron  “[e]specíficamente  en</w:t>
        <w:br/>
        <w:t xml:space="preserve">     lo que tiene que ver con garantías para la participación en el  proceso</w:t>
        <w:br/>
        <w:t xml:space="preserve">     penal, tomando en cuenta el asesinato de Ángel Trifilo (testigo  de  la</w:t>
        <w:br/>
        <w:t xml:space="preserve">     masacre y los hechos posteriores),  así  como  los  hechos  que  fueron</w:t>
        <w:br/>
        <w:t xml:space="preserve">     informados por los representantes a la Corte a través  de  comunicación</w:t>
        <w:br/>
        <w:t xml:space="preserve">     del 30 de mayo de 2012 relacionados por presiones y  hostigamientos  en</w:t>
        <w:br/>
        <w:t xml:space="preserve">     contra de las víctimas de Santo Domingo”.</w:t>
        <w:br/>
        <w:br/>
        <w:br/>
        <w:t>315. La  Corte  estima  que  no  fueron  remitidos  alegatos  o  prueba  que</w:t>
        <w:br/>
        <w:t xml:space="preserve">     sustenten la solicitud de los representantes, por  lo  que  no  procede</w:t>
        <w:br/>
        <w:t xml:space="preserve">     ordenar esta medida de reparación.</w:t>
        <w:br/>
        <w:br/>
        <w:br/>
        <w:t>316. La Comisión solicitó a la Corte  que  ordene  al  Estado  “adoptar  las</w:t>
        <w:br/>
        <w:t xml:space="preserve">     medidas necesarias para evitar que se  repitan  patrones  de  violencia</w:t>
        <w:br/>
        <w:t xml:space="preserve">     contra la población civil, de conformidad con el deber de protección  y</w:t>
        <w:br/>
        <w:t xml:space="preserve">     garantía de los derechos fundamentales  reconocidos  en  la  Convención</w:t>
        <w:br/>
        <w:t xml:space="preserve">     Americana. Los representantes consideraron que el Estado “debe  adoptar</w:t>
        <w:br/>
        <w:t xml:space="preserve">     […] las medidas legislativas, administrativas y de otra índole que sean</w:t>
        <w:br/>
        <w:t xml:space="preserve">     necesarias para garantizar, de manera  efectiva  la  no  repetición  de</w:t>
        <w:br/>
        <w:t xml:space="preserve">     hechos como los ocurridos en el presente caso”[445]. Como parte de este</w:t>
        <w:br/>
        <w:t xml:space="preserve">     proceso  debe  asegurarse  de  que  las  leyes  en  materia   del   uso</w:t>
        <w:br/>
        <w:t xml:space="preserve">     desproporcionado de la fuerza y uso de armas de fuego garanticen el más</w:t>
        <w:br/>
        <w:t xml:space="preserve">     alto nivel de protección posible a la ciudadanía”[446].  El  Estado  no</w:t>
        <w:br/>
        <w:t xml:space="preserve">     presentó alegatos específicos al respecto.</w:t>
        <w:br/>
        <w:br/>
        <w:br/>
        <w:t>317. Con respecto a la medida de reparación  solicitada,  la  Corte  observa</w:t>
        <w:br/>
        <w:t xml:space="preserve">     que no fueron comprobadas en el presente caso las alegadas falencias en</w:t>
        <w:br/>
        <w:t xml:space="preserve">     la  normatividad  interna  que  conllevaran  un  incumplimiento  de  la</w:t>
        <w:br/>
        <w:t xml:space="preserve">     obligación de adoptar disposiciones de derecho interno, contenida en el</w:t>
        <w:br/>
        <w:t xml:space="preserve">     artículo 2 de la Convención Americana. Por tanto el Tribunal estima que</w:t>
        <w:br/>
        <w:t xml:space="preserve">     no procede ordenar esa medida de reparación.</w:t>
        <w:br/>
        <w:br/>
        <w:br/>
        <w:t>318. La Comisión recomendó al Estado implementar  programas  permanentes  de</w:t>
        <w:br/>
        <w:t xml:space="preserve">     derechos humanos y derecho internacional humanitario en las escuelas de</w:t>
        <w:br/>
        <w:t xml:space="preserve">     formación de las Fuerzas Armadas”. Los  representantes  solicitaron  la</w:t>
        <w:br/>
        <w:t xml:space="preserve">     creación de una Cátedra de Derechos  Humanos  y  Derecho  Internacional</w:t>
        <w:br/>
        <w:t xml:space="preserve">     Humanitario, impartida en todos los cursos  de  ascenso  de  la  Fuerza</w:t>
        <w:br/>
        <w:t xml:space="preserve">     Aérea Colombiana Fuerza Aérea Colombiana, que incluya en sus contenidos</w:t>
        <w:br/>
        <w:t xml:space="preserve">     las obligaciones en los medios y métodos  de  guerra  y  la  protección</w:t>
        <w:br/>
        <w:t xml:space="preserve">     especial que merecen niñas y niños en el conflicto armado”.</w:t>
        <w:br/>
        <w:br/>
        <w:br/>
        <w:t>319. El Estado indicó que el artículo 149 de la Ley 1448  de  2011  (Ley  de</w:t>
        <w:br/>
        <w:t xml:space="preserve">     Víctimas) incluye la aplicación de sanciones a los responsables de  las</w:t>
        <w:br/>
        <w:t xml:space="preserve">     violaciones al derecho internacional humanitario, la  creación  de  una</w:t>
        <w:br/>
        <w:t xml:space="preserve">     pedagogía social que promueva los valores constitucionales  que  fundan</w:t>
        <w:br/>
        <w:t xml:space="preserve">     la reconciliación en relación con los hechos  acaecidos  en  la  verdad</w:t>
        <w:br/>
        <w:t xml:space="preserve">     histórica, la creación  de  una  estrategia  única  de  capacitación  y</w:t>
        <w:br/>
        <w:t xml:space="preserve">     pedagogía en materia de respeto de los Derechos Humanos y  del  Derecho</w:t>
        <w:br/>
        <w:t xml:space="preserve">     Internacional Humanitario, que incluya un enfoque diferencial, dirigido</w:t>
        <w:br/>
        <w:t xml:space="preserve">     a los funcionarios públicos encargados de hacer  cumplir  la  ley,  así</w:t>
        <w:br/>
        <w:t xml:space="preserve">     como a los miembros de la Fuerza Pública, el ejercicio  de  un  control</w:t>
        <w:br/>
        <w:t xml:space="preserve">     efectivo por las autoridades civiles  sobre  la  Fuerza  Pública  y  la</w:t>
        <w:br/>
        <w:t xml:space="preserve">     promoción de mecanismos destinados a prevenir y resolver los conflictos</w:t>
        <w:br/>
        <w:t xml:space="preserve">     sociales.</w:t>
        <w:br/>
        <w:br/>
        <w:br/>
        <w:t>320. El Tribunal observa que el Estado aportó determinada información  sobre</w:t>
        <w:br/>
        <w:t xml:space="preserve">     programas y acciones desarrolladas en este ámbito,  cuya  existencia  y</w:t>
        <w:br/>
        <w:t xml:space="preserve">     validez no fue objetada por la Comisión y los representantes,  y  sobre</w:t>
        <w:br/>
        <w:t xml:space="preserve">     la cual tampoco se aportó información indicando sus posibles falencias.</w:t>
        <w:br/>
        <w:t xml:space="preserve">     Debido a que el Estado viene implementando a través de ciertas acciones</w:t>
        <w:br/>
        <w:t xml:space="preserve">     la medida de reparación solicitada, el Tribunal no considera procedente</w:t>
        <w:br/>
        <w:t xml:space="preserve">     ordenarla. No obstante, la Corte estima de suma  importancia  instar  a</w:t>
        <w:br/>
        <w:t xml:space="preserve">     Colombia a cumplir dicho compromiso de continuar  adoptando  todas  las</w:t>
        <w:br/>
        <w:t xml:space="preserve">     medidas  necesarias  para  adoptar  y  fortalecer  con  la   respectiva</w:t>
        <w:br/>
        <w:t xml:space="preserve">     disposición presupuestaria, un programa o curso obligatorio como  parte</w:t>
        <w:br/>
        <w:t xml:space="preserve">     de la formación general y continua de la Fuerza  Aérea  Colombiana,  en</w:t>
        <w:br/>
        <w:t xml:space="preserve">     todos los niveles jerárquicos, que contemple,  entre  otros,  cursos  o</w:t>
        <w:br/>
        <w:t xml:space="preserve">     módulos sobre los estándares nacionales e internacionales  en  derechos</w:t>
        <w:br/>
        <w:t xml:space="preserve">     humanos y sobre los principios del  Derecho  Internacional  Humanitario</w:t>
        <w:br/>
        <w:t xml:space="preserve">     que guían el uso de la fuerza por parte de las fuerzas de seguridad del</w:t>
        <w:br/>
        <w:t xml:space="preserve">     Estado.</w:t>
        <w:br/>
        <w:br/>
        <w:br/>
        <w:t>321. Los representantes solicitaron que, además  de  las  medidas  señaladas</w:t>
        <w:br/>
        <w:t xml:space="preserve">     por la Comisión de forma genérica, la Corte debe ordenar al  Estado  la</w:t>
        <w:br/>
        <w:t xml:space="preserve">     “[r]econstrucción de Santo  Domingo[,  así  como]  la  adopción  de  un</w:t>
        <w:br/>
        <w:t xml:space="preserve">     conjunto de medidas, materiales e inmateriales (de  asesoría  y  apoyo)</w:t>
        <w:br/>
        <w:t xml:space="preserve">     realizables  a  través  de  la  financiación  estatal  de  un  plan  de</w:t>
        <w:br/>
        <w:t xml:space="preserve">     desarrollo comunitario, tendiente al restablecimiento de los  proyectos</w:t>
        <w:br/>
        <w:t xml:space="preserve">     de vida afectados con ocasión de la violación de sus derechos humanos y</w:t>
        <w:br/>
        <w:t xml:space="preserve">     la reconstrucción del pueblo que posibilite el retorno de las  personas</w:t>
        <w:br/>
        <w:t xml:space="preserve">     y familias que así deseen hacerlo”.</w:t>
        <w:br/>
        <w:br/>
        <w:br/>
        <w:t>322. Por último, los representantes solicitaron a la  Corte  que  ordene  al</w:t>
        <w:br/>
        <w:t xml:space="preserve">     Estado acciones para la “[r]ecuperación de la memoria, “a través de  la</w:t>
        <w:br/>
        <w:t xml:space="preserve">     construcción de una “Casa de la  Cultura”  en  el  municipio  de  Tame,</w:t>
        <w:br/>
        <w:t xml:space="preserve">     espacio que se destine a  la  difusión  de  los  derechos  humanos,  la</w:t>
        <w:br/>
        <w:t xml:space="preserve">     reconstrucción de la memoria  en  el  Departamento  de  Arauca  [la]  y</w:t>
        <w:br/>
        <w:t xml:space="preserve">     recordación permanente  de  las  víctimas  de  violaciones  a  derechos</w:t>
        <w:br/>
        <w:t xml:space="preserve">     humanos.  [Se  requiere  la  participación   de]   las   organizaciones</w:t>
        <w:br/>
        <w:t xml:space="preserve">     comunitarias de la zona como, juntas de acción comunal, asociaciones de</w:t>
        <w:br/>
        <w:t xml:space="preserve">     padres de familia, asociaciones de usuarios campesinos  y  otras”[447].</w:t>
        <w:br/>
        <w:t xml:space="preserve">     La Comisión no presentó  alegatos  específicos  en  relación  con  esta</w:t>
        <w:br/>
        <w:t xml:space="preserve">     medida de reparación. El Estado no  presentó  alegatos  específicos  en</w:t>
        <w:br/>
        <w:t xml:space="preserve">     relación con esta medida de reparación aunque se refirió  genéricamente</w:t>
        <w:br/>
        <w:t xml:space="preserve">     a los artículos de  la  ley  1448  que  contienen  disposiciones  sobre</w:t>
        <w:br/>
        <w:t xml:space="preserve">     reparación simbólica, sobre el día nacional de la memoria y solidaridad</w:t>
        <w:br/>
        <w:t xml:space="preserve">     con las víctimas, y al deber de memoria del Estado.</w:t>
        <w:br/>
        <w:br/>
        <w:br/>
        <w:t>323. La Corte considera, respecto de las demás medidas solicitadas  por  los</w:t>
        <w:br/>
        <w:t xml:space="preserve">     representantes, que esta Sentencia  constituye  per  se  una  forma  de</w:t>
        <w:br/>
        <w:t xml:space="preserve">     reparación, por lo que, sin perjuicio de lo que corresponda  al  Estado</w:t>
        <w:br/>
        <w:t xml:space="preserve">     implementar a favor de las víctimas del presente caso en  el  marco  de</w:t>
        <w:br/>
        <w:t xml:space="preserve">     sus programas sociales y políticas de reparación,  no  procede  ordenar</w:t>
        <w:br/>
        <w:t xml:space="preserve">     esas otras medidas solicitadas.</w:t>
        <w:br/>
        <w:br/>
        <w:br/>
        <w:br/>
        <w:t xml:space="preserve">      D. Indemnizaciones compensatorias</w:t>
        <w:br/>
        <w:br/>
        <w:br/>
        <w:t xml:space="preserve">            D.1  Argumentos de la Comisión y alegatos de las partes</w:t>
        <w:br/>
        <w:br/>
        <w:br/>
        <w:t>324. El Estado manifestó que en el presente caso  no  es  necesario  adoptar</w:t>
        <w:br/>
        <w:t xml:space="preserve">     decisiones en este sentido, en cuanto el Estado ya indemnizó y compensó</w:t>
        <w:br/>
        <w:t xml:space="preserve">     el daño causado[448]. El Estado indicó que dichos valores  corresponden</w:t>
        <w:br/>
        <w:t xml:space="preserve">     al pago de la indemnización  de  perjuicios  causados  a  las  personas</w:t>
        <w:br/>
        <w:t xml:space="preserve">     afectadas en el caso Santo Domingo.</w:t>
        <w:br/>
        <w:br/>
        <w:br/>
        <w:t xml:space="preserve">                 a)    Pérdida de ingresos</w:t>
        <w:br/>
        <w:br/>
        <w:br/>
        <w:t>325. Los representantes solicitaron a la Corte que debido  a  que  sobre  la</w:t>
        <w:br/>
        <w:t xml:space="preserve">     mayoría de las víctimas se desconoce sus ingresos económicos, e incluso</w:t>
        <w:br/>
        <w:t xml:space="preserve">     con certeza su actividad productiva, se tomara  como  base  el  salario</w:t>
        <w:br/>
        <w:t xml:space="preserve">     mínimo legal mensual vigente para el año 2011 en Colombia[449], al cual</w:t>
        <w:br/>
        <w:t xml:space="preserve">     se le reduce un 25% en  razón  al  porcentaje  que  presumiblemente  la</w:t>
        <w:br/>
        <w:t xml:space="preserve">     víctima emplea para su sostenimiento[450].  Por  su  parte,  el  Estado</w:t>
        <w:br/>
        <w:t xml:space="preserve">     manifestó su desacuerdo en relación a la “tasación del lucro cesante de</w:t>
        <w:br/>
        <w:t xml:space="preserve">     las familias que resultaron afectadas con los hechos analizados en esta</w:t>
        <w:br/>
        <w:t xml:space="preserve">     oportunidad”[451].</w:t>
        <w:br/>
        <w:br/>
        <w:br/>
        <w:t xml:space="preserve">                 b)    Daño emergente</w:t>
        <w:br/>
        <w:br/>
        <w:br/>
        <w:t>326. Los representantes solicitaron “que se fije un monto  compensatorio  en</w:t>
        <w:br/>
        <w:t xml:space="preserve">     equidad de US$ 5.000 por cada grupo  familiar  y  en  el  caso  de  las</w:t>
        <w:br/>
        <w:t xml:space="preserve">     personas  independientes  una  suma   de   US$   2.000”,   tomando   en</w:t>
        <w:br/>
        <w:t xml:space="preserve">     consideración los gastos en transportes, alojamiento y  alimentación  a</w:t>
        <w:br/>
        <w:t xml:space="preserve">     los sitios fuente de información, así como  también  las  gestiones  de</w:t>
        <w:br/>
        <w:t xml:space="preserve">     intermediación ante entidades estatales con el fin de exigir el  avance</w:t>
        <w:br/>
        <w:t xml:space="preserve">     de los procesos penales y  disciplinarios  durante  esos  13  años.  El</w:t>
        <w:br/>
        <w:t xml:space="preserve">     Estado no presentó alegatos específicos en relación con este rubro</w:t>
        <w:br/>
        <w:br/>
        <w:br/>
        <w:t>327. Los representantes consideran  que  “con  ocasión  de  los  hechos,  27</w:t>
        <w:br/>
        <w:t xml:space="preserve">     personas, entre adultos y menores de edad, resultaron heridos, [por  lo</w:t>
        <w:br/>
        <w:t xml:space="preserve">     que] sus familias tuvieron  que  brindarles  cuidado  y  erogar  de  su</w:t>
        <w:br/>
        <w:t xml:space="preserve">     patrimonio  sendas  sumas  para  garantizar  los  servicios  de   salud</w:t>
        <w:br/>
        <w:t xml:space="preserve">     necesarios para su recuperación desde la fecha de los hechos  hasta  la</w:t>
        <w:br/>
        <w:t xml:space="preserve">     actualidad. Por otra parte, varios de los heridos  quedaron  tanto  con</w:t>
        <w:br/>
        <w:t xml:space="preserve">     secuelas  e  incapacidades  parciales  o   totales   para   desarrollar</w:t>
        <w:br/>
        <w:t xml:space="preserve">     actividades laborales”[452]. Además, consideraron que “se les causó  un</w:t>
        <w:br/>
        <w:t xml:space="preserve">     intenso daño fisiológico por cuanto al verse sometidos a este  tipo  de</w:t>
        <w:br/>
        <w:t xml:space="preserve">     situaciones se vieron afectados su  integridad  física,  psicológica  y</w:t>
        <w:br/>
        <w:t xml:space="preserve">     psiquiátrica, estando actualmente alteradas sus condiciones de salud en</w:t>
        <w:br/>
        <w:t xml:space="preserve">     general, lo cual se  expresa  en  las  secuelas  que  dejaron  a  estar</w:t>
        <w:br/>
        <w:t xml:space="preserve">     sometidas a una situación dolorosa  de  su  vida”[453].  El  Estado  no</w:t>
        <w:br/>
        <w:t xml:space="preserve">     presentó alegatos al respecto.</w:t>
        <w:br/>
        <w:br/>
        <w:br/>
        <w:t>328. Los representantes indican que la  mayoría  de  las  víctimas  mortales</w:t>
        <w:br/>
        <w:t xml:space="preserve">     fueron velados en una conmemoración colectiva. Los familiares de  estos</w:t>
        <w:br/>
        <w:t xml:space="preserve">     incurrieron en los mencionados gastos, los cuales fueron reclamados  en</w:t>
        <w:br/>
        <w:t xml:space="preserve">     las demandas de reparación en el ámbito interno,  sin  embargo,  en  la</w:t>
        <w:br/>
        <w:t xml:space="preserve">     sentencia de primera instancia proferida por el Tribunal Administrativo</w:t>
        <w:br/>
        <w:t xml:space="preserve">     de Arauca[454], no se reconocieron algunas de las sumas solicitadas por</w:t>
        <w:br/>
        <w:t xml:space="preserve">     el concepto de servicios funerarios, al tiempo que se  omitieron  hacer</w:t>
        <w:br/>
        <w:t xml:space="preserve">     las debidas actualizaciones monetarias[455],  tampoco  se  reconocieron</w:t>
        <w:br/>
        <w:t xml:space="preserve">     los intereses remuneratorios de los perjuicios erogados por este  mismo</w:t>
        <w:br/>
        <w:t xml:space="preserve">     durante los 13 años que se han dejado de pagar, y además  se  redujeron</w:t>
        <w:br/>
        <w:t xml:space="preserve">     en  2%  como  consecuencia  del  acuerdo   conciliatorio   en   segunda</w:t>
        <w:br/>
        <w:t xml:space="preserve">     instancia[456]. En consecuencia le solicitaron al Tribunal  que  ordene</w:t>
        <w:br/>
        <w:t xml:space="preserve">     al Estado un pago adicional correspondiente a este rubro[457].</w:t>
        <w:br/>
        <w:br/>
        <w:br/>
        <w:t>329. El Estado manifestó que  “la  cuantificación  del  daño  emergente  por</w:t>
        <w:br/>
        <w:t xml:space="preserve">     gastos de entierro  efectuada  por  las  víctimas  en  la  jurisdicción</w:t>
        <w:br/>
        <w:t xml:space="preserve">     interna osciló entre US$ 335 a 550 aproximadamente”  y  que  el  “mismo</w:t>
        <w:br/>
        <w:t xml:space="preserve">     perjuicio fue tasado en la jurisdicción internacional entre US$  700  y</w:t>
        <w:br/>
        <w:t xml:space="preserve">     4400”, por lo que “no se entiende como puede suceder esto si los gastos</w:t>
        <w:br/>
        <w:t xml:space="preserve">     funerarios  son  los  mismos,  sin  que  sea  relevante  establecer  la</w:t>
        <w:br/>
        <w:t xml:space="preserve">     jurisdicción donde se cobran”.</w:t>
        <w:br/>
        <w:br/>
        <w:br/>
        <w:t>330. Los representantes alegaron que a raíz de los hechos  de  la  explosión</w:t>
        <w:br/>
        <w:t xml:space="preserve">     del dispositivo cluster y de los posteriores ametrallamientos, así como</w:t>
        <w:br/>
        <w:t xml:space="preserve">     el cerco militar que se mantuvo en la población durante aproximadamente</w:t>
        <w:br/>
        <w:t xml:space="preserve">     tres semanas, se produjeron daños y  destrucciones  a  los  hogares  de</w:t>
        <w:br/>
        <w:t xml:space="preserve">     varias de  las  familias  de  Santo  Domingo  lo  que  conllevó  a  que</w:t>
        <w:br/>
        <w:t xml:space="preserve">     desmejoraran sus condiciones de vida[458].</w:t>
        <w:br/>
        <w:br/>
        <w:br/>
        <w:t>331. El Estado  indicó  en  primer  lugar  que  hasta  el  momento  no  está</w:t>
        <w:br/>
        <w:t xml:space="preserve">     acreditada la destrucción  y/o  deterioro  de  bienes  inmuebles  y  la</w:t>
        <w:br/>
        <w:t xml:space="preserve">     pérdida de ingresos que este hecho generó, por lo  que  “existen  dudas</w:t>
        <w:br/>
        <w:t xml:space="preserve">     sobre la propiedad  y  la  existencia  previa  en  el  caserío  de  los</w:t>
        <w:br/>
        <w:t xml:space="preserve">     establecimientos de comercio que supuestamente  eran  de  propiedad  de</w:t>
        <w:br/>
        <w:t xml:space="preserve">     estas personas”[459]. Asimismo, el  Estado  indicó  que  “las  víctimas</w:t>
        <w:br/>
        <w:t xml:space="preserve">     solicitan valores excesivos[460].</w:t>
        <w:br/>
        <w:br/>
        <w:br/>
        <w:t xml:space="preserve">                 c)    Daño inmaterial</w:t>
        <w:br/>
        <w:br/>
        <w:br/>
        <w:t>332. Los representantes solicitaron a la Corte que ordene al Estado  medidas</w:t>
        <w:br/>
        <w:t xml:space="preserve">     de reparación por los daños inmateriales sufridos[461].</w:t>
        <w:br/>
        <w:br/>
        <w:br/>
        <w:t>333. Por su parte, el Estado solicitó a la Corte que  considere  “razonables</w:t>
        <w:br/>
        <w:t xml:space="preserve">     las liquidaciones efectuadas por el Consejo de Estado al reparar  daños</w:t>
        <w:br/>
        <w:t xml:space="preserve">     morales de los cónyuges, padres, hijos, nietos y abuelos”.</w:t>
        <w:br/>
        <w:br/>
        <w:br/>
        <w:br/>
        <w:br/>
        <w:br/>
        <w:t xml:space="preserve">            D.2  Consideraciones de la Corte</w:t>
        <w:br/>
        <w:br/>
        <w:br/>
        <w:t>334. En el presente caso, el Tribunal constata que  los  familiares  de  las</w:t>
        <w:br/>
        <w:t xml:space="preserve">     víctimas fallecidas fueron reparados por medio del proceso  contencioso</w:t>
        <w:br/>
        <w:t xml:space="preserve">     administrativo colombiano (supra párrs. 124 y ss.). Así, 107 familiares</w:t>
        <w:br/>
        <w:t xml:space="preserve">     de 16 de las 17 víctimas fallecidas[462] han  recibido  indemnizaciones</w:t>
        <w:br/>
        <w:t xml:space="preserve">     en la vía contencioso administrativa[463]. Estos familiares  obtuvieron</w:t>
        <w:br/>
        <w:t xml:space="preserve">     una reparación  luego  de  haber  celebrado  una  conciliación  con  el</w:t>
        <w:br/>
        <w:t xml:space="preserve">     Ministerio  de  Defensa,  que  fuera  homologada  por  el  Consejo   de</w:t>
        <w:br/>
        <w:t xml:space="preserve">     Estado[464]. Además, 5 familiares no habrían recibido indemnización  en</w:t>
        <w:br/>
        <w:t xml:space="preserve">     el contencioso administrativo por la muerte de sus familiares, a  pesar</w:t>
        <w:br/>
        <w:t xml:space="preserve">     de haber agotado esa vía[465].</w:t>
        <w:br/>
        <w:br/>
        <w:br/>
        <w:t>335. En lo que se refiere a las personas heridas en los hechos, 11  de  esas</w:t>
        <w:br/>
        <w:t xml:space="preserve">     27  víctimas  recibieron  indemnizaciones   en   la   vía   contenciosa</w:t>
        <w:br/>
        <w:t xml:space="preserve">     administrativo colombiana. Algunas de esas personas también  recibieron</w:t>
        <w:br/>
        <w:t xml:space="preserve">     indemnizaciones en tanto familiares de los fallecidos[466]. A  su  vez,</w:t>
        <w:br/>
        <w:t xml:space="preserve">     dos de las víctimas heridas no fueron indemnizadas  a  pesar  de  haber</w:t>
        <w:br/>
        <w:t xml:space="preserve">     acudido a la vía contencioso administrativa[467]. No consta si  las  14</w:t>
        <w:br/>
        <w:t xml:space="preserve">     víctimas heridas restantes acudieron a dicha vía[468].  En  lo  que  se</w:t>
        <w:br/>
        <w:t xml:space="preserve">     refiere a los familiares de las víctimas heridas, con excepción de seis</w:t>
        <w:br/>
        <w:t xml:space="preserve">     familiares   de   Amalio   Neite   González[469],    ninguno    recibió</w:t>
        <w:br/>
        <w:t xml:space="preserve">     indemnizaciones en la vía contencioso administrativa.</w:t>
        <w:br/>
        <w:br/>
        <w:br/>
        <w:t>336. En atención a que los tribunales contenciosos han  fijado  reparaciones</w:t>
        <w:br/>
        <w:t xml:space="preserve">     en este caso, con base en lo que las  víctimas  solicitaron  e  incluso</w:t>
        <w:br/>
        <w:t xml:space="preserve">     conciliaron, de conformidad con el principio  de  complementariedad  la</w:t>
        <w:br/>
        <w:t xml:space="preserve">     Corte  estima  que  no  corresponde  ordenar  reparaciones  pecuniarias</w:t>
        <w:br/>
        <w:t xml:space="preserve">     adicionales, sea por  daño  material  o  inmaterial,  a  favor  de  los</w:t>
        <w:br/>
        <w:t xml:space="preserve">     familiares de las víctimas fallecidas, ni de las  personas  heridas  en</w:t>
        <w:br/>
        <w:t xml:space="preserve">     los hechos, que ya han sido indemnizados en el fuero interno.</w:t>
        <w:br/>
        <w:br/>
        <w:br/>
        <w:t>337. Por otro lado, corresponde determinar  la  situación  de  las  víctimas</w:t>
        <w:br/>
        <w:t xml:space="preserve">     heridas (supra párr.335), así como de  5  familiares  de  dos  víctimas</w:t>
        <w:br/>
        <w:t xml:space="preserve">     fallecidas[470] y los  familiares  de  las  víctimas  heridas,  que  no</w:t>
        <w:br/>
        <w:t xml:space="preserve">     acudieron a la vía  contencioso  administrativa  a  nivel  interno.  Al</w:t>
        <w:br/>
        <w:t xml:space="preserve">     respecto, la Corte estima que el Estado debe otorgar y ejecutar, en  el</w:t>
        <w:br/>
        <w:t xml:space="preserve">     plazo de un año y a  través  de  un  mecanismo  interno  expedito,  las</w:t>
        <w:br/>
        <w:t xml:space="preserve">     indemnizaciones y compensaciones  pertinentes  por  concepto  de  daños</w:t>
        <w:br/>
        <w:t xml:space="preserve">     materiales e inmateriales, si les correspondiere,  las  cuales  deberán</w:t>
        <w:br/>
        <w:t xml:space="preserve">     fijarse con base en los criterios objetivos, razonables y efectivos  de</w:t>
        <w:br/>
        <w:t xml:space="preserve">     la jurisdicción contencioso administrativa colombiana.  Los  familiares</w:t>
        <w:br/>
        <w:t xml:space="preserve">     de víctimas que consideren que son beneficiarios  de  lo  dispuesto  en</w:t>
        <w:br/>
        <w:t xml:space="preserve">     este  párrafo  deben  presentarse  ante   las   autoridades   estatales</w:t>
        <w:br/>
        <w:t xml:space="preserve">     correspondientes a más tardar en el plazo de 3 meses, contado a  partir</w:t>
        <w:br/>
        <w:t xml:space="preserve">     de la notificación de esta Sentencia.</w:t>
        <w:br/>
        <w:br/>
        <w:br/>
        <w:t>338. La determinación anterior (supra párr. 337) no afecta a  familiares  de</w:t>
        <w:br/>
        <w:t xml:space="preserve">     víctimas que no fueron peticionarios, que no han sido representados  en</w:t>
        <w:br/>
        <w:t xml:space="preserve">     los procedimientos ante la Comisión y  la  Corte  o  que  no  han  sido</w:t>
        <w:br/>
        <w:t xml:space="preserve">     incluidos como víctimas o parte lesionada en esta Sentencia,  en  tanto</w:t>
        <w:br/>
        <w:t xml:space="preserve">     no  precluye  acciones  que  pudiera  corresponderles  incoar  a  nivel</w:t>
        <w:br/>
        <w:t xml:space="preserve">     interno.</w:t>
        <w:br/>
        <w:br/>
        <w:br/>
        <w:t>E. Costas y gastos</w:t>
        <w:br/>
        <w:br/>
        <w:t>339. Como ya lo ha  señalado  la  Corte  en  oportunidades  anteriores,  las</w:t>
        <w:br/>
        <w:t xml:space="preserve">     costas y gastos están comprendidos dentro del  concepto  de  reparación</w:t>
        <w:br/>
        <w:t xml:space="preserve">     establecido en el artículo 63.1 de la Convención Americana[471].</w:t>
        <w:br/>
        <w:br/>
        <w:br/>
        <w:t>340.  En  el  escrito  de  solicitudes  y  argumentos,  los   representantes</w:t>
        <w:br/>
        <w:t xml:space="preserve">     solicitaron a la Corte que ordene al Estado el reintegro de los  gastos</w:t>
        <w:br/>
        <w:t xml:space="preserve">     en los que han incurrido[472]. Por último, en su  escrito  de  alegatos</w:t>
        <w:br/>
        <w:t xml:space="preserve">     finales, los representantes solicitaron ordenar el pago de los gastos y</w:t>
        <w:br/>
        <w:t xml:space="preserve">     costas generados con la asistencia a la audiencia pública celebrada  en</w:t>
        <w:br/>
        <w:t xml:space="preserve">     la sede de la Corte los días 27 y 28 de junio de 2012[473].</w:t>
        <w:br/>
        <w:br/>
        <w:br/>
        <w:t>341. El Estado manifestó, con relación a la “liquidación  de  las  costas  y</w:t>
        <w:br/>
        <w:t xml:space="preserve">     los gastos en el proceso”, que  estos  “resultan  excesivos”,  pues  se</w:t>
        <w:br/>
        <w:t xml:space="preserve">     solicitan  aproximadamente  USD  36.000  y   los   valores   razonables</w:t>
        <w:br/>
        <w:t xml:space="preserve">     concedidos por la Corte en estos  rubros  oscilan  entre  USD  2.000  y</w:t>
        <w:br/>
        <w:t xml:space="preserve">     25.000[474].</w:t>
        <w:br/>
        <w:br/>
        <w:br/>
        <w:t>342. La Corte reitera que conforme a su jurisprudencia[475],  las  costas  y</w:t>
        <w:br/>
        <w:t xml:space="preserve">     gastos hacen  parte  del  concepto  de  reparación,  toda  vez  que  la</w:t>
        <w:br/>
        <w:t xml:space="preserve">     actividad desplegada por las víctimas con el fin de  obtener  justicia,</w:t>
        <w:br/>
        <w:t xml:space="preserve">     tanto a nivel nacional  como  internacional,  implica  erogaciones  que</w:t>
        <w:br/>
        <w:t xml:space="preserve">     deben ser  compensadas  cuando  la  responsabilidad  internacional  del</w:t>
        <w:br/>
        <w:t xml:space="preserve">     Estado es declarada mediante una sentencia condenatoria. En cuanto a su</w:t>
        <w:br/>
        <w:t xml:space="preserve">     reembolso, corresponde al Tribunal apreciar prudentemente  su  alcance,</w:t>
        <w:br/>
        <w:t xml:space="preserve">     el cual comprende los gastos  generados  ante  las  autoridades  de  la</w:t>
        <w:br/>
        <w:t xml:space="preserve">     jurisdicción interna, así como los generados en el  curso  del  proceso</w:t>
        <w:br/>
        <w:t xml:space="preserve">     ante este Tribunal, teniendo en  cuenta  las  circunstancias  del  caso</w:t>
        <w:br/>
        <w:t xml:space="preserve">     concreto y la naturaleza de la jurisdicción internacional de protección</w:t>
        <w:br/>
        <w:t xml:space="preserve">     de los derechos humanos. Esta apreciación puede ser realizada con  base</w:t>
        <w:br/>
        <w:t xml:space="preserve">     en el principio de equidad y tomando en cuenta los gastos señalados por</w:t>
        <w:br/>
        <w:t xml:space="preserve">     las partes, siempre que su quantum sea razonable[476].</w:t>
        <w:br/>
        <w:br/>
        <w:br/>
        <w:t>343. El Tribunal ha señalado que “las pretensiones de  las  víctimas  o  sus</w:t>
        <w:br/>
        <w:t xml:space="preserve">     representantes en materia de costas y gastos, y  las  pruebas  que  las</w:t>
        <w:br/>
        <w:t xml:space="preserve">     sustentan, deben presentarse a la Corte en el primer  momento  procesal</w:t>
        <w:br/>
        <w:t xml:space="preserve">     que se les concede, esto es, en el escrito de solicitudes y argumentos,</w:t>
        <w:br/>
        <w:t xml:space="preserve">     sin perjuicio de que tales pretensiones se  actualicen  en  un  momento</w:t>
        <w:br/>
        <w:t xml:space="preserve">     posterior, conforme a las  nuevas  costas  y  gastos  en  que  se  haya</w:t>
        <w:br/>
        <w:t xml:space="preserve">     incurrido  con  ocasión  del  procedimiento  ante   esta   Corte”[477].</w:t>
        <w:br/>
        <w:t xml:space="preserve">     Asimismo, la  Corte  reitera  que  no  es  suficiente  la  remisión  de</w:t>
        <w:br/>
        <w:t xml:space="preserve">     documentos probatorios, sino que se requiere que las partes  hagan  una</w:t>
        <w:br/>
        <w:t xml:space="preserve">     argumentación que relacione la prueba con el  hecho  que  se  considera</w:t>
        <w:br/>
        <w:t xml:space="preserve">     representado, y que, al tratarse de alegados desembolsos económicos, se</w:t>
        <w:br/>
        <w:t xml:space="preserve">     establezcan  con  claridad  los  rubros  y  la  justificación  de   los</w:t>
        <w:br/>
        <w:t xml:space="preserve">     mismos[478].</w:t>
        <w:br/>
        <w:br/>
        <w:br/>
        <w:t>344. En el presente  caso,  la  Corte  observa  que  los  representantes  no</w:t>
        <w:br/>
        <w:t xml:space="preserve">     presentaron prueba correspondiente a las costas y gastos  del  proceso.</w:t>
        <w:br/>
        <w:t xml:space="preserve">     Sin  perjuicio  de  lo  anterior,   es   posible   presumir   que   los</w:t>
        <w:br/>
        <w:t xml:space="preserve">     representantes incurrieron en gastos en la tramitación del caso ante el</w:t>
        <w:br/>
        <w:t xml:space="preserve">     Sistema Interamericano. Por ende, la Corte dispone que el  Estado  debe</w:t>
        <w:br/>
        <w:t xml:space="preserve">     pagar, por concepto de costas y gastos, la  cantidad  de  US$  5,000.00</w:t>
        <w:br/>
        <w:t xml:space="preserve">     (cinco mil dólares  de  los  Estados  Unidos  de  América),  que  serán</w:t>
        <w:br/>
        <w:t xml:space="preserve">     divididos entre la Fundación de  Derechos  Humanos  “Joel  Sierra”,  la</w:t>
        <w:br/>
        <w:t xml:space="preserve">     Asociación  para  la  Promoción  Social  Alternativa  Minga,  Humanidad</w:t>
        <w:br/>
        <w:t xml:space="preserve">     Vigente Corporación Jurídica y al Colectivo de  Abogados  “José  Alvear</w:t>
        <w:br/>
        <w:t xml:space="preserve">     Restrepo”, según les corresponda.</w:t>
        <w:br/>
        <w:br/>
        <w:br/>
        <w:t>F. Modalidad de cumplimiento de los pagos ordenados</w:t>
        <w:br/>
        <w:br/>
        <w:t>345. El Estado deberá efectuar el reintegro de costas y gastos  establecidos</w:t>
        <w:br/>
        <w:t xml:space="preserve">     en la presente Sentencia directamente a las organizaciones indicadas en</w:t>
        <w:br/>
        <w:t xml:space="preserve">     la misma,  dentro  del  plazo  de  un  año,  contado  a  partir  de  la</w:t>
        <w:br/>
        <w:t xml:space="preserve">     notificación del presente Fallo.</w:t>
        <w:br/>
        <w:br/>
        <w:br/>
        <w:t>346. El Estado deberá cumplir con las obligaciones  monetarias  mediante  el</w:t>
        <w:br/>
        <w:t xml:space="preserve">     pago  en  dólares  de  los  Estados  Unidos  de  América  o  en   pesos</w:t>
        <w:br/>
        <w:t xml:space="preserve">     colombianos.</w:t>
        <w:br/>
        <w:br/>
        <w:br/>
        <w:t>347. Si por causas atribuibles a los beneficiarios de las indemnizaciones  o</w:t>
        <w:br/>
        <w:t xml:space="preserve">     a sus derechohabientes no fuese  posible  el  pago  de  las  cantidades</w:t>
        <w:br/>
        <w:t xml:space="preserve">     determinadas dentro de  los  plazos  indicados,  el  Estado  consignará</w:t>
        <w:br/>
        <w:t xml:space="preserve">     dichos montos a su favor en una cuenta o certificado de depósito en una</w:t>
        <w:br/>
        <w:t xml:space="preserve">     institución financiera colombiana solvente, en dólares estadounidenses,</w:t>
        <w:br/>
        <w:t xml:space="preserve">     y en  las  condiciones  financieras  más  favorables  que  permitan  la</w:t>
        <w:br/>
        <w:t xml:space="preserve">     legislación y la práctica bancaria. Si al cabo de diez  años  el  monto</w:t>
        <w:br/>
        <w:t xml:space="preserve">     asignado no ha sido reclamado, las cantidades serán devueltas al Estado</w:t>
        <w:br/>
        <w:t xml:space="preserve">     con los intereses devengados.</w:t>
        <w:br/>
        <w:br/>
        <w:br/>
        <w:t>348. Las cantidades que el Estado asigne, según lo  dispuesto  (supra  párr.</w:t>
        <w:br/>
        <w:t xml:space="preserve">     337), deberán ser entregadas a las víctimas  en  forma  íntegra,  y  no</w:t>
        <w:br/>
        <w:t xml:space="preserve">     podrán ser afectadas o condicionadas por motivos  fiscales  actuales  o</w:t>
        <w:br/>
        <w:t xml:space="preserve">     futuros.</w:t>
        <w:br/>
        <w:br/>
        <w:br/>
        <w:t>349. En caso de que el Estado incurriera en mora, deberá  pagar  un  interés</w:t>
        <w:br/>
        <w:t xml:space="preserve">     sobre  la  cantidad  adeudada  correspondiente  al   interés   bancario</w:t>
        <w:br/>
        <w:t xml:space="preserve">     moratorio en Colombia.</w:t>
        <w:br/>
        <w:br/>
        <w:br/>
        <w:br/>
        <w:br/>
        <w:t xml:space="preserve">                                     IX</w:t>
        <w:br/>
        <w:br/>
        <w:t xml:space="preserve">                             PUNTOS RESOLUTIVOS</w:t>
        <w:br/>
        <w:br/>
        <w:br/>
        <w:t>350. Por tanto,</w:t>
        <w:br/>
        <w:br/>
        <w:br/>
        <w:br/>
        <w:br/>
        <w:br/>
        <w:t>LA CORTE</w:t>
        <w:br/>
        <w:br/>
        <w:br/>
        <w:br/>
        <w:br/>
        <w:t>DECIDE,</w:t>
        <w:br/>
        <w:br/>
        <w:br/>
        <w:br/>
        <w:br/>
        <w:t>por unanimidad,</w:t>
        <w:br/>
        <w:br/>
        <w:t xml:space="preserve">   1. Desestimar  las  dos  excepciones  preliminares  interpuestas  por  el</w:t>
        <w:br/>
        <w:t xml:space="preserve">      Estado, relativas a la  alegada  incompetencia  de  la  Corte  ratione</w:t>
        <w:br/>
        <w:t xml:space="preserve">      materiae y a la alegada falta de agotamiento de los recursos internos,</w:t>
        <w:br/>
        <w:t xml:space="preserve">      en los términos de los párrafos 21 a 26 y  33  a  39  de  la  presente</w:t>
        <w:br/>
        <w:t xml:space="preserve">      Sentencia.</w:t>
        <w:br/>
        <w:br/>
        <w:t xml:space="preserve">   2. Determinar que el acto  que  el  Estado  denominó  “reconocimiento  de</w:t>
        <w:br/>
        <w:t xml:space="preserve">      responsabilidad” por la alegada violación de los artículos 8 y  25  de</w:t>
        <w:br/>
        <w:t xml:space="preserve">      la Convención  Americana  sobre  Derechos  Humanos  no  tiene  efectos</w:t>
        <w:br/>
        <w:t xml:space="preserve">      jurídicos, en los términos de los párrafos 141 a 153  de  la  presente</w:t>
        <w:br/>
        <w:t xml:space="preserve">      Sentencia.</w:t>
        <w:br/>
        <w:br/>
        <w:br/>
        <w:t>DECLARA,</w:t>
        <w:br/>
        <w:br/>
        <w:br/>
        <w:br/>
        <w:br/>
        <w:br/>
        <w:t>por unanimidad, que:</w:t>
        <w:br/>
        <w:br/>
        <w:br/>
        <w:t xml:space="preserve">   1. El Estado es responsable por la  violación  del  derecho  a  la  vida,</w:t>
        <w:br/>
        <w:t xml:space="preserve">      reconocido en  el  artículo  4.1  de  la  Convención  Americana  sobre</w:t>
        <w:br/>
        <w:t xml:space="preserve">      Derechos  Humanos,  en  relación  con  el  artículo   1.1   de   dicho</w:t>
        <w:br/>
        <w:t xml:space="preserve">      instrumento, en perjuicio de las personas fallecidas en los hechos del</w:t>
        <w:br/>
        <w:t xml:space="preserve">      13 de diciembre de 1998  en  Santo  Domingo,  y  en  relación  con  el</w:t>
        <w:br/>
        <w:t xml:space="preserve">      artículo 19 de la  misma  respecto  de  las  víctimas  niñas  y  niños</w:t>
        <w:br/>
        <w:t xml:space="preserve">      fallecidos, todas ellas referenciadas en el anexo  I,  de  conformidad</w:t>
        <w:br/>
        <w:t xml:space="preserve">      con lo expuesto en los párrafos 187 a 241 de la presente Sentencia.</w:t>
        <w:br/>
        <w:br/>
        <w:br/>
        <w:t xml:space="preserve">   2. El Estado es responsable por la violación del derecho a la  integridad</w:t>
        <w:br/>
        <w:t xml:space="preserve">      personal, reconocido en el artículo 5.1  de  la  Convención  Americana</w:t>
        <w:br/>
        <w:t xml:space="preserve">      sobre Derechos Humanos, en relación  con  el  artículo  1.1  de  dicho</w:t>
        <w:br/>
        <w:t xml:space="preserve">      instrumento, en perjuicio de las personas que  resultaron  heridas  en</w:t>
        <w:br/>
        <w:t xml:space="preserve">      los hechos del 13 de diciembre de 1998 en Santo Domingo, y en relación</w:t>
        <w:br/>
        <w:t xml:space="preserve">      con el artículo 19 de la misma respecto de las víctimas niñas y niños,</w:t>
        <w:br/>
        <w:t xml:space="preserve">      todas ellas referenciadas en  el  anexo  II,  de  conformidad  con  lo</w:t>
        <w:br/>
        <w:t xml:space="preserve">      expuesto en los párrafos 187 a 241 de la presente Sentencia.</w:t>
        <w:br/>
        <w:br/>
        <w:br/>
        <w:t xml:space="preserve">   3. El Estado es responsable por la violación del derecho a la  integridad</w:t>
        <w:br/>
        <w:t xml:space="preserve">      personal reconocido en el artículo  5.1  de  la  Convención  Americana</w:t>
        <w:br/>
        <w:t xml:space="preserve">      sobre Derechos Humanos, en relación  con  el  artículo  1.1  de  dicho</w:t>
        <w:br/>
        <w:t xml:space="preserve">      instrumento, en perjuicio de los familiares de  las  víctimas  de  los</w:t>
        <w:br/>
        <w:t xml:space="preserve">      hechos ocurridos en Santo Domingo el  13  de  diciembre  de  1998,  de</w:t>
        <w:br/>
        <w:t xml:space="preserve">      conformidad con lo expuesto en los párrafos 242 a 244 de  la  presente</w:t>
        <w:br/>
        <w:t xml:space="preserve">      Sentencia.</w:t>
        <w:br/>
        <w:br/>
        <w:br/>
        <w:t xml:space="preserve">   4. El Estado es responsable por la violación del derecho a  la  propiedad</w:t>
        <w:br/>
        <w:t xml:space="preserve">      privada, reconocido en el artículo 21 de la Convención Americana sobre</w:t>
        <w:br/>
        <w:t xml:space="preserve">      Derechos Humanos, en relación con el artículo  1.1  de  la  misma,  en</w:t>
        <w:br/>
        <w:t xml:space="preserve">      perjuicio de Mario Galvis, Víctor Palomino,  Margarita  Tilano,  María</w:t>
        <w:br/>
        <w:t xml:space="preserve">      Cenobia Panqueva y Olimpo Cárdenas, de conformidad con lo  establecido</w:t>
        <w:br/>
        <w:t xml:space="preserve">      en los párrafos 269 a 282 de la misma.</w:t>
        <w:br/>
        <w:br/>
        <w:br/>
        <w:t xml:space="preserve">   5. El Estado es responsable por la violación del derecho de circulación y</w:t>
        <w:br/>
        <w:t xml:space="preserve">      residencia, reconocido en el artículo 22 de  la  Convención  Americana</w:t>
        <w:br/>
        <w:t xml:space="preserve">      sobre Derechos Humanos, en relación con los artículos 1.1 y 5.1 de  la</w:t>
        <w:br/>
        <w:t xml:space="preserve">      misma, en perjuicio de las personas que sufrieron  desplazamiento  por</w:t>
        <w:br/>
        <w:t xml:space="preserve">      los hechos del caso, de conformidad con lo establecido en los párrafos</w:t>
        <w:br/>
        <w:t xml:space="preserve">      255 a 268 de la misma.</w:t>
        <w:br/>
        <w:br/>
        <w:br/>
        <w:t xml:space="preserve">   6. No fue demostrada la alegada violación del derecho  reconocido  en  el</w:t>
        <w:br/>
        <w:t xml:space="preserve">      artículo 11 de la Convención Americana sobre Derechos Humanos, por las</w:t>
        <w:br/>
        <w:t xml:space="preserve">      razones señaladas en los párrafos 286 a 289 de la presente Sentencia.</w:t>
        <w:br/>
        <w:br/>
        <w:br/>
        <w:t xml:space="preserve">   7. No fue demostrada la alegada violación de los derechos reconocidos  en</w:t>
        <w:br/>
        <w:t xml:space="preserve">      los artículos 8  y  25  de  la  Convención  Americana  sobre  Derechos</w:t>
        <w:br/>
        <w:t xml:space="preserve">      Humanos, por las razones señaladas en los párrafos 154  a  173  de  la</w:t>
        <w:br/>
        <w:t xml:space="preserve">      presente Sentencia,  sin  perjuicio  de  lo  cual,  a  la  luz  de  la</w:t>
        <w:br/>
        <w:t xml:space="preserve">      obligación general contenida en  el  artículo  1.1  de  la  Convención</w:t>
        <w:br/>
        <w:t xml:space="preserve">      Americana  sobre  Derechos  Humanos,  el  Estado  debe  continuar  las</w:t>
        <w:br/>
        <w:t xml:space="preserve">      investigaciones y procesos administrativos y judiciales en curso, y en</w:t>
        <w:br/>
        <w:t xml:space="preserve">      su caso continuar los demás que correspondan, a efectos de  determinar</w:t>
        <w:br/>
        <w:t xml:space="preserve">      completamente los hechos del presente  caso  y  las  responsabilidades</w:t>
        <w:br/>
        <w:t xml:space="preserve">      correspondientes, de conformidad con lo establecido en el párrafo  297</w:t>
        <w:br/>
        <w:t xml:space="preserve">      de esta Sentencia.</w:t>
        <w:br/>
        <w:br/>
        <w:br/>
        <w:t xml:space="preserve">   8. No procede analizar los hechos del presente caso a la luz del artículo</w:t>
        <w:br/>
        <w:t xml:space="preserve">      2 de la Convención, por las razones señaladas en los  párrafos  245  y</w:t>
        <w:br/>
        <w:t xml:space="preserve">      246 de la presente Sentencia.</w:t>
        <w:br/>
        <w:br/>
        <w:br/>
        <w:br/>
        <w:t>Y DISPONE,</w:t>
        <w:br/>
        <w:br/>
        <w:br/>
        <w:br/>
        <w:br/>
        <w:br/>
        <w:t>por unanimidad, que:</w:t>
        <w:br/>
        <w:br/>
        <w:br/>
        <w:t xml:space="preserve">   1. Esta Sentencia constituye per se una forma de reparación.</w:t>
        <w:br/>
        <w:br/>
        <w:br/>
        <w:t xml:space="preserve">                            2. El Estado debe realizar un  acto  público  de</w:t>
        <w:br/>
        <w:t xml:space="preserve">                               reconocimiento       de       responsabilidad</w:t>
        <w:br/>
        <w:t xml:space="preserve">                               internacional por  los  hechos  del  presente</w:t>
        <w:br/>
        <w:t xml:space="preserve">                               caso, de conformidad con  lo  establecido  en</w:t>
        <w:br/>
        <w:t xml:space="preserve">                               los párrafos 301 y 302 de esta Sentencia.</w:t>
        <w:br/>
        <w:br/>
        <w:br/>
        <w:t xml:space="preserve">                            3. El Estado  debe  realizar  las  publicaciones</w:t>
        <w:br/>
        <w:t xml:space="preserve">                               dispuestas de conformidad con lo  establecido</w:t>
        <w:br/>
        <w:t xml:space="preserve">                               en el párrafo 303 de la presente Sentencia.</w:t>
        <w:br/>
        <w:br/>
        <w:br/>
        <w:t xml:space="preserve">                            4.  El  Estado  debe  brindar   un   tratamiento</w:t>
        <w:br/>
        <w:t xml:space="preserve">                               integral en salud a las víctimas a través  de</w:t>
        <w:br/>
        <w:t xml:space="preserve">                               sus instituciones de salud especializadas, de</w:t>
        <w:br/>
        <w:t xml:space="preserve">                               conformidad con lo establecido en el  párrafo</w:t>
        <w:br/>
        <w:t xml:space="preserve">                               309 de la presente Sentencia.</w:t>
        <w:br/>
        <w:br/>
        <w:br/>
        <w:t xml:space="preserve">                            5. El Estado debe  otorgar  y  ejecutar,  en  el</w:t>
        <w:br/>
        <w:t xml:space="preserve">                               plazo de un año y a través  de  un  mecanismo</w:t>
        <w:br/>
        <w:t xml:space="preserve">                               interno  expedito,  las   indemnizaciones   y</w:t>
        <w:br/>
        <w:t xml:space="preserve">                               compensaciones pertinentes  por  concepto  de</w:t>
        <w:br/>
        <w:t xml:space="preserve">                               daños materiales e inmateriales, a  favor  de</w:t>
        <w:br/>
        <w:t xml:space="preserve">                               las víctimas heridas y de los  familiares  de</w:t>
        <w:br/>
        <w:t xml:space="preserve">                               víctimas  que  no  fueron  reparadas  por  la</w:t>
        <w:br/>
        <w:t xml:space="preserve">                               jurisdicción  contencioso  administrativa   a</w:t>
        <w:br/>
        <w:t xml:space="preserve">                               nivel  interno,  en  los  términos   de   los</w:t>
        <w:br/>
        <w:t xml:space="preserve">                               párrafos 337, y 345 a 349 de esta Sentencia.</w:t>
        <w:br/>
        <w:br/>
        <w:br/>
        <w:t xml:space="preserve">                            6. El Estado debe pagar las  cantidades  fijadas</w:t>
        <w:br/>
        <w:t xml:space="preserve">                               en el párrafo 344 de  la  presente  Sentencia</w:t>
        <w:br/>
        <w:t xml:space="preserve">                               por concepto de reintegro de costas y gastos.</w:t>
        <w:br/>
        <w:br/>
        <w:br/>
        <w:br/>
        <w:br/>
        <w:t xml:space="preserve">                            7. La Corte supervisará el cumplimiento  íntegro</w:t>
        <w:br/>
        <w:t xml:space="preserve">                               de  este   Fallo,   en   ejercicio   de   sus</w:t>
        <w:br/>
        <w:t xml:space="preserve">                               atribuciones y en cumplimiento de sus deberes</w:t>
        <w:br/>
        <w:t xml:space="preserve">                               conforme a la Convención  Americana,  y  dará</w:t>
        <w:br/>
        <w:t xml:space="preserve">                               por concluido el presente caso una vez que el</w:t>
        <w:br/>
        <w:t xml:space="preserve">                               Estado haya  dado  cabal  cumplimiento  a  lo</w:t>
        <w:br/>
        <w:t xml:space="preserve">                               dispuesto en aquél.</w:t>
        <w:br/>
        <w:br/>
        <w:br/>
        <w:t xml:space="preserve">                            8. Dentro del plazo de un año  a  partir  de  su</w:t>
        <w:br/>
        <w:t xml:space="preserve">                               notificación el Estado  deberá  rendir  a  la</w:t>
        <w:br/>
        <w:t xml:space="preserve">                               Corte un informe sobre las medidas  adoptadas</w:t>
        <w:br/>
        <w:t xml:space="preserve">                               para darle cumplimiento.</w:t>
        <w:br/>
        <w:br/>
        <w:br/>
        <w:br/>
        <w:br/>
        <w:br/>
        <w:t>Redactada en español y en inglés, haciendo fe el texto en español, en San</w:t>
        <w:br/>
        <w:t>José, Costa Rica, el día 30 de noviembre de 2012.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E. Ventura Robles                                        Leonardo  A.</w:t>
        <w:br/>
        <w:t>Franco</w:t>
        <w:br/>
        <w:br/>
        <w:br/>
        <w:br/>
        <w:t>Margarette  May  Macaulay                                             Rhadys</w:t>
        <w:br/>
        <w:t>Abreu Blondet</w:t>
        <w:br/>
        <w:br/>
        <w:br/>
        <w:br/>
        <w:t>Alberto Pérez Pérez                                             Eduardo  Vio</w:t>
        <w:br/>
        <w:t>Grossi</w:t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t>ANEXO I. PERSONAS FALLECIDAS.</w:t>
        <w:br/>
        <w:br/>
        <w:br/>
        <w:t>|Adultos                                                          |</w:t>
        <w:br/>
        <w:t>|María Yolanda Rangel                                             |</w:t>
        <w:br/>
        <w:t>|Teresa Mojica Hernández                                          |</w:t>
        <w:br/>
        <w:t>|Edilma Leal Pacheco                                              |</w:t>
        <w:br/>
        <w:t>|Nancy Ávila Castillo                                             |</w:t>
        <w:br/>
        <w:t>|Luis Orlando (Levis Hernando) Martínez Carreño                   |</w:t>
        <w:br/>
        <w:t>|Luis Enrique Parada Ropero                                       |</w:t>
        <w:br/>
        <w:t>|Salomón Neite                                                    |</w:t>
        <w:br/>
        <w:t>|Arnulfo Arciniégas Veladia (o Calvo)                             |</w:t>
        <w:br/>
        <w:t>|Psblo Suárez Daza                                                |</w:t>
        <w:br/>
        <w:t>|Carmen Antonio Díaz Cobo                                         |</w:t>
        <w:br/>
        <w:t>|Rodolfo Carrillo                                                 |</w:t>
        <w:br/>
        <w:t>|Niños y niñas                                                    |</w:t>
        <w:br/>
        <w:t>|Jaime Castro Bello                                               |</w:t>
        <w:br/>
        <w:t>|Egna Margarita Bello Tilano                                      |</w:t>
        <w:br/>
        <w:t>|Luis Carlos Neite Méndez                                         |</w:t>
        <w:br/>
        <w:t>|Deysi Katherine (o Catherine) Cárdenas Tilano                    |</w:t>
        <w:br/>
        <w:t>|Oscar Esneider Vanegas Tulibila                                  |</w:t>
        <w:br/>
        <w:t>|Geovany Hernández Becerra                                        |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ANEXO II. PERSONAS HERIDAS.</w:t>
        <w:br/>
        <w:br/>
        <w:br/>
        <w:t>|Adultos                                                          |</w:t>
        <w:br/>
        <w:t>|Fernando Vanegas                                                 |</w:t>
        <w:br/>
        <w:t>|Milciades Bonilla Ostos                                          |</w:t>
        <w:br/>
        <w:t>|Ludwing Vanegas                                                  |</w:t>
        <w:br/>
        <w:t>|Xiomara García Guevara                                           |</w:t>
        <w:br/>
        <w:t>|Mario Galvis                                                     |</w:t>
        <w:br/>
        <w:t>|Freddy Monoga Villamizar (o Freddy Villamizar Monoga)            |</w:t>
        <w:br/>
        <w:t>|Mónica Bello Tilano                                              |</w:t>
        <w:br/>
        <w:t>|Maribel Daza                                                     |</w:t>
        <w:br/>
        <w:t>|Amalio Neite González                                            |</w:t>
        <w:br/>
        <w:t>|Marian Arévalo                                                   |</w:t>
        <w:br/>
        <w:t>|José Agudelo Tamayo                                              |</w:t>
        <w:br/>
        <w:t>|María  Panqueva                                                  |</w:t>
        <w:br/>
        <w:t>|Pedro Uriel Duarte Lagos                                         |</w:t>
        <w:br/>
        <w:t>|Ludo Vanegas                                                     |</w:t>
        <w:br/>
        <w:t>|Adela Carrillo                                                   |</w:t>
        <w:br/>
        <w:t>|Alcides Bonilla                                                  |</w:t>
        <w:br/>
        <w:t>|Fredy Mora                                                       |</w:t>
        <w:br/>
        <w:t>|Niños y niñas                                                    |</w:t>
        <w:br/>
        <w:t>|Alba Yaneth García Guevara                                       |</w:t>
        <w:br/>
        <w:t>|Marcos Aurelio Neite Méndez                                      |</w:t>
        <w:br/>
        <w:t>|Erinson Olimpo Cárdenas                                          |</w:t>
        <w:br/>
        <w:t>|Hilda Yuraime Barranco                                           |</w:t>
        <w:br/>
        <w:t>|Ricardo Ramírez                                                  |</w:t>
        <w:br/>
        <w:t>|Yeimi Viviana Contreras                                          |</w:t>
        <w:br/>
        <w:t>|Maryori Agudelo Flórez                                           |</w:t>
        <w:br/>
        <w:t>|Rosmira Daza Rojas                                               |</w:t>
        <w:br/>
        <w:t>|Neftalí Neite                                                    |</w:t>
        <w:br/>
        <w:t>|Lida Barranca                                                    |</w:t>
        <w:br/>
        <w:br/>
        <w:br/>
        <w:br/>
        <w:br/>
        <w:br/>
        <w:br/>
        <w:br/>
        <w:br/>
        <w:br/>
        <w:t>ANEXO III. FAMILIARES DE VÍCTIMAS FALLECIDAS Y HERIDAS</w:t>
        <w:br/>
        <w:br/>
        <w:br/>
        <w:br/>
        <w:br/>
        <w:t xml:space="preserve">      |Familiares de víctimas fallecidas y heridas                           |</w:t>
        <w:br/>
        <w:t>|1  |Mario Galvis Gelves (esposo de Teresa Mojica Hernández)           |</w:t>
        <w:br/>
        <w:t>|2  |John Mario Galvis Mojica (hijo de Teresa Mojica Hernández y de    |</w:t>
        <w:br/>
        <w:t>|   |Mario Galvis Gelves)                                              |</w:t>
        <w:br/>
        <w:t>|3  |Luis Alberto Galvis Mojica (hijo de Teresa Mojica Hernández y. de |</w:t>
        <w:br/>
        <w:t>|   |Mario Galvis Gelves                                               |</w:t>
        <w:br/>
        <w:t>|4  |Nelson Enrique Galvis Mojica (hijo de Teresa Mojica Hernández y de|</w:t>
        <w:br/>
        <w:t>|   |Mario Galvis Gelves)                                              |</w:t>
        <w:br/>
        <w:t>|5  |Roberto Yamid Galvis Mojica (hijo de Teresa Mojica Hernández y de |</w:t>
        <w:br/>
        <w:t>|   |Mario Galvis Gelves)                                              |</w:t>
        <w:br/>
        <w:t>|6  |Nelci Moreno Lizarazo (compañera permanente de Rodolfo Carrillo)  |</w:t>
        <w:br/>
        <w:t>|7  |Nidia Carrillo Moreno (hija de Rodolfo Carrillo)                  |</w:t>
        <w:br/>
        <w:t>|8  |Leidy Liliana Carrillo Moreno (hija de Rodolfo Carrillo)          |</w:t>
        <w:br/>
        <w:t>|9  |Deivis Daniela Moreno Lizarazo (hija póstuma de Rodolfo Carrillo) |</w:t>
        <w:br/>
        <w:t>|10 |Tulia Mora de Carrillo (madre de Rodolfo Carrillo)                |</w:t>
        <w:br/>
        <w:t>|11 |Edgar Carrillo Mora (hermano de Rodolfo Carrillo)                 |</w:t>
        <w:br/>
        <w:t>|12 |Irma Nelly Carrillo Mora (hermana de Rodolfo Carrillo)            |</w:t>
        <w:br/>
        <w:t>|13 |Nelcy Carrillo Mora (hermana de Rodolfo Carrillo)                 |</w:t>
        <w:br/>
        <w:t>|14 |Marleny Carrillo Mora (hermana de Rodolfo Carrillo)               |</w:t>
        <w:br/>
        <w:t>|15 |Luis Enrique Carrillo Mora (hermano de Rodolfo Carrillo)          |</w:t>
        <w:br/>
        <w:t>|16 |Ana Mirián Durán Mora (hermana de Rodolfo Carrillo)               |</w:t>
        <w:br/>
        <w:t>|17 |Rosalbina Durán Mora (hermana de Rodolfo Carrillo)                |</w:t>
        <w:br/>
        <w:t>|18 |Graciela Durán Mora (hermana de Rodolfo Carrillo)                 |</w:t>
        <w:br/>
        <w:t>|19 |Carmen Edilia González Ravelo (esposa de Salomón Neitey madre de  |</w:t>
        <w:br/>
        <w:t>|   |Amalio Neite González y de Neftalí Neite González, abuela/madre de|</w:t>
        <w:br/>
        <w:t>|   |crianza de Luis Carlos Neite Méndez y de Marcos Aurelio Neite     |</w:t>
        <w:br/>
        <w:t>|   |Méndez)                                                           |</w:t>
        <w:br/>
        <w:t>|20 |Romelia Neite de López (hermana de Salomón Neite y tía de Amalio  |</w:t>
        <w:br/>
        <w:t>|   |Neite González y de Neftalí Neite González)                       |</w:t>
        <w:br/>
        <w:t>|21 |Neila Neite González (tía de Luis Carlos Neite Méndez y de Marcos |</w:t>
        <w:br/>
        <w:t>|   |Aurelio Neite Méndez, hija de Salomón Neite y hermana de Amalio   |</w:t>
        <w:br/>
        <w:t>|   |Neite González y de Neftalí Neite González)                       |</w:t>
        <w:br/>
        <w:t>|22 |Salomón Neite González (tío de Luis Carlos Neite Méndez y de      |</w:t>
        <w:br/>
        <w:t>|   |Marcos Aurelio Neite Méndez, hijo de Salomón Neite y hermano de   |</w:t>
        <w:br/>
        <w:t>|   |Amalio Neite González y de Neftalí Neite González)                |</w:t>
        <w:br/>
        <w:t>|23 |Neftalí Neite González (tío de Luis Carlos Neite Méndez y de      |</w:t>
        <w:br/>
        <w:t>|   |Marcos Aurelio Neite Méndez, hijo de Salomón Neite y hermano de   |</w:t>
        <w:br/>
        <w:t>|   |Amalio Neite González)                                            |</w:t>
        <w:br/>
        <w:t>|24 |Amalio Neite González (tío de Luis Carlos Neite Méndez y de Marcos|</w:t>
        <w:br/>
        <w:t>|   |Aurelio Neite Méndez, hijo de Salomón Neite y hermano de Neftalí  |</w:t>
        <w:br/>
        <w:t>|   |Neite González)                                                   |</w:t>
        <w:br/>
        <w:t>|25 |Elizabeth Neite González (tía de Luis Carlos Neite Méndez y de    |</w:t>
        <w:br/>
        <w:t>|   |Marcos Aurelio Neite Méndez, hija de Salomón Neite y hermana de   |</w:t>
        <w:br/>
        <w:t>|   |Amalio Neite González y de Neftalí Neite González)                |</w:t>
        <w:br/>
        <w:t>|26 |Marcos Neite González (padre de Luis Carlos Neite Méndez y de     |</w:t>
        <w:br/>
        <w:t>|   |Marcos Aurelio Neite Méndez, hijo de Salomón Neite, hermano de    |</w:t>
        <w:br/>
        <w:t>|   |Amalio Neite González y de Neftalí Neite González, compañero      |</w:t>
        <w:br/>
        <w:t>|   |permanente de María Yolanda Rangel)                               |</w:t>
        <w:br/>
        <w:t>|27 |Marcos Aurelio Neite Méndez (hermano de Luis Carlos Neite Méndez, |</w:t>
        <w:br/>
        <w:t>|   |hijastro de María Yolanda Rangel, sobrino de Neftalí Neite        |</w:t>
        <w:br/>
        <w:t>|   |González y Amalio Neite González, nieto de Salomón Neite)         |</w:t>
        <w:br/>
        <w:t>|28 |Leyda Shirley Neite Méndez (hermana de Luis Carlos Neite Méndez y |</w:t>
        <w:br/>
        <w:t>|   |de Marcos Aurelio Neite Méndez, hijastra de María Yolanda Rangel, |</w:t>
        <w:br/>
        <w:t>|   |sobrina de Neftalí Neite González y Amalio Neite González, nieta  |</w:t>
        <w:br/>
        <w:t>|   |de Salomón Neite)                                                 |</w:t>
        <w:br/>
        <w:t>|29 |Vilma Yadira Neite Méndez (hermana de Luis Carlos Neite Méndez y  |</w:t>
        <w:br/>
        <w:t>|   |de Marcos Aurelio Neite Méndez, hijastra de María Yolanda Rangel, |</w:t>
        <w:br/>
        <w:t>|   |sobrina de Neftalí Neite González y Amalio Neite González, nieta  |</w:t>
        <w:br/>
        <w:t>|   |de Salomón Neite)                                                 |</w:t>
        <w:br/>
        <w:t>|30 |Yexi Coromoto Arciniegas Rangel (hija de María Yolanda Ranger)    |</w:t>
        <w:br/>
        <w:t>|31 |Jorge Henry Vanegas Ortíz (padre de Oscar Esneider Vanegas        |</w:t>
        <w:br/>
        <w:t>|   |Tulibila y de Edwin Fernando Vanegas Tulibila)                    |</w:t>
        <w:br/>
        <w:t>|32 |Mirian Soreira Tulibila Macualo (madre de Oscar Esneider Vanegas  |</w:t>
        <w:br/>
        <w:t>|   |Tulibila y de Edwin Femando Vanegas Tulibila, y madre de crianza  |</w:t>
        <w:br/>
        <w:t>|   |de Luis Enrique Parada Ropero)                                    |</w:t>
        <w:br/>
        <w:t>|33 |Jorge Mario Vanegas Tulibila (hermano de Oscar Esneider Vanegas   |</w:t>
        <w:br/>
        <w:t>|   |Tulibila y de Edwin Fernando Vanegas Tulibila y hermano de crianza|</w:t>
        <w:br/>
        <w:t>|   |de Luis Enrique Parada Ropero)                                    |</w:t>
        <w:br/>
        <w:t>|34 |Yaritza Lisbeth Vanegas Tulibila (hermana de Oscar Esneider       |</w:t>
        <w:br/>
        <w:t>|   |Vanegas Tulibila y de Edwin Fernando Vanegas Tulibila, y hermana  |</w:t>
        <w:br/>
        <w:t>|   |de crianza de Luis Enrique Parada Ropero)                         |</w:t>
        <w:br/>
        <w:t>|35 |Edwin Fernando Vanegas Tulibila (hermano de Oscar Esneider Vanegas|</w:t>
        <w:br/>
        <w:t>|   |Tulibila y hermano de crianza de Luis Enrique Parada Ropero)      |</w:t>
        <w:br/>
        <w:t>|36 |Nerys Duarte Cárdenas (compañera permanente de Carmen Antonio     |</w:t>
        <w:br/>
        <w:t>|   |Díaz)                                                             |</w:t>
        <w:br/>
        <w:t>|37 |Andersson Duarte Cárdenas (hijo de Carmen Antonio Díaz)           |</w:t>
        <w:br/>
        <w:t>|38 |Davinson Duarte Cárdenas (hijo de Carmen Antonio Díaz)            |</w:t>
        <w:br/>
        <w:t>|39 |Clemencia Cobo (madre de Carmen Antonio Díaz)                     |</w:t>
        <w:br/>
        <w:t>|40 |Rafael Díaz Ramírez (padre de Carmen Antonio Díaz)                |</w:t>
        <w:br/>
        <w:t>|41 |Giovanni Díaz Cobo (hermano de Carmen Antonio Díaz)               |</w:t>
        <w:br/>
        <w:t>|42 |Dionel Díaz Cobo (hermano de Carmen Antonio Díaz)                 |</w:t>
        <w:br/>
        <w:t>|43 |Ana Lucía Díaz Cobo (hermana de Carmen Antonio Díaz)              |</w:t>
        <w:br/>
        <w:t>|44 |Sonia Díaz Cobo (hermana de Carmen Antonio Díaz)                  |</w:t>
        <w:br/>
        <w:t>|45 |Luz Elena Díaz Cobo (hermana de Carmen Antonio Díaz)              |</w:t>
        <w:br/>
        <w:t>|46 |Norberto Leal (padre de Edilma Leal Pacheco)                      |</w:t>
        <w:br/>
        <w:t>|47 |Benilda Pacheco de Leal (madre de Edilma Leal Pacheco)            |</w:t>
        <w:br/>
        <w:t>|48 |Norelis Leal Pacheco (hermana de Edilma Leal Pacheco)             |</w:t>
        <w:br/>
        <w:t>|49 |Rubiela Leal Pacheco (hermana de Edilma Leal Pacheco)             |</w:t>
        <w:br/>
        <w:t>|50 |Edwin Leal Pacheco (hermano de Edilma Leal Pacheco)               |</w:t>
        <w:br/>
        <w:t>|51 |José Rafael Hernández Mojica (padre de Geovani Hernández Becerra) |</w:t>
        <w:br/>
        <w:t>|52 |María Elida Becerra Rubio (madre de Geovani Hernández Becerra)    |</w:t>
        <w:br/>
        <w:t>|53 |Diana Carolina Hernández Becerra (hermana de Geovani Hernández    |</w:t>
        <w:br/>
        <w:t>|   |Becerra)                                                          |</w:t>
        <w:br/>
        <w:t>|54 |Erika Yusdey Hernández Becerra (hermana de Geovani Hernández      |</w:t>
        <w:br/>
        <w:t>|   |Becerra)                                                          |</w:t>
        <w:br/>
        <w:t>|55 |Jorge Luis Hernández Becerra (hermano de Geovani Hernández        |</w:t>
        <w:br/>
        <w:t>|   |Becerra)                                                          |</w:t>
        <w:br/>
        <w:t>|56 |Luz Elena Hernández Becerra (hermana de Geovani Hernández Becerra)|</w:t>
        <w:br/>
        <w:t>|57 |Emérita Hernández Becerra (hermana de Geovani Hernández Becerra   |</w:t>
        <w:br/>
        <w:t>|58 |Bertha Yusdey Hernández Bacerra (hermana de Geovani Hernández     |</w:t>
        <w:br/>
        <w:t>|   |Becerra)                                                          |</w:t>
        <w:br/>
        <w:t>|59 |Lucero Talero Sánchez (compañera permanente de Levis Orlando      |</w:t>
        <w:br/>
        <w:t>|   |Martínez Carreña)                                                 |</w:t>
        <w:br/>
        <w:t>|60 |Yesica Martínez Talero (hija da Levis Orlando Martínez Carreño)   |</w:t>
        <w:br/>
        <w:t>|61 |Doris Adriana Martínez Talero (hija de Levis Orlando Martínez     |</w:t>
        <w:br/>
        <w:t>|   |Carreño)                                                          |</w:t>
        <w:br/>
        <w:t>|62 |Luis Eduardo Martínez Talero (hijo de Levis Orlando Martínez      |</w:t>
        <w:br/>
        <w:t>|   |Carreña)                                                          |</w:t>
        <w:br/>
        <w:t>|63 |Teodora Carreña Alarcón (madre de Levis Orlando Martínez Carreña) |</w:t>
        <w:br/>
        <w:t>|64 |Exelino Martínez Rodríguez (padre de Levis Orlando Martínez       |</w:t>
        <w:br/>
        <w:t>|   |Carreña)                                                          |</w:t>
        <w:br/>
        <w:t>|65 |Pedro Virgilio Martínez Carreño (hermano de Levis Orlando Martínez|</w:t>
        <w:br/>
        <w:t>|   |Carreña)                                                          |</w:t>
        <w:br/>
        <w:t>|66 |José Vicente Martínez Carreño (hermano de Levis Orlando Martínez  |</w:t>
        <w:br/>
        <w:t>|   |Carreña)                                                          |</w:t>
        <w:br/>
        <w:t>|67 |Manuel Antonio Martínez Carreño (hermano de Levis Orlando Martínez|</w:t>
        <w:br/>
        <w:t>|   |Carreña)                                                          |</w:t>
        <w:br/>
        <w:t>|68 |Claudia Exelina Martínez Carreño (hermana de Levis Orlando        |</w:t>
        <w:br/>
        <w:t>|   |Martínez Carreña)                                                 |</w:t>
        <w:br/>
        <w:t>|69 |Ana Fidelia Martínez Carreño (hermana de Levis Orlando Martínez   |</w:t>
        <w:br/>
        <w:t>|   |Carreña)                                                          |</w:t>
        <w:br/>
        <w:t>|70 |María Elena Carreño (hermana de Levis Orlando Martínez Carreña)   |</w:t>
        <w:br/>
        <w:t>|71 |Milciades Bonilla Ostos (compañero permanente de Nancy Ávila      |</w:t>
        <w:br/>
        <w:t>|   |Abaunza)                                                          |</w:t>
        <w:br/>
        <w:t>|72 |Nancy Chaquira Bonilla Ostos (hija de Nancy Ávila Abaunza y de    |</w:t>
        <w:br/>
        <w:t>|   |Milciades Bonilla Ostos)                                          |</w:t>
        <w:br/>
        <w:t>|73 |Carmen Elisa Abaunza Castillo (madre de Nancy Ávila Abaunza)      |</w:t>
        <w:br/>
        <w:t>|74 |Jorge Eliécer Ávila (padre de Nancy Ávila Abaunza)                |</w:t>
        <w:br/>
        <w:t>|75 |Sandy Yomaira Ávila Castillo (hermana de Nancy Ávila Abaunza)     |</w:t>
        <w:br/>
        <w:t>|76 |Pedro Ávila Castillo (hermano de Nancy Ávila Abaunza)             |</w:t>
        <w:br/>
        <w:t>|77 |Omar Ávila Castillo (hermano de Nancy Ávila Abaunza)              |</w:t>
        <w:br/>
        <w:t>|78 |Gladys Cecilia Ávila Castillo (hermana de Nancy Ávila Abaunza)    |</w:t>
        <w:br/>
        <w:t>|79 |Luz Dary Abaunza Castillo (hermana de Nancy Ávila Abaunza)        |</w:t>
        <w:br/>
        <w:t>|80 |Tiberio Barraco Téllez (padre de Hilda Yuraime Barranco)          |</w:t>
        <w:br/>
        <w:t>|81 |Eliberta Bastilla (madre de Hilda Yuraime Barranco)               |</w:t>
        <w:br/>
        <w:t>|82 |Yilmer Orledy Barranco Bastilla (hermano de Hilda Yuraime         |</w:t>
        <w:br/>
        <w:t>|   |Barranco)                                                         |</w:t>
        <w:br/>
        <w:t>|83 |Edwin Fabian Barranco Bastilla (hermano de Hilda Yuraime Barranco)|</w:t>
        <w:br/>
        <w:t>|84 |Anyi Marieth Barranco Bastilla (hermana da Hilda Yuraime Barranco)|</w:t>
        <w:br/>
        <w:t>|85 |Margarita Tilano Yañez (madre de Katherine Cárdenas Tilano, Mónica|</w:t>
        <w:br/>
        <w:t>|   |Bello Tilano y Erinson Olimpo Cárdenas Tilano, abuela de Egna     |</w:t>
        <w:br/>
        <w:t>|   |Margarita Bello Tilano y Jaime Castro Bello)                      |</w:t>
        <w:br/>
        <w:t>|86 |Olimpo Cárdenas Castañeda (padre de Katherine Cárdenas Tilano y   |</w:t>
        <w:br/>
        <w:t>|   |Erinson Olimpo Cárdenas Tilano)                                   |</w:t>
        <w:br/>
        <w:t>|87 |Wilmer Yesid Cárdenas Tilano (hermano de Katherine Cárdenas       |</w:t>
        <w:br/>
        <w:t>|   |Tilano, Mónica Bello Tilano y Erinson Olimpo Cárdenas Tilano, tío |</w:t>
        <w:br/>
        <w:t>|   |de Egna Margarita Bello Tilano y Jaime Castro Bello)              |</w:t>
        <w:br/>
        <w:t>|88 |Erinson Olimpo Cárdenas Tilano (hermano de Katherine Cárdenas     |</w:t>
        <w:br/>
        <w:t>|   |Tilano y Mónica Bello Tilano, tío de Egna Margarita Bello Tilano y|</w:t>
        <w:br/>
        <w:t>|   |Jaime Castro Bello)                                               |</w:t>
        <w:br/>
        <w:t>|89 |Norma Constanza Bello Tilano (hermana de Katherine Cárdenas       |</w:t>
        <w:br/>
        <w:t>|   |Tilano, Mónica Bello Tilano y Erinson Olimpo Cárdenas Tilano, tía |</w:t>
        <w:br/>
        <w:t>|   |de Egna Margarita Bello Tilano y Jaime Castro Bello)              |</w:t>
        <w:br/>
        <w:t>|90 |Mónica Bello Tilano (madre de Egna Margarita Bello Tilano, hermana|</w:t>
        <w:br/>
        <w:t>|   |de Katherine Cárdenas Tilano y Erinson Olimpo Cárdenas Tilano, tía|</w:t>
        <w:br/>
        <w:t>|   |de Jaime Castro Bello)                                            |</w:t>
        <w:br/>
        <w:t>|91 |Inés Yurely Bello Tilano (madre de Jaime Castro Bello, hermana de |</w:t>
        <w:br/>
        <w:t>|   |Katherine Cárdenas Tilano, Mónica Bello Tilano y Erinson Olimpo   |</w:t>
        <w:br/>
        <w:t>|   |Cárdenas Tilano, tía de Egna Margarita Bello Tilano)              |</w:t>
        <w:br/>
        <w:t>|92 |Camilo Andrés Quintana Bello (hijo de Mónica Bello Tilano, hermano|</w:t>
        <w:br/>
        <w:t>|   |de Egna Margarita Bello Tilano, sobrino de Katherine Cárdenas     |</w:t>
        <w:br/>
        <w:t>|   |Tilano y Erinson Olimpo Cárdenas Tilano, primo de Jaime Castro    |</w:t>
        <w:br/>
        <w:t>|   |Bello)                                                            |</w:t>
        <w:br/>
        <w:t>|93 |Angie Camila Castro Bello (hermana de Jaime Castro Bello, sobrina |</w:t>
        <w:br/>
        <w:t>|   |de Katherine Cárdenas Tilano, Mónica Bello Tilano y Erinson Olimpo|</w:t>
        <w:br/>
        <w:t>|   |Cárdenas Tilano, prima de Egna Margarita Bello Tilano)            |</w:t>
        <w:br/>
        <w:t>|94 |Orlando Castro Londoño (padre de Jaime Castro Bello)              |</w:t>
        <w:br/>
        <w:t>|95 |Deicy Damaris Cedano (compañera permanente de Pablo Suárez Daza)  |</w:t>
        <w:br/>
        <w:t>|96 |Jeinny Damaris Cedano (hija de Pablo Suárez Daza)                 |</w:t>
        <w:br/>
        <w:t>|97 |Pablo Esnober Cedano (hijo de Pablo Suárez Daza)                  |</w:t>
        <w:br/>
        <w:t>|98 |Ascensión Daza Galindo (madre de Pablo Suárez Daza)               |</w:t>
        <w:br/>
        <w:t>|99 |Eliu Suárez Daza (hermano de Pablo Suárez Daza)                   |</w:t>
        <w:br/>
        <w:t>|100|Eliécer Suárez Daza (hermano de Pablo Suárez Daza)                |</w:t>
        <w:br/>
        <w:t>|101|José Alirio Suárez Daza (hermano de Pablo Suárez Daza)            |</w:t>
        <w:br/>
        <w:t>|102|Wilson Suárez Daza (hermano de Pablo Suárez Daza)                 |</w:t>
        <w:br/>
        <w:t>|103|Nilsa de Jesús Díaz Herrera (compañera permanente de Arnulfo      |</w:t>
        <w:br/>
        <w:t>|   |Arciniegas)                                                       |</w:t>
        <w:br/>
        <w:t>|104|José David Rincón Díaz (hijastro de Arnulfo Arciniegas)           |</w:t>
        <w:br/>
        <w:t>|105|Florinda Calvo Rey (madre de Arnulfo Arciniegas)                  |</w:t>
        <w:br/>
        <w:t>|106|Dionisio Arciniegas Velandia (padre de Arnulfo Arciniegas)        |</w:t>
        <w:br/>
        <w:t>|107|Jorge Eliécer Arciniegas Calvo (hermano de Arnulfo Arciniegas)    |</w:t>
        <w:br/>
        <w:t>|108|Diomedes Arciniegas Calvo (hermano de Arnulfo Arciniegas)         |</w:t>
        <w:br/>
        <w:t>|109|Olinto Arciniegas Calvo (hermano da Arnulfo Arciniegas)           |</w:t>
        <w:br/>
        <w:t>|110|Gladys Arciniegas Calvo (hermana de Arnulfo Arciniegas)           |</w:t>
        <w:br/>
        <w:t>|111|Omaira Arciniegas Calvo (hermana de Arnulfo Arciniegas)           |</w:t>
        <w:br/>
        <w:t>|   |Familiares que no figuran en el Informe de Fondo pero que también |</w:t>
        <w:br/>
        <w:t>|   |fueron reparados a partir de Acuerdo Conciliatorio aprobado por el|</w:t>
        <w:br/>
        <w:t>|   |Consejo de Estado                                                 |</w:t>
        <w:br/>
        <w:t>|112|Oscar Andrey Galvis Mojica (hijo de Teresa Mojica Hernández y de  |</w:t>
        <w:br/>
        <w:t>|   |Mario Galvis Gelves)                                              |</w:t>
        <w:br/>
        <w:t>|113|Albeiro Galvis Mojica (hijo de Teresa Mojica Hernández y de Mario |</w:t>
        <w:br/>
        <w:t>|   |Galvis Gelves)                                                    |</w:t>
        <w:br/>
        <w:t>|114|Norberto Arciniegas Calvo (hermano de Arnulfo Arciniegas)         |</w:t>
        <w:br/>
        <w:t>|115|Argemiro Arciniegas Calvo (hermano de Arnulfo Arciniegas)         |</w:t>
        <w:br/>
        <w:t>|116|Orlando Arciniegas Calvo (hermano de Arnulfo Arciniegas)          |</w:t>
        <w:br/>
        <w:t>|117|Erlinda Arciniegas Calvo (hermana de Arnulfo Arciniegas)          |</w:t>
        <w:br/>
        <w:br/>
        <w:br/>
        <w:br/>
        <w:t>-----------------------</w:t>
        <w:br/>
        <w:br/>
        <w:t>[1]   Reglamento de la Corte aprobado por el Tribunal en su LXXXV Período</w:t>
        <w:br/>
        <w:t>Ordinario de Sesiones celebrado del 16 al 28 de noviembre de 2009.</w:t>
        <w:br/>
        <w:br/>
        <w:br/>
        <w:t>[2]   En este informe, la Comisión concluyó que la petición  era  admisible,</w:t>
        <w:br/>
        <w:t>conforme a los requisitos establecidos en  los  artículos  46  y  47  de  la</w:t>
        <w:br/>
        <w:t>Convención Americana, por la presunta violación de los derechos a  la  vida,</w:t>
        <w:br/>
        <w:t>la  integridad  personal,  garantías  judiciales,  la   propiedad   privada,</w:t>
        <w:br/>
        <w:t>derechos del niño y protección judicial previstos en los artículos 4, 5,  8,</w:t>
        <w:br/>
        <w:t>19, 21 y 25 de la Convención Americana, en relación con los artículos 1.1  y</w:t>
        <w:br/>
        <w:t>2 del mismo Tratado. CIDH Informe  25/03,  petición  289-02,  Admisibilidad,</w:t>
        <w:br/>
        <w:t>Santo Domingo, Colombia 6 de marzo de 2003.</w:t>
        <w:br/>
        <w:br/>
        <w:br/>
        <w:t>[3]          En  el  Informe  de  Fondo  la  Comisión  hizo  las  siguientes</w:t>
        <w:br/>
        <w:t>recomendaciones al Estado: 1) Llevar adelante una  investigación  imparcial,</w:t>
        <w:br/>
        <w:t>exhaustiva y dentro de un plazo razonable con el fin de juzgar  y  sancionar</w:t>
        <w:br/>
        <w:t>a todos los responsables materiales e intelectuales de  las  violaciones  de</w:t>
        <w:br/>
        <w:t>derechos humanos declaradas  en  el  presente  informe;  2)  Investigar  los</w:t>
        <w:br/>
        <w:t>vinculas entre agentes del Estado y la  empresa  extractiva  que  desarrolla</w:t>
        <w:br/>
        <w:t>actividades en la zona donde ocurrieron  los  hechos  y  tomar  las  medidas</w:t>
        <w:br/>
        <w:t>adecuadas para evitar que hechos coma los descritos en el  presente  informe</w:t>
        <w:br/>
        <w:t>vuelvan a ocurrir; 3) Establecer, con la participación de  la  comunidad  en</w:t>
        <w:br/>
        <w:t>su diseño  e  implementación,  una  medida  de  reparación  comunitaria  que</w:t>
        <w:br/>
        <w:t>reconozca el impacto que tuvo el bombardeo sobre la población  civil  de  la</w:t>
        <w:br/>
        <w:t>vereda de Santo Domingo para remediar las graves y  duraderas  consecuencias</w:t>
        <w:br/>
        <w:t>para la comunidad como tal y que tome en cuenta  iniciativas  de  desarrollo</w:t>
        <w:br/>
        <w:t>en  temas  como  salud,  vivienda  y  educación;  4)  Adoptar  las   medidas</w:t>
        <w:br/>
        <w:t>necesarias para evitar que  se  repitan  patrones  de  violencia  contra  la</w:t>
        <w:br/>
        <w:t>población civil, de conformidad con el deber de  protección  y  garantía  de</w:t>
        <w:br/>
        <w:t>los derechos  fundamentales  reconocidos  en  la  Convención  Americana.  En</w:t>
        <w:br/>
        <w:t>particular, implementar programas permanentes de derechos humanos y  derecho</w:t>
        <w:br/>
        <w:t>internacional humanitario en  las  escuelas  de  formación  de  las  Fuerzas</w:t>
        <w:br/>
        <w:t>Armadas; 5)  Reparar  adecuadamente  las  violaciones  de  derechos  humanos</w:t>
        <w:br/>
        <w:t>declaradas en el informe tanto en el aspecto material como moral  incluyendo</w:t>
        <w:br/>
        <w:t>el establecimiento y difusión de la verdad de los  hechos,  la  recuperación</w:t>
        <w:br/>
        <w:t>de la memoria de las víctimas fallecidas y la implementación de un  programa</w:t>
        <w:br/>
        <w:t>adecuado de atención psicosocial  a  los  familiares  sobrevivientes,  y  6)</w:t>
        <w:br/>
        <w:t>Reparar a los niños y las niñas afectados por el bombardeo sobre  la  vereda</w:t>
        <w:br/>
        <w:t>de Santo Domingo a través de  medidas  en  las  que  prevalezca  el  interés</w:t>
        <w:br/>
        <w:t>superior del niño, el respeto de su dignidad, el  derecho  de  participación</w:t>
        <w:br/>
        <w:t>de los niños y niñas, así como el respeto de sus opiniones en el proceso  de</w:t>
        <w:br/>
        <w:t>diseño e implementación de las medidas de reparación. Cfr. Informe de  Fondo</w:t>
        <w:br/>
        <w:t>No.    61/11,    Fondo,    Tomo    I,    folio     44.     Disponible     en</w:t>
        <w:br/>
        <w:t>http://www.cidh.oas.org/demandas/12.416ESP.pdf</w:t>
        <w:br/>
        <w:br/>
        <w:br/>
        <w:t>[4]   La Comisión manifestó, en cuanto a la identificación de las  presuntas</w:t>
        <w:br/>
        <w:t>víctimas  de  las  alegadas  violaciones  del  derecho  a  la  libertad   de</w:t>
        <w:br/>
        <w:t>circulación y residencia y a la propiedad privada, que  “por  la  naturaleza</w:t>
        <w:br/>
        <w:t>misma de los hechos del  caso,  la  Comisión  no  pudo  obtener  información</w:t>
        <w:br/>
        <w:t>precisa que le permitiera individualizar  a  todas  las  víctimas  de  estas</w:t>
        <w:br/>
        <w:t>violaciones”. Carta de remisión del caso N. 12.416 del 8 de  julio  de  2011</w:t>
        <w:br/>
        <w:t>(expediente de fondo, tomo 1, folio 4).</w:t>
        <w:br/>
        <w:br/>
        <w:br/>
        <w:t>[5]   Mediante comunicación de 10 de septiembre de 2011, ante una  solicitud</w:t>
        <w:br/>
        <w:t>de  aclaración  enviada  por  la  Secretaría  siguiendo  instrucciones   del</w:t>
        <w:br/>
        <w:t>Presidente, la Corporación Colectivo de  Abogados  "José  Alvear  Restrepo";</w:t>
        <w:br/>
        <w:t>Humanidad Vigente Corporación Jurídica; la  Fundación  de  Derechos  Humanos</w:t>
        <w:br/>
        <w:t>"Joel Sierra", la Asociación para la Promoción Social Alternativa (Minga)  y</w:t>
        <w:br/>
        <w:t>los abogados Douglass Cassel, David Stahl  y  Lisa  Meyer  manifestaron  que</w:t>
        <w:br/>
        <w:t>ejercerían la representación de las presuntas víctimas. Indicaron que  el  3</w:t>
        <w:br/>
        <w:t>de julio de 2011 aportaron  a  la  Comisión  Interamericana  90  poderes  de</w:t>
        <w:br/>
        <w:t>representación, de los cuales 11 corresponderían “a personas heridas  en  el</w:t>
        <w:br/>
        <w:t>bombardeo” y 79 a familiares de las presuntas víctimas, “teniendo en  cuenta</w:t>
        <w:br/>
        <w:t>que los sobrevivientes  fueron  víctimas  de  desplazamiento  forzado  y  en</w:t>
        <w:br/>
        <w:t>algunos casos no ha sido posible establecer su lugar de residencia  actual”.</w:t>
        <w:br/>
        <w:t>Además, en esa oportunidad aportaron 4  poderes  adicionales  de  familiares</w:t>
        <w:br/>
        <w:t>(expediente de fondo, tomo 1, folio 81).</w:t>
        <w:br/>
        <w:br/>
        <w:br/>
        <w:t>[6]   Las excepciones preliminares interpuestas por el Estado son “falta de</w:t>
        <w:br/>
        <w:t>competencia” de la Corte ratione materiae y “falta de agotamiento de</w:t>
        <w:br/>
        <w:t>recursos internos” respecto de algunas presuntas víctimas.</w:t>
        <w:br/>
        <w:br/>
        <w:br/>
        <w:t>[7]   El 6 de marzo de 2012 el Estado informó que señor Eduardo  Montealegre</w:t>
        <w:br/>
        <w:t>Lynnet actuaría como único agente en representación del  Estado.  El  28  de</w:t>
        <w:br/>
        <w:t>marzo de 2012 el Estado informó que el señor Montealegre  Lynnet  no  podría</w:t>
        <w:br/>
        <w:t>continuar fungiendo como Agente en este caso,  pues  asumiría  el  cargo  de</w:t>
        <w:br/>
        <w:t>Fiscal General de la Nación, por lo que designó como  Agentes  a  la  señora</w:t>
        <w:br/>
        <w:t>Luz Marina Gil y al señor Jorge Alberto Giraldo Rivera.</w:t>
        <w:br/>
        <w:br/>
        <w:br/>
        <w:t>[8]   Cfr. Caso Masacre de Santo Domingo Vs. Colombia, Resolución del</w:t>
        <w:br/>
        <w:t>Presidente de la Corte de 5 de junio de 2012, disponible en</w:t>
        <w:br/>
        <w:t>http://www.corteidh.or.cr/docs/asuntos/santodomingo_05_06_12.pdf.</w:t>
        <w:br/>
        <w:br/>
        <w:br/>
        <w:t>[9]   Cfr. Caso Masacre de Santo Domingo Vs. Colombia, Resolución de la</w:t>
        <w:br/>
        <w:t>Corte Interamericana de 18 de junio de 2012, disponible en</w:t>
        <w:br/>
        <w:t>http://www.corteidh.or.cr/docs/asuntos/santodomingo_18_06_12.pdf.</w:t>
        <w:br/>
        <w:br/>
        <w:br/>
        <w:t>[10]  A esta audiencia comparecieron: a)  por  la  Comisión  Interamericana:</w:t>
        <w:br/>
        <w:t>Felipe González, Comisionado,  Silvia  Serrano  Guzmán,  Asesora,  y  Álvaro</w:t>
        <w:br/>
        <w:t>Botero, Asesor; b) por los representantes: Rafael Barrios Mendivil,  Nicolás</w:t>
        <w:br/>
        <w:t>Escandón Henao y Jomary Ortegón  Osorio,  de  CCAJAR;  Tito  Augusto  Gaitán</w:t>
        <w:br/>
        <w:t>Crespo y Andrea Lucía Rodríguez Orama, de la Asociación Minga; Janet  Eliana</w:t>
        <w:br/>
        <w:t>Zamora González, de HVCJ; Alonso  Campiño  Bedoya  o  Yilson  Javier  Torres</w:t>
        <w:br/>
        <w:t>Rodríguez, de la Fundación “Joel Sierra” y Douglas  Cassel  y  David  Stahl,</w:t>
        <w:br/>
        <w:t>Abogados; y c) por el Estado: Rafael Nieto Loaiza y Luz  Marina  Gil  García</w:t>
        <w:br/>
        <w:t>Agentes; Hernando Herrera Vergara, Embajador  de  Colombia  en  Costa  Rica;</w:t>
        <w:br/>
        <w:t>Assad José Jater Peña, Director de Derechos Humanos y Derecho  Internacional</w:t>
        <w:br/>
        <w:t>Humanitario  del  Ministerio  de  Relaciones  Exteriores;  y  Jorge  Giraldo</w:t>
        <w:br/>
        <w:t>Rivera, Coordinador Grupo Operativo Interinstitucional.</w:t>
        <w:br/>
        <w:br/>
        <w:br/>
        <w:t>[11]  En ese sentido, el  Estado  alegó  que  la  única  fuente  de  derecho</w:t>
        <w:br/>
        <w:t>admitida  por  la  misma  Convención  como  objeto   de   determinación   de</w:t>
        <w:br/>
        <w:t>responsabilidad internacional es la Convención Americana, que constituye  el</w:t>
        <w:br/>
        <w:t>universo de conocimiento de  la  Corte.  El  Estado  agregó  que  conocer  y</w:t>
        <w:br/>
        <w:t>estudiar  la  responsabilidad  con  base  en  otras  normas,  constituye  un</w:t>
        <w:br/>
        <w:t>desconocimiento del principio  de  competencia  material  y  es  inadmisible</w:t>
        <w:br/>
        <w:t>debido, entre otras razones, a  que  pasa  por  alto  la  misma  restricción</w:t>
        <w:br/>
        <w:t>establecida por la Convención. Es en virtud de la soberanía de  los  Estados</w:t>
        <w:br/>
        <w:t>que surgen las reglamentaciones y organismos supranacionales y  es,  en  ese</w:t>
        <w:br/>
        <w:t>mismo sentido, gracias al principio de consentimiento, que los  sujetos  del</w:t>
        <w:br/>
        <w:t>derecho internacional generan  prescripciones  jurídicas  y  determinan  las</w:t>
        <w:br/>
        <w:t>competencias de los órganos que las interpretan y aplican. No es  admisible,</w:t>
        <w:br/>
        <w:t>entonces, que los órganos internacionales exijan a los  Estados  más  de  lo</w:t>
        <w:br/>
        <w:t>que ha sido aceptado por aquellos. Además, de conocer sobre los  hechos  del</w:t>
        <w:br/>
        <w:t>presente caso, la Corte Interamericana no estará utilizando  como  criterios</w:t>
        <w:br/>
        <w:t>de interpretación las normas de Derecho Internacional Humanitario, sino  que</w:t>
        <w:br/>
        <w:t>prácticamente estará resolviendo por vía indirecta, cuestiones  relacionadas</w:t>
        <w:br/>
        <w:t>con su vulneración. Por  esta  vía  serán  desconocidos  los  principios  de</w:t>
        <w:br/>
        <w:t>aceptación y transferencia de la  competencia  que  le  ha  dado  el  Estado</w:t>
        <w:br/>
        <w:t>colombiano a la Corte y a la  misma  Comisión.  Además,  estará  arrogándose</w:t>
        <w:br/>
        <w:t>competencias que corresponden a jurisdicciones internas  colombianas,  sobre</w:t>
        <w:br/>
        <w:t>las que Colombia no ha realizado una transferencia a la Corte. Cfr.  Escrito</w:t>
        <w:br/>
        <w:t>de contestación (expediente de fondo, tomo 2, folios 351 a 362).</w:t>
        <w:br/>
        <w:br/>
        <w:br/>
        <w:t>[12]  Alegó que la normatividad de derechos humanos debe ser leída a la  luz</w:t>
        <w:br/>
        <w:t>de los principios de derecho humanitario, debido  a  las  implicaciones  del</w:t>
        <w:br/>
        <w:t>estado  de  excepcionalidad  en  la  configuración  y  alcance  de   algunas</w:t>
        <w:br/>
        <w:t>garantías  básicas,  pero  en  hipótesis  de  conflicto  armado  el  derecho</w:t>
        <w:br/>
        <w:t>internacional humanitario deviene en ley especial. “En suma, pese a que  son</w:t>
        <w:br/>
        <w:t>mecanismos  de  protección  paralelos  y  concurrentes,  en  virtud  de   la</w:t>
        <w:br/>
        <w:t>especialidad de  la  materia,  el  derecho  internacional  humanitario  está</w:t>
        <w:br/>
        <w:t>integrado por principios y mecanismos  que  son  mucho  más  adecuados  para</w:t>
        <w:br/>
        <w:t>hipótesis de conflicto armado que los mandatos del derecho internacional  de</w:t>
        <w:br/>
        <w:t>los derechos humanos. Así, la muerte o lesión de una persona  puede  afectar</w:t>
        <w:br/>
        <w:t>la normatividad humanitaria o considerarse como una lesión al derecho  a  la</w:t>
        <w:br/>
        <w:t>vida. La forma como es dirimido el ámbito de competencia frente a un  hecho,</w:t>
        <w:br/>
        <w:t>está precisamente determinado por el contexto. Si la muerte  ocurrió  en  un</w:t>
        <w:br/>
        <w:t>conflicto armado, propiamente el caso deberá ser  analizado  a  la  luz  del</w:t>
        <w:br/>
        <w:t>Derecho Internacional Humanitario. En caso contrario, aplicarán  las  normas</w:t>
        <w:br/>
        <w:t>de derechos humanos. Sin embargo, considerar que la muerte  de  una  persona</w:t>
        <w:br/>
        <w:t>en el marco de un conflicto interno armado,  afecta  cláusulas  de  derechos</w:t>
        <w:br/>
        <w:t>humanos, conlleva a  una  superposición  de  competencias”.  (expediente  de</w:t>
        <w:br/>
        <w:t>fondo, tomo 2, folio 355 a 356).</w:t>
        <w:br/>
        <w:br/>
        <w:br/>
        <w:t>[13]  En ese sentido, la  Comisión  resaltó  que  los  órganos  del  sistema</w:t>
        <w:br/>
        <w:t>interamericano han tenido la práctica constante de  tomar  en  consideración</w:t>
        <w:br/>
        <w:t>otros instrumentos internacionales que no le  han  atribuido  competencia  a</w:t>
        <w:br/>
        <w:t>aquellos,  para  establecer  el  alcance   y   contenido   de   las   normas</w:t>
        <w:br/>
        <w:t>convencionales.  Del  mismo  modo,  la  Comisión  alegó  que   en   diversas</w:t>
        <w:br/>
        <w:t>oportunidades la Corte ha hecho referencia a principios del  DIH  únicamente</w:t>
        <w:br/>
        <w:t>con la finalidad de orientar  la  decisión  de  si  el  Estado  en  cuestión</w:t>
        <w:br/>
        <w:t>incurrió  o  no  en  violación  a  la  Convención  Americana.   Escrito   de</w:t>
        <w:br/>
        <w:t>observaciones de la Comisión a las excepciones preliminares  (expediente  de</w:t>
        <w:br/>
        <w:t>fondo, tomo 3, folio 896).</w:t>
        <w:br/>
        <w:br/>
        <w:t>[14]  Cfr., mutatis mutandi, Caso Las  Palmeras  Vs.  Colombia.  Excepciones</w:t>
        <w:br/>
        <w:t>Preliminares. Sentencia de 4 de febrero de 2000. Serie C No. 67, párr. 32.</w:t>
        <w:br/>
        <w:br/>
        <w:t>[15]  Véase entre otros: Caso Masacre Plan de Sánchez Vs. Guatemala.  Fondo.</w:t>
        <w:br/>
        <w:t>Sentencia de 29 de abril de 2004. Serie C No. 105; Caso  De  la  Masacre  de</w:t>
        <w:br/>
        <w:t>las Dos Erres Vs. Guatemala. Excepción  Preliminar,  Fondo,  Reparaciones  y</w:t>
        <w:br/>
        <w:t>Costas. Sentencia de 24 de noviembre de 2009. Serie  C  No.  211;  Caso  Las</w:t>
        <w:br/>
        <w:t>Palmeras Vs. Colombia. Excepciones  Preliminares;  Caso  de  la  Masacre  de</w:t>
        <w:br/>
        <w:t>Pueblo Bello Vs. Colombia. Sentencia de 31 de enero de  2006.  Serie  C  No.</w:t>
        <w:br/>
        <w:t>140; Caso de las Masacres de Ituango Vs. Colombia. Sentencia de 1  de  julio</w:t>
        <w:br/>
        <w:t>de 2006 Serie C No. 148; Caso de la Masacre  de  la  Rochela  Vs.  Colombia.</w:t>
        <w:br/>
        <w:t>Fondo, Reparaciones y Costas. Sentencia de 11 de de mayo de  2007.  Serie  C</w:t>
        <w:br/>
        <w:t>No. 163; Caso Contreras y otros  Vs.  El  Salvador.  Fondo,  Reparaciones  y</w:t>
        <w:br/>
        <w:t>Costas. Sentencia de 31 de agosto de 2011 Serie C No. 232; Caso Masacres  de</w:t>
        <w:br/>
        <w:t>Río  Negro  Vs.  Guatemala.  Excepción  Preliminar,  Fondo,  Reparaciones  y</w:t>
        <w:br/>
        <w:t>Costas. Sentencia de 4 de septiembre de 2012 Serie C No. 250, Caso  Masacres</w:t>
        <w:br/>
        <w:t>de El Mozote y lugares aledaños  Vs.  El  Salvador.  Fondo,  Reparaciones  y</w:t>
        <w:br/>
        <w:t>Costas. Sentencia de 25 de octubre de 2012. Serie C. No. 252, y Caso  de  la</w:t>
        <w:br/>
        <w:t>“Masacre  de  Mapiripán”  Vs.  Colombia.  Fondo,  Reparaciones   y   Costas.</w:t>
        <w:br/>
        <w:t>Sentencia de 15 de septiembre de 2005. Serie C No. 134.</w:t>
        <w:br/>
        <w:br/>
        <w:br/>
        <w:t>[16]  Por el contrario, el mismo artículo  27  de  la  Convención  Americana</w:t>
        <w:br/>
        <w:t>contempla  situaciones  en  las  cuales  los  Estados  pueden  legítimamente</w:t>
        <w:br/>
        <w:t>suspender las obligaciones contraídas en virtud de esta Convención “en  caso</w:t>
        <w:br/>
        <w:t>de  guerra,  de  peligro  público  o  de  otra  emergencia  que  amenace  la</w:t>
        <w:br/>
        <w:t>independencia  o  seguridad   del   Estado   parte”,   siempre   que   tales</w:t>
        <w:br/>
        <w:t>disposiciones no sean incompatibles  con  las  demás  obligaciones  que  les</w:t>
        <w:br/>
        <w:t>impone el derecho  internacional  y  que  no  se  refieran  a  los  derechos</w:t>
        <w:br/>
        <w:t>enunciados en el artículo 27.2 de la misma.</w:t>
        <w:br/>
        <w:br/>
        <w:br/>
        <w:t>[17]  Caso Bámaca Velásquez Vs. Guatemala. Fondo. Sentencia de 25 de</w:t>
        <w:br/>
        <w:t>noviembre de 2000. Serie C No. 70, párr. 208.</w:t>
        <w:br/>
        <w:br/>
        <w:br/>
        <w:t>[18]  Cfr. Caso Las Palmeras Vs. Colombia. Excepciones Preliminares, párrs.</w:t>
        <w:br/>
        <w:t>32 a 34. Véase asimismo, Caso de la “Masacre de Mapiripán” Vs. Colombia.</w:t>
        <w:br/>
        <w:t>Fondo, Reparaciones y Costas, Párr. 115, y Caso Bámaca Velásquez Vs.</w:t>
        <w:br/>
        <w:t>Guatemala. Fondo, párr. 209.</w:t>
        <w:br/>
        <w:br/>
        <w:br/>
        <w:t>[19]  En ese sentido, el propio preámbulo  de  la  Convención  Americana  se</w:t>
        <w:br/>
        <w:t>refiere  expresamente  a  los  principios  reafirmados  y  desarrollados  en</w:t>
        <w:br/>
        <w:t>instrumentos internacionales, "tanto  de  ámbito  universal  como  regional"</w:t>
        <w:br/>
        <w:t>(párr. 3) y  el  artículo  29  obliga  a  interpretarla  en  atención  a  la</w:t>
        <w:br/>
        <w:t>Declaración  Americana  “y  otros  actos   internacionales   de   la   misma</w:t>
        <w:br/>
        <w:t>naturaleza”. Otras normas refieren a obligaciones impuestas por  el  derecho</w:t>
        <w:br/>
        <w:t>internacional en relación con suspensión de  garantías  (artículo  27),  así</w:t>
        <w:br/>
        <w:t>como a los "principios del Derecho Internacional  generalmente  reconocidos"</w:t>
        <w:br/>
        <w:t>en  la  definición  del  agotamiento  de  los  recursos  internos  (artículo</w:t>
        <w:br/>
        <w:t>46.1.a).</w:t>
        <w:br/>
        <w:br/>
        <w:br/>
        <w:t>[20]  Caso de la “Masacre de Mapiripán” Vs. Colombia. Fondo, Reparaciones  y</w:t>
        <w:br/>
        <w:t>Costas, párr. 107.</w:t>
        <w:br/>
        <w:br/>
        <w:br/>
        <w:t>[21]  En este sentido, resulta aplicable lo  expresado  en  el  caso  de  la</w:t>
        <w:br/>
        <w:t>Masacre de Mapiripán Vs. Colombia, en cuanto que “al proceder  a  determinar</w:t>
        <w:br/>
        <w:t>la responsabilidad internacional del Estado en el presente  caso,  la  Corte</w:t>
        <w:br/>
        <w:t>no  puede  obviar  la  existencia  de  deberes  generales  y  especiales  de</w:t>
        <w:br/>
        <w:t>protección de la población civil a cargo del Estado, derivados  del  Derecho</w:t>
        <w:br/>
        <w:t>Internacional Humanitario,  en  particular  del  artículo  3  común  de  los</w:t>
        <w:br/>
        <w:t>Convenios de Ginebra de 12 de agosto de 1949  y  las  normas  del  Protocolo</w:t>
        <w:br/>
        <w:t>adicional a los Convenios  de  Ginebra  relativo  a  la  protección  de  las</w:t>
        <w:br/>
        <w:t>víctimas de los conflictos armados de carácter no  internacional  (Protocolo</w:t>
        <w:br/>
        <w:t>II)”. Caso de la Masacre de Mapiripán Vs. Colombia.  Fondo,  Reparaciones  y</w:t>
        <w:br/>
        <w:t>Costas, párr. 114.</w:t>
        <w:br/>
        <w:br/>
        <w:br/>
        <w:t>[22]  En esa misma línea el Estado  solicitó  la  individualización  de  las</w:t>
        <w:br/>
        <w:t>presuntas víctimas, pues en el momento procesal en que  ejerció  su  derecho</w:t>
        <w:br/>
        <w:t>de defensa aún no se conocía si las personas que alegarían la  violación  de</w:t>
        <w:br/>
        <w:t>las normas de la Convención efectivamente acudieron a los  recursos  locales</w:t>
        <w:br/>
        <w:t>para solicitar la protección de sus derechos.</w:t>
        <w:br/>
        <w:br/>
        <w:br/>
        <w:t>[23]  Los representantes también alegaron  que  las  presuntas  víctimas  de</w:t>
        <w:br/>
        <w:t>Santo Domingo que no utilizaron el recurso administrativo  sugerido  por  el</w:t>
        <w:br/>
        <w:t>Estado, no ejercitan su derecho a la reparación ante este  Tribunal  con  el</w:t>
        <w:br/>
        <w:t>objetivo de enriquecerse, ni mucho menos de obtener ventaja de su  condición</w:t>
        <w:br/>
        <w:t>de víctimas. Simplemente han acudido  con  fundamento  en  las  obligaciones</w:t>
        <w:br/>
        <w:t>asumidas por el Estado colombiano a través de la Convención Americana y  que</w:t>
        <w:br/>
        <w:t>los faculta y legitima para reclamar los daños y perjuicios  generados  como</w:t>
        <w:br/>
        <w:t>consecuencia de las violaciones a los derechos humanos  realizadas  en  este</w:t>
        <w:br/>
        <w:t>caso por agentes estatales,  Escrito  de  observaciones  a  las  excepciones</w:t>
        <w:br/>
        <w:t>preliminares del Estado (expediente de fondo, tomo 3, folio 876).</w:t>
        <w:br/>
        <w:br/>
        <w:br/>
        <w:t>[24]  Cfr. Caso Velásquez Rodríguez Vs. Honduras. Excepciones  Preliminares.</w:t>
        <w:br/>
        <w:t>Sentencia de 26 de junio de 1987. Serie C No. 1, párr. 85, y Caso  Furlán  y</w:t>
        <w:br/>
        <w:t>Familiares Vs. Argentina. Excepciones Preliminares,  Fondo,  Reparaciones  y</w:t>
        <w:br/>
        <w:t>Costas. Sentencia de 31 de agosto de 2012 Serie C No. 246, párr. 23.</w:t>
        <w:br/>
        <w:br/>
        <w:br/>
        <w:t>[25]  Cfr. Caso Velásquez Rodríguez Vs. Honduras. Fondo. Sentencia de 29 de</w:t>
        <w:br/>
        <w:t>julio de 1988. Serie C No. 4, párr. 61, y Caso González Medina y familiares</w:t>
        <w:br/>
        <w:t>Vs. República Dominicana, párr. 19.</w:t>
        <w:br/>
        <w:br/>
        <w:br/>
        <w:t>[26]  Cfr. Caso Velásquez Rodríguez Vs. Honduras. Fondo, párr.  63,  y  Caso</w:t>
        <w:br/>
        <w:t>Furlán y Familiares Vs. Argentina, párr. 23.</w:t>
        <w:br/>
        <w:br/>
        <w:br/>
        <w:t>[27]  Caso  Velásquez  Rodríguez  Vs.  Honduras,  Excepciones  Preliminares,</w:t>
        <w:br/>
        <w:t>párr. 88, y Caso González Medina  y  familiares  Vs.  República  Dominicana,</w:t>
        <w:br/>
        <w:t>párr. 21.</w:t>
        <w:br/>
        <w:br/>
        <w:br/>
        <w:t>[28]  Cfr. Caso Velásquez Rodríguez Vs. Honduras, Excepciones  Preliminares,</w:t>
        <w:br/>
        <w:t>párr. 88, y Caso Mejía Idrovo Vs. Ecuador. Excepciones Preliminares,  Fondo,</w:t>
        <w:br/>
        <w:t>Reparaciones y Costas. Sentencia de 5 de julio de 2011.  Serie  C  No.  228,</w:t>
        <w:br/>
        <w:t>párr.  29.  Véase  asimismo   Caso   Grande   Vs.   Argentina.   Excepciones</w:t>
        <w:br/>
        <w:t>Preliminares y Fondo. Sentencia de 31 de agosto de 2011. Serie  C  No.  231,</w:t>
        <w:br/>
        <w:t>nota al pie 14.</w:t>
        <w:br/>
        <w:br/>
        <w:br/>
        <w:t>[29]  Cfr.  Caso  Reverón  Trujillo  Vs.  Venezuela.  Excepción  Preliminar,</w:t>
        <w:br/>
        <w:t>Fondo, Reparaciones y Costas. Sentencia de 30 de junio de 2009. Serie C  No.</w:t>
        <w:br/>
        <w:t>197, párr. 22, y Caso Furlán y Familiares Vs. Argentina, párr. 25.</w:t>
        <w:br/>
        <w:br/>
        <w:br/>
        <w:t>[30]      Informe     de     admisibilidad     25/03,     disponible     en:</w:t>
        <w:br/>
        <w:t>http://www.cidh.oas.org/annualrep/2003sp/Colombia.289.02.htm Párr. 23.</w:t>
        <w:br/>
        <w:br/>
        <w:br/>
        <w:t>[31]  Cfr. Caso Cepeda Vargas Vs. Colombia. Excepciones Preliminares,  Fondo</w:t>
        <w:br/>
        <w:t>y Reparaciones. Sentencia de 26 de mayo de 2010. Serie  C  No.  213,  párrs.</w:t>
        <w:br/>
        <w:t>130, 131, 139 y 140.</w:t>
        <w:br/>
        <w:br/>
        <w:br/>
        <w:t>[32]  Caso de la “Masacre de Mapiripán” Vs. Colombia. Fondo, Reparaciones  y</w:t>
        <w:br/>
        <w:t>Costas , párr. 214; Caso de la Masacre de La  Rochela  Vs.  Colombia,  párr.</w:t>
        <w:br/>
        <w:t>219; Caso de las Masacres de Ituango Vs. Colombia, párr. 339, y Caso  de  la</w:t>
        <w:br/>
        <w:t>Masacre de Pueblo Bello Vs. Colombia, párr. 206.</w:t>
        <w:br/>
        <w:br/>
        <w:br/>
        <w:t>[33]  Se observó que en  ese  caso  sólo  establecieron  la  responsabilidad</w:t>
        <w:br/>
        <w:t>administrativa por la omisión de funcionarios estatales en  haber  protegido</w:t>
        <w:br/>
        <w:t>a la víctima y no se consideraron sus acciones en la ejecución  de  ésta,  a</w:t>
        <w:br/>
        <w:t>pesar de que para ese momento se contaba ya con los resultados parciales  de</w:t>
        <w:br/>
        <w:t>los procesos penal  y  disciplinario,  por  lo  que,  en  este  sentido,  no</w:t>
        <w:br/>
        <w:t>contribuyeron de manera sustancial al cumplimiento del deber  de  investigar</w:t>
        <w:br/>
        <w:t>y esclarecer los hechos. La Corte consideró que si bien  no  correspondía  a</w:t>
        <w:br/>
        <w:t>dicha  vía  establecer  responsabilidades  individuales,  al  determinar  la</w:t>
        <w:br/>
        <w:t>responsabilidad objetiva del Estado las autoridades jurisdiccionales  debían</w:t>
        <w:br/>
        <w:t>tomar en cuenta todas las fuentes de información a su  disposición,  por  lo</w:t>
        <w:br/>
        <w:t>que estaban llamadas no sólo a verificar las  omisiones  estatales,  sino  a</w:t>
        <w:br/>
        <w:t>determinar los alcances  reales  de  la  responsabilidad  institucional  del</w:t>
        <w:br/>
        <w:t>Estado. Caso Cepeda Vargas Vs. Colombia, Párrs. 139 y 140.</w:t>
        <w:br/>
        <w:br/>
        <w:br/>
        <w:t>[34]   Cfr.  Caso  de  la  “Masacre  de  Mapiripán”  Vs.  Colombia.   Fondo,</w:t>
        <w:br/>
        <w:t>Reparaciones y Costas, párr. 214; Caso de  la  Masacre  de  La  Rochela  Vs.</w:t>
        <w:br/>
        <w:t>Colombia, párr. 219; Caso de las Masacres de  Ituango  Vs.  Colombia,  párr.</w:t>
        <w:br/>
        <w:t>339, y Caso de la Masacre de Pueblo Bello Vs. Colombia, párr. 206.</w:t>
        <w:br/>
        <w:br/>
        <w:t>[35]  Caso Cepeda Vargas Vs. Colombia, párr. 246.</w:t>
        <w:br/>
        <w:br/>
        <w:t>[36]  En el capítulo de Reparaciones del caso Cepeda  Vargas  Vs.  Colombia,</w:t>
        <w:br/>
        <w:t>la Corte consideró que los familiares de la víctima tuvieron  acceso  a  los</w:t>
        <w:br/>
        <w:t>tribunales  contencioso  administrativos  y  que  éstos   determinaron   una</w:t>
        <w:br/>
        <w:t>indemnización  por  pérdida  de  ingresos  (daño  material)  con   criterios</w:t>
        <w:br/>
        <w:t>objetivos y razonables, lo cual estimó “razonable  en  los  términos  de  su</w:t>
        <w:br/>
        <w:t>jurisprudencia”. Caso Cepeda Vargas Vs. Colombia, Párr. 246.</w:t>
        <w:br/>
        <w:br/>
        <w:br/>
        <w:t>[37]  Cfr. Caso de las Masacres de Ituango Vs. Colombia, párrs. 91 y 340.</w:t>
        <w:br/>
        <w:br/>
        <w:br/>
        <w:t>[38]  Cfr. Caso de la “Panel Blanca” (Paniagua Morales y otros) Vs.</w:t>
        <w:br/>
        <w:t>Guatemala. Fondo. Sentencia de 8 de marzo de 1998. Serie C No. 37, párrs.</w:t>
        <w:br/>
        <w:t>69 al 76, y Caso Masacres de El Mozote y lugares aledaños Vs. El Salvador,</w:t>
        <w:br/>
        <w:t>párr. 31.</w:t>
        <w:br/>
        <w:br/>
        <w:br/>
        <w:t>[39]  Cfr. Caso de la “Panel Blanca” (Paniagua Morales y otros) Vs.</w:t>
        <w:br/>
        <w:t>Guatemala. Fondo, párr. 76, y Caso Masacres de El Mozote y lugares aledaños</w:t>
        <w:br/>
        <w:t>Vs. El Salvador, párr. 31.</w:t>
        <w:br/>
        <w:br/>
        <w:br/>
        <w:t>[40]  Cfr. Caso Velasquez Rodriguez Vs. Honduras. Fondo, párr. 140,  y  Caso</w:t>
        <w:br/>
        <w:t>Masacres de El Mozote y lugares aledaños Vs. El Salvador, párr. 33.</w:t>
        <w:br/>
        <w:br/>
        <w:t>[41]  Cfr. Caso Velásquez Rodríguez Vs. Honduras. Fondo, párr. 146,  y  Caso</w:t>
        <w:br/>
        <w:t>Masacres de El Mozote y lugares aledaños Vs. El Salvador, párr. 35.</w:t>
        <w:br/>
        <w:br/>
        <w:t>[42]  Cfr. Caso Velásquez Rodríguez Vs. Honduras. Fondo. párr. 146,  y  Caso</w:t>
        <w:br/>
        <w:t>Masacres de El Mozote y lugares aledaños Vs. El Salvador, párr. 35.</w:t>
        <w:br/>
        <w:br/>
        <w:br/>
        <w:t>[43]  Cfr. Caso Escué Zapata Vs. Colombia. Fondo, Reparaciones y Costas.</w:t>
        <w:br/>
        <w:t>Sentencia de 4 de julio de 2007. Serie C No. 165, párr. 26, y Caso Masacres</w:t>
        <w:br/>
        <w:t>de El Mozote y lugares aledaños Vs. El Salvador. Fondo, Reparaciones y</w:t>
        <w:br/>
        <w:t>Costas. Sentencia de 25 de octubre de 2012. Serie C No. 252, párr. 36.</w:t>
        <w:br/>
        <w:br/>
        <w:br/>
        <w:t>[44]  Los que se refieren a las que, según el  Estado,  son  las  verdaderas</w:t>
        <w:br/>
        <w:t>pruebas que tuvieron en cuenta el Juzgado 12 Penal del Circuito de Bogotá  y</w:t>
        <w:br/>
        <w:t>el Tribunal Superior del Distrito Judicial de Bogotá  para  condenar  a  los</w:t>
        <w:br/>
        <w:t>agentes de la Fuerza Aérea Colombiana.</w:t>
        <w:br/>
        <w:br/>
        <w:br/>
        <w:t>[45]  A saber: a) el registro civil de defunción y/o acta  de  levantamiento</w:t>
        <w:br/>
        <w:t>de cadáver de Rodolfo (o Rodulfo) Carrillo Mora; b) información  completa  y</w:t>
        <w:br/>
        <w:t>fidedigna que repose en entidad estatales sobre  la  población  que  residía</w:t>
        <w:br/>
        <w:t>efectivamente en  Santo  Domingo  para  el  13  de  diciembre  de  1998;  c)</w:t>
        <w:br/>
        <w:t>información completa y fidedigna acerca  de  la  población  registrada  como</w:t>
        <w:br/>
        <w:t>desplazada de la población de Santo Domingo en relación con los  hechos  del</w:t>
        <w:br/>
        <w:t>13 de diciembre de 1998; d)  copia  de  los  contratos  suscritos  entre  la</w:t>
        <w:br/>
        <w:t>Asociación  Cravo  Norte  y  la  empresa  Airscan  International   Inc.,   y</w:t>
        <w:br/>
        <w:t>certificación de vinculación contractual entre esta empresa  y  los  señores</w:t>
        <w:br/>
        <w:t>Joe Orta, Charlie  Denny  y  Dan  Mcclintock,  y  e)  información  completa,</w:t>
        <w:br/>
        <w:t>actualizada y fidedigna sobre las medidas privativas de libertad  en  contra</w:t>
        <w:br/>
        <w:t>de C.R.P., J.J.V. y H.M.H.</w:t>
        <w:br/>
        <w:br/>
        <w:br/>
        <w:t>[46]  El Estado no remitió  información  completa  acerca  de  la  población</w:t>
        <w:br/>
        <w:t>registrada como desplazada de la población de Santo Domingo en relación  con</w:t>
        <w:br/>
        <w:t>los hechos del 13 de diciembre de 1998,  y  tampoco  remitió  copia  de  los</w:t>
        <w:br/>
        <w:t>contratos suscritos entre la Asociación Cravo Norte  y  la  empresa  Airscan</w:t>
        <w:br/>
        <w:t>International Inc., ni de la certificación de vinculación contractual  entre</w:t>
        <w:br/>
        <w:t>esta empresa y los señores J.O., C.D. y  D.M.,  ni  del  registro  civil  de</w:t>
        <w:br/>
        <w:t>defunción y/o acta de levantamiento de cadáver de R.C.M.</w:t>
        <w:br/>
        <w:br/>
        <w:br/>
        <w:t>[47]   Cfr.  Caso  Loayza  Tamayo  Vs.  Perú.  Fondo.  Sentencia  de  17  de</w:t>
        <w:br/>
        <w:t>septiembre de 1997. Serie C No. 22, párr. 43, y Caso Masacres de  El  Mozote</w:t>
        <w:br/>
        <w:t>y lugares aledaños Vs. El Salvador, párr. 40.</w:t>
        <w:br/>
        <w:br/>
        <w:br/>
        <w:t>[48]  Cfr. Información disponible en: http://www.tame-</w:t>
        <w:br/>
        <w:t>arauca.gov.co/nuestromunicipio.shtml?apc=mIxx-1-&amp;m=f#geografia (visitado en</w:t>
        <w:br/>
        <w:t>septiembre 26 de 2012). Enlace electrónico citado por los representantes en</w:t>
        <w:br/>
        <w:t>el Escrito de solicitudes, argumentos y pruebas (expediente de fondo, tomo</w:t>
        <w:br/>
        <w:t>1, folio 124).</w:t>
        <w:br/>
        <w:br/>
        <w:br/>
        <w:t>[49]  Cfr. Observatorio de Derechos Humanos del Programa Presidencial de</w:t>
        <w:br/>
        <w:t>Derechos Humanos y Derecho Internacional Humanitario, Algunos indicadores</w:t>
        <w:br/>
        <w:t>sobre la situación de derechos humanos a septiembre de 2004 en el</w:t>
        <w:br/>
        <w:t>departamento de Arauca (expediente de prueba, tomo 2, folios 172 y ss.).</w:t>
        <w:br/>
        <w:br/>
        <w:br/>
        <w:t>[50]  Cfr. Oficio del Presidente de la Asociación  Municipal  de  Juntas  de</w:t>
        <w:br/>
        <w:t>Acción Comunal de Tame, Departamento de Arauca  de  18  de  julio  de  2012,</w:t>
        <w:br/>
        <w:t>(expediente de prueba, tomo 51, folio 28048).</w:t>
        <w:br/>
        <w:br/>
        <w:br/>
        <w:t>[51]  Cfr. Información de Comité Regional de Derechos Humanos “Joel  Sierra”</w:t>
        <w:br/>
        <w:t>en escrito de los peticionarios de 15 de agosto de 2006 recibido en la  CIDH</w:t>
        <w:br/>
        <w:t>el 21 de agosto de 2006, pág. 8 (expediente de prueba, tomo 5, folio  2570).</w:t>
        <w:br/>
        <w:br/>
        <w:br/>
        <w:br/>
        <w:t>[52]  Cfr. Observatorio de Derechos Humanos del Programa Presidencial de</w:t>
        <w:br/>
        <w:t>Derechos Humanos y Derecho Internacional Humanitario, Algunos indicadores</w:t>
        <w:br/>
        <w:t>sobre la situación de derechos humanos a septiembre de 2004 en el</w:t>
        <w:br/>
        <w:t>departamento de Arauca (expediente de prueba, tomo 2, folio 173).</w:t>
        <w:br/>
        <w:br/>
        <w:br/>
        <w:t>[53]   Cfr. Página oficial de OXY Colombia. Información disponible al 26 de</w:t>
        <w:br/>
        <w:t>septiembre de 2012 en</w:t>
        <w:br/>
        <w:t>http://www.oxy.com/OurBusinesses/OilAndGas/LatinAmerica/Pages/colombia.aspx.</w:t>
        <w:br/>
        <w:t xml:space="preserve"> Enlace electrónico citado por la Comisión en el Informe de Fondo,</w:t>
        <w:br/>
        <w:t>(expediente de fondo, tomo 1, folio 16).</w:t>
        <w:br/>
        <w:br/>
        <w:br/>
        <w:t>[54]   Cfr. Ecopetrol S.A. es una Sociedad de Economía Mixta, de carácter</w:t>
        <w:br/>
        <w:t>comercial, organizada bajo la forma de sociedad anónima, del orden</w:t>
        <w:br/>
        <w:t>nacional, vinculada al Ministerio de Minas y Energía, de conformidad con lo</w:t>
        <w:br/>
        <w:t>establecido en la Ley 1118 de 2006, regida por los Estatutos Sociales que</w:t>
        <w:br/>
        <w:t>se encuentran contenidos de manera integral en la Escritura Pública No.</w:t>
        <w:br/>
        <w:t>5314 del 14 de diciembre de 2007, otorgada en la Notaría Segunda del</w:t>
        <w:br/>
        <w:t>Círculo Notarial de Bogotá D.C. Información disponible en:</w:t>
        <w:br/>
        <w:t>http://www.ecopetrol.com.co/contenido.aspx?catID=30&amp;conID=38178 (visitado</w:t>
        <w:br/>
        <w:t>el 26 de septiembre de 2012). Enlace electrónico citado por la Comisión en</w:t>
        <w:br/>
        <w:t>el Informe de Fondo, (expediente de fondo, tomo 1, folio 16).</w:t>
        <w:br/>
        <w:br/>
        <w:br/>
        <w:t>[55]  Cfr. Observatorio de Derechos Humanos  del  Programa  Presidencial  de</w:t>
        <w:br/>
        <w:t>Derechos Humanos y Derecho Internacional  Humanitario,  Algunos  indicadores</w:t>
        <w:br/>
        <w:t>sobre  la  situación  de  derechos  humanos  a  septiembre  de  2004  en  el</w:t>
        <w:br/>
        <w:t>departamento de  Arauca  (expediente  de  prueba,  tomo  2,  folio  173),  y</w:t>
        <w:br/>
        <w:t>Contestación del Estado (expediente de fondo, tomo 2, folio 398).</w:t>
        <w:br/>
        <w:br/>
        <w:br/>
        <w:t>[56]  Cfr. Observatorio de Derechos Humanos  del  Programa  Presidencial  de</w:t>
        <w:br/>
        <w:t>Derechos Humanos y Derecho Internacional  Humanitario,  Algunos  indicadores</w:t>
        <w:br/>
        <w:t>sobre  la  situación  de  derechos  humanos  a  septiembre  de  2004  en  el</w:t>
        <w:br/>
        <w:t>departamento de Arauca (expediente de prueba, tomo 2, folio 173).</w:t>
        <w:br/>
        <w:br/>
        <w:br/>
        <w:t>[57]  Cfr. Observatorio de Derechos Humanos del Programa Presidencial de</w:t>
        <w:br/>
        <w:t>Derechos Humanos y Derecho Internacional Humanitario, Algunos indicadores</w:t>
        <w:br/>
        <w:t>sobre la situación de derechos humanos a septiembre de 2004 en el</w:t>
        <w:br/>
        <w:t>departamento de Arauca (expediente de prueba, tomo 2, folio 174).</w:t>
        <w:br/>
        <w:br/>
        <w:br/>
        <w:t>[58]  En tal sentido, el Alto Comisionado de las Naciones  Unidas  para  los</w:t>
        <w:br/>
        <w:t>Derechos Humanos manifestó de forma genérica sobre la situación general  del</w:t>
        <w:br/>
        <w:t>país, sin referirse específicamente a  los  hechos  de  Santo  Domingo,  que</w:t>
        <w:br/>
        <w:t>“[e]n  sus  contraofensivas,  las  fuerzas  militares  han  causado  también</w:t>
        <w:br/>
        <w:t>numerosas víctimas civiles, en particular por  los  disparos  y  las  bombas</w:t>
        <w:br/>
        <w:t>lanzadas desde las aeronaves”. Comisión de Derechos Humanos, Informe  de  la</w:t>
        <w:br/>
        <w:t>Alta Comisionada de las Naciones Unidas para los Derechos Humanos  sobre  la</w:t>
        <w:br/>
        <w:t>Oficina en Colombia, E/CN.4/1999/8, 16 de marzo de  1999,  párr.  119.  Cfr.</w:t>
        <w:br/>
        <w:t>Observatorio de Derechos  Humanos  del  Programa  Presidencial  de  Derechos</w:t>
        <w:br/>
        <w:t>Humanos y Derecho Internacional Humanitario, Algunos  indicadores  sobre  la</w:t>
        <w:br/>
        <w:t>situación de derechos humanos a septiembre de 2004  en  el  departamento  de</w:t>
        <w:br/>
        <w:t>Arauca (expediente de prueba, tomo 2, folio 173), y Contestación del  Estado</w:t>
        <w:br/>
        <w:t>(expediente de fondo, tomo 2, folio 398).</w:t>
        <w:br/>
        <w:br/>
        <w:br/>
        <w:t>[59]  Cfr. Observatorio de Derechos Humanos  del  Programa  Presidencial  de</w:t>
        <w:br/>
        <w:t>Derechos Humanos y Derecho Internacional  Humanitario,  Algunos  indicadores</w:t>
        <w:br/>
        <w:t>sobre  la  situación  de  derechos  humanos  a  septiembre  de  2004  en  el</w:t>
        <w:br/>
        <w:t>departamento de Arauca (expediente de prueba, tomo 2, folio 174).</w:t>
        <w:br/>
        <w:br/>
        <w:br/>
        <w:t>[60]  Durante la década de los años ochenta la presencia  de  las  FARC  era</w:t>
        <w:br/>
        <w:t>apenas incipiente, y  sólo  se  manifestó  un  sensible  crecimiento  en  la</w:t>
        <w:br/>
        <w:t>estrategia de copamiento de  la  cordillera  Oriental,  a  partir  de  1990,</w:t>
        <w:br/>
        <w:t>proceso acelerado por el ataque  a  Casaverde,  que  obligó  a  las  FARC  a</w:t>
        <w:br/>
        <w:t>incrementar la movilidad de  sus  frentes.  Cfr.  Observatorio  de  Derechos</w:t>
        <w:br/>
        <w:t>Humanos  del  Programa  Presidencial   de   Derechos   Humanos   y   Derecho</w:t>
        <w:br/>
        <w:t>Internacional  Humanitario,  Algunos  indicadores  sobre  la  situación   de</w:t>
        <w:br/>
        <w:t>derechos  humanos  a  septiembre  de  2004  en  el  departamento  de  Arauca</w:t>
        <w:br/>
        <w:t>(expediente de prueba, tomo 2, folio 2827), y Observatorio de DDHH y DIH  de</w:t>
        <w:br/>
        <w:t>la Vicepresidencia de la República. Colombia,  conflicto  armado,  regiones,</w:t>
        <w:br/>
        <w:t>derechos   humanos   y    DIH.    1998-2002.    También    disponible    en:</w:t>
        <w:br/>
        <w:t>http://www.derechoshumanos.gov.co/Pna/documents/2010/arauca/indicadoresarauc</w:t>
        <w:br/>
        <w:t>a.pdf (visitado por última vez el 18 octubre de  2012).  Enlace  electrónico</w:t>
        <w:br/>
        <w:t>citado por la Comisión en su Informe de Fondo (expediente de fondo, tomo  1,</w:t>
        <w:br/>
        <w:t>folio folio 17) y por los  representantes  en  el  Escrito  de  solicitudes,</w:t>
        <w:br/>
        <w:t>argumentos y pruebas (expediente de fondo, tomo 1, folio 26).</w:t>
        <w:br/>
        <w:br/>
        <w:br/>
        <w:t>[61]  El contrato de asociación Cravo Norte se firmó el 11 de junio de  1980</w:t>
        <w:br/>
        <w:t>entre Ecopetrol y Occidental de Colombia, sobre un área  inicial  de  1  003</w:t>
        <w:br/>
        <w:t>744 hectáreas. El 18 de junio  de  1983  se  produjo  el  descubrimiento  de</w:t>
        <w:br/>
        <w:t>petróleo y Ecopetrol otorgó la comercialidad el 15 de noviembre de  1983  En</w:t>
        <w:br/>
        <w:t>desarrollo del contrato se han descubierto los Campos Caño Limón,  La  Yuca,</w:t>
        <w:br/>
        <w:t>Caño Yarumal, Matanegra, Redondo, Caño Verde, Redondo Este,  La  Yuca  Este,</w:t>
        <w:br/>
        <w:t>Tonina, Remana y Jiba, en la Cuenca de Los Llanos Orientales  Occidental  es</w:t>
        <w:br/>
        <w:t>el Operador de los campos  descubiertos  y  Ecopetrol  es  el  operador  del</w:t>
        <w:br/>
        <w:t>oleoducto Caño Limón-Coveñas" Información disponible al  18  de  octubre  de</w:t>
        <w:br/>
        <w:t>2012                                                                     en:</w:t>
        <w:br/>
        <w:t>http://www.presidencia.gov.co/prensa_new/sne/2004/abril/20/11202004.htm.</w:t>
        <w:br/>
        <w:t>Enlace  electrónico  citado  por  la  Comisión  en  el  Informe  de   Fondo,</w:t>
        <w:br/>
        <w:t>(expediente de fondo, tomo 1, folio 16).</w:t>
        <w:br/>
        <w:br/>
        <w:br/>
        <w:t>[62]  Esa información fue alegada por los representantes en  su  Escrito  de</w:t>
        <w:br/>
        <w:t>solicitudes, argumentos y pruebas (expediente de fondo, tomo 1,  folio  127)</w:t>
        <w:br/>
        <w:t>y por el mismo Estado en su Escrito de Contestación  de  la  Demanda  (Cont.</w:t>
        <w:br/>
        <w:t>Demanda, folio 473). Los  representantes  agregaron  que  “la  investigación</w:t>
        <w:br/>
        <w:t>penal que se adelantó por el caso […] evidenció que  el  apoyo  del  enclave</w:t>
        <w:br/>
        <w:t>petróleo hacia la Brigada XVIII incluía también el uso de las  instalaciones</w:t>
        <w:br/>
        <w:t>de la OXY para la planeación de operaciones militares,  e  incluso  recursos</w:t>
        <w:br/>
        <w:t>humanos que si bien tendrían como función  contractual  desarrollar  labores</w:t>
        <w:br/>
        <w:t>de vigilancia del oleoducto, su participación se habría ampliado  –  por  lo</w:t>
        <w:br/>
        <w:t>menos para la operación  “Relámpago  II”  –  al  desarrollo  de  actividades</w:t>
        <w:br/>
        <w:t>militares. Como prueba aportaron: Juzgado 46 de Instrucción  Penal  Militar.</w:t>
        <w:br/>
        <w:t>Diligencia de ratificación de informe suscrito  por  el  teniente  Guillermo</w:t>
        <w:br/>
        <w:t>Olaya Acevedo, rendida el 25 de febrero de 1999 (expediente de prueba,  tomo</w:t>
        <w:br/>
        <w:t>15, folio 7595), y Unidad de  Instrucción  Penal  Militar.  Juzgado  122  de</w:t>
        <w:br/>
        <w:t>Instrucción Penal Militar. Continuación de  la  declaratoria  que  rinde  el</w:t>
        <w:br/>
        <w:t>Mayor Cesar Augusto Gomez Marquez, agosto 3 de 2001 (expediente  de  prueba,</w:t>
        <w:br/>
        <w:t>tomo 15, folios 7603 a 7612). Por  su  parte,  el  Estado  controvierte  que</w:t>
        <w:br/>
        <w:t>“[e]l avión Cessna Skymaster suministrado por Airscan ingresó al  país  bajo</w:t>
        <w:br/>
        <w:t>regulaciones de operación militar de la FAC”, que  “[dicha]  aeronave  nunca</w:t>
        <w:br/>
        <w:t>estuvo equipada con armamento de ninguna naturaleza” y que  “[e]n  diciembre</w:t>
        <w:br/>
        <w:t>de 1998 no existía ninguna  relación  contractual  entre  [OXY]  y  Airscan”</w:t>
        <w:br/>
        <w:t>(expediente de fondo, tomo 2, folio 473).</w:t>
        <w:br/>
        <w:br/>
        <w:br/>
        <w:t>[63]  Cfr. Juzgado Doce Penal del Circuito de Conocimiento  de  Bogotá  D.C.</w:t>
        <w:br/>
        <w:t>con funciones de Ley 600 de 2000, Sentencia de Primera  Instancia,  Radicado</w:t>
        <w:br/>
        <w:t>2005-102, 24 de septiembre de 2009 (expediente de  prueba,  tomo  12,  folio</w:t>
        <w:br/>
        <w:t>6350 a 6352). Véase asimismo Video de diligencia de  inspección  del  28  de</w:t>
        <w:br/>
        <w:t>diciembre de 1998 (expediente  de  prueba,  tomo  19,  folio  9619),  minuto</w:t>
        <w:br/>
        <w:t>01:08.</w:t>
        <w:br/>
        <w:br/>
        <w:br/>
        <w:t>[64]  Cfr. Testimonio de Alba Yanet García en la Audiencia Pública del 27  y</w:t>
        <w:br/>
        <w:t>28 de junio de 2012. Ante la Corte Alba Yanet  García,  dijo  lo  siguiente:</w:t>
        <w:br/>
        <w:t>“Ese día del 12 de diciembre, nos encontrábamos  realizando  un  evento,  un</w:t>
        <w:br/>
        <w:t>bazar más precisamente para recolectar fondos para nuestra escuela.  El  día</w:t>
        <w:br/>
        <w:t>12 estábamos todos muy contentos a la expectativa del bazar, todos  reunidos</w:t>
        <w:br/>
        <w:t>en familia y esperando a amigos que llegaban  de  las  veredas  hacia  Santo</w:t>
        <w:br/>
        <w:t>Domingo a participar del bazar”.  Véase  también  el  testimonio  de  Wilson</w:t>
        <w:br/>
        <w:t>García  Reatiga,  rendida  ante  la  Procuraduría  General  de  la   Nación,</w:t>
        <w:br/>
        <w:t>Dirección  Nacional  de  Investigaciones  Especiales,  Unidad  de   Derechos</w:t>
        <w:br/>
        <w:t>Humanos, en Saravena, Arauca, el 17 de junio de 1999 (expediente de  prueba,</w:t>
        <w:br/>
        <w:t>tomo 8, folio 3737-3743), y Juzgado Doce Penal del Circuito de  Conocimiento</w:t>
        <w:br/>
        <w:t>de Bogotá D.C. con funciones de  Ley  600  de  2000,  Sentencia  de  Primera</w:t>
        <w:br/>
        <w:t>Instancia, Radicado 2005-102,  24  de  septiembre  de  2009  (expediente  de</w:t>
        <w:br/>
        <w:t>prueba, tomo 12, folio 6352).</w:t>
        <w:br/>
        <w:br/>
        <w:br/>
        <w:t>[65]  Cfr. Testimonio de Excelino Martínez Rodríguez, rendida ante la</w:t>
        <w:br/>
        <w:t>Procuraduría General de la Nación, Dirección Nacional de Investigaciones</w:t>
        <w:br/>
        <w:t>Especiales, Unidad de Derechos Humanos, en Saravena (Arauca) el 17 de junio</w:t>
        <w:br/>
        <w:t>de 1999, (expediente de prueba, tomo 8, folio 3724 a 3726).</w:t>
        <w:br/>
        <w:br/>
        <w:br/>
        <w:t>[66]  Cfr. Comunicación N.  2577  de  las  Fuerzas  Militares  de  Colombia,</w:t>
        <w:br/>
        <w:t>Ejercito Nacional,  Decima  Octava  Brigada,  “Informe  y  denuncia  hechos”</w:t>
        <w:br/>
        <w:t>realizado por el Mayor O.W.P.H., el 14 de diciembre de 1998  (expediente  de</w:t>
        <w:br/>
        <w:t>prueba, tomo 15, folio 7704), e Informe de operaciones en el Área  de  Santo</w:t>
        <w:br/>
        <w:t>Domingo de las Fuerzas  Militares  de  Colombia,  Fuerza  Aérea  del  17  de</w:t>
        <w:br/>
        <w:t>diciembre de 1998 (expediente de prueba, tomo 19, folio 10119 a 10120).</w:t>
        <w:br/>
        <w:br/>
        <w:br/>
        <w:t>[67]  Dicha aeronave fue seguida por un helicóptero Black Hawk del</w:t>
        <w:br/>
        <w:t>Ejército, que notó que sus maniobras eran sospechosas. Los efectivos de las</w:t>
        <w:br/>
        <w:t>Fuerzas Militares creyeron que allí se transportaba una tonelada de cocaína</w:t>
        <w:br/>
        <w:t>con rumbo al departamento de Vichada. Los ocupantes de la avioneta, un</w:t>
        <w:br/>
        <w:t>monomotor de matrícula HK-2659, lograron aterrizar en una pista clandestina</w:t>
        <w:br/>
        <w:t>ubicada en el sitio de Caño Verde, cerca del caserío de Santo Domingo. Cfr.</w:t>
        <w:br/>
        <w:t>Comunicación N. 2577 de las Fuerzas Militares de Colombia, Ejercito</w:t>
        <w:br/>
        <w:t>Nacional, Decima Octava Brigada, “Informe y denuncia hechos” realizado por</w:t>
        <w:br/>
        <w:t>el Mayor O.W.P.H., el 14 de diciembre de 1998 (expediente de prueba, tomo</w:t>
        <w:br/>
        <w:t>15, folio 7704), y el Informe operacional Santo Domingo, Dirección de</w:t>
        <w:br/>
        <w:t>Operaciones Especiales Aéreas, Fuerzas Militares de Colombia, Fuerza Aérea</w:t>
        <w:br/>
        <w:t>(expediente de prueba, tomo 19, folios 10122 a 10125). Véase también:</w:t>
        <w:br/>
        <w:t>Juzgado Doce Penal del Circuito de Conocimiento de Bogotá D.C. con</w:t>
        <w:br/>
        <w:t>funciones de Ley 600 de 2000, Sentencia de Primera Instancia, Radicado 2005-</w:t>
        <w:br/>
        <w:t>102, 24 de septiembre de 2009 (expediente de prueba, tomo 12, folio 6350 y</w:t>
        <w:br/>
        <w:t>6361, y tomo 15, folio 10534).</w:t>
        <w:br/>
        <w:br/>
        <w:br/>
        <w:t>[68]  Comunicación N. 2577 de las Fuerzas Militares de Colombia, Ejercito</w:t>
        <w:br/>
        <w:t>Nacional, Decima Octava Brigada, “Informe y denuncia hechos” realizado por</w:t>
        <w:br/>
        <w:t>el Mayor O.W.P.H., el 14 de diciembre de 1998 (expediente de prueba, tomo</w:t>
        <w:br/>
        <w:t>15, folio 7704 a 7705); Informe de operaciones en el Área de Santo Domingo</w:t>
        <w:br/>
        <w:t>de las Fuerzas Militares de Colombia, Fuerza Aérea del 17 de diciembre de</w:t>
        <w:br/>
        <w:t>1998 (expediente de prueba, tomo 19, folio 10119 a 10120); Informe</w:t>
        <w:br/>
        <w:t>operacional Santo Domingo, Dirección de Operaciones Especiales Aéreas,</w:t>
        <w:br/>
        <w:t>Fuerzas Militares de Colombia, Fuerza Aérea (expediente de prueba, tomo 19,</w:t>
        <w:br/>
        <w:t>folios 10122 a 10125), y oficio N. 2573/DIV2-BR18-B2-INTI Arauca, del 12 de</w:t>
        <w:br/>
        <w:t>diciembre de 1998, suscrito por el Mayor O.W.P.H., Oficial B2 Decima</w:t>
        <w:br/>
        <w:t>Brigada, dirigido a la Fiscal Regional 19 Delegada ante el DAS y SIJIN</w:t>
        <w:br/>
        <w:t>(expediente de prueba, tomo 15, folio 7719 a 7720).</w:t>
        <w:br/>
        <w:br/>
        <w:br/>
        <w:t>[69]  Cfr. Informe de Patrullaje, Batallón Contraguerrilla N.  36  Comuneros</w:t>
        <w:br/>
        <w:t>del 24 de diciembre de 1998 (expediente de prueba, tomo  15,  folio  7722  a</w:t>
        <w:br/>
        <w:t>7728).</w:t>
        <w:br/>
        <w:br/>
        <w:br/>
        <w:t>[70]  Cfr. Informe de operaciones en el Área de Santo Domingo de las</w:t>
        <w:br/>
        <w:t>Fuerzas Militares de Colombia, Fuerza Aérea del 17 de diciembre de 1998</w:t>
        <w:br/>
        <w:t>(expediente de prueba, tomo 15, folio 10119 a 10120); el Informe de</w:t>
        <w:br/>
        <w:t>Patrullaje, Batallón Contraguerrilla N. 36 Comuneros del 24 de diciembre de</w:t>
        <w:br/>
        <w:t>1998 (expediente de prueba, tomo 15, folio 7722 a 7728), y testimonio</w:t>
        <w:br/>
        <w:t>rendido por el General Jairo García ante la Corte durante la audiencia</w:t>
        <w:br/>
        <w:t>pública del 5 de junio de 2012; Juzgado Doce Penal del Circuito de</w:t>
        <w:br/>
        <w:t>Conocimiento de Bogotá D.C. con funciones de Ley 600 de 2000, Sentencia de</w:t>
        <w:br/>
        <w:t>Primera Instancia, Radicado 2005-102, 24 de septiembre de 2009 (expediente</w:t>
        <w:br/>
        <w:t>de prueba, tomo 12, folio 6361 y ss).</w:t>
        <w:br/>
        <w:br/>
        <w:br/>
        <w:t>[71]  Cfr. Declaración rendida por el  Capitán  G.O.A.  (Oficial  de  enlace</w:t>
        <w:br/>
        <w:t>durante la operación en Santo Domingo) ante la Unidad de  Instrucción  Penal</w:t>
        <w:br/>
        <w:t>Militar Juzgado 122 del IPM, el 1 de marzo de 2001  (expediente  de  prueba,</w:t>
        <w:br/>
        <w:t>tomo 15, folio 7710), y declaración rendida por el  teniente  G.D.L.S.  ante</w:t>
        <w:br/>
        <w:t>el Juzgado 46 de  Instrucción  Penal  Militar,  el  9  de  febrero  de  1999</w:t>
        <w:br/>
        <w:t>(expediente de prueba, tomo 15, folio 10107).</w:t>
        <w:br/>
        <w:br/>
        <w:br/>
        <w:t>[72]  Se trata de bombas tipo AN-M41A1 y se lanzaban desde adaptadores  tipo</w:t>
        <w:br/>
        <w:t>M1A2, este conjunto era denominado “Cluster  fragmentation  Bomb,  AN-M1A2”.</w:t>
        <w:br/>
        <w:t>Comunicación N. 201226410020931 de 17 de febrero de 2012, realizada  por  el</w:t>
        <w:br/>
        <w:t>Coronel C.H.T.T., Jefe de Operaciones Aeronáuticas  (expediente  de  prueba,</w:t>
        <w:br/>
        <w:t>tomo 15, folio 9999 a 10001), y Declaración rendida por  el  Capitán  G.O.A.</w:t>
        <w:br/>
        <w:t>(Oficial de enlace durante la operación en Santo Domingo) ante la Unidad  de</w:t>
        <w:br/>
        <w:t>Instrucción Penal Militar Juzgado 122  del  IPM,  el  1  de  marzo  de  2001</w:t>
        <w:br/>
        <w:t>(expediente de prueba, tomo 15, folio 7710).</w:t>
        <w:br/>
        <w:br/>
        <w:br/>
        <w:t>[73]  Cfr. Manual Técnico N. 9-1325-200/ NAVWEPSS OP 3530/TO 11-1-28,</w:t>
        <w:br/>
        <w:t>Departamentos del Ejército, Armada y de la Fuerza Aérea, Washington, DC.,</w:t>
        <w:br/>
        <w:t>29 de abril de 1966 (expediente de prueba, tomo 19, folio 10067).</w:t>
        <w:br/>
        <w:br/>
        <w:br/>
        <w:t>[74]  Cfr. Manual Técnico N. 9-1325-200/ NAVWEPSS OP 3530/TO 11-1-28,</w:t>
        <w:br/>
        <w:t>Departamentos del Ejército, Armada y de la Fuerza Aérea, Washington, DC.,</w:t>
        <w:br/>
        <w:t>29 de abril de 1966 (expediente de prueba, tomo 19, folio 10067).</w:t>
        <w:br/>
        <w:br/>
        <w:br/>
        <w:t>[75]  Cfr. Informe técnico de bombas AN-M41A1, jefatura de operaciones</w:t>
        <w:br/>
        <w:t>logísticas y aeronáuticas, N. 2112301231273 del 23 de diciembre de 2011</w:t>
        <w:br/>
        <w:t>(expediente de prueba, tomo 19, folio 10073).</w:t>
        <w:br/>
        <w:br/>
        <w:br/>
        <w:t>[76]  Cfr. Inspección y estudio de balística y explosivos, ampliación del</w:t>
        <w:br/>
        <w:t>dictamen, misión de trabajo BA-0066/2000, 28 de abril de 2000.</w:t>
        <w:br/>
        <w:t>Investigación N. 419 UNDH, Fiscalía General de la Nación (expediente de</w:t>
        <w:br/>
        <w:t>prueba, tomo 19, folio 9689 a 9691; tomo 2, folio 603 a 607), y el informe</w:t>
        <w:br/>
        <w:t>técnico de bombas AN-M41A1, jefatura de operaciones logísticas y</w:t>
        <w:br/>
        <w:t>aeronáuticas, N. 2112301231273 del 23 de diciembre de 2011 (expediente de</w:t>
        <w:br/>
        <w:t>prueba, tomo 19, folios 10072 a 10087).</w:t>
        <w:br/>
        <w:br/>
        <w:br/>
        <w:t>[77]  Cfr. Sentencia Juzgado Doce Penal  del  Circuito  de  Conocimiento  de</w:t>
        <w:br/>
        <w:t>Bogotá D.C.  con  funciones  de  Ley  600  de  2000,  Sentencia  de  Primera</w:t>
        <w:br/>
        <w:t>Instancia, Radicado 2005-102,  24  de  septiembre  de  2009  (expediente  de</w:t>
        <w:br/>
        <w:t>prueba, tomo 2, folio 356  a  357,  364  a  365).  Véase  también:  Dictamen</w:t>
        <w:br/>
        <w:t>Balístico N. 128288 del 3 de septiembre de  2003,  Fiscalía  General  de  la</w:t>
        <w:br/>
        <w:t>Nación, Misión de trabajo BF 1241/2003 Proceso 419  (expediente  de  prueba,</w:t>
        <w:br/>
        <w:t>tomo 40, folios 21266 y ss.); Informe Fotográfico N. 128269 de la Misión  de</w:t>
        <w:br/>
        <w:t>Trabajo 554-2003, Fiscalía General de la Nación, Rad. N. 419 (expediente  de</w:t>
        <w:br/>
        <w:t>prueba, tomo 12, folios 6072 a 6101); Diligencia  de  Inspección  practicada</w:t>
        <w:br/>
        <w:t>en la Base de la Fuerza Aérea Colombiana en Apiay (Meta) Unidad Nacional  de</w:t>
        <w:br/>
        <w:t>Derechos Humanos y Derecho Internacional Humanitario,  Fiscalía  General  de</w:t>
        <w:br/>
        <w:t>la Nación, Rad. N. 419 (expediente de prueba, tomo 17, folios 8849 a  8852),</w:t>
        <w:br/>
        <w:t>y Sentencia Tribunal  Superior  Distrito  Judicial  de  Bogotá  Sala  Penal,</w:t>
        <w:br/>
        <w:t>Sentencia de junio 15 de 2011  mediante  la  cual  se  resuelve  recurso  de</w:t>
        <w:br/>
        <w:t>apelación interpuesto  contra  sentencia  de  primera  instancia,  MP:  Luis</w:t>
        <w:br/>
        <w:t>Mariano Rodríguez Roa (expediente de prueba, tomo 16, folios 8456 a 8457).</w:t>
        <w:br/>
        <w:br/>
        <w:br/>
        <w:t>[78]  Cfr. Manuales técnicos del artefacto explosivo AN-M1A2 (expediente  de</w:t>
        <w:br/>
        <w:t>prueba, tomo 19, folios 10050 a 10087); Documento desclasificado N-4636-  A,</w:t>
        <w:br/>
        <w:t>Terminal Ballistic Data, Bombing, volumen 1, agosto de 1944, parte  3,  pág.</w:t>
        <w:br/>
        <w:t>64, 73  a  77;  Manual  US  ARMY  TM  9-1997/TO  39  B-1-6,  Ballistic  Data</w:t>
        <w:br/>
        <w:t>Performance of Ammunition, julio de 1948, capítulo  2,  pág.  62;  Documento</w:t>
        <w:br/>
        <w:t>desclasificado N-4636- C, Terminal Ballistic Data Bombs, Artillery &amp;  Mortar</w:t>
        <w:br/>
        <w:t>Fire &amp; and  Rockets,  volumen  3,  septiembre  de  1945,  parte  1,  pág.  1</w:t>
        <w:br/>
        <w:t>(expediente de prueba, tomo 19, folios 10050 a 10087).</w:t>
        <w:br/>
        <w:br/>
        <w:br/>
        <w:t>[79]  Los Manuales técnicos del artefacto explosivo AN-M1A2  aportados  como</w:t>
        <w:br/>
        <w:t>prueba indican en particular que por ejemplo para un lanzamiento  en  altura</w:t>
        <w:br/>
        <w:t>de 84º para impacto, los efectos del dispositivo  son  diferentes.  Manuales</w:t>
        <w:br/>
        <w:t>técnicos del artefacto explosivo AN-M1A2 (expediente  de  prueba,  tomo  19,</w:t>
        <w:br/>
        <w:t>folio 10080).</w:t>
        <w:br/>
        <w:br/>
        <w:br/>
        <w:t>[80]  Cfr. Informe técnico de bombas AN-M41A1, jefatura de operaciones</w:t>
        <w:br/>
        <w:t>logísticas y aeronáuticas, N. 2112301231273 del 23 de diciembre de 2011</w:t>
        <w:br/>
        <w:t>(expediente de prueba, tomo 19, folio 10078) y Manuales técnicos del</w:t>
        <w:br/>
        <w:t>artefacto explosivo AN- M1A2 (expediente de prueba, tomo 19, folios 10050 a</w:t>
        <w:br/>
        <w:t>10087).</w:t>
        <w:br/>
        <w:br/>
        <w:br/>
        <w:t>[81]  Cfr. Dictamen Balístico  N.  128288  del  3  de  septiembre  de  2003,</w:t>
        <w:br/>
        <w:t>Fiscalía General de la Nación, Misión de trabajo BF  1241/2003  Proceso  419</w:t>
        <w:br/>
        <w:t>(expediente de prueba, tomo 40, folios 21268 y 21270. En ese mismo  sentido,</w:t>
        <w:br/>
        <w:t>en su sentencia de primera instancia, el Juzgado Doce Penal del Circuito  de</w:t>
        <w:br/>
        <w:t>Conocimiento de Bogotá se refirió a unas declaraciones del comandante de  la</w:t>
        <w:br/>
        <w:t>base de Apiay indicó, refiriéndose a un dispositivo AN-M1A2 que “cada  bomba</w:t>
        <w:br/>
        <w:t>del racimo […] que puede generar un rango de acción teórica  de  150  metros</w:t>
        <w:br/>
        <w:t>dependiendo  de  la  dispersión”,  Juzgado  Doce  Penal  del   Circuito   de</w:t>
        <w:br/>
        <w:t>Conocimiento de Bogotá D.C. con funciones de Ley 600 de 2000,  Sentencia  de</w:t>
        <w:br/>
        <w:t>Primera Instancia, Radicado 2005-102, 24 de septiembre de  2009  (expediente</w:t>
        <w:br/>
        <w:t>de prueba, tomo 12, folios 6387 y 6388)</w:t>
        <w:br/>
        <w:br/>
        <w:br/>
        <w:t>[82]  Cfr. Testimonio de María Panqueva rendida ante el Juzgado 124 de</w:t>
        <w:br/>
        <w:t>Instrucción Penal Criminal en Arauca el 21 de diciembre de 1998 (expediente</w:t>
        <w:br/>
        <w:t>de prueba, tomo 2, folio 451, y anexo 8 del Informe de Fondo, folio 643 y</w:t>
        <w:br/>
        <w:t>ss.), y Juzgado Doce Penal del Circuito de Conocimiento de Bogotá D.C. con</w:t>
        <w:br/>
        <w:t>funciones de Ley 600 de 2000, Sentencia de Primera Instancia, Radicado 2005-</w:t>
        <w:br/>
        <w:t>102, 24 de septiembre de 2009 (expediente de prueba, tomo 2, folio 327).</w:t>
        <w:br/>
        <w:br/>
        <w:br/>
        <w:t>[83]   Cfr. Declaración del Mayor J.M.G. (Comandante del Batallón</w:t>
        <w:br/>
        <w:t>Contraguerrilla No. 36) del 12 de diciembre de 1998, citado en: Juzgado</w:t>
        <w:br/>
        <w:t>Doce Penal del Circuito de Conocimiento de Bogotá D.C. con funciones de Ley</w:t>
        <w:br/>
        <w:t>600 de 2000, Sentencia de Primera Instancia, Radicado 2005-102, 24 de</w:t>
        <w:br/>
        <w:t>septiembre de 2009 (expediente de prueba, tomo 2, folio 338).</w:t>
        <w:br/>
        <w:br/>
        <w:br/>
        <w:t>[84]   Cfr. Orden de operaciones (sin numero), Pantera, Plan Táctico de</w:t>
        <w:br/>
        <w:t>Campaña Brigada XVIII-1998, Carta Departamento de Arauca (expediente de</w:t>
        <w:br/>
        <w:t>prueba, tomo 15, folio 7745). Véase también: Juzgado Doce Penal del</w:t>
        <w:br/>
        <w:t>Circuito de Conocimiento de Bogotá D.C. con funciones de Ley 600 de 2000,</w:t>
        <w:br/>
        <w:t>Sentencia de Primera Instancia, Radicado 2005-102, 24 de septiembre de 2009</w:t>
        <w:br/>
        <w:t>(expediente de prueba, tomo 2, folio 338).</w:t>
        <w:br/>
        <w:br/>
        <w:br/>
        <w:t>[85]  Cfr. Testimonio de María Panqueva rendida ante el Juzgado 124 de</w:t>
        <w:br/>
        <w:t>Instrucción Penal Criminal en Arauca el 21 de diciembre de 1998 (expediente</w:t>
        <w:br/>
        <w:t>de prueba, tomo 2, folio 451 y folio 645); testimonio de Marcos Neite</w:t>
        <w:br/>
        <w:t>rendida ante el Juzgado 124 de Instrucción Penal Criminal en Arauca el 21</w:t>
        <w:br/>
        <w:t>de diciembre de 1998 citado en: Resolución de la Unidad de Instrucción</w:t>
        <w:br/>
        <w:t>Penal Militar Especial de 14 de junio de 2001 (expediente de prueba, tomo</w:t>
        <w:br/>
        <w:t>2, folio 451 a 452), y testimonio de Alba Yanet García en la Audiencia</w:t>
        <w:br/>
        <w:t>Pública del 27 y 28 de junio de 2012. Véase también: Juzgado Doce Penal del</w:t>
        <w:br/>
        <w:t>Circuito de Conocimiento de Bogotá D.C. con funciones de Ley 600 de 2000,</w:t>
        <w:br/>
        <w:t>Sentencia de Primera Instancia, Radicado 2005-102, 24 de septiembre de 2009</w:t>
        <w:br/>
        <w:t>(expediente de prueba, tomo 2, folio 327).</w:t>
        <w:br/>
        <w:br/>
        <w:br/>
        <w:t>[86]  Cfr. Testimonio de Edwin Fernando Vanegas rendida ante el Juzgado  124</w:t>
        <w:br/>
        <w:t>de Instrucción  Penal  Criminal  en  Arauca  el  14  de  diciembre  de  1998</w:t>
        <w:br/>
        <w:t>(expediente de prueba, tomo 2, folio 423).</w:t>
        <w:br/>
        <w:br/>
        <w:br/>
        <w:t>[87]  Cfr. Queja de Luz Nelly Benítez rendida el 16 de  diciembre  ele  1998</w:t>
        <w:br/>
        <w:t>ante la Personería de Tame (expediente de prueba, tomo  2,  folio  3144),  y</w:t>
        <w:br/>
        <w:t>queja rendida por el señor Amalio Neite el 16 de diciembre de 1998  ante  la</w:t>
        <w:br/>
        <w:t>Personería Municipal de Tame (expediente de prueba, tomo 2, folio  493).  Al</w:t>
        <w:br/>
        <w:t>respecto, “ese mismo día a las tres de  la  tarde,  en  el  campo  de  Santo</w:t>
        <w:br/>
        <w:t>Domingo, sin saber, las  veredas  Caño  verde  y  Caño  Limón  empezaron  un</w:t>
        <w:br/>
        <w:t>partido de muerte. Los futbolistas llevaban 5 minutos de disputar  el  balón</w:t>
        <w:br/>
        <w:t>[…] cuando de repente, deportistas y  aficionados  observaron  una  avioneta</w:t>
        <w:br/>
        <w:t>que sobrevolaba la población. De inmediato  el  partido  se  paralizo  […]”.</w:t>
        <w:br/>
        <w:t>Nota de prensa, Diario El Espectador, “Un  Partido  de  muerte”  del  23  de</w:t>
        <w:br/>
        <w:t>diciembre de 1998  (expediente  de  prueba,  tomo  14,  folio  7351).  Véase</w:t>
        <w:br/>
        <w:t>también: Queja de Luz Nelly Benítez rendida el  16  de  diciembre  ele  1998</w:t>
        <w:br/>
        <w:t>ante la Personería de Tame (expediente de prueba, tomo 2, folio  3144  ),  y</w:t>
        <w:br/>
        <w:t>queja rendida por el señor Amalio Neite el 16 de diciembre de 1998  ante  la</w:t>
        <w:br/>
        <w:t>Personería Municipal de Tame (expediente de prueba, tomo 2, folio 493).</w:t>
        <w:br/>
        <w:br/>
        <w:br/>
        <w:t>[88]  Cfr. Informe  operacional  Santo  Domingo,  Dirección  de  Operaciones</w:t>
        <w:br/>
        <w:t>Especiales Aéreas, Fuerzas Militares de Colombia, Fuerza  Aérea  (expediente</w:t>
        <w:br/>
        <w:t>de prueba, tomo 19, folios 10122 a 10125); testimonio de Marcos  Neite  ante</w:t>
        <w:br/>
        <w:t>el Juzgado 124  de  la  Unidad  de  Instrucción  Penal  Militar,  el  21  el</w:t>
        <w:br/>
        <w:t>diciembre de 1998 (expediente de prueba, tomo 2, folio 494);  testimonio  de</w:t>
        <w:br/>
        <w:t>Amalio Neite  Gonzalez  ante  el  ante  el  Juzgado  124  de  la  Unidad  de</w:t>
        <w:br/>
        <w:t>Instrucción Penal Militar,  el  21  el  diciembre  de  1998  (expediente  de</w:t>
        <w:br/>
        <w:t>prueba, tomo 2, folio 493). Véase también: Juzgado Doce Penal  del  Circuito</w:t>
        <w:br/>
        <w:t>de Conocimiento de Bogotá D.C. con funciones de Ley 600 de  2000,  Sentencia</w:t>
        <w:br/>
        <w:t>de  Primera  Instancia,  Radicado  2005-102,  24  de  septiembre   de   2009</w:t>
        <w:br/>
        <w:t>(expediente de prueba, tomo 12, folio 6350).</w:t>
        <w:br/>
        <w:br/>
        <w:br/>
        <w:t>[89]   Cfr. Informe operacional Santo Domingo, Dirección de Operaciones</w:t>
        <w:br/>
        <w:t>Especiales Aéreas, Fuerzas Militares de Colombia, Fuerza Aérea (expediente</w:t>
        <w:br/>
        <w:t>de prueba, tomo 19, folios 10122 a 10125). Véase también: Juzgado Doce</w:t>
        <w:br/>
        <w:t>Penal del Circuito de Conocimiento de Bogotá D.C. con funciones de Ley 600</w:t>
        <w:br/>
        <w:t>de 2000, Sentencia de Primera Instancia, Radicado 2005-102, 24 de</w:t>
        <w:br/>
        <w:t>septiembre de 2009 (expediente de prueba, tomo 2, folio 2980 y 2994).</w:t>
        <w:br/>
        <w:br/>
        <w:br/>
        <w:t>[90]  Cfr. Video Skymaster a las 10:02:09 am; Oficio N. 226 Diara-Seman  412</w:t>
        <w:br/>
        <w:t>Fuerza Aérea, información sobre procedencia de bombas  cluster,  del  22  de</w:t>
        <w:br/>
        <w:t>febrero de 2001 (expediente de prueba, tomo 15,  folio  7811);  Comunicación</w:t>
        <w:br/>
        <w:t>del 30 de diciembre de 1998, “Operación Relampago 2”  Fuerzas  Militares  de</w:t>
        <w:br/>
        <w:t>Colombia, Fuerza Aérea  (expediente  de  prueba,  tomo  19,  folio  10021  a</w:t>
        <w:br/>
        <w:t>10026); Declaración rendida por el Capitán Guillermo Olaya Acevedo  (Oficial</w:t>
        <w:br/>
        <w:t>de enlace  durante  la  operación  en  Santo  Domingo)  ante  la  Unidad  de</w:t>
        <w:br/>
        <w:t>Instrucción Penal Militar Juzgado 122  del  IPM,  el  1  de  marzo  de  2001</w:t>
        <w:br/>
        <w:t>(expediente de prueba, tomo 15, folio 7713),  e  Informe  operacional  Santo</w:t>
        <w:br/>
        <w:t>Domingo, Dirección de Operaciones Especiales Aéreas,  Fuerzas  Militares  de</w:t>
        <w:br/>
        <w:t>Colombia, Fuerza Aérea (expediente de prueba, tomo 19, folio  10124).  Véase</w:t>
        <w:br/>
        <w:t>también: Juzgado Doce Penal del Circuito de Conocimiento de Bogotá D.C.  con</w:t>
        <w:br/>
        <w:t>funciones de Ley 600 de 2000, Sentencia de Primera Instancia, Radicado 2005-</w:t>
        <w:br/>
        <w:t>102, 24 de septiembre de 2009 (expediente de prueba, tomo 2,  folio  2998  a</w:t>
        <w:br/>
        <w:t>2999).</w:t>
        <w:br/>
        <w:br/>
        <w:br/>
        <w:t>[91]  Las personas que murieron a consecuencia  del  dispositivo  cluster  ó</w:t>
        <w:br/>
        <w:t>municiones de racimo son Jaime Castro Bello, Luis Carlos Neite Méndez,  Egna</w:t>
        <w:br/>
        <w:t>Margarita Bello, Katherine (ó Catherine)  Cárdenas  Tilano,  Oscar  Esneider</w:t>
        <w:br/>
        <w:t>Vanegas  Tulibila,  Geovani  Hernández  Becerra,  Levis  Hernando   Martínez</w:t>
        <w:br/>
        <w:t>Carreño, Teresa Mojica Hernández de Galvis,  Edilma  Leal  Pacheco,  Salomón</w:t>
        <w:br/>
        <w:t>Neite, María Yolanda Rangel, Pablo Suárez Daza, Carmen  Antonio  Díaz  Cobo,</w:t>
        <w:br/>
        <w:t>Nancy Ávila Castillo (ó Abaunza), Arnulfo  Arciniegas  Velandia  (ó  Calvo),</w:t>
        <w:br/>
        <w:t>Luis Enrique Parada Ropero y Rodolfo Carrillo.</w:t>
        <w:br/>
        <w:br/>
        <w:br/>
        <w:t>[92]  Cabe señalar que el Informe de Admisibilidad 25/03 de la Comisión</w:t>
        <w:br/>
        <w:t>Interamericana determinó que 25 personas habían resultado heridas con base</w:t>
        <w:br/>
        <w:t>en la información aportada por los peticionarios la cual, se basaba en el</w:t>
        <w:br/>
        <w:t>recuento de heridos efectuado en la decisión de resolución de situación</w:t>
        <w:br/>
        <w:t>jurídica proferida por la Unidad de Instrucción Penal Militar Especial el</w:t>
        <w:br/>
        <w:t>14 de junio de 2001. Sin embargo, el 24 de febrero de 2009, durante la</w:t>
        <w:br/>
        <w:t>etapa de fondo del asunto, se profirió sentencia de primera instancia en el</w:t>
        <w:br/>
        <w:t>proceso penal, en la cual se incluyó como heridos a dos personas que no se</w:t>
        <w:br/>
        <w:t>encontraban en la enumeración inicial del informe de admisibilidad En vista</w:t>
        <w:br/>
        <w:t>de lo anterior, la Comisión consideró en su informe de Fondo como víctimas</w:t>
        <w:br/>
        <w:t>de las heridas ocasionadas por el dispositivo cluster a las 27 personas</w:t>
        <w:br/>
        <w:t>enumeradas en el Informe de Fondo.</w:t>
        <w:br/>
        <w:br/>
        <w:br/>
        <w:t>[93]  Los heridos fueron:  Marcos  Neite,  Erinson  Olimpo  Cárdenas,  Hilda</w:t>
        <w:br/>
        <w:t>Yuraime Barranco, Ricardo Ramírez, Yeimi Viviana Contreras, Maryori  Agudelo</w:t>
        <w:br/>
        <w:t>Flórez, Rosmira Daza Rojas, Neftalí  Neite,  Alba  Yaneth  García,  Fernando</w:t>
        <w:br/>
        <w:t>Vanegas, Milciades Bonilla Ostos, Ludwing Vanegas, Xiomara  García  Guevara,</w:t>
        <w:br/>
        <w:t>Mario Galvis, Fredy Monoga Villamizar (ó Fredy  Villamizar  Monoga),  Mónica</w:t>
        <w:br/>
        <w:t>Bello Tilano, Maribel Daza, Amalio  Neite  González,  Marian  Arévalo,  José</w:t>
        <w:br/>
        <w:t>Agudelo Tamayo, María Panqueva, Pedro Uriel  Duarte  Lagos,  Lida  Barranca,</w:t>
        <w:br/>
        <w:t>Ludo Vanegas, Adela Carrillo, Alcides  Bonilla  y  Fredy  Mora.  23  de  las</w:t>
        <w:br/>
        <w:t>personas  heridas  fueron  identificadas  en  el  marco  de   procedimientos</w:t>
        <w:br/>
        <w:t>judiciales, a saber: Juzgado 12 Penal del Circuito de Bogotá. Sentencia  del</w:t>
        <w:br/>
        <w:t>24 de septiembre de 2009, p. 64 (expediente de prueba, tomo 2,  folio  364);</w:t>
        <w:br/>
        <w:t>Procuraduría General de la Nación. Sala Disciplinaria. Radicación  161-01640</w:t>
        <w:br/>
        <w:t>(155-45564/2000). 19 de diciembre de 2002 (expediente  de  prueba,  tomo  4,</w:t>
        <w:br/>
        <w:t>folio 1571); Sentencia del Tribunal Contencioso  Administrativo  de  Arauca,</w:t>
        <w:br/>
        <w:t>Mario Galvis Gelvez y otros, expediente No. 81-001-23-2000-348, 20  de  mayo</w:t>
        <w:br/>
        <w:t>de 2004 (expediente de prueba, tomo 20, folio 10180-10274). En  la  Decisión</w:t>
        <w:br/>
        <w:t>de la Unidad de Instrucción Penal Militar Especial de 14 de  junio  de  2001</w:t>
        <w:br/>
        <w:t>(expediente de prueba, tomo 2, folio 390 a 392; 420 a  422),  basada  en  la</w:t>
        <w:br/>
        <w:t>Declaración  y  Denuncia  Publica  del  Cabildo  Abierto  realizado  en   el</w:t>
        <w:br/>
        <w:t>Municipio de Tame del 17 de diciembre de 1998 (expediente  de  prueba,  tomo</w:t>
        <w:br/>
        <w:t>15, folio 7677 y siguientes), se identifican 4  víctimas  mas,  por  lo  que</w:t>
        <w:br/>
        <w:t>suman 27 víctimas en total. Véase asimismo Nota diplomática  DDH.  GOI/71945</w:t>
        <w:br/>
        <w:t>suscrita por la  Directora  de  Derechos  Humanos  y  Derecho  Internacional</w:t>
        <w:br/>
        <w:t>Humanitario del Ministerio de Relaciones Exteriores del 27 de  diciembre  de</w:t>
        <w:br/>
        <w:t>2005  (expediente  de  prueba,  tomo  5,  folio  2210);  Historias  Clínicas</w:t>
        <w:br/>
        <w:t>(expediente de prueba, tomo 19, folios 9812  a  9931),  y  Nota  de  prensa,</w:t>
        <w:br/>
        <w:t>Diario El Espectador, “Lo que dijo la Human Rights Watch”, 23  de  diciembre</w:t>
        <w:br/>
        <w:t>de 1998 (expediente de prueba, tomo 14, folio 7351).</w:t>
        <w:br/>
        <w:br/>
        <w:br/>
        <w:t>[94]  Cfr. Video diligencia de 11 de febrero del 2000 (expediente de</w:t>
        <w:br/>
        <w:t>prueba, tomo 19, folio 9620), y la Inspección y estudio de balística y</w:t>
        <w:br/>
        <w:t>explosivos, ampliación del dictamen del 28 de abril de 2000. Investigación</w:t>
        <w:br/>
        <w:t>N. 419 UNDH, Fiscalía General de la Nación (expediente de prueba, tomo 19,</w:t>
        <w:br/>
        <w:t>folio 9689 a 9691), y Decisión emitida por las Fuerzas Militares de</w:t>
        <w:br/>
        <w:t>Colombia, Fuerza Aérea y la Unidad de Instrucción Penal Militar Especial el</w:t>
        <w:br/>
        <w:t>14 de junio de 2001 (expediente de prueba, tomo 2, folios 421 a 422). Véase</w:t>
        <w:br/>
        <w:t>también: Juzgado Doce Penal del Circuito de Conocimiento de Bogotá D.C. con</w:t>
        <w:br/>
        <w:t>funciones de Ley 600 de 2000, Sentencia de Primera Instancia, Radicado 2005-</w:t>
        <w:br/>
        <w:t>102, 24 de septiembre de 2009 (expediente de prueba, tomo 2, folios 376 a</w:t>
        <w:br/>
        <w:t>377).</w:t>
        <w:br/>
        <w:br/>
        <w:br/>
        <w:t>[95]  Cfr. Testimonio de Alba Yanet García en la Audiencia Pública del 27  y</w:t>
        <w:br/>
        <w:t>28 de junio de 2012, testimonio de María Panqueva,  Declaración  rendida  el</w:t>
        <w:br/>
        <w:t>21 de diciembre de 1998 ante el Juzgado  24  de  la  Unidad  de  Instrucción</w:t>
        <w:br/>
        <w:t>Penal militar (expediente de prueba, tomo 2, folios 643 a  645);  testimonio</w:t>
        <w:br/>
        <w:t>de Amalio Neite, Declaración rendida el 16 de  diciembre  de  1998  ante  la</w:t>
        <w:br/>
        <w:t>Personería Municipal de Tame (expediente de prueba, tomo  2,  folios  654  a</w:t>
        <w:br/>
        <w:t>655); testimonio de Luis Sel Murillo  Villamizar,  Declaración  rendida  por</w:t>
        <w:br/>
        <w:t>Luis Sel Murillo Villamizar el 22 de diciembre de 1998, ante el  Juzgado  12</w:t>
        <w:br/>
        <w:t>de la Unidad de Instrucción Penal militar (expediente  de  prueba,  tomo  2,</w:t>
        <w:br/>
        <w:t>folios 650 a 652); testimonio de Nilsa Diaz Herrera, Declaración rendida  el</w:t>
        <w:br/>
        <w:t>22 de diciembre de 1998 ante el Juzgado de la Unidad  de  Instrucción  Penal</w:t>
        <w:br/>
        <w:t>militar (expediente de prueba, tomo 2, folios 647 a 648),  y  testimonio  de</w:t>
        <w:br/>
        <w:t>Adán Piñeros, Declaración  el  16  de  diciembre  de  1998  ante  Personería</w:t>
        <w:br/>
        <w:t>Municipal de Tame (expediente de prueba, tomo 2, folio 657). Véase  asimismo</w:t>
        <w:br/>
        <w:t>Queja rendida por Ascención Daza Galindo el día  17  de  diciembre  de  1998</w:t>
        <w:br/>
        <w:t>ante la Personería Municipal de Tame, citado en: Resolución de la Unidad  de</w:t>
        <w:br/>
        <w:t>Instrucción Penal Militar Especial de 14 de junio  de  2001  (expediente  de</w:t>
        <w:br/>
        <w:t>prueba, tomo 2, folio 496); Queja rendida por María Antonia  Rojas  ante  la</w:t>
        <w:br/>
        <w:t>Personería Municipal de Tame, el día 17 de diciembre  de  1998,  citado  en:</w:t>
        <w:br/>
        <w:t>Resolución de la Unidad de Instrucción  Penal  Militar  Especial  de  14  de</w:t>
        <w:br/>
        <w:t>junio de 2001 (expediente de prueba, tomo 2,  folio  496  a  497),  y  Queja</w:t>
        <w:br/>
        <w:t>rendida por Carmen Edilia Gonzalez ante la Personería Municipal de Tame,  el</w:t>
        <w:br/>
        <w:t>día 18 de  diciembre  de  1998,  citado  en:  Resolución  de  la  Unidad  de</w:t>
        <w:br/>
        <w:t>Instrucción Penal Militar Especial de 14 de junio  de  2001  (expediente  de</w:t>
        <w:br/>
        <w:t>prueba, tomo 2, folio 497). Véase asimismo Decisión emitida por las  Fuerzas</w:t>
        <w:br/>
        <w:t>Militares de Colombia,  Fuerza  Aérea  y  la  Unidad  de  Instrucción  Penal</w:t>
        <w:br/>
        <w:t>Militar Especial el 14 de junio de  2001  (expediente  de  prueba,  tomo  2,</w:t>
        <w:br/>
        <w:t>folio 421 a 422); Video diligencia de 11 de febrero del 2000 (expediente  de</w:t>
        <w:br/>
        <w:t>prueba, tomo 19, folio 9620); Carta enviada por la personera  municipal  del</w:t>
        <w:br/>
        <w:t>Tame (Arauca) al Alto Comisionado  de  Naciones  Unidas  para  los  derechos</w:t>
        <w:br/>
        <w:t>humanos de 14 de diciembre de 1998 (expediente de prueba,  tomo  15,  folios</w:t>
        <w:br/>
        <w:t>7813 a 7814), y Juzgado Doce Penal del Circuito de  Conocimiento  de  Bogotá</w:t>
        <w:br/>
        <w:t>D.C. con funciones de Ley 600  de  2000,  Sentencia  de  Primera  Instancia,</w:t>
        <w:br/>
        <w:t>Radicado 2005-102, 24 de septiembre de 2009 (expediente de prueba, tomo  12,</w:t>
        <w:br/>
        <w:t>folio 2954 a 2955).</w:t>
        <w:br/>
        <w:br/>
        <w:br/>
        <w:t>[96]  Cfr. Inspección y estudio de balística y explosivos, ampliación del</w:t>
        <w:br/>
        <w:t>dictamen, misión de trabajo BA-0066/2000, 28 de abril de 2000.</w:t>
        <w:br/>
        <w:t>Investigación N. 419 UNDH, Fiscalía General de la Nación (expediente de</w:t>
        <w:br/>
        <w:t>prueba, tomo 19, folio 9689 a 9691; tomo 2, folio 603 a 607).</w:t>
        <w:br/>
        <w:br/>
        <w:br/>
        <w:t>[97]  Cfr. Juzgado Doce Penal del Circuito de Conocimiento de Bogotá D.C.</w:t>
        <w:br/>
        <w:t>con funciones de Ley 600 de 2000, Sentencia de Primera Instancia, Radicado</w:t>
        <w:br/>
        <w:t>2005-102, 24 de septiembre de 2009 (expediente de prueba, tomo 2, folios</w:t>
        <w:br/>
        <w:t>300 y ss).</w:t>
        <w:br/>
        <w:br/>
        <w:br/>
        <w:t>[98]  Cfr. Tribunal  Superior  Distrito  judicial  de  Bogotá,  Sala  Penal,</w:t>
        <w:br/>
        <w:t>sentencia de 15 de junio de 2011, mediante la cual se  resuelve  el  recurso</w:t>
        <w:br/>
        <w:t>de apelación interpuesto contra la sentencia de primera instancia, MP:  Luis</w:t>
        <w:br/>
        <w:t>Mariano Rodríguez Roa (expediente de prueba, tomo 16,  folios  8414  y  ss.;</w:t>
        <w:br/>
        <w:t>10717 y ss.).</w:t>
        <w:br/>
        <w:br/>
        <w:br/>
        <w:t>[99]  Cfr. Sentencia 19 de noviembre de 2008, Sección Tercera, Consejo de</w:t>
        <w:br/>
        <w:t>Estado, Mario Galvis Gelves y otros, radicación No 07001-23-31-0002000-0348-</w:t>
        <w:br/>
        <w:t>01, Consejero Ponente: Ramiro Saavedra Becerra (expediente de prueba, tomo</w:t>
        <w:br/>
        <w:t>3, folios 1046 a 1127), y Sentencia del 20 de mayo de 2004 el Tribunal</w:t>
        <w:br/>
        <w:t>Contencioso Administrativo de Arauca. Acción de Reparación Directa</w:t>
        <w:br/>
        <w:t>(expediente de prueba, tomo 20, folio 10233 a 10234).</w:t>
        <w:br/>
        <w:br/>
        <w:br/>
        <w:t>[100]       Cfr. Procuraduría General de la Nación, Comisión Especial</w:t>
        <w:br/>
        <w:t>Disciplinaria, radicación 155-45564-00, 2 de octubre de 2002 (expediente de</w:t>
        <w:br/>
        <w:t>prueba, tomo 3, folio 969 a 1034).</w:t>
        <w:br/>
        <w:br/>
        <w:br/>
        <w:t>[101]       Cfr. Testimonios y declaraciones de: G.L. del 9 de febrero de</w:t>
        <w:br/>
        <w:t>1999 (expediente de prueba, tomo 19, folios 10106 a 10117); Teniente del</w:t>
        <w:br/>
        <w:t>Ejercito J.M.R. del 16 de diciembre de 1998 (expediente de prueba, tomo 19,</w:t>
        <w:br/>
        <w:t>folios 10097 a 10098); Soldado voluntario C.J.P. del 16 de diciembre de</w:t>
        <w:br/>
        <w:t>1998 (expediente de prueba, tomo 19, folios 10099 a 10101); declaración de</w:t>
        <w:br/>
        <w:t>L.E.C.M. del 16 de diciembre de 1998 ante la Personería Municipal de</w:t>
        <w:br/>
        <w:t>Saravena (expediente de prueba, tomo 19, folios 10097 a 10098), y</w:t>
        <w:br/>
        <w:t>declaración del Cabo Primero del Ejercito P.P.O. del 16 de diciembre de</w:t>
        <w:br/>
        <w:t>1998 (expediente de prueba, tomo 19, folios 10104 a 10105).</w:t>
        <w:br/>
        <w:br/>
        <w:br/>
        <w:t>[102]       Cfr. Instituto Agustín Codazzi, Subdirección de Geografía y</w:t>
        <w:br/>
        <w:t>Cartografía, esquema a escala 1:000.000 con los puntos y distancia</w:t>
        <w:br/>
        <w:t>(expediente de prueba, tomo 19, folio 9945 a 9946), y el Informe</w:t>
        <w:br/>
        <w:t>operacional Santo Domingo, Dirección de Operaciones Especiales Aéreas,</w:t>
        <w:br/>
        <w:t>Fuerzas Militares de Colombia, Fuerza Aérea (expediente de prueba, tomo 19,</w:t>
        <w:br/>
        <w:t>folios 10122 a 10125).</w:t>
        <w:br/>
        <w:br/>
        <w:br/>
        <w:t>[103]       El Estado se refirió a la siguiente prueba: Fotografía que</w:t>
        <w:br/>
        <w:t>registra la calle principal del Caserío de Santo Domingo en donde aparece</w:t>
        <w:br/>
        <w:t>el lugar sin señales de cráteres 6 minutos después del lanzamiento del</w:t>
        <w:br/>
        <w:t>artefacto AN-M1A2 el 13 de diciembre de 1998 (hora: 10:08 am) (expediente</w:t>
        <w:br/>
        <w:t>de prueba, tomo 19, folio 9605); Experticia Técnico N. 001 de enero 7 de</w:t>
        <w:br/>
        <w:t>1999, Fuerzas Militares de Colombia, Inspección General, Fuerza Aérea</w:t>
        <w:br/>
        <w:t>Colombiana (expediente de prueba, tomo 19, folios 9600 a 9603); Oficio N.</w:t>
        <w:br/>
        <w:t>132 del 4 de febrero de 1999, ampliación de dictamen balístico y de</w:t>
        <w:br/>
        <w:t>explosivos del 28 de diciembre de 1998, realizado por el Cuerpo Técnico de</w:t>
        <w:br/>
        <w:t>Investigación (CTI) de la Fiscalía General de la Nación (expediente de</w:t>
        <w:br/>
        <w:t>prueba, tomo 19, folio 9576), y video Skymaster de 13 de diciembre de 1998,</w:t>
        <w:br/>
        <w:t>donde se registra toda la operación realizada por la Fuerza Aérea</w:t>
        <w:br/>
        <w:t>(expediente de prueba, tomo 19, folio 9621).</w:t>
        <w:br/>
        <w:br/>
        <w:br/>
        <w:t>[104]       Cfr. Necropsias practicadas en Tame (Arauca); Necropsia</w:t>
        <w:br/>
        <w:t>practicadas en Arauca (Arauca), y Necropsia practicadas en Saravena</w:t>
        <w:br/>
        <w:t>(Arauca) por el Instituto Nacional de Medicina Legal y Ciencias Forenses,</w:t>
        <w:br/>
        <w:t>Regional oriente (expediente de prueba, tomo 19, folios 9752 a 9810), y las</w:t>
        <w:br/>
        <w:t>Historias Clínicas (expediente de prueba, tomo 19, folios 9811 a 9931).</w:t>
        <w:br/>
        <w:br/>
        <w:br/>
        <w:t>[105]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330).</w:t>
        <w:br/>
        <w:br/>
        <w:br/>
        <w:t>[106]       Cfr. Declaración de María Panqueva rendida el  21  de  diciembre</w:t>
        <w:br/>
        <w:t>de 1998 ante el Juzgado 24  de  Instrucción  Penal  Militar  (expediente  de</w:t>
        <w:br/>
        <w:t>prueba, tomo 2, folios  643  a  645);  Declaración  de  Nilsa  Días  Herrera</w:t>
        <w:br/>
        <w:t>rendida el 16 de diciembre de 1998 ante  la  Personería  Municipal  de  Tame</w:t>
        <w:br/>
        <w:t>(expediente de prueba, tomo 2, folios 647 a 648); Declaración  de  Luis  Sel</w:t>
        <w:br/>
        <w:t>Murillo Villamizar rendida el 22 de diciembre de 1998 ante el Juzgado 24  de</w:t>
        <w:br/>
        <w:t>Instrucción Penal Militar (expediente de prueba, tomo 2, folios 650 a  652);</w:t>
        <w:br/>
        <w:t>Declaración de Amalio Neite rendida el 16  de  diciembre  de  1998  ante  la</w:t>
        <w:br/>
        <w:t>Personería Municipal de Tame (expediente de prueba, tomo  2,  folios  654  a</w:t>
        <w:br/>
        <w:t>655); Declaración de Adán Piñeros rendida el 16 de diciembre  de  1998  ante</w:t>
        <w:br/>
        <w:t>la Personería Municipal de Tame (expediente de prueba, tomo 2, folios 656  a</w:t>
        <w:br/>
        <w:t>657); Declaración de Margarita Tilano rendida el 21  de  diciembre  de  1998</w:t>
        <w:br/>
        <w:t>ante el Juzgado 124 de Instrucción  Penal  Militar  (expediente  de  prueba,</w:t>
        <w:br/>
        <w:t>tomo 4, folio 1474); Sala Disciplinaria de la  Procuraduría  General  de  la</w:t>
        <w:br/>
        <w:t>Nación, radicación 161-01640  (155-45564/2000),  19  de  diciembre  de  2002</w:t>
        <w:br/>
        <w:t>(expediente de prueba, tomo 2, folio 609 y ss.), y resolución de  la  Unidad</w:t>
        <w:br/>
        <w:t>de Instrucción Penal Militar Especial de 14 de junio de 2001 (expediente  de</w:t>
        <w:br/>
        <w:t>prueba, tomo 2, folio 390 a 392; 420 a 422). Además, la declaración de  Alba</w:t>
        <w:br/>
        <w:t>Janeth García ante la Corte en audiencia pública.</w:t>
        <w:br/>
        <w:br/>
        <w:br/>
        <w:t>[107]       Cfr. Necropsias e  historias  clínicas  (expediente  de  prueba,</w:t>
        <w:br/>
        <w:t>tomo 19, folio 9752 y ss.).</w:t>
        <w:br/>
        <w:br/>
        <w:br/>
        <w:t>[108]       Cfr. Resolución de la Unidad de Instrucción Penal Militar</w:t>
        <w:br/>
        <w:t>Especial de 14 de junio de 2001 (expediente de prueba, tomo 2, folios 422 a</w:t>
        <w:br/>
        <w:t>423); Declaración y denuncia pública del Cabildo Abierto en el municipio de</w:t>
        <w:br/>
        <w:t>Tame, 17 de diciembre de 1998 (expediente de prueba, tomo 15, folio 7681).</w:t>
        <w:br/>
        <w:t>Véase también, nota de prensa: Diario El Tiempo, “Éxodo a Tame por</w:t>
        <w:br/>
        <w:t>combates”, 15 de diciembre de 1998 (expediente de prueba, tomo 14, folio</w:t>
        <w:br/>
        <w:t>7341), y nota de prensa: Diario El Espectador, “Santo Domingo será</w:t>
        <w:br/>
        <w:t>Reconstruido”, noticia Judicial Pág. 9-A, 26 de diciembre de 1998</w:t>
        <w:br/>
        <w:t>(expediente de prueba, tomo 14, folio 7360; tomo 16, folio 8227).</w:t>
        <w:br/>
        <w:br/>
        <w:br/>
        <w:t>[109]       Cfr. Video Skymaster del 13 de diciembre  de  1998  (hora  07:21</w:t>
        <w:br/>
        <w:t>am; 07:38 am; 07:42 am; 08:39 am; 09:16 am hasta  09:36  am,  y  09:49  am),</w:t>
        <w:br/>
        <w:t>donde  se  registra  toda  la  operación  realizada  por  la  Fuerza   Aérea</w:t>
        <w:br/>
        <w:t>(expediente de prueba, tomo 19, folio 9621).</w:t>
        <w:br/>
        <w:br/>
        <w:br/>
        <w:t>[110]       Cfr. Video Skymaster del 13 de diciembre de 1998 (hora 10:08</w:t>
        <w:br/>
        <w:t>am; 10:09 am; 10:11 am; 10:19 am, y 10:42 am) donde se registra toda la</w:t>
        <w:br/>
        <w:t>operación realizada por la Fuerza Aérea (expediente de prueba, tomo 19,</w:t>
        <w:br/>
        <w:t>folio 9621). Véase también: Juzgado Doce Penal del Circuito de Conocimiento</w:t>
        <w:br/>
        <w:t>de Bogotá D.C. con funciones de Ley 600 de 2000, Sentencia de Primera</w:t>
        <w:br/>
        <w:t>Instancia, Radicado 2005-102, 24 de septiembre de 2009 (expediente de</w:t>
        <w:br/>
        <w:t>prueba, tomo 2, folio 346).</w:t>
        <w:br/>
        <w:br/>
        <w:br/>
        <w:t>[111]       Cfr. Declaración de María Panqueva rendida el  21  de  diciembre</w:t>
        <w:br/>
        <w:t>de 1998 ante el Juzgado 24  de  Instrucción  Penal  Militar  (expediente  de</w:t>
        <w:br/>
        <w:t>prueba, tomo 2, folios  643  a  645);  Declaración  de  Nilsa  Días  Herrera</w:t>
        <w:br/>
        <w:t>rendida el 16 de diciembre de 1998 ante  la  Personería  Municipal  de  Tame</w:t>
        <w:br/>
        <w:t>(expediente de prueba, tomo 2, folios 647 a 648); Declaración  de  Luis  Sel</w:t>
        <w:br/>
        <w:t>Murillo Villamizar rendida el 22 de diciembre de 1998 ante el Juzgado 24  de</w:t>
        <w:br/>
        <w:t>Instrucción Penal Militar (expediente de prueba, tomo 2, folios 650 a  652);</w:t>
        <w:br/>
        <w:t>Declaración de Amalio Neite rendida el 16  de  diciembre  de  1998  ante  la</w:t>
        <w:br/>
        <w:t>Personería Municipal de Tame (expediente de prueba, tomo  2,  folios  654  a</w:t>
        <w:br/>
        <w:t>655); Declaración de Adán Piñeros rendida el 16 de diciembre  de  1998  ante</w:t>
        <w:br/>
        <w:t>la Personería Municipal de Tame (expediente de prueba, tomo 2, folios 656  a</w:t>
        <w:br/>
        <w:t>657);  Sala  Disciplinaria  de  la  Procuraduría  General  de   la   Nación,</w:t>
        <w:br/>
        <w:t>radicación 161-01640 (155-45564/2000), 19 de diciembre de  2002  (expediente</w:t>
        <w:br/>
        <w:t>de prueba, tomo  2,  folio  609  y  ss.);  y  resolución  de  la  Unidad  de</w:t>
        <w:br/>
        <w:t>Instrucción Penal Militar Especial de 14 de junio  de  2001  (expediente  de</w:t>
        <w:br/>
        <w:t>prueba, tomo 2, folio 390 a 392; 420 a 422).</w:t>
        <w:br/>
        <w:br/>
        <w:br/>
        <w:t>[112]       Cfr. Video Skymaster del 13 de diciembre de 1998 (hora 10:21  am</w:t>
        <w:br/>
        <w:t>a 10:43 am) donde se registra toda la  operación  realizada  por  la  Fuerza</w:t>
        <w:br/>
        <w:t>Aérea (expediente de prueba, tomo 19, folio 9621).</w:t>
        <w:br/>
        <w:br/>
        <w:br/>
        <w:t>[113]        Nota  de  prensa:  Diario  El  Espectador,  “La  Fuerza   Aérea</w:t>
        <w:br/>
        <w:t>Colombiana  dice  que  no  hubo  bombardeos”,  15  de  diciembre   de   1998</w:t>
        <w:br/>
        <w:t>(expediente de prueba, tomo 14, folio 7354; tomo 16, folio 8226).</w:t>
        <w:br/>
        <w:br/>
        <w:br/>
        <w:t>[114]       Nota de prensa: Diario El Espectador,  “Paro  cívico  en  Arauca</w:t>
        <w:br/>
        <w:t>por muertes en Santo Domingo”,  15  de  diciembre  de  1998  (expediente  de</w:t>
        <w:br/>
        <w:t>prueba, tomo XIV, folio 7354; tomo 16, folio 8226).</w:t>
        <w:br/>
        <w:br/>
        <w:br/>
        <w:t>[115]       Cfr. Diligencia de Inspección realizada por el  Juzgado  124  de</w:t>
        <w:br/>
        <w:t>la Unidad de Instrucción Penal Militar a la localidad de Santo  Domingo,  el</w:t>
        <w:br/>
        <w:t>17 de diciembre de 1998, tomado de: Resolución de la Unidad  de  Instrucción</w:t>
        <w:br/>
        <w:t>Penal, de 14 de junio de 2001, pág.  164  (expediente  de  prueba,  tomo  2,</w:t>
        <w:br/>
        <w:t>folio 547). Véase también: Video de la diligencia del  17  de  diciembre  de</w:t>
        <w:br/>
        <w:t>1998 (min. 19:08), que  registra  la  primera  inspección  realizada  en  el</w:t>
        <w:br/>
        <w:t>caserío de Santo Domingo. (expediente de  prueba,  tomo  20,  folio  10175);</w:t>
        <w:br/>
        <w:t>Alcaldía Municipal de Tame, Departamento  de  Arauca,  29  de  diciembre  de</w:t>
        <w:br/>
        <w:t>1998, respuesta a cuestionario de 22 de diciembre de 1998,  enviado  por  el</w:t>
        <w:br/>
        <w:t>Juzgado 12 de Instrucción Militar al Alcalde Municipal de  Tame  (expediente</w:t>
        <w:br/>
        <w:t>de prueba, tomo 16, folio 8273 a 8274), y Acta del 28 de diciembre de  1998,</w:t>
        <w:br/>
        <w:t>Diligencia de Inspección (expediente de prueba, tomo 19, folio 9570).</w:t>
        <w:br/>
        <w:br/>
        <w:br/>
        <w:t>[116]       Algunos de los pobladores no regresaron a  Santo  Domingo  y  se</w:t>
        <w:br/>
        <w:t>encuentran hoy viviendo en otras localidades en Colombia e incluso en  otros</w:t>
        <w:br/>
        <w:t>países. Al respecto véase Mario  Galvis  declaración  rendida  por  afidávit</w:t>
        <w:br/>
        <w:t>(expediente de prueba, tomo 50, folio 27940); Hugo fernely  Pastrana  Vargas</w:t>
        <w:br/>
        <w:t>declaración rendida por afidávit  (expediente  de  prueba,  tomo  50,  folio</w:t>
        <w:br/>
        <w:t>27994), y Mónica  Alicia  Bello  Tilano  declaración  rendida  por  afidávit</w:t>
        <w:br/>
        <w:t>(expediente de prueba, tomo 50, folio 28025).</w:t>
        <w:br/>
        <w:br/>
        <w:br/>
        <w:t>[117]        Cfr.  Convenio  interinstitucional  N.  0499   de   cooperación</w:t>
        <w:br/>
        <w:t>celebrado entre el Departamento de  Arauca  y  el  Instituto  de  Desarrollo</w:t>
        <w:br/>
        <w:t>Araucano,  con  el  objeto  de  reubicar,  reconstruir,  y  mejorar  las  47</w:t>
        <w:br/>
        <w:t>viviendas de Santo Domingo, del 31 de diciembre 1999 (expediente de  prueba,</w:t>
        <w:br/>
        <w:t>tomo 51, folios 28033 a 28037).</w:t>
        <w:br/>
        <w:br/>
        <w:br/>
        <w:t>[118]       Cfr. Procuraduría General de la  Nación  Dirección  Nacional  de</w:t>
        <w:br/>
        <w:t>Investigaciones Especiales Unidad de Derechos Humanos,  Acta  Levantada  con</w:t>
        <w:br/>
        <w:t>ocasión de la diligencia de declaración rendida por Wilson  Garcia  Reatiga,</w:t>
        <w:br/>
        <w:t>Tame (Arauca), 17 de junio de 1999 (expediente  de  prueba,  tomo  4,  folio</w:t>
        <w:br/>
        <w:t>1492);  Procuraduría  General   de   la   Nación   Dirección   Nacional   de</w:t>
        <w:br/>
        <w:t>Investigaciones Especiales Unidad de Derechos Humanos,  Acta  Levantada  con</w:t>
        <w:br/>
        <w:t>ocasión de la  diligencia  de  declaración  rendida  por  Luis  Sel  Murillo</w:t>
        <w:br/>
        <w:t>Villamizar, Tame (Arauca) 19 de junio de 1999 (expediente  de  prueba,  tomo</w:t>
        <w:br/>
        <w:t>4, folio 1415). Véase también: Fuerzas Militares de Colombia,  Fuerza  Aérea</w:t>
        <w:br/>
        <w:t>Unidad de Instrucción Penal Militar, Diligencia de declaración que rinde  el</w:t>
        <w:br/>
        <w:t>señor Olimpo Cárdenas, Tame (Arauca), 28 de diciembre  de  2000  (expediente</w:t>
        <w:br/>
        <w:t>de prueba, tomo XVI, folio 8206); Declaración de Luis  Sel  Murillo  rendída</w:t>
        <w:br/>
        <w:t>el 21 de diciembre de 1998 ante el juzgado 24 de Instrucción Penal  Mílltar,</w:t>
        <w:br/>
        <w:t>pp 2-3 (expediente de prueba, tomo 4, folio 1406), y  Declaración  de  Jaime</w:t>
        <w:br/>
        <w:t>Rojas en nota de prensa: Diario El Tiempo, “Dos historias  distintas  de  un</w:t>
        <w:br/>
        <w:t>mismo ataque”, 17 de diciembre de  1998  (expediente  de  prueba,  tomo  14,</w:t>
        <w:br/>
        <w:t>folio 7353).</w:t>
        <w:br/>
        <w:br/>
        <w:br/>
        <w:t>[119]       Cfr. Acta del 28 de diciembre de 1998, Diligencia de  Inspección</w:t>
        <w:br/>
        <w:t>(expediente de prueba, tomo 19, folio 9570). Véase  también:  Resolución  de</w:t>
        <w:br/>
        <w:t>la Unidad de Instrucción Penal Militar Especial  de  14  de  junio  de  2001</w:t>
        <w:br/>
        <w:t>(expediente de prueba, tomo 2, folios 548 a 549);  Declaración  rendida  por</w:t>
        <w:br/>
        <w:t>Martin López Trigos, Procuraduría General de la Nacional Dirección  Nacional</w:t>
        <w:br/>
        <w:t>de Investigaciones Especiales, Unidad de Derechos  Humanos.  Acta  levantada</w:t>
        <w:br/>
        <w:t>el día 19 de junio de 1999 (expediente de prueba, tomo  16,  folios  8269  a</w:t>
        <w:br/>
        <w:t>8271), y declaración rendida por Luz Claudelina Estrada Chávez  (Arauca)  el</w:t>
        <w:br/>
        <w:t>17 de junio de 1999, tomado de:  Resolución  de  la  Unidad  de  Instrucción</w:t>
        <w:br/>
        <w:t>Penal Militar Especial de 14 de junio de 2001 (expediente  de  prueba,  tomo</w:t>
        <w:br/>
        <w:t>2, folio 483); Sección Tercera, Consejo de Estado,  Mario  Galvis  Gelves  y</w:t>
        <w:br/>
        <w:t>otros, radicación  No.  07001-23-31-000-2000-0348-01,  13  de  diciembre  de</w:t>
        <w:br/>
        <w:t>2007, expediente 28.259 (expediente de prueba, tomo 2, folios 751 a 806),  y</w:t>
        <w:br/>
        <w:t>también:  Alcaldía  Municipal  de  Tame,  Departamento  de  Arauca,  29   de</w:t>
        <w:br/>
        <w:t>diciembre de 1998, respuesta a cuestionario de  22  de  diciembre  de  1998,</w:t>
        <w:br/>
        <w:t>enviado por el Juzgado 12 de Instrucción Militar  al  Alcalde  Municipal  de</w:t>
        <w:br/>
        <w:t>Tame (expediente de prueba, tomo 16, folio 8273 a 8274).</w:t>
        <w:br/>
        <w:br/>
        <w:br/>
        <w:t>[120]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2955; expediente digital, folio 302).</w:t>
        <w:br/>
        <w:br/>
        <w:br/>
        <w:t>[121]       Cfr. Fiscalía Única  Seccional  Delegada  ante  el  Juzgado  del</w:t>
        <w:br/>
        <w:t>Circuito de Tame (Arauca), Oficio N. 1319 de 6 de julio de 2001  dirigido  a</w:t>
        <w:br/>
        <w:t>la jueza 121 Directora de Unidad de Instrucción  Penal  Militar  (expediente</w:t>
        <w:br/>
        <w:t>de prueba, tomo 16, folio 8555).</w:t>
        <w:br/>
        <w:br/>
        <w:br/>
        <w:t>[122]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302).</w:t>
        <w:br/>
        <w:br/>
        <w:br/>
        <w:t>[123]       Fuerzas Militares de Colombia, Ejercito Nacional, Juzgado 12  de</w:t>
        <w:br/>
        <w:t>Instrucción  Penal  Militar,  Arauca,  28  de  diciembre  de   1998,   fallo</w:t>
        <w:br/>
        <w:t>inhibitorio (expediente de prueba, tomo 15, folio 7772).</w:t>
        <w:br/>
        <w:br/>
        <w:br/>
        <w:t>[124]        Cfr.  Experticia  de  29  de  marzo   de   1999,   Departamento</w:t>
        <w:br/>
        <w:t>Administrativo de  Seguridad  (en  adelante  “DAS”),  Dirección  general  de</w:t>
        <w:br/>
        <w:t>Investigaciones, División de Criminalística (expediente de prueba, tomo  19,</w:t>
        <w:br/>
        <w:t>folio 9694 a 9696).</w:t>
        <w:br/>
        <w:br/>
        <w:br/>
        <w:t>[125]       Cfr. Fuerzas Militares de Colombia,  Fuerza  Aérea,  Oficina  de</w:t>
        <w:br/>
        <w:t>IPME, Apiay (Villavicencio-  Meta),  20  de  mayo  de  1999  (expediente  de</w:t>
        <w:br/>
        <w:t>prueba, tomo 16, folio 8557 y ss).</w:t>
        <w:br/>
        <w:br/>
        <w:br/>
        <w:t>[126]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302).</w:t>
        <w:br/>
        <w:br/>
        <w:br/>
        <w:t>[127]       Cfr. Inspección y estudio de balística y explosivos,  ampliación</w:t>
        <w:br/>
        <w:t>del dictamen del 28 de abril de 2000. Investigación N.  419  UNDH,  Fiscalía</w:t>
        <w:br/>
        <w:t>General de la Nación (expediente de prueba, tomo 19, folio 9689 a 9691).</w:t>
        <w:br/>
        <w:br/>
        <w:br/>
        <w:t>[128]       Video de la diligencia de  Apiay  realizada  en  2003.  Análisis</w:t>
        <w:br/>
        <w:t>dirigido por el CTI donde se demuestra el poder de alcance y destrucción  de</w:t>
        <w:br/>
        <w:t>un dispositivo AN-M1A2 lanzado desde un helicóptero (expediente  de  prueba,</w:t>
        <w:br/>
        <w:t>tomo 19, folio 9584).</w:t>
        <w:br/>
        <w:br/>
        <w:br/>
        <w:t>[129]       Cfr. Diligencia de inspección judicial del 15 de marzo de  2000,</w:t>
        <w:br/>
        <w:t>al Almacén de Armamento de la Base Aérea de Apiay (Meta),  Fiscalía  General</w:t>
        <w:br/>
        <w:t>de la Nación, Unidad Nacional de Derechos Humanos, Rad. 419  (expediente  de</w:t>
        <w:br/>
        <w:t>prueba, tomo 16, folio 8658 a 8661; tomo 19, folios 9698 a 9700).</w:t>
        <w:br/>
        <w:br/>
        <w:br/>
        <w:t>[130]       Cfr. Carta enviada por la Fiscalía General de la Nación,  el  17</w:t>
        <w:br/>
        <w:t>de marzo de 2000, dirigido al  agregado  jurídico  del  FBI  (expediente  de</w:t>
        <w:br/>
        <w:t>prueba, tomo 19, folio 9704 a 9706).</w:t>
        <w:br/>
        <w:br/>
        <w:br/>
        <w:t>[131]       Cfr. Informe Técnico de Investigaciones del FBI del  1  de  mayo</w:t>
        <w:br/>
        <w:t>de 2000 (expediente de prueba, tomo 19, folio 9715 a 9726).</w:t>
        <w:br/>
        <w:br/>
        <w:t>[132]       Inspección y estudio de balística y explosivos,  ampliación  del</w:t>
        <w:br/>
        <w:t>dictamen del 28 de abril  de  2000.  Investigación  N.  419  UNDH,  Fiscalía</w:t>
        <w:br/>
        <w:t>General de la Nación (expediente de prueba, tomo 19, folio 9689).</w:t>
        <w:br/>
        <w:br/>
        <w:t>[133]       Inspección y estudio de balística y explosivos,  ampliación  del</w:t>
        <w:br/>
        <w:t>dictamen del 28 de abril  de  2000.  Investigación  N.  419  UNDH,  Fiscalía</w:t>
        <w:br/>
        <w:t>General de la Nación (expediente de prueba, tomo 19, folio 9689 a 9691).</w:t>
        <w:br/>
        <w:br/>
        <w:br/>
        <w:t>[134]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302).</w:t>
        <w:br/>
        <w:br/>
        <w:br/>
        <w:t>[135]        Decisión  revocatoria  auto   inhibitorio   y   reapertura   de</w:t>
        <w:br/>
        <w:t>investigación Juez 121 y Directora Unidad Instrucción Militar, 9 de  febrero</w:t>
        <w:br/>
        <w:t>de 2001 (expediente de prueba, tomo 16, folio 8671 a 8692).</w:t>
        <w:br/>
        <w:br/>
        <w:br/>
        <w:t>[136]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302).</w:t>
        <w:br/>
        <w:br/>
        <w:br/>
        <w:t>[137]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303).</w:t>
        <w:br/>
        <w:br/>
        <w:br/>
        <w:t>[138]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303).</w:t>
        <w:br/>
        <w:br/>
        <w:br/>
        <w:t>[139]       Cfr. Decisión  revocatoria  auto  inhibitorio  y  reapertura  de</w:t>
        <w:br/>
        <w:t>investigación Juez 121 y Directora Unidad Instrucción Militar, 9 de  febrero</w:t>
        <w:br/>
        <w:t>de 2001 (expediente de prueba, tomo 16, folio 8671 a 8692).</w:t>
        <w:br/>
        <w:br/>
        <w:br/>
        <w:t>[140]       Cfr. Fuerzas Militares de  Colombia,  Fuerza  Aérea,  Unidad  de</w:t>
        <w:br/>
        <w:t>Instrucción Penal Militar  Especial,  Auto  de  11  de  diciembre  de  2000,</w:t>
        <w:br/>
        <w:t>mediante el cual se avoca conocimiento de la investigación y se radica  bajo</w:t>
        <w:br/>
        <w:t>el número 001-J121 (expediente de prueba, tomo 17, folio 8694 a 8695).</w:t>
        <w:br/>
        <w:br/>
        <w:br/>
        <w:t>[141]       Cfr. Fuerzas Militares de  Colombia,  Fuerza  Aérea,  Unidad  de</w:t>
        <w:br/>
        <w:t>Instrucción Penal Militar  Especial,  decisión  de  9  de  febrero  de  2001</w:t>
        <w:br/>
        <w:t>(expediente de prueba, tomo 17, folio 8697 a 8717; 8671 a 8692).</w:t>
        <w:br/>
        <w:br/>
        <w:br/>
        <w:t>[142]       Cfr. Resolución  de  la  Unidad  de  Instrucción  Penal  Militar</w:t>
        <w:br/>
        <w:t>Especial de 14 de junio de 2001 (expediente de prueba, tomo 2, folio  386  y</w:t>
        <w:br/>
        <w:t>ss.).</w:t>
        <w:br/>
        <w:br/>
        <w:br/>
        <w:t>[143]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6,</w:t>
        <w:br/>
        <w:t>folio 2956; expediente digital, folio 303).</w:t>
        <w:br/>
        <w:br/>
        <w:br/>
        <w:t>[144]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303).</w:t>
        <w:br/>
        <w:br/>
        <w:br/>
        <w:t>[145]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303).</w:t>
        <w:br/>
        <w:br/>
        <w:br/>
        <w:t>[146]        Cfr.  Corte  Constitucional  de  Colombia,  Sala   Primera   de</w:t>
        <w:br/>
        <w:t>Revisión, Sentencia T-932/02 del 31 de octubre de 2002  Magistrado  Ponente:</w:t>
        <w:br/>
        <w:t>Jaime Araujo Renteria (expediente de prueba, tomo 3, folio 813 a 834).</w:t>
        <w:br/>
        <w:br/>
        <w:br/>
        <w:t>[147]        Cfr.  Corte  Constitucional  de  Colombia,  Sala   Primera   de</w:t>
        <w:br/>
        <w:t>Revisión, Sentencia T-932/02 del 31 de octubre de 2002  Magistrado  Ponente:</w:t>
        <w:br/>
        <w:t>Jaime Araujo Renteria (expediente de prueba, tomo 3, folio 813 a 834).</w:t>
        <w:br/>
        <w:br/>
        <w:br/>
        <w:t>[148]       Cfr. Consejo Superior  de  la  Judicatura,  Sala  Jurisdiccional</w:t>
        <w:br/>
        <w:t>Disciplinaria, sentencia de 6 de febrero de 2003, radicado.  N.  2001081701,</w:t>
        <w:br/>
        <w:t>Bogotá, Magistrado. Leonor Perdomo Perdomo (expediente de prueba,  tomo  17,</w:t>
        <w:br/>
        <w:t>folio 8824 a 8847).</w:t>
        <w:br/>
        <w:br/>
        <w:br/>
        <w:t>[149]       Cfr.  Diligencia de Inspección Judicial practicada  en  la  Base</w:t>
        <w:br/>
        <w:t>de la Fuerza Aérea Colombiana en Apiay, por la Unidad Nacional  de  Derechos</w:t>
        <w:br/>
        <w:t>Humanos y Derecho Internacional Humanitario, por la Fiscalía General  de  la</w:t>
        <w:br/>
        <w:t>Nación (expediente de prueba, tomo 17, folio 8849 a 8853).</w:t>
        <w:br/>
        <w:br/>
        <w:br/>
        <w:t>[150]        Cfr.  Unidad   Nacional   de   Derechos   Humanos   y   Derecho</w:t>
        <w:br/>
        <w:t>Internacional Humanitario, resolución de acusación de  19  de  diciembre  de</w:t>
        <w:br/>
        <w:t>2003. rad 419 (expediente de prueba, tomo 3, folio 836 a 923).</w:t>
        <w:br/>
        <w:br/>
        <w:br/>
        <w:t>[151]       Cfr. Unidad de Fiscalía Delegada ante el  Tribunal  Superior  de</w:t>
        <w:br/>
        <w:t>Bogotá, resolución de 26 de agosto de 2004 (expediente de  prueba,  tomo  3,</w:t>
        <w:br/>
        <w:t>folio 925 a 955).</w:t>
        <w:br/>
        <w:br/>
        <w:br/>
        <w:t>[152]        Cfr.  Corte  Suprema  de  Justicia,  Sala  de  Casación  Penal,</w:t>
        <w:br/>
        <w:t>Magistrado  Ponente  Sigifredo  Espinosa  Pérez,  17  de  febrero  de   2005</w:t>
        <w:br/>
        <w:t>(expediente de prueba, tomo 3, folio 957 a 965).</w:t>
        <w:br/>
        <w:br/>
        <w:br/>
        <w:t>[153]        Cfr.  Corte  Suprema  de  Justicia,  Sala  de  Casación  Penal,</w:t>
        <w:br/>
        <w:t>Magistrado  Ponente  Sigifredo  Espinosa  Pérez,  17  de  febrero  de   2005</w:t>
        <w:br/>
        <w:t>(expediente de prueba, tomo 3, folio 957 a 965).</w:t>
        <w:br/>
        <w:br/>
        <w:br/>
        <w:t>[154]        Cfr.  Corte  Suprema  de  Justicia,  Sala  de  Casación  Penal,</w:t>
        <w:br/>
        <w:t>Magistrado  Ponente  Sigifredo  Espinosa  Pérez,  17  de  febrero  de   2005</w:t>
        <w:br/>
        <w:t>(expediente de prueba, tomo 3, folio 957 a 965).</w:t>
        <w:br/>
        <w:br/>
        <w:br/>
        <w:t>[155]        Cfr.  Corte  Suprema  de  Justicia,  Sala  de  Casación  Penal,</w:t>
        <w:br/>
        <w:t>Magistrado Ponente  Sigifredo  Espinosa  Pérez,  5  de  septiembre  de  2006</w:t>
        <w:br/>
        <w:t>(expediente de prueba, tomo 17, folio 8882).</w:t>
        <w:br/>
        <w:br/>
        <w:br/>
        <w:t>[156]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tomo  17,</w:t>
        <w:br/>
        <w:t>folio 8893 y ss.).</w:t>
        <w:br/>
        <w:br/>
        <w:br/>
        <w:t>[157]       Cfr. Tribunal Superior Distrito judicial de Bogotá, Sala  Penal,</w:t>
        <w:br/>
        <w:t>sentencia de 15 de junio de 2011, mediante la cual se  resuelve  el  recurso</w:t>
        <w:br/>
        <w:t>de  apelación  interpuesto  contra  la  sentencia  de   primera   instancia,</w:t>
        <w:br/>
        <w:t>Magistrado Ponente: Luis Mariano Rodríguez Roa (expediente de  prueba,  tomo</w:t>
        <w:br/>
        <w:t>16, folio 8416.).</w:t>
        <w:br/>
        <w:br/>
        <w:br/>
        <w:t>[158]       Asimismo, la sentencia dispuso, respecto  de  C.R.P.  y  J.J.V.,</w:t>
        <w:br/>
        <w:t>oficiar a las autoridades competentes para que se lleve a  cabo  el  trámite</w:t>
        <w:br/>
        <w:t>administrativo  de  separación  absoluta  de  las   Fuerzas   Militares   de</w:t>
        <w:br/>
        <w:t>conformidad con el artículo 111 del Decreto 1790 de 2000;  declaró  que  los</w:t>
        <w:br/>
        <w:t>dos  sentenciados  no  se  hacen  acreedores  al  subrogado  de   suspensión</w:t>
        <w:br/>
        <w:t>condicional de la pena ni  al  sustituto  de  prisión  domiciliaria,  y  que</w:t>
        <w:br/>
        <w:t>expediría la orden de captura en su contra una vez se encuentre en firme  la</w:t>
        <w:br/>
        <w:t>sentencia. En cuanto a H.M.H.A. dispuso que éste  no  se  hace  acreedor  al</w:t>
        <w:br/>
        <w:t>subrogado de suspensión condicional de la pena, dispuso su captura  una  vez</w:t>
        <w:br/>
        <w:t>se encuentre en firme la sentencia y le  concedió  la  prisión  domiciliaria</w:t>
        <w:br/>
        <w:t>como sustitutiva. Además, la sentencia observó que “[…] como de  este  mismo</w:t>
        <w:br/>
        <w:t>oficial  se  dice  en  la  actuación  que  pudo  estar  involucrado  en   la</w:t>
        <w:br/>
        <w:t>adulteración de algún video  de  la  operación  al  tiempo  que  los  videos</w:t>
        <w:br/>
        <w:t>allegados a la Procuraduría General de la Nación no contaban con  audio,  es</w:t>
        <w:br/>
        <w:t>del caso compulsar copias para que se investigue si incurrió  en  el  delito</w:t>
        <w:br/>
        <w:t>de fraude procesal”. Juzgado Doce Penal  del  Circuito  de  Conocimiento  de</w:t>
        <w:br/>
        <w:t>Bogotá D.C.  con  funciones  de  Ley  600  de  2000,  Sentencia  de  Primera</w:t>
        <w:br/>
        <w:t>Instancia, Radicado 2005-102,  24  de  septiembre  de  2009  (expediente  de</w:t>
        <w:br/>
        <w:t>prueba, tomo 17, folio 8893 y ss.).  Véase  también,  el  Artículo  111  del</w:t>
        <w:br/>
        <w:t>Decreto 1790 de 2000 "Separación absoluta. Cuando el  oficial  o  suboficial</w:t>
        <w:br/>
        <w:t>de las Fuerzas Militares sea condenado a la pena principal  de  prisión  por</w:t>
        <w:br/>
        <w:t>la Justicia Penal Militar o por la ordinaria, salvo el caso de  condena  por</w:t>
        <w:br/>
        <w:t>delitos culposos, o cuando así lo determine  un  fallo  disciplinario,  será</w:t>
        <w:br/>
        <w:t>separado en forma absoluta de las Fuerzas Militares  y  no  podrá  volver  a</w:t>
        <w:br/>
        <w:t>pertenecer a las mismas".</w:t>
        <w:br/>
        <w:br/>
        <w:br/>
        <w:t>[159]       Cfr. Nota de Prensa: Diario El Espectador, “Coronel  acusado  de</w:t>
        <w:br/>
        <w:t>bombardeo en Arauca se presentara ante la Fiscalía, Sección Judicial, 13  de</w:t>
        <w:br/>
        <w:t>julio             de             2011.             Visitado              en:</w:t>
        <w:br/>
        <w:t>http://www.elespectador.com/noticias/judicial/articulo-284214-coronel-</w:t>
        <w:br/>
        <w:t>acusado-de-bombardeo-arauca-se-presentara-fiscalia (Fecha de  visita:  8  de</w:t>
        <w:br/>
        <w:t>octubre de 2012). Enlace electrónico citado por  los  representantes  en  el</w:t>
        <w:br/>
        <w:t>Escrito de solicitudes, argumentos y pruebas (expediente de prueba, tomo  1,</w:t>
        <w:br/>
        <w:t>folio 180).</w:t>
        <w:br/>
        <w:br/>
        <w:br/>
        <w:t>[160]       Cfr. Tribunal Superior Distrito judicial de Bogotá, Sala  Penal,</w:t>
        <w:br/>
        <w:t>sentencia de 15 de junio de 2011, mediante la cual se  resuelve  el  recurso</w:t>
        <w:br/>
        <w:t>de apelación interpuesto contra la sentencia de primera instancia, MP:  Luis</w:t>
        <w:br/>
        <w:t>Mariano Rodríguez Roa (expediente de prueba, tomo 16, folios 8414 y  ss.,  y</w:t>
        <w:br/>
        <w:t>tomo 20, 10717 y ss.).</w:t>
        <w:br/>
        <w:br/>
        <w:t>[161]       Cfr. Informe de Fondo (expediente de fondo, tomo 1, folio  203);</w:t>
        <w:br/>
        <w:t>Escrito de Contestación de la Demanda, (expediente de fondo, tomo  2,  folio</w:t>
        <w:br/>
        <w:t>663), y Alegatos Finales Escritos  de  los  representantes,  (expediente  de</w:t>
        <w:br/>
        <w:t>fondo, tomo 1, folio 1432).</w:t>
        <w:br/>
        <w:br/>
        <w:t>[162]       Cfr. Juzgado Penal adjunto del Circuito de Saravena con sede  en</w:t>
        <w:br/>
        <w:t>Arauca,  Auto  Interlocutorio  N.  022-2011  de  8  de  septiembre  de  2011</w:t>
        <w:br/>
        <w:t>(expediente de prueba, tomo 17, folios 9049 a 9056).</w:t>
        <w:br/>
        <w:br/>
        <w:br/>
        <w:t>[163]       Cfr. Resolución N. 0-2706 de 10 de  octubre  de  2011,  Fiscalía</w:t>
        <w:br/>
        <w:t>General de la Nación (expediente de prueba, tomo 17, folios 9058 a 9059).</w:t>
        <w:br/>
        <w:br/>
        <w:br/>
        <w:t>[164]       Cfr. Resolución N. 000229 de 11 de  octubre  de  2011,  Fiscalía</w:t>
        <w:br/>
        <w:t>General de la Nación (expediente de prueba, tomo 17, folios 9061 a 9063).</w:t>
        <w:br/>
        <w:br/>
        <w:br/>
        <w:t>[165]       Cfr. Decisión del 2 de noviembre de 2011,  Fiscalía  General  de</w:t>
        <w:br/>
        <w:t>la Nación, Unidad Nacional  de  Derechos  Humanos  y  Derecho  Internacional</w:t>
        <w:br/>
        <w:t>Humanitario, Rad. 419-A (expediente  de  prueba,  tomo  17,  folios  9061  a</w:t>
        <w:br/>
        <w:t>9063).</w:t>
        <w:br/>
        <w:br/>
        <w:br/>
        <w:t>[166]       Cfr. Nota de Prensa: Diario El Espectador, “Caso Santo  Domingo,</w:t>
        <w:br/>
        <w:t>dejan en libertad a dos pilotos investigados por masacre de Santo  Domingo”,</w:t>
        <w:br/>
        <w:t>Sección   Judicial,   18   de    noviembre    de    2011.    Visitado    en:</w:t>
        <w:br/>
        <w:t>http://www.elespectador.com/noticias/judicial/articulo-312017-dejan-</w:t>
        <w:br/>
        <w:t>libertad-dos-pilotos-investigados-masacre-de-santo-domingo     (Fecha     de</w:t>
        <w:br/>
        <w:t>visita:  8  de  octubre  de  2012).  Enlace  electrónico  citado   por   los</w:t>
        <w:br/>
        <w:t>representantes  en  el  Escrito  de  solicitudes,   argumentos   y   pruebas</w:t>
        <w:br/>
        <w:t>(expediente de prueba, tomo 1, folio 181).</w:t>
        <w:br/>
        <w:br/>
        <w:br/>
        <w:t>[167]       Cfr.  El Fiscal Especializado 22  de  la  UNDH-DIH,  decidió  no</w:t>
        <w:br/>
        <w:t>reponer la resolución de 9 de diciembre de 2011, pero  concedió  recurso  de</w:t>
        <w:br/>
        <w:t>apelación en contra de la misma (expediente de prueba, tomo 20, folio  10485</w:t>
        <w:br/>
        <w:t>a 10487).</w:t>
        <w:br/>
        <w:br/>
        <w:br/>
        <w:t>[168]       Cfr.  Procuraduría  General  de  la  Nación,  Comisión  Especial</w:t>
        <w:br/>
        <w:t>Disciplinaria, radicación 155-45564-00, 2 de octubre de 2002 (expediente  de</w:t>
        <w:br/>
        <w:t>prueba, tomo 3, folio 969 a 1034).</w:t>
        <w:br/>
        <w:br/>
        <w:t>[169]       Cfr.  Procuraduría  General  de  la  Nación,  Comisión  Especial</w:t>
        <w:br/>
        <w:t>Disciplinaria, radicación 155-45564-00, 2 de octubre de 2002 (expediente  de</w:t>
        <w:br/>
        <w:t>prueba, tomo 3, folio 969 a 1034).</w:t>
        <w:br/>
        <w:br/>
        <w:t>[170]       Cfr.  Procuraduría  General  de  la  Nación,  Comisión  Especial</w:t>
        <w:br/>
        <w:t>Disciplinaria, radicación 155-45564-00, 2 de octubre de 2002 (expediente  de</w:t>
        <w:br/>
        <w:t>prueba, tomo 3, folios 969 a 1034). Al Mayor  J.M.G.G.  se  le  imputó  como</w:t>
        <w:br/>
        <w:t>reproche disciplinario un comportamiento omisivo a título de  culpa  por  no</w:t>
        <w:br/>
        <w:t>ejercer sus atribuciones respecto de la tropa ubicada en el área urbana  del</w:t>
        <w:br/>
        <w:t>corregimiento de Santo Domingo, entre el 16  y  22  de  diciembre  de  1998,</w:t>
        <w:br/>
        <w:t>lapso  en  el  que  habría  permitido  negligentemente  que   los   soldados</w:t>
        <w:br/>
        <w:t>ingresaran de manera arbitraria  a  las  residencias  aprovechando  que  sus</w:t>
        <w:br/>
        <w:t>habitantes  se  habían  desplazado  hacia  otros  municipios  a  causa   del</w:t>
        <w:br/>
        <w:t>bombardeo del 13 de diciembre de 1998. Finalmente, al Teniente J.J.V. se  le</w:t>
        <w:br/>
        <w:t>imputó un comportamiento por omisión  porque  a  sabiendas  de  lo  ocurrido</w:t>
        <w:br/>
        <w:t>encubrió el actuar posiblemente irregular de sus compañeros  de  tripulación</w:t>
        <w:br/>
        <w:t>(expediente de prueba, tomo 3, folios 969 a 1034).</w:t>
        <w:br/>
        <w:br/>
        <w:br/>
        <w:t>[171]       Cfr.  Procuraduría  General  de  la  Nación,  Comisión  Especial</w:t>
        <w:br/>
        <w:t>Disciplinaria, radicación 155-45564-00, 2 de octubre de 2002 (expediente  de</w:t>
        <w:br/>
        <w:t>prueba, tomo 3, folios 969 a 1034).</w:t>
        <w:br/>
        <w:br/>
        <w:br/>
        <w:t>[172]       Cfr.  Sala  Disciplinaria  de  la  Procuraduría  General  de  la</w:t>
        <w:br/>
        <w:t>Nación, radicación  161-01640,  19  de  diciembre  de  2002  (expediente  de</w:t>
        <w:br/>
        <w:t>prueba, tomo 2, folios 609 a  641).  Concretamente  el  fallo  disciplinario</w:t>
        <w:br/>
        <w:t>señaló que: “dado que aeronaves de la Fuerza Aérea Colombiana eran  las  que</w:t>
        <w:br/>
        <w:t>apoyaban  mediante  bombardeos  a  las  tropas  en  tierra,  esto  es,   que</w:t>
        <w:br/>
        <w:t>servidores públicos fueron los que  activaron  el  artefacto  explosivo,  en</w:t>
        <w:br/>
        <w:t>claro desconocimiento al Derecho  Internacional  Humanitario,  concretamente</w:t>
        <w:br/>
        <w:t>ignorando el principio de distinción consagrado  en  los  artículos  48  del</w:t>
        <w:br/>
        <w:t>Protocolo 1 y el artículo 13 del Protocolo 11 de 1977  y  el  artículo  tres</w:t>
        <w:br/>
        <w:t>común a los cuatro convenios de Ginebra del 12 de agosto de 1949,  en  donde</w:t>
        <w:br/>
        <w:t>se establece que las partes en conflicto harán distinción  en  todo  momento</w:t>
        <w:br/>
        <w:t>entre la población civil y los combatientes,  y  entre  bienes  de  carácter</w:t>
        <w:br/>
        <w:t>civil y los objetivos  militares  y  dirigirán  sus  operaciones  únicamente</w:t>
        <w:br/>
        <w:t>contra objetivos militares, forzosamente debemos  concluir  que  estamos  en</w:t>
        <w:br/>
        <w:t>presencia de una conducta disciplinable. Es del caso aclarar  que,  conforme</w:t>
        <w:br/>
        <w:t>a las pruebas, los hechos se presentaron como ocurrencia de  una  aislada  y</w:t>
        <w:br/>
        <w:t>desafortunada conducta de una tripulación, que en manera alguna involucra  a</w:t>
        <w:br/>
        <w:t>la Fuerza Pública como tal”.</w:t>
        <w:br/>
        <w:br/>
        <w:br/>
        <w:t>[173]       Jaime Castro Bello, Luis Carlos  Neite  Méndez,  Egna  Margarita</w:t>
        <w:br/>
        <w:t>Bello, Katherine (o  Catherine)  Cárdenas  Tilano,  Oscar  Esneider  Vanegas</w:t>
        <w:br/>
        <w:t>Tullbila,  Geovani  Hernández  Becerra,  Levis  Hernando  Martínez  Carreña,</w:t>
        <w:br/>
        <w:t>Teresa Mojica Hernández de  Galvis,  Edilma  Leal  Pacheco,  Salomón  Neite,</w:t>
        <w:br/>
        <w:t>Marra Yolanda Ángel, Pablo Suárez Daza,  Carmen  Antonio  Díaz  Coba,  Nancy</w:t>
        <w:br/>
        <w:t>Ávila Castillo (ó Abaunza), Arnulfo Arciniegas Velandia (ó Calvo)  y  Adolfo</w:t>
        <w:br/>
        <w:t>Carrillo. Comunicación presentada por  Alejandro  Álvarez  Pavón  del  6  de</w:t>
        <w:br/>
        <w:t>febrero de 2009 (expediente de prueba, tomo 7, folios 3053 y ss.).</w:t>
        <w:br/>
        <w:br/>
        <w:br/>
        <w:t>[174]       Marcos Neite González, Erinson Olimpo  Cárdenas,  Hilda  Yuraime</w:t>
        <w:br/>
        <w:t>Barranco,  Nehalí  Neite,  Alba  Yaneth  Garcfa,  Mllciades  Bonilla  Ostos,</w:t>
        <w:br/>
        <w:t>Ludwing  Vanegas,  Xiomara  García  Guevara,  Mario  Galvis,  Fredy   Managa</w:t>
        <w:br/>
        <w:t>VlIlamizar (ó Fredy Villamizar Monogal. Mónica Bello  Tilano,  Amalio  Neite</w:t>
        <w:br/>
        <w:t>González, Maria Panqueva y Fernando  Vanegas.  Comunicación  presentada  por</w:t>
        <w:br/>
        <w:t>Alejandro Álvarez Pavón del 6 de febrero  de  2009  (expediente  de  prueba,</w:t>
        <w:br/>
        <w:t>tomo 7, folios 3053 y ss., y tomo 3, folios 1036 y ss.).</w:t>
        <w:br/>
        <w:br/>
        <w:br/>
        <w:t>[175]       Cfr. Comunicación presentada por Alejandro Álvarez Pavón  del  6</w:t>
        <w:br/>
        <w:t>de febrero de 2009 (expediente de prueba, tomo 7, folios 3053 y ss., y  tomo</w:t>
        <w:br/>
        <w:t>3, folios 1036 y ss.).</w:t>
        <w:br/>
        <w:br/>
        <w:br/>
        <w:t>[176]       Cfr. Acta de 8 de noviembre de 2007,  Sección  Tercera,  Consejo</w:t>
        <w:br/>
        <w:t>de Estado, Mario  Galvis  Gelves  y  otros,  proceso  No.28259  (00-0034801)</w:t>
        <w:br/>
        <w:t>(expediente de prueba, tomo 3, folios 1044 a 1045).</w:t>
        <w:br/>
        <w:br/>
        <w:t>[177]       Cfr. Mediante auto del 13  de  diciembre  de  2007,  la  Sección</w:t>
        <w:br/>
        <w:t>Tercera del Consejo de Estado  aprobó  la  conciliación  judicial  celebrada</w:t>
        <w:br/>
        <w:t>entre las partes, respecto de los  procesos  2003-348,  2003-350,  2003-352,</w:t>
        <w:br/>
        <w:t>2003-353, 2003-355, 2003-357, 2003-358, 2003-361, 2003-363, 2003-364,  2003-</w:t>
        <w:br/>
        <w:t>365, 2003-366, 2003-367, 2003-1265 y 2003-1267; y ordenó la terminación  del</w:t>
        <w:br/>
        <w:t>proceso entre la Nación y los siguientes litisconsortes facultativos:  Mario</w:t>
        <w:br/>
        <w:t>Galvis Gelves, Óscar Andrés Galvis Mujica, John Mario  Galvis  Mujica,  Luis</w:t>
        <w:br/>
        <w:t>Alberto Galvis Mujica, Nelson Enrique Galvis  Mujica,  Robert  Yamid  Galvis</w:t>
        <w:br/>
        <w:t>Mujica,  Albeiro  Galvis  Mujica,  Nelcy  Moreno  Lizarazo,  Nidia   Mayerly</w:t>
        <w:br/>
        <w:t>Carrillo Moreno,  Leidy  Liliana  Carrillo  Moreno,  Deivis  Daniela  Moreno</w:t>
        <w:br/>
        <w:t>Lizarazo, Tulia Mora de Carrillo, Luis Enrique  Carrillo  Mora,  Irma  Nelly</w:t>
        <w:br/>
        <w:t>Carrillo Mora, Marleny Carrillo Mora, Edgar Carrillo  Mora,  Nelcy  Carrillo</w:t>
        <w:br/>
        <w:t>Mora, Ana Mirián Durán Mora,  Rosalbina  Durán  Mora,  Graciela  Durán  Mora</w:t>
        <w:br/>
        <w:t>viuda de Monterrey, Marcos  Neite  González,  Leyda  Shirley  Neite  Méndez,</w:t>
        <w:br/>
        <w:t>Vilma Yadira Neite  Méndez,  Marcos  Aurelio  Neite  Méndez,  Carmen  Edilia</w:t>
        <w:br/>
        <w:t>González Ravelo, Neftalí  Neite  González,  Neila  Neite  González,  Salomón</w:t>
        <w:br/>
        <w:t>Neite González, Amalio  Neite  González,  Elizabeth  Neite  González,  Jorge</w:t>
        <w:br/>
        <w:t>Henry Vanegas Ortiz, Myriam Soreira Tulivila Macualo,  Jorge  Mario  Vanegas</w:t>
        <w:br/>
        <w:t>Tulivila,  Yaritza  Lisbeth  Vanegas  Tulivila,   Edwin   Fernando   Vanegas</w:t>
        <w:br/>
        <w:t>Tulivila, Ludwing Vanegas  Muñoz,  Fredy  Yovany  Monoga  Villamizar,  María</w:t>
        <w:br/>
        <w:t>Elida Becerra Rubio, José Rafael Hernández Mujica, Diana Carolina  Hernández</w:t>
        <w:br/>
        <w:t>Becerra, José Luis Hernández Becerra, Érica Yusdey  Hernández  Becerra,  Luz</w:t>
        <w:br/>
        <w:t>Helena  Hernández  Becerra,  Bertha  Hernández  Becerra,  Emérita  Hernández</w:t>
        <w:br/>
        <w:t>Becerra, , Milciades Bonilla Ostos,  Nancy  Chaquira  Bonilla  Ávila,  Jorge</w:t>
        <w:br/>
        <w:t>Eliécer Ávila, Carmen Elisa Abaunza Castillo, Sandy Yomaira Ávila  Castillo,</w:t>
        <w:br/>
        <w:t>Pedro Ávila Castillo, Gladis Cecilia Ávila Castillo,  Omar  Ávila  Castillo,</w:t>
        <w:br/>
        <w:t>Tiberio  Barranco  Téllez,  Eliberta  Bastilla,   Yilmer   Orledy   Barranco</w:t>
        <w:br/>
        <w:t>Bastilla, Hilda Yuraine Barranco Bastilla, Edwin Fabián  Barranco  Bastilla,</w:t>
        <w:br/>
        <w:t>Anyi Marieth Barranco Bastilla, Gleidys Xiomara García Guevara, Alba  Janeth</w:t>
        <w:br/>
        <w:t>García Guevara, Olimpo Cárdenas Castañeda, Margarita Tilano  Yánez,  Erinzon</w:t>
        <w:br/>
        <w:t>Olimpo  Cárdenas  Tilano,  Wilmer  Yesid  Cárdenas  Tilano,  Orlando  Castro</w:t>
        <w:br/>
        <w:t>Londoño, Inés Yurelli  Bello  Tilano,  Angie  Camila  Castro  Bello,  Mónica</w:t>
        <w:br/>
        <w:t>Alicia Bello Tilano, Camilo Andrés Quintana  Bello,  Norma  Constanza  Bello</w:t>
        <w:br/>
        <w:t>Tilano, Deicy Damaris Cedano, Jeinny Damaris Cedano, Pablo Gesnober  Cedano,</w:t>
        <w:br/>
        <w:t>Ascensión Daza Galindo, Eliud Suárez Daza, Eliécer Suárez Daza, José  Alirio</w:t>
        <w:br/>
        <w:t>Suárez Daza, Wilson Suárez  Daza,  Nilsa  Jesús  Díaz  Herrera,  José  David</w:t>
        <w:br/>
        <w:t>Rincón  Díaz,  Dionisio  Arciniégas  Velandia,  Florinda  Calvo  Rey,  Jorge</w:t>
        <w:br/>
        <w:t>Eliécer Arciniégas Calvo, Diomedes  Arciniégas  Calvo,  Norberto  Arciniégas</w:t>
        <w:br/>
        <w:t>Calvo,  Olinto  Arciniégas  Calvo,  Argemiro   Arciniégas   Calvo,   Erlinda</w:t>
        <w:br/>
        <w:t>Arciniégas Calvo, Gladys Arciniégas Calvo, Omaira Arciniégas Calvo,  Orlando</w:t>
        <w:br/>
        <w:t>Arciniégas Calvo, Luz Dary  Abaunza  Castillo  y  Yexi  Coromoto  Arciniégas</w:t>
        <w:br/>
        <w:t>Rangel. Además, improbó la conciliación celebrada  entre  la  Nación  y  los</w:t>
        <w:br/>
        <w:t>siguientes litisconsortes facultativos (procesos 2003-351,  2003-354,  2003-</w:t>
        <w:br/>
        <w:t>356 y 2003-359): Carmen Edilia  González  Ravelo,  Neftalí  Neite  González,</w:t>
        <w:br/>
        <w:t>Neila  Neite  González,  Salomón  Neite  González,  Amalio  Neite  González,</w:t>
        <w:br/>
        <w:t>Elizabeth Neite González, Marcos Neite González,  Romelia  Neite  de  López,</w:t>
        <w:br/>
        <w:t>Nerys Duarte Cárdenas, Davinson Duarte Cárdenas, Andersson Duarte  Cárdenas,</w:t>
        <w:br/>
        <w:t>Rafael Díaz Ramírez, Clemencia Cobos,  Ana  Lucía  Díaz  Cobos,  Sonia  Díaz</w:t>
        <w:br/>
        <w:t>Cobos, Giovanni Díaz Cobos,  Leonel  Díaz  Cobos,  Luz  Helena  Díaz  Cobos,</w:t>
        <w:br/>
        <w:t>Norberto Leal, Benilda Pacheco de Leal, Rubiela  Leal  Pacheco,  Edwin  Leal</w:t>
        <w:br/>
        <w:t>Pacheco, Frady Alexi Leal  Pacheco,  Norelis  Leal  Pacheco,  Lucero  Talero</w:t>
        <w:br/>
        <w:t>Sánchez,  Luis  Eduardo  Martínez  Talero,  Yésica  Martínez  Talero,  Doris</w:t>
        <w:br/>
        <w:t>Adriana  Martínez  Talero,  Excelino  Martínez  Rodríguez,  Teodora  Carreño</w:t>
        <w:br/>
        <w:t>Alarcón, Pedro Virgilio Martínez Carreño,  José  Vicente  Martínez  Carreño,</w:t>
        <w:br/>
        <w:t>Manuel Alfonso Martínez  Carreño,  Claudia  Exelina  Martínez  Carreño,  Ana</w:t>
        <w:br/>
        <w:t>Fidelia Martínez Carreño y María Elena Carreño y ordenó la continuación  del</w:t>
        <w:br/>
        <w:t>proceso en relación con dichas personas.</w:t>
        <w:br/>
        <w:br/>
        <w:t>[178]       Cfr.  Sentencia  19  de  noviembre  de  2008,  Sección  Tercera,</w:t>
        <w:br/>
        <w:t>Consejo de Estado, Mario Galvis Gelves y otros, radicación  No  07001-23-31-</w:t>
        <w:br/>
        <w:t>0002000-0348-01, Consejero Ponente: Ramiro Saavedra Becerra  (expediente  de</w:t>
        <w:br/>
        <w:t>prueba, tomo 3, folios 1046 a 1127).</w:t>
        <w:br/>
        <w:br/>
        <w:br/>
        <w:t>[179]       Cfr. Resolución 0979 de 18  de  marzo  de  2009,  Ministerio  de</w:t>
        <w:br/>
        <w:t>Defensa Nacional, Dirección Asuntos Legales, por la cual se da  cumplimiento</w:t>
        <w:br/>
        <w:t>a  un  acuerdo  conciliatorio  a  favor  de  Mario  Galvis  Gelves  y  otros</w:t>
        <w:br/>
        <w:t>(expediente de prueba, tomo 20, folios 10690 a 10707).</w:t>
        <w:br/>
        <w:br/>
        <w:br/>
        <w:t>[180]       Cfr. Resolución 1560 de 27  de  abril  de  2009,  Ministerio  de</w:t>
        <w:br/>
        <w:t>Defensa Nacional, Dirección Asuntos Legales, por la cual se da  cumplimiento</w:t>
        <w:br/>
        <w:t>a una sentencia a favor de Mario Gelves  y  otros,  Carmen  Edilla  Gonzalez</w:t>
        <w:br/>
        <w:t>Revelo y otros (expediente de prueba, tomo 20, folios 10666 a 10672).</w:t>
        <w:br/>
        <w:br/>
        <w:br/>
        <w:t>[181]       Cfr. Resolución 0979 de 2009, 18 de marzo de 2009 Ministerio  de</w:t>
        <w:br/>
        <w:t>Defensa Nacional, dirección de asuntos legales (expediente de  prueba,  tomo</w:t>
        <w:br/>
        <w:t>3, folios 1129 a 1146), y resolución 1560 de 27 de abril de 2009  Ministerio</w:t>
        <w:br/>
        <w:t>de  Defensa  Nacional,  Dirección  Asuntos  Legales,  por  la  cual  se   da</w:t>
        <w:br/>
        <w:t>cumplimiento a una sentencia a favor de Mario Gelves y otros, Carmen  Edilla</w:t>
        <w:br/>
        <w:t>Gonzalez Revelo y otros (expediente de prueba, tomo 3, folios 1147 a 1155).</w:t>
        <w:br/>
        <w:br/>
        <w:br/>
        <w:t>[182]       Cfr. Resolución 1560 de  27  de  abril  de  2009  Ministerio  de</w:t>
        <w:br/>
        <w:t>Defensa Nacional, Dirección Asuntos Legales, por la cual se da  cumplimiento</w:t>
        <w:br/>
        <w:t>a una sentencia a favor de Mario Gelves  y  otros,  Carmen  Edilla  Gonzalez</w:t>
        <w:br/>
        <w:t>Revelo y otros (expediente de prueba, tomo 3, folios 1147 a 1155).</w:t>
        <w:br/>
        <w:br/>
        <w:br/>
        <w:t>[183]        “El  Estado  colombiano  reconoce  su  responsabilidad  por  la</w:t>
        <w:br/>
        <w:t>violación de los artículos 8 y 25 de la Convención  Americana,  respecto  de</w:t>
        <w:br/>
        <w:t>las víctimas a que hace referencia el  anexo  I  del  Informe  61/11  de  la</w:t>
        <w:br/>
        <w:t>Comisión Interamericana de Derechos Humanos, salvo para el caso  de  Rusmira</w:t>
        <w:br/>
        <w:t>Daza Rojas, Maribel Daza Rojas, Jose Del  Carmen  Lizcano,  Abraham  Puentes</w:t>
        <w:br/>
        <w:t>Pérez, Matilde Gutiérrez  Arciniegas,  Albeiro  Díaz  Herrera,  Luis  Felipe</w:t>
        <w:br/>
        <w:t>Durán Mora, Luz Dary Téllez Durán, Yamiletéllez Durán,  Luz  Dary  Castillo,</w:t>
        <w:br/>
        <w:t>Wilmer Téllez Durán, Nelly Guerrero  Galvis,  Luis  Enrique  Parada  Ropero,</w:t>
        <w:br/>
        <w:t>Andersson Duarte Cárdenas, Nerys Duarte Cárdenas, Davinson Duarte  Cardenas,</w:t>
        <w:br/>
        <w:t>Lucero Talero Sánchez, y Maria Helena Carreña, respecto  de  quienes  objeta</w:t>
        <w:br/>
        <w:t>su calidad de víctima,  por  los  hechos  materia  de  debate”.  Escrito  de</w:t>
        <w:br/>
        <w:t>Contestación (expediente de fondo, tomo 2, folio 379).</w:t>
        <w:br/>
        <w:br/>
        <w:br/>
        <w:t>[184]       En particular, manifestó que no reconoce, según lo  alegado  por</w:t>
        <w:br/>
        <w:t>la Comisión, que exista falta de investigación y enjuiciamiento  de  autores</w:t>
        <w:br/>
        <w:t>intelectuales  respecto  de  altos  mandos   militares;   que   la   condena</w:t>
        <w:br/>
        <w:t>patrimonial del  Estado  en  lo  contencioso  administrativo  sea  solo  una</w:t>
        <w:br/>
        <w:t>reparación parcial, ni que se haya vulnerado el acceso  a  la  justicia  por</w:t>
        <w:br/>
        <w:t>violación del plazo razonable. Asimismo, alegó que no  hubo  vulneración  al</w:t>
        <w:br/>
        <w:t>derecho al juez natural, pues si bien  al  inicio  de  la  investigación  la</w:t>
        <w:br/>
        <w:t>competencia fue asignada a la jurisdicción militar, la Corte  Constitucional</w:t>
        <w:br/>
        <w:t>resolvió el conflicto de competencias mediante sentencia de 2002 a favor  de</w:t>
        <w:br/>
        <w:t>la justicia ordinaria. Agregó que la jurisdicción  militar  jamás  actuó  de</w:t>
        <w:br/>
        <w:t>manera parcializada y cumplió con el debido proceso. Por último,  el  Estado</w:t>
        <w:br/>
        <w:t>alegó  que  el  proceso  tuvo  una  duración  razonable,  en  virtud  de  la</w:t>
        <w:br/>
        <w:t>complejidad del caso, por varios factores: el conflicto de competencias  que</w:t>
        <w:br/>
        <w:t>se suscitó entre la justicia militar y  la  justicia  ordinaria;  el  amplio</w:t>
        <w:br/>
        <w:t>repertorio  de  pruebas  practicadas;  la  dificultad  para   realizar   los</w:t>
        <w:br/>
        <w:t>peritajes; el gran número de víctimas;  la  delicadeza  y  gravedad  de  los</w:t>
        <w:br/>
        <w:t>asuntos resueltos; los recursos  e  incidentes  propuestos  por  las  partes</w:t>
        <w:br/>
        <w:t>involucradas; las sentencias penales diametralmente opuestas pese a  que  se</w:t>
        <w:br/>
        <w:t>investigaron los mismos hechos, la confusión que rodeó la masacre y  que  ha</w:t>
        <w:br/>
        <w:t>dificultado el esclarecimiento de la verdad. Tampoco es cierto  que  existan</w:t>
        <w:br/>
        <w:t>líneas de investigación no exploradas.</w:t>
        <w:br/>
        <w:br/>
        <w:br/>
        <w:t>[185]       Alegaron que se  adelantaba  contra  miembros  de  las  FARC  en</w:t>
        <w:br/>
        <w:t>relación con la muerte y lesiones de militares  del  Ejército  ocurridas  en</w:t>
        <w:br/>
        <w:t>los combates sostenidos entre el 12 y el 15 de  diciembre  de  1998  en  las</w:t>
        <w:br/>
        <w:t>cercanías de la vereda. Señalaron que en esa otra investigación se  profirió</w:t>
        <w:br/>
        <w:t>acusación  contra  “alias  Grannobles”  únicamente  por  esos  9  homicidios</w:t>
        <w:br/>
        <w:t>consumados y 16 tentados, en concurso con rebelión y terrorismo.</w:t>
        <w:br/>
        <w:br/>
        <w:br/>
        <w:t>[186]       Por ello, los representantes consideraron que lo actuado por  el</w:t>
        <w:br/>
        <w:t>juez de Arauca, además de desconocer el principio de congruencia,  se  opone</w:t>
        <w:br/>
        <w:t>a la verdad procesal producida en la otra acción penal que,  con  todas  las</w:t>
        <w:br/>
        <w:t>garantías, ha investigado y juzgado los hechos de este caso, lesionando  así</w:t>
        <w:br/>
        <w:t>el derecho al debido proceso y al acceso a  la  justicia  de  las  presuntas</w:t>
        <w:br/>
        <w:t>víctimas, quienes no tuvieron posibilidad de intervenir en ese proceso,  por</w:t>
        <w:br/>
        <w:t>lo cual solicitaron a la Corte que dicho fallo de 31 de enero  de  2011  sea</w:t>
        <w:br/>
        <w:t>excluido del análisis del fondo del presente caso.</w:t>
        <w:br/>
        <w:br/>
        <w:br/>
        <w:t>[187]       A  la  vez,  los  representantes  solicitaron  al  Tribunal  que</w:t>
        <w:br/>
        <w:t>considere como hechos supervinientes una  acción  de  tutela  que  presuntas</w:t>
        <w:br/>
        <w:t>víctimas interpusieron contra el referido fallo de 31 de enero de 2011,  así</w:t>
        <w:br/>
        <w:t>como una decisión de 28 de marzo de 2012 del Tribunal Superior del  Distrito</w:t>
        <w:br/>
        <w:t>Judicial de Arauca que la declara con  lugar  y  otra  decisión  en  segunda</w:t>
        <w:br/>
        <w:t>instancia de la Corte Suprema de Justicia que revoca la anterior.</w:t>
        <w:br/>
        <w:br/>
        <w:br/>
        <w:t>[188]       El Artículo 8.1 de  la  Convención  Americana  establece:  “Toda</w:t>
        <w:br/>
        <w:t>persona tiene derecho a ser oída, con las debidas garantías y dentro  de  un</w:t>
        <w:br/>
        <w:t>plazo  razonable,  por  un  juez  o  tribunal  competente,  independiente  e</w:t>
        <w:br/>
        <w:t>imparcial, establecido con anterioridad por la ley, en la  sustanciación  de</w:t>
        <w:br/>
        <w:t>cualquier acusación penal formulada contra ella, o para la determinación  de</w:t>
        <w:br/>
        <w:t>sus derechos y obligaciones de orden civil, laboral, fiscal o  de  cualquier</w:t>
        <w:br/>
        <w:t>otro carácter”.</w:t>
        <w:br/>
        <w:br/>
        <w:br/>
        <w:t>[189]       El Artículo 25.1 de la  Convención  Americana  establece:  “Toda</w:t>
        <w:br/>
        <w:t>persona tiene derecho a un recurso sencillo y  rápido  o  a  cualquier  otro</w:t>
        <w:br/>
        <w:t>recurso efectivo ante los jueces o tribunales  competentes,  que  la  ampare</w:t>
        <w:br/>
        <w:t>contra actos que  violen  sus  derechos  fundamentales  reconocidos  por  la</w:t>
        <w:br/>
        <w:t>Constitución, la ley o la presente Convención, aun cuando tal violación  sea</w:t>
        <w:br/>
        <w:t>cometida por personas que actúen en ejercicio de sus funciones oficiales”.</w:t>
        <w:br/>
        <w:br/>
        <w:br/>
        <w:t>[190]       El Estado manifestó que “en este punto debe precisarse  que  los</w:t>
        <w:br/>
        <w:t>sujetos afectados no reclamaron el  reconocimiento  de  los  perjuicios  que</w:t>
        <w:br/>
        <w:t>pudieron generarse a la vida  de  relación  o  la  adopción  de  medidas  de</w:t>
        <w:br/>
        <w:t>satisfacción y garantías de no repetición, razón  por  la  cual  el  acuerdo</w:t>
        <w:br/>
        <w:t>conciliatorio no se refirió a ellas, puesto que, de acuerdo al  ordenamiento</w:t>
        <w:br/>
        <w:t>jurídico interno, la  conciliación  no  puede  incluir  solicitudes  que  no</w:t>
        <w:br/>
        <w:t>fueron requeridas por los accionantes en el caso concreto”.</w:t>
        <w:br/>
        <w:br/>
        <w:br/>
        <w:t>[191]       El Estado señaló que la Sección Tercera del  Consejo  aprobó  la</w:t>
        <w:br/>
        <w:t>conciliación sobre 19 de las  23  demandas  acumuladas  y  que  la  negativa</w:t>
        <w:br/>
        <w:t>frente a cuatro de las demandas acumuladas obedeció a  que  los  interesados</w:t>
        <w:br/>
        <w:t>no aportaron las pruebas necesarias para acreditar las lesiones  sufridas  o</w:t>
        <w:br/>
        <w:t>el parentesco existente con las víctimas que perdieron la vida, por  lo  que</w:t>
        <w:br/>
        <w:t>se continuó con la decisión en esos cuatro casos.</w:t>
        <w:br/>
        <w:br/>
        <w:br/>
        <w:t>[192]       Caso Acevedo Jaramillo y otros Vs. Perú.  Interpretación  de  la</w:t>
        <w:br/>
        <w:t>Sentencia  de  Excepciones  Preliminares,  Fondo,  Reparaciones  y   Costas.</w:t>
        <w:br/>
        <w:t>Sentencia de 24 de noviembre de 2006, párr. 66.</w:t>
        <w:br/>
        <w:br/>
        <w:br/>
        <w:t>[193]       Cuando un Estado es Parte de un tratado  internacional  como  la</w:t>
        <w:br/>
        <w:t>Convención  Americana,  todos  sus  órganos,  incluidos  sus  jueces,  están</w:t>
        <w:br/>
        <w:t>sometidos a aquél, lo cual les obliga a velar por que  los  efectos  de  las</w:t>
        <w:br/>
        <w:t>disposiciones de la Convención no se vean  mermados  por  la  aplicación  de</w:t>
        <w:br/>
        <w:t>normas contrarias a su objeto y  fin,  por  lo  que  los  jueces  y  órganos</w:t>
        <w:br/>
        <w:t>vinculados a la administración de justicia en todos los niveles están en  la</w:t>
        <w:br/>
        <w:t>obligación de ejercer ex officio un “control de convencionalidad” entre  las</w:t>
        <w:br/>
        <w:t>normas internas y la Convención Americana, evidentemente en el marco de  sus</w:t>
        <w:br/>
        <w:t>respectivas competencias y de las regulaciones  procesales  correspondientes</w:t>
        <w:br/>
        <w:t>y en esta tarea, deben  tener  en  cuenta  no  solamente  el  tratado,  sino</w:t>
        <w:br/>
        <w:t>también la interpretación que del mismo ha hecho  la  Corte  Interamericana,</w:t>
        <w:br/>
        <w:t>intérprete última de la Convención Americana. Cfr. Caso  Almonacid  Arellano</w:t>
        <w:br/>
        <w:t>y otros Vs. Chile. Excepciones Preliminares, Fondo, Reparaciones  y  costas.</w:t>
        <w:br/>
        <w:t>Sentencia de 26 de septiembre de 2006. Serie C  No.  154,  párr.  124;  Caso</w:t>
        <w:br/>
        <w:t>Gomes  Lund  y  otros  (Guerrilha  do  Araguaia)  Vs.  Brasil.   Excepciones</w:t>
        <w:br/>
        <w:t>Preliminares, Fondo, Reparaciones y Costas. Sentencia de 24 de noviembre  de</w:t>
        <w:br/>
        <w:t>2010. Serie C No. 219, párr. 176, y Caso Cabrera  García  y  Montiel  Flores</w:t>
        <w:br/>
        <w:t>Vs. México. Excepción Preliminar, Fondo, Reparaciones  y  Costas.  Sentencia</w:t>
        <w:br/>
        <w:t>de 26 de noviembre de 2010. Serie C No. 220, párr. 225. Véase asimismo  Caso</w:t>
        <w:br/>
        <w:t>Gelman Vs. Uruguay. Fondo y Reparaciones. Sentencia  de  24  de  febrero  de</w:t>
        <w:br/>
        <w:t>2011 Serie C No. 221, párr. 193.</w:t>
        <w:br/>
        <w:br/>
        <w:br/>
        <w:t>[194]       En  el  caso  de  la  Masacre  de  Mapiripán  Vs.  Colombia,  al</w:t>
        <w:br/>
        <w:t>desarrollar el derecho a no ser forzosamente desplazado, bajo los  artículos</w:t>
        <w:br/>
        <w:t>4, 5 y 22 de la Convención, la Corte se basó extensamente  en  la  sentencia</w:t>
        <w:br/>
        <w:t>de la Corte Constitucional de Colombia T/025-04. Cfr. Caso de la Masacre  de</w:t>
        <w:br/>
        <w:t>Mapiripán Vs. Colombia. Fondo, Reparaciones y Costas, párr. 167 y ss.</w:t>
        <w:br/>
        <w:br/>
        <w:br/>
        <w:t>[195]       En el caso La Cantuta Vs. Perú se discutió si las leyes de auto-</w:t>
        <w:br/>
        <w:t>amnistía, declaradas incompatibles con la Convención  en  un  caso  anterior</w:t>
        <w:br/>
        <w:t>(Barrios Altos), continuaban surtiendo efectos a  nivel  interno.  Luego  de</w:t>
        <w:br/>
        <w:t>observar que  los  actos  de  varios  órganos  estatales  y  decisiones  del</w:t>
        <w:br/>
        <w:t>Tribunal  Constitucional   peruano   eran   conformes   con   lo   dispuesto</w:t>
        <w:br/>
        <w:t>anteriormente,  la  Corte  estimó  que  el  Estado   no   había   continuado</w:t>
        <w:br/>
        <w:t>incumpliendo el artículo 2 de la Convención. Cfr. Caso La Cantuta Vs.  Perú.</w:t>
        <w:br/>
        <w:t>Fondo, Reparaciones y Costas. Sentencia de 29 de noviembre de 2006. Serie  C</w:t>
        <w:br/>
        <w:t>No. 162.</w:t>
        <w:br/>
        <w:br/>
        <w:br/>
        <w:t>[196]       En el caso Cepeda Vargas Vs. Colombia, la  Comisión  solicitó  a</w:t>
        <w:br/>
        <w:t>la Corte que declare al Estado responsable por la violación  del  derecho  a</w:t>
        <w:br/>
        <w:t>la  protección  de  la  honra  y  dignidad  de  los  familiares,  en  cuanto</w:t>
        <w:br/>
        <w:t>declaraciones realizadas por altos funcionarios  del  Estado  en  su  contra</w:t>
        <w:br/>
        <w:t>constituyeron “actos de estigmatización” que les afectaron, a ellos “y a  la</w:t>
        <w:br/>
        <w:t>memoria del Senador”.  La  alegada  violación  del  artículo  11  se  basaba</w:t>
        <w:br/>
        <w:t>también en un hecho  específico  en  perjuicio  del  hijo  del  Senador:  un</w:t>
        <w:br/>
        <w:t>mensaje publicitario emitido como parte de la  publicidad  electoral  de  la</w:t>
        <w:br/>
        <w:t>campaña de reelección del entonces candidato a Presidente de  la  República.</w:t>
        <w:br/>
        <w:t>La Corte observó que  la  propia  Corte  Constitucional  de  Colombia  había</w:t>
        <w:br/>
        <w:t>dictado sentencia en la que reconoció que la difusión de ciertos mensajes  a</w:t>
        <w:br/>
        <w:t>través de medios masivos de comunicación  menoscabó  el  buen  nombre  y  la</w:t>
        <w:br/>
        <w:t>honra del señor Iván Cepeda Castro, en cuanto hijo de una  de  las  víctimas</w:t>
        <w:br/>
        <w:t>de la violencia política del país, y que los  mencionados  derechos  también</w:t>
        <w:br/>
        <w:t>se habían violado a sus familiares. La Corte declaró  que  “había  analizado</w:t>
        <w:br/>
        <w:t>la referida sentencia de la Corte Constitucional, en el sentido que  declaró</w:t>
        <w:br/>
        <w:t>la [referida] violación […] por el mencionado mensaje  publicitario,  y  que</w:t>
        <w:br/>
        <w:t>además dispuso  reparaciones  pertinentes  a  nivel  interno”,  Caso  Cepeda</w:t>
        <w:br/>
        <w:t>Vargas Vs. Colombia, párrs. 203 a 210.</w:t>
        <w:br/>
        <w:br/>
        <w:br/>
        <w:t>[197]       En el mismo caso Cepeda Vargas vs. Colombia, en  lo  relativo  a</w:t>
        <w:br/>
        <w:t>las reparaciones y lo actuado en la vía contencioso-administrativa  interna.</w:t>
        <w:br/>
        <w:t>Caso Cepeda Vargas Vs. Colombia, párrs. 211 y ss.</w:t>
        <w:br/>
        <w:br/>
        <w:br/>
        <w:t>[198]       En ese  sentido,  en  el  caso  Gelman  vs.  Uruguay,  la  Corte</w:t>
        <w:br/>
        <w:t>consideró que la Suprema Corte de Justicia uruguaya había ejercido, en  otro</w:t>
        <w:br/>
        <w:t>caso, un  adecuado  control  de  convencionalidad  respecto  de  la  Ley  de</w:t>
        <w:br/>
        <w:t>Caducidad, al declararla inconstitucional. Caso  Gelman  Vs.  Uruguay,  párr</w:t>
        <w:br/>
        <w:t>239.</w:t>
        <w:br/>
        <w:br/>
        <w:br/>
        <w:t>[199]       Artículo 33 de la Convención Americana.</w:t>
        <w:br/>
        <w:br/>
        <w:br/>
        <w:t>[200]       En similar sentido, en el caso Acevedo  Jaramillo  y  otros  Vs.</w:t>
        <w:br/>
        <w:t>Perú la Corte consideró: 174. En primer término, la Corte  estima  necesario</w:t>
        <w:br/>
        <w:t>enfatizar que el  proceso  de  tramitación  de  denuncias  individuales  que</w:t>
        <w:br/>
        <w:t>procure culminar con una decisión jurisdiccional de la  Corte,  requiere  de</w:t>
        <w:br/>
        <w:t>la integridad institucional del  sistema  de  protección  consagrado  en  la</w:t>
        <w:br/>
        <w:t>Convención Americana.  El  sometimiento  de  un  caso  contencioso  ante  el</w:t>
        <w:br/>
        <w:t>Tribunal por alegadas violaciones a los derechos humanos  cometidas  por  un</w:t>
        <w:br/>
        <w:t>Estado Parte que haya reconocido la  competencia  contenciosa  del  Tribunal</w:t>
        <w:br/>
        <w:t>requiere del desarrollo previo del procedimiento ante la Comisión,  el  cual</w:t>
        <w:br/>
        <w:t>inicia con la presentación de  la  petición  ante  este  último  órgano.  El</w:t>
        <w:br/>
        <w:t>procedimiento ante la Comisión contempla  garantías  tanto  para  el  Estado</w:t>
        <w:br/>
        <w:t>denunciado  como  para  las  presuntas  víctimas,  sus  familiares   o   sus</w:t>
        <w:br/>
        <w:t>representantes, dentro de las cuales cabe destacar las relacionadas con  las</w:t>
        <w:br/>
        <w:t>condiciones  de  admisibilidad  de  la  petición  y  las  relativas  a   los</w:t>
        <w:br/>
        <w:t>principios de contradicción, equidad procesal y seguridad  jurídica.  Es  en</w:t>
        <w:br/>
        <w:t>el procedimiento ante  la  Comisión  que  el  Estado  denunciado  suministra</w:t>
        <w:br/>
        <w:t>inicialmente la información, alegatos y prueba  que  estime  pertinentes  en</w:t>
        <w:br/>
        <w:t>relación con  la  denuncia,  y  aquella  prueba  rendida  en  procedimientos</w:t>
        <w:br/>
        <w:t>contradictorios podrá ser posteriormente incorporada en el  expediente  ante</w:t>
        <w:br/>
        <w:t>la Corte. La posición asumida por el Estado  en  el  procedimiento  ante  la</w:t>
        <w:br/>
        <w:t>Comisión determina también en gran  medida  la  posición  de  las  presuntas</w:t>
        <w:br/>
        <w:t>víctimas, sus familiares o sus representantes, lo que  llega  a  afectar  el</w:t>
        <w:br/>
        <w:t>curso del procedimiento […]”. Caso  Acevedo  Jaramillo  y  otros  Vs.  Perú.</w:t>
        <w:br/>
        <w:t>Excepciones Preliminares, Fondo, Reparaciones y Costas, Sentencia  de  7  de</w:t>
        <w:br/>
        <w:t>febrero de 2006, Serie C No. 144, párr. 167 y ss. Véase también:  Asunto  de</w:t>
        <w:br/>
        <w:t>Viviana Gallardo y otras. Serie A No.G 101/81, Considerandos 12.b), 16,  20,</w:t>
        <w:br/>
        <w:t>21 y 22, y Control de Legalidad en el Ejercicio de las  Atribuciones  de  la</w:t>
        <w:br/>
        <w:t>Comisión Interamericana de Derechos Humanos (arts. 41 y 44 de la  Convención</w:t>
        <w:br/>
        <w:t>Americana sobre Derechos Humanos). Opinión  Consultiva  OC-19/05  de  28  de</w:t>
        <w:br/>
        <w:t>noviembre de 2005. Serie A No. 19, párrs. 25 a 27.</w:t>
        <w:br/>
        <w:br/>
        <w:br/>
        <w:t>[201] Cfr.  Caso  “Cinco  Pensionistas”  Vs.  Perú.  Fondo,  Reparaciones  y</w:t>
        <w:br/>
        <w:t>Costas. Sentencia de 28 de febrero de 2003. Serie C No.  98,  párr.  153,  y</w:t>
        <w:br/>
        <w:t>Caso Barbani Duarte y  Otros  Vs.  Uruguay.  Fondo  Reparaciones  y  costas.</w:t>
        <w:br/>
        <w:t>Sentencia de 13 de octubre de 2011. Serie C No. 234, párr. 36.</w:t>
        <w:br/>
        <w:br/>
        <w:br/>
        <w:t>[202]       Cfr. Caso Yvon Neptune Vs. Haití. Fondo, Reparaciones y  Costas.</w:t>
        <w:br/>
        <w:t>Sentencia de 6 de mayo de 2008. Serie C No. 180, párr. 18, y Caso  Perozo  y</w:t>
        <w:br/>
        <w:t>otros  Vs.  Venezuela.  Excepciones  Preliminares,  Fondo,  Reparaciones   y</w:t>
        <w:br/>
        <w:t>Costas. Sentencia de 28 de enero de 2009. Serie C No. 195, párr.  33.  Véase</w:t>
        <w:br/>
        <w:t>también Caso Fleury y otros Vs. Haití. Fondo y  Reparaciones.  Sentencia  de</w:t>
        <w:br/>
        <w:t>23 de noviembre de 2011. Serie C No. 236, párr.15. En efecto, los  artículos</w:t>
        <w:br/>
        <w:t>35 y 40 del Reglamento de la Corte establecen la oportunidad  procesal  para</w:t>
        <w:br/>
        <w:t>que  la  Comisión  ofrezca  prueba  pericial   (mediante   el   escrito   de</w:t>
        <w:br/>
        <w:t>sometimiento del caso) y  para  que  los  representantes  de  las  presuntas</w:t>
        <w:br/>
        <w:t>víctimas presenten sus solicitudes y argumentos y ofrezcan prueba,  para  lo</w:t>
        <w:br/>
        <w:t>cual no pueden basarse sino en las determinaciones fácticas del  Informe  de</w:t>
        <w:br/>
        <w:t>fondo.</w:t>
        <w:br/>
        <w:br/>
        <w:br/>
        <w:t>[203]       Caso “Cinco Pensionistas” Vs.  Perú,  párrs.  153  y  154;  Caso</w:t>
        <w:br/>
        <w:t>Fornerón e hija Vs. Argentina. Fondo, Reparaciones y  Costas.  Sentencia  de</w:t>
        <w:br/>
        <w:t>27 de abril de 2012 Serie C No.  242,  párr.  17,  y  Caso  Pueblo  Indígena</w:t>
        <w:br/>
        <w:t>Kichwa de Sarayaku Vs. Ecuador. Fondo y reparaciones.  Sentencia  de  27  de</w:t>
        <w:br/>
        <w:t>junio de 2012. Serie C No. 245, párr. 27.</w:t>
        <w:br/>
        <w:br/>
        <w:br/>
        <w:t>[204]       Cfr. Caso “Cinco Pensionistas”, parr. 154,  y  Caso  González  y</w:t>
        <w:br/>
        <w:t>otras  (“Campo  Algodonero”)  Vs.  México.  Excepción   preliminar,   fondo,</w:t>
        <w:br/>
        <w:t>reparaciones y costas, Sentencia de 16 de noviembre de 2009, parr. 17.</w:t>
        <w:br/>
        <w:br/>
        <w:br/>
        <w:t>[205]       Cfr. Caso de la “Masacre  de  Mapiripán”  Vs.  Colombia.  Fondo,</w:t>
        <w:br/>
        <w:t>Reparaciones y Costas,  párr.  58,  y  Caso  Tores  Millacura  y  otros  Vs.</w:t>
        <w:br/>
        <w:t>Argentina. Fondo, Reparaciones y Costas. Sentencia de 26 de agosto de  2011.</w:t>
        <w:br/>
        <w:t>Serie C No. 229, párr. 52.</w:t>
        <w:br/>
        <w:br/>
        <w:br/>
        <w:t>[206]       Cfr., mutatis mutandi, Caso Pueblo Indígena Kichwa  de  Sarayaku</w:t>
        <w:br/>
        <w:t>Vs. Ecuador. Fondo, párr. 27.</w:t>
        <w:br/>
        <w:br/>
        <w:br/>
        <w:t>[207]        El  12  de  noviembre  del  2002  el  Estado  afirmó  que   “la</w:t>
        <w:br/>
        <w:t>investigación por los daños sufridos como consecuencia de  la  explosión  de</w:t>
        <w:br/>
        <w:t>un  artefacto  explosivo  en  el  caserío  de  Santo  Domingo  están  siendo</w:t>
        <w:br/>
        <w:t>instruidas  por  la  Justicia  Penal  Militar  en  virtud  de  un  fallo  de</w:t>
        <w:br/>
        <w:t>competencia proferido por el Consejo Superior de la Judicatura”, en el  cual</w:t>
        <w:br/>
        <w:t>se  encontraban  vinculados  tres  militares.  Oficio  del   Ministerio   De</w:t>
        <w:br/>
        <w:t>Relaciones Exteriores, del 12 de noviembre de 2002  (expediente  de  prueba,</w:t>
        <w:br/>
        <w:t>tomo 5, folios 2072)</w:t>
        <w:br/>
        <w:br/>
        <w:br/>
        <w:t>[208]       Además, el Estado manifestó que su responsabilidad  “en  derecho</w:t>
        <w:br/>
        <w:t>interno  se  define  como  administrativa;  pero  el   proceso   contencioso</w:t>
        <w:br/>
        <w:t>administrativo en este caso abundó en pruebas, que permitieron  al  fallador</w:t>
        <w:br/>
        <w:t>un alto grado de certeza y  así  lo  expresó  en  los  considerandos  de  la</w:t>
        <w:br/>
        <w:t>providencia,  sobre  las  circunstancias  fácticas   y   la   modalidad   de</w:t>
        <w:br/>
        <w:t>responsabilidad de los agentes, que lo llevó a concluir  que  el  título  de</w:t>
        <w:br/>
        <w:t>imputación de la responsabilidad del Estado, es el de la Falla del  Servicio</w:t>
        <w:br/>
        <w:t>[...]”.  Sentencia  del  20  de  mayo  de  2004  el   Tribunal   Contencioso</w:t>
        <w:br/>
        <w:t>Administrativo de  Arauca.  Acción  de  Reparación  Directa  (expediente  de</w:t>
        <w:br/>
        <w:t>prueba, tomo 20, folio 10233 a 10234).</w:t>
        <w:br/>
        <w:br/>
        <w:br/>
        <w:t>[209]        Del mismo modo, el Estado “reafirma […] que el ente  competente</w:t>
        <w:br/>
        <w:t>para realizar la investigación, es decir, la Fiscalía General de  la  Nación</w:t>
        <w:br/>
        <w:t>[había  verificado  parte  de  los  hechos]  en  el  escenario  ideal   para</w:t>
        <w:br/>
        <w:t>esclarecer lo  ocurrido:  el  proceso  penal  con  la  intervención  de  las</w:t>
        <w:br/>
        <w:t>víctimas y perjudicados”. Oficio del Ministerio  De  Relaciones  Exteriores,</w:t>
        <w:br/>
        <w:t>del 14 de diciembre de 2006 (expediente de prueba,  tomo  5,  folios  2502).</w:t>
        <w:br/>
        <w:t>Afirmó también que está “[d]emostrado  con  suficiente  prueba  testimonial,</w:t>
        <w:br/>
        <w:t>documental y técnica que las muertes y lesiones  personales  de  que  fueron</w:t>
        <w:br/>
        <w:t>víctimas los civiles pobladores del caserío  de  Santo  Domingo,  en  hechos</w:t>
        <w:br/>
        <w:t>ocurridos el 13 de diciembre de  1998  no  fueron  producto  de  una  “bomba</w:t>
        <w:br/>
        <w:t>casera” como en un principio se dijo  dentro  del  paginario,  sino  por  un</w:t>
        <w:br/>
        <w:t>artefacto bélico denominado cluster, lanzado desde el helicóptero  FAC-4407,</w:t>
        <w:br/>
        <w:t>y que los presuntos autores del hecho son  los  tripulantes  de  éste  […]”.</w:t>
        <w:br/>
        <w:t>Oficio del Ministerio De Relaciones Exteriores, del 14 de diciembre de  2006</w:t>
        <w:br/>
        <w:t>(expediente de prueba, tomo 5, folios 2504).</w:t>
        <w:br/>
        <w:br/>
        <w:br/>
        <w:t>[210]       En particular, señaló lo  siguiente:  “[e]l  Estado,  nuevamente</w:t>
        <w:br/>
        <w:t>desea manifestar que ha venido cumpliendo sus obligaciones a  nivel  interno</w:t>
        <w:br/>
        <w:t>e internacional  a  través  de  sus  diferentes  instancias  judiciales.  En</w:t>
        <w:br/>
        <w:t>materia penal en Colombia se surtieron los procesos tendientes a  determinar</w:t>
        <w:br/>
        <w:t>los presuntos responsables por los hechos acaecidos el 13  de  diciembre  de</w:t>
        <w:br/>
        <w:t>1998. En materia penal el Juzgado 12 Penal del Circuito de  Bogotá  profirió</w:t>
        <w:br/>
        <w:t>inicialmente  sentencia  condenatoria  [...].  El  Estado  reitera  que  las</w:t>
        <w:br/>
        <w:t>diferentes  jurisdicciones  han  actuado  libres  de  toda   obstrucción   y</w:t>
        <w:br/>
        <w:t>sospecha. Tal y como ha quedado demostrado  en  los  diferentes  escritos  y</w:t>
        <w:br/>
        <w:t>pruebas aportados en esta etapa. Se recuerda también que, las decisiones  de</w:t>
        <w:br/>
        <w:t>la  jurisdicción  contencioso  administrativa,  de  la  jurisdicción   penal</w:t>
        <w:br/>
        <w:t>ordinaria y la disciplinaria, cumplen  con  los  estándares  tanto  internos</w:t>
        <w:br/>
        <w:t>como internacionales”. Oficio del Ministerio De Relaciones  Exteriores,  del</w:t>
        <w:br/>
        <w:t>19 de julio de 2011 (expediente de prueba, tomo 6, folios 2753 y 2757).</w:t>
        <w:br/>
        <w:br/>
        <w:br/>
        <w:t>[211]       De acuerdo con lo establecido en su jurisprudencia,  ésta  Corte</w:t>
        <w:br/>
        <w:t>considera que un Estado que ha adoptado una determinada  posición,  la  cual</w:t>
        <w:br/>
        <w:t>produce efectos jurídicos, no puede  luego,  en  virtud  del  principio  del</w:t>
        <w:br/>
        <w:t>estoppel, asumir otra conducta que sea contradictoria con la primera  y  que</w:t>
        <w:br/>
        <w:t>cambie el estado de cosas en  base  al  cual  se  guió  la  otra  parte.  El</w:t>
        <w:br/>
        <w:t>principio del estoppel ha sido reconocido y aplicado  tanto  en  el  derecho</w:t>
        <w:br/>
        <w:t>internacional general como en  el  derecho  internacional  de  los  derechos</w:t>
        <w:br/>
        <w:t>humanos. Al respecto, véase Caso Masacres de Río Negro Vs. Guatemala,  párr.</w:t>
        <w:br/>
        <w:t>25, y  Caso  Neira  Alegría  y  otros  Vs.  Perú. Excepciones  Preliminares.</w:t>
        <w:br/>
        <w:t>Sentencia de 11 de diciembre de 1991. Serie C No. 13, párr. 29.</w:t>
        <w:br/>
        <w:br/>
        <w:br/>
        <w:t>[212]       El 28 de diciembre de 2005  el  Estado  había  informado  que  a</w:t>
        <w:br/>
        <w:t>partir del 30 de mayo de 2000 la Unidad de Derechos Humanos de  la  Fiscalía</w:t>
        <w:br/>
        <w:t>General de la Nación había dispuesto la ruptura  procesal  en  dos  procesos</w:t>
        <w:br/>
        <w:t>(por un lado, respecto del homicidio de 8  miembros  de  la  Fuerza  Pública</w:t>
        <w:br/>
        <w:t>contra miembros de  las  FARC  y,  por  otro,  sobre  posibles  afectaciones</w:t>
        <w:br/>
        <w:t>causados por miembros del Ejército a los civiles  de  Santo  Domingo).  Cfr.</w:t>
        <w:br/>
        <w:t>Oficio del Ministerio De Relaciones Exteriores, del 27 de diciembre de  2005</w:t>
        <w:br/>
        <w:t>(expediente  de  prueba,  tomo  5,  folios  2212-2213,  2224).  Aún  si   se</w:t>
        <w:br/>
        <w:t>considerara  que  la  Comisión  tuvo  conocimiento   de   que   había   otra</w:t>
        <w:br/>
        <w:t>investigación, luego de eso el Estado no le  otorgó  ninguna  relevancia  al</w:t>
        <w:br/>
        <w:t>referido proceso penal contra “alias Grannobles” para efectos de este  caso.</w:t>
        <w:br/>
        <w:t>Por ende, la Comisión no realizó mayores consideraciones al respecto  en  el</w:t>
        <w:br/>
        <w:t>Informe de Fondo,  lo  que  reafirma  la  conclusión  de  que  tal  proceso,</w:t>
        <w:br/>
        <w:t>independientemente de  su  resultado,  no  conforma  el  marco  fáctico  del</w:t>
        <w:br/>
        <w:t>presente caso, por lo cual  tampoco  es  un  hecho  superviniente.  Por  las</w:t>
        <w:br/>
        <w:t>mismas razones, y  ante  la  entidad  que  el  Estado  pretende  otorgar  al</w:t>
        <w:br/>
        <w:t>referido fallo, éste  tampoco  puede  considerarse  un  dato  adicional  que</w:t>
        <w:br/>
        <w:t>actualmente complementaría hechos que conforman  el  objeto  del  caso.  Por</w:t>
        <w:br/>
        <w:t>ende, tal proceso no será objeto de ulteriores análisis en esta Sentencia.</w:t>
        <w:br/>
        <w:br/>
        <w:t>[213]       Acción de tutela,  primera  instancia,  República  de  Colombia.</w:t>
        <w:br/>
        <w:t>Tribunal Superior del Distrito Judicial de Arauca.  Sala  única,  Magistrado</w:t>
        <w:br/>
        <w:t>Ponente    Dr.    Jaime    Raúl    Alvarado     Pacheco.     Radicado     Nº</w:t>
        <w:br/>
        <w:t>81·001·22·08·000·20!2·0028. Marzo 28 del 2012 (expediente  de  prueba,  tomo</w:t>
        <w:br/>
        <w:t>23, folio 11054).</w:t>
        <w:br/>
        <w:br/>
        <w:t>[214]       En mayo de 2012 la Fiscalía  General  de  la  Nación  abrió  una</w:t>
        <w:br/>
        <w:t>indagación contra el entonces  Juez  Penal  del  Circuito  Especializado  de</w:t>
        <w:br/>
        <w:t>Arauca por “el presunto punible de  prevaricato  por  acción”  y,  por  otro</w:t>
        <w:br/>
        <w:t>lado,  ordenó  que  se  investigara  por  falso   testimonio   a   presuntos</w:t>
        <w:br/>
        <w:t>guerrilleros desmovilizados, cuya declaración habría servido  de  fundamento</w:t>
        <w:br/>
        <w:t>probatorio del referido fallo de 31 de enero de 2011. (Fiscalía  General  de</w:t>
        <w:br/>
        <w:t>la Nación. Oficio N" 001581, del 4 de mayo de 2012,  expediente  de  prueba,</w:t>
        <w:br/>
        <w:t>tomo 23, folio 10985 a 10986). Posteriormente, mediante resolución de 23  de</w:t>
        <w:br/>
        <w:t>julio de 2012 denegó una petición de los dos miembros  de  la  Fuerza  Aérea</w:t>
        <w:br/>
        <w:t>condenados en segunda  instancia,  en  la  cual  habían  requerido  al  ente</w:t>
        <w:br/>
        <w:t>investigador que declarara terminado el proceso penal con fundamento  en  el</w:t>
        <w:br/>
        <w:t>fallo de de 31 de enero de 2011 (expediente de prueba, tomo 52, folio  10985</w:t>
        <w:br/>
        <w:t>y ss.). En esta  resolución,  aportada  por  los  representantes  junto  con</w:t>
        <w:br/>
        <w:t>alegatos finales, habría señalado la falta de  congruencia  de  dicho  fallo</w:t>
        <w:br/>
        <w:t>con la resolución de acusación y lo debatido en  la  audiencia;  acogido  la</w:t>
        <w:br/>
        <w:t>interpretación de la segunda instancia en el proceso de tutela, en tanto  la</w:t>
        <w:br/>
        <w:t>mención a las víctimas civiles están referidas a la conducta  de  terrorismo</w:t>
        <w:br/>
        <w:t>y no a los homicidios, y ordenó compulsar copias  disciplinarias  y  penales</w:t>
        <w:br/>
        <w:t>contra el juez que dictó ese fallo.  El  Estado  estuvo  de  acuerdo  en  la</w:t>
        <w:br/>
        <w:t>incorporación de esta resolución al caso, pero también alegó  que  la  misma</w:t>
        <w:br/>
        <w:t>no afecta el carácter de sentencia ejecutoriada del  fallo,  pues  no  puede</w:t>
        <w:br/>
        <w:t>desconocerla o declarar su ilegalidad, además de que se encuentra  pendiente</w:t>
        <w:br/>
        <w:t>un recurso de apelación contra esa resolución.</w:t>
        <w:br/>
        <w:br/>
        <w:br/>
        <w:t>[215]       En particular  consideró  que  la  accionante  era  parte  civil</w:t>
        <w:br/>
        <w:t>dentro de las investigaciones que derivaron en la  actuación  cuestionada  y</w:t>
        <w:br/>
        <w:t>que en ese proceso podría hacer valer su posición  mediante  un  recurso  de</w:t>
        <w:br/>
        <w:t>revisión.</w:t>
        <w:br/>
        <w:br/>
        <w:t>[216]       Los representantes se refirieron a: Corte  Constitucional,  sala</w:t>
        <w:br/>
        <w:t>Quinta de Revisión, expediente de tutela T3490836</w:t>
        <w:br/>
        <w:br/>
        <w:t>[217] Cfr. Caso Myrna  Mack  Chang  Vs.  Guatemala.  Fondo,  Reparaciones  y</w:t>
        <w:br/>
        <w:t>Costas. Sentencia de 25 de noviembre de 2003. Serie C No. 101, párr. 105,  y</w:t>
        <w:br/>
        <w:t>Caso Gelman Vs. Uruguay, párr. 26.</w:t>
        <w:br/>
        <w:br/>
        <w:br/>
        <w:t>[218]       Cfr. Caso Kimel Vs. Argentina.  Fondo,  Reparaciones  y  Costas.</w:t>
        <w:br/>
        <w:t>Sentencia de 2 de mayo de 2008. Serie C No. 177, párr. 24, y  Caso  Masacres</w:t>
        <w:br/>
        <w:t>de Río Negro Vs. Guatemala, párr. 27.</w:t>
        <w:br/>
        <w:br/>
        <w:br/>
        <w:t>[219]       Cfr. Caso Manuel Cepeda Vargas Vs. Colombia, párr.  17,  y  Caso</w:t>
        <w:br/>
        <w:t>Masacres de Río Negro Vs. Guatemala, párr. 22.</w:t>
        <w:br/>
        <w:br/>
        <w:br/>
        <w:t>[220]       Caso  Manuel  Cepeda  Vargas  Vs.  Colombia,  párr.  130.  Véase</w:t>
        <w:br/>
        <w:t>también casos La Cantuta Vs. Perú. Fondo, Reparaciones y  Costas.  Sentencia</w:t>
        <w:br/>
        <w:t>de 29 de noviembre de 2006. Serie C No. 162, párr. 157,  y  Caso  Goiburú  y</w:t>
        <w:br/>
        <w:t>otros Vs. Paraguay.  Fondo,  Reparaciones  y  Costas.  Sentencia  de  22  de</w:t>
        <w:br/>
        <w:t>septiembre de 2006. Serie C No. 153, párr. 128.</w:t>
        <w:br/>
        <w:br/>
        <w:br/>
        <w:t>[221]       Cfr. Caso Velásquez Rodríguez Vs. Honduras. Fondo, párr.  91,  y</w:t>
        <w:br/>
        <w:t>Caso González Medina y familiares Vs. República Dominicana, párr. 207.</w:t>
        <w:br/>
        <w:br/>
        <w:br/>
        <w:t>[222]       Cfr. Caso Bulacio Vs. Argentina,  párr.  114,  y  Caso  González</w:t>
        <w:br/>
        <w:t>Medina y familiares Vs. República Dominicana, párr. 255.</w:t>
        <w:br/>
        <w:br/>
        <w:br/>
        <w:t>[223]       Caso Velásquez Rodríguez Vs. Honduras. Fondo, párr. 173, y  Caso</w:t>
        <w:br/>
        <w:t>Familia Barrios Vs. Venezuela. Fondo, Reparaciones y  Costas.  Sentencia  de</w:t>
        <w:br/>
        <w:t>24 de noviembre de 2011. Serie C No. 237, párr. 47.</w:t>
        <w:br/>
        <w:br/>
        <w:br/>
        <w:t>[224]       Cfr. Caso de las Masacres de  Ituango  Vs.  Colombia.  Excepción</w:t>
        <w:br/>
        <w:t>Preliminar, Fondo, Reparaciones y Costas. Sentencia de 1 de  julio  de  2006</w:t>
        <w:br/>
        <w:t>Serie C No. 148,  párr.  319,  y  Caso  González  Medina  y  familiares  Vs.</w:t>
        <w:br/>
        <w:t>República Dominicana, párr. 203.</w:t>
        <w:br/>
        <w:br/>
        <w:br/>
        <w:t>[225]       Caso Velásquez Rodríguez, Fondo. Sentencia de  29  de  julio  de</w:t>
        <w:br/>
        <w:t>1988. Serie C No. 4, párr. 177, y Caso  Masacres  de  El  Mozote  y  lugares</w:t>
        <w:br/>
        <w:t>aledaños Vs. El Salvador, párr. 248.</w:t>
        <w:br/>
        <w:br/>
        <w:br/>
        <w:t>[226]       Cfr. Caso Velásquez Rodríguez Vs. Honduras. Fondo, párr. 177,  y</w:t>
        <w:br/>
        <w:t>Caso Masacres de El Mozote y lugares aledaños Vs. El Salvador, párr. 248.</w:t>
        <w:br/>
        <w:br/>
        <w:br/>
        <w:t>[227]       Cfr. Caso de la Masacre de Pueblo  Bello  Vs.  Colombia.  Fondo,</w:t>
        <w:br/>
        <w:t>Reparaciones y Costas,  párr.  143,  y  González  Medina  y  familiares  Vs.</w:t>
        <w:br/>
        <w:t>República Dominicana, párr. 204.</w:t>
        <w:br/>
        <w:br/>
        <w:br/>
        <w:t>[228]       Cfr. Caso Durand y Ugarte Vs. Perú. Fondo. Sentencia  de  16  de</w:t>
        <w:br/>
        <w:t>agosto de 2000. Serie C No. 68, párrs. 116, 117, 125 y  126;  Caso  Cantoral</w:t>
        <w:br/>
        <w:t>Benavides Vs. Perú. Fondo. Sentencia de 18 de agosto de 2000.  Serie  C  No.</w:t>
        <w:br/>
        <w:t>69, párrs. 112 a 114; Caso Las Palmeras Vs. Colombia. Fondo. Sentencia de  6</w:t>
        <w:br/>
        <w:t>de diciembre de 2001.  Serie  C  No.  90,  párrs.  51,  52  y  53;  Caso  19</w:t>
        <w:br/>
        <w:t>Comerciantes Vs. Colombia. Fondo, Reparaciones y Costas. Sentencia de  5  de</w:t>
        <w:br/>
        <w:t>julio de 2004. Serie C No. 109, párrs. 165, 166, 167, 173 y 174;  Caso  Lori</w:t>
        <w:br/>
        <w:t>Berenson Mejía Vs. Perú. Fondo, Reparaciones y Costas. Sentencia  de  25  de</w:t>
        <w:br/>
        <w:t>noviembre de 2004. Serie C No. 119, párrs. 141 a 145; Caso  de  la  “Masacre</w:t>
        <w:br/>
        <w:t>de Mapiripán” Vs. Colombia. Fondo, Reparaciones y Costas.  Sentencia  de  15</w:t>
        <w:br/>
        <w:t>de septiembre de 2005. Serie C No. 134, párr. 202;  Caso  Palamara  Iribarne</w:t>
        <w:br/>
        <w:t>Vs. Chile. Fondo, Reparaciones y Costas. Sentencia de  22  de  noviembre  de</w:t>
        <w:br/>
        <w:t>2005. Serie C No. 135, párrs. 139 y 143; Caso de la Masacre de Pueblo  Bello</w:t>
        <w:br/>
        <w:t>Vs. Colombia. Fondo, Reparaciones y Costas, párrs. 189 y 193;  Caso  Montero</w:t>
        <w:br/>
        <w:t>Aranguren y otros (Retén de Catia)  Vs.  Venezuela.  Fondo,  Reparaciones  y</w:t>
        <w:br/>
        <w:t>Costas. Sentencia de 5 de julio de 2006. Serie C No. 150, párrs.  53,  54  y</w:t>
        <w:br/>
        <w:t>108; Caso La Cantuta Vs. Perú. Fondo,  Reparaciones  y  Costas,  párr.  142;</w:t>
        <w:br/>
        <w:t>Caso de la Masacre de La Rochela Vs. Colombia, párr. 200; Caso Escué  Zapata</w:t>
        <w:br/>
        <w:t>Vs. Colombia. Fondo, Reparaciones y Costas.  Sentencia  de  4  de  julio  de</w:t>
        <w:br/>
        <w:t>2007. Serie C No. 165, párr. 105; Caso Zambrano Vélez y otros  Vs.  Ecuador.</w:t>
        <w:br/>
        <w:t>Fondo, Reparaciones y Costas. Sentencia de 4 de julio de 2007. Serie  C  No.</w:t>
        <w:br/>
        <w:t>166, párr. 66; Caso Tiu Tojín Vs. Guatemala. Fondo, Reparaciones  y  Costas.</w:t>
        <w:br/>
        <w:t>Sentencia de 26 de noviembre de 2008. Serie C No. 190,  párrs.  118  a  120;</w:t>
        <w:br/>
        <w:t>Caso Usón Ramírez Vs. Venezuela. Excepción Preliminar,  Fondo,  Reparaciones</w:t>
        <w:br/>
        <w:t>y Costas. Sentencia de 20 de noviembre de 2009. Serie C No. 207, párrs.  108</w:t>
        <w:br/>
        <w:t>a 110; Caso Radilla Pacheco Vs.  México.  Excepciones  Preliminares,  Fondo,</w:t>
        <w:br/>
        <w:t>Reparaciones y Costas. Sentencia de 23 de noviembre de  2009.  Serie  C  No.</w:t>
        <w:br/>
        <w:t>209, párrs. 272 y 273; Caso Fernández Ortega y otros Vs.  México.  Excepción</w:t>
        <w:br/>
        <w:t>Preliminar, Fondo, Reparaciones y Costas.  Sentencia  de  30  de  agosto  de</w:t>
        <w:br/>
        <w:t>2010. Serie C No. 215, párr. 176; Caso Rosendo  Cantú  y  otra  Vs.  México.</w:t>
        <w:br/>
        <w:t>Excepción Preliminar, Fondo, Reparaciones  y  Costas.  Sentencia  de  31  de</w:t>
        <w:br/>
        <w:t>agosto de 2010. Serie C No. 216, párr. 160; Caso Cabrera  García  y  Montiel</w:t>
        <w:br/>
        <w:t>Flores Vs. México, párrs. 197 a 199, y Caso Vélez Restrepo y Familiares  Vs.</w:t>
        <w:br/>
        <w:t>Colombia. Excepción Preliminar, Fondo, Reparaciones y Costas.  Sentencia  de</w:t>
        <w:br/>
        <w:t>3 de septiembre de 2012. Serie C No. 248, párr. 240.</w:t>
        <w:br/>
        <w:br/>
        <w:br/>
        <w:t>[229]       Asimismo, la  Corte  en  múltiples  ocasiones  ha  indicado  que</w:t>
        <w:br/>
        <w:t>“[c]uando la justicia militar asume competencia sobre  un  asunto  que  debe</w:t>
        <w:br/>
        <w:t>conocer la justicia ordinaria, se ve afectado el derecho al juez natural  y,</w:t>
        <w:br/>
        <w:t>a fortiori, el debido proceso”, el cual, a su vez, se encuentra  íntimamente</w:t>
        <w:br/>
        <w:t>ligado al propio derecho de acceso a la  justicia.  Cfr.  inter  alia,  Caso</w:t>
        <w:br/>
        <w:t>Castillo Petruzzi y otros Vs. Perú. Fondo, Reparaciones y Costas.  Sentencia</w:t>
        <w:br/>
        <w:t>de 30 de mayo de 1999. Serie C No. 52, párr.  128;  Caso  Cabrera  García  y</w:t>
        <w:br/>
        <w:t>Montiel Flores Vs. México, párr. 197, y Caso  Vélez  Restrepo  y  Familiares</w:t>
        <w:br/>
        <w:t>Vs. Colombia, párr. 240.</w:t>
        <w:br/>
        <w:br/>
        <w:br/>
        <w:t>[230]       Así, al resolver lo relativo al conflicto de competencias  entre</w:t>
        <w:br/>
        <w:t>las jurisdicciones penal militar y penal ordinaria,  el  31  de  octubre  de</w:t>
        <w:br/>
        <w:t>2002 la Sala Primera de Revisión de  la  Corte  Constitucional  profirió  la</w:t>
        <w:br/>
        <w:t>sentencia T-932 de 2002, en la cual consideró:  “3.9.  Por  otra  parte,  si</w:t>
        <w:br/>
        <w:t>existiera certeza sobre la autoría de los delitos por parte de  miembros  de</w:t>
        <w:br/>
        <w:t>las fuerzas militares, los mismos, por su naturaleza y sus  características,</w:t>
        <w:br/>
        <w:t>en cuanto fueron cometidos en forma  masiva  y  singularmente  cruel  contra</w:t>
        <w:br/>
        <w:t>pobladores  civiles  ajenos  al  conflicto  armado  que  sufre  el  país   y</w:t>
        <w:br/>
        <w:t>constituyen una violación muy grave de los derechos  humanos  y  el  Derecho</w:t>
        <w:br/>
        <w:t>Internacional Humanitario, serían contrarios a las  funciones  que  el  Art.</w:t>
        <w:br/>
        <w:t>218  de  la  Constitución  Política  asigna   a   las   fuerzas   militares,</w:t>
        <w:br/>
        <w:t>consistentes en la defensa de la soberanía, la independencia, la  integridad</w:t>
        <w:br/>
        <w:t>del territorio nacional y del orden  constitucional”.  Corte  Constitucional</w:t>
        <w:br/>
        <w:t>de Colombia, Sala Primera de Revisión, Sentencia T-932/02 del 31 de  octubre</w:t>
        <w:br/>
        <w:t>de 2002 (expediente de prueba, tomo 3, folio 832).</w:t>
        <w:br/>
        <w:br/>
        <w:br/>
        <w:t>[231]       “Si bien es cierto que  el  resultado  antijurídico  se  produjo</w:t>
        <w:br/>
        <w:t>dentro  de  contexto  de  acciones  militares  lícitas  a  la  luz   de   la</w:t>
        <w:br/>
        <w:t>Constitución y la Ley cuanto las autoridades están llamadas  a  proteger  la</w:t>
        <w:br/>
        <w:t>soberanía estatal y velar porque se respeten los derechos y  bienes  de  los</w:t>
        <w:br/>
        <w:t>coasociados, también lo es que  los  procesados  cometieron  una  infracción</w:t>
        <w:br/>
        <w:t>contra el Derecho Internacional Humanitario al  ignorar  deliberadamente  el</w:t>
        <w:br/>
        <w:t>principio de distinción, lanzando el artefacto muy cerca a un caserío  donde</w:t>
        <w:br/>
        <w:t>se encontraba la población civil a  pesar  de  la  imprecisión  y  letalidad</w:t>
        <w:br/>
        <w:t>propias de éste, lo que además  implicó  la  violación  de  los  manuales  y</w:t>
        <w:br/>
        <w:t>reglamentos de la Fuerza Aérea Colombiana, que conocían  por  razón  de  sus</w:t>
        <w:br/>
        <w:t>funciones”. Sentencia Juzgado Doce Penal del  Circuito  de  Conocimiento  de</w:t>
        <w:br/>
        <w:t>Bogotá D.C.  con  funciones  de  Ley  600  de  2000,  Sentencia  de  Primera</w:t>
        <w:br/>
        <w:t>Instancia, Radicado 2005-102,  24  de  septiembre  de  2009  (expediente  de</w:t>
        <w:br/>
        <w:t>prueba, tomo 20, folio 10648).</w:t>
        <w:br/>
        <w:br/>
        <w:br/>
        <w:t>[232]       Sentencia Juzgado Doce Penal del  Circuito  de  Conocimiento  de</w:t>
        <w:br/>
        <w:t>Bogotá D.C.  con  funciones  de  Ley  600  de  2000,  Sentencia  de  Primera</w:t>
        <w:br/>
        <w:t>Instancia, Radicado 2005-102,  24  de  septiembre  de  2009  (expediente  de</w:t>
        <w:br/>
        <w:t>prueba, tomo 20, folio 10646 y 10648).</w:t>
        <w:br/>
        <w:br/>
        <w:br/>
        <w:t>[233]       La sentencia señaló que  “[c]on  ocasión  a  enfrentamiento  que</w:t>
        <w:br/>
        <w:t>venía dándose entre una célula de las FARC y miembros del Ejército  Nacional</w:t>
        <w:br/>
        <w:t>en inmediaciones del poblado del  corregimiento  de  Santo  Domingo  […]  se</w:t>
        <w:br/>
        <w:t>requirió del apoyo aéreo de la Fuerza  Aérea  Colombiana  y  a  eso  de  las</w:t>
        <w:br/>
        <w:t>10:02:10 a.m. del 13 de diciembre de 1998 el helicóptero […]  de  la  Fuerza</w:t>
        <w:br/>
        <w:t>Aérea Colombiana con el fin  de  contrarrestar  parte  de  dicha  agrupación</w:t>
        <w:br/>
        <w:t>subversiva que se hallaba en zona boscosa (mata de monte) y que  se  ubicaba</w:t>
        <w:br/>
        <w:t>cerca del mencionado poblado, lanzó-  una  bomba  explosiva  de  fabricación</w:t>
        <w:br/>
        <w:t>americana conocida en su especie con el nombre cluster  compuesta  por  seis</w:t>
        <w:br/>
        <w:t>granadas de fragmentación cada una de  20  libras,  afirmándose  que  en  la</w:t>
        <w:br/>
        <w:t>explosión alcanzó a personal civil que se hallaba en el caserío  y  ocasionó</w:t>
        <w:br/>
        <w:t>la muerte de 17 personas y lesiones en otras 21 incluyendo mujeres  y  niños</w:t>
        <w:br/>
        <w:t>entre las víctimas”. Cfr. Tribunal Superior  Distrito  judicial  de  Bogotá,</w:t>
        <w:br/>
        <w:t>Sala Penal, sentencia de 15 de junio de 2011, mediante la cual  se  resuelve</w:t>
        <w:br/>
        <w:t>el  recurso  de  apelación  interpuesto  contra  la  sentencia  de   primera</w:t>
        <w:br/>
        <w:t>instancia, MP: Luis Mariano Rodríguez Roa (expediente de  prueba,  tomo  20,</w:t>
        <w:br/>
        <w:t>folios 10791).</w:t>
        <w:br/>
        <w:br/>
        <w:br/>
        <w:t>[234]       Cfr. Caso Raxcacó  Reyes  Vs.  Guatemala.  Sentencia  de  15  de</w:t>
        <w:br/>
        <w:t>septiembre de 2005. Serie C No. 133,  párr.  55;  Caso  Fermín  Ramírez  Vs.</w:t>
        <w:br/>
        <w:t>Guatemala. Sentencia de 20 de junio de 2005. Serie C No. 126,  párrs.  61  y</w:t>
        <w:br/>
        <w:t>62; Caso Castillo Petruzzi y otros Vs. Perú. Fondo, Reparaciones  y  Costas,</w:t>
        <w:br/>
        <w:t>párr. 90;  Caso  de  la  “Panel  Blanca”  (Paniagua  Morales  y  otros)  Vs.</w:t>
        <w:br/>
        <w:t>Guatemala. Fondo, párr.  71,  y  Caso  Suárez  Rosero  Vs.  Ecuador.  Fondo.</w:t>
        <w:br/>
        <w:t>Sentencia de 12 de noviembre de 1997. Serie C No. 35, párr. 37.</w:t>
        <w:br/>
        <w:br/>
        <w:br/>
        <w:t>[235]       Cfr. Caso de la Masacre de Pueblo  Bello  Vs.  Colombia.  Fondo,</w:t>
        <w:br/>
        <w:t>Reparaciones y Costas, párr. 118.</w:t>
        <w:br/>
        <w:br/>
        <w:br/>
        <w:t>[236]       Cfr. Caso de la “Masacre  de  Mapiripán”  Vs.  Colombia.  Fondo,</w:t>
        <w:br/>
        <w:t>Reparaciones y Costas, párr. 110; Caso 19 Comerciantes. Fondo,  Reparaciones</w:t>
        <w:br/>
        <w:t>y Costas. Sentencia de 5 de julio de 2004. Serie C No.  109,  párr.  141,  y</w:t>
        <w:br/>
        <w:t>Caso Maritza Urrutia. Fondo, Reparaciones  y  Costas.  Sentencia  de  27  de</w:t>
        <w:br/>
        <w:t>noviembre de 2003. Serie C No. 103, párr. 41.</w:t>
        <w:br/>
        <w:br/>
        <w:br/>
        <w:t>[237]       Cfr. Caso de la Masacre de Pueblo  Bello  Vs.  Colombia.  Fondo,</w:t>
        <w:br/>
        <w:t>Reparaciones y Costas, párr. 113.</w:t>
        <w:br/>
        <w:br/>
        <w:br/>
        <w:t>[238] Cfr. Caso Hilaire, Constantine y  Benjamin  y  otros  Vs.  Trinidad  y</w:t>
        <w:br/>
        <w:t>Tobago. Fondo, Reparaciones y Costas. Sentencia de  21  de  junio  de  2002.</w:t>
        <w:br/>
        <w:t>Serie C No. 94, párr. 145, y Caso Valle  Jaramillo  y  otros  Vs.  Colombia.</w:t>
        <w:br/>
        <w:t>Fondo, Reparaciones y Costas. Sentencia de 27 de noviembre de 2008. Serie  C</w:t>
        <w:br/>
        <w:t>No. 192, párr. 154.</w:t>
        <w:br/>
        <w:br/>
        <w:br/>
        <w:t>[239]       Cfr. Caso Genie Lacayo  Vs.  Nicaragua.  Fondo,  Reparaciones  y</w:t>
        <w:br/>
        <w:t>Costas. Sentencia de 29 de enero de 1997. Serie C No. 30, párr.  77  y  Caso</w:t>
        <w:br/>
        <w:t>Kawas Fernández Vs. Honduras. Fondo, Reparaciones y Costas. Sentencia  de  3</w:t>
        <w:br/>
        <w:t>de abril de 2009 Serie C No. 196, párr. 112.</w:t>
        <w:br/>
        <w:br/>
        <w:br/>
        <w:t>[240]        Cfr.  Caso  Valle  Jaramillo  y  otros  Vs.  Colombia.   Fondo,</w:t>
        <w:br/>
        <w:t>Reparaciones y Costas. Sentencia de 27 de noviembre de  2008.  Serie  C  No.</w:t>
        <w:br/>
        <w:t>192, párr. 155 y Caso Familia Barrios Vs. Venezuela. Fondo,  Reparaciones  y</w:t>
        <w:br/>
        <w:t>Costas. Sentencia de 24 de noviembre de 2011. Serie C No. 237, párr. 273.</w:t>
        <w:br/>
        <w:br/>
        <w:br/>
        <w:t>[241]       Cfr. Caso Familia Barrios Vs. Venezuela. Fondo,  Reparaciones  y</w:t>
        <w:br/>
        <w:t>Costas. Sentencia de 24 de noviembre de 2011. Serie C No. 237, párr.  284  y</w:t>
        <w:br/>
        <w:t>Caso Garibaldi Vs. Brasil. Excepciones Preliminares, Fondo,  Reparaciones  y</w:t>
        <w:br/>
        <w:t>Costas. Sentencia de 23 de septiembre de 2009. Serie C No. 203, párr. 138.</w:t>
        <w:br/>
        <w:br/>
        <w:br/>
        <w:t>[242]       Cfr. Caso de la “Masacre  de  Mapiripán”  Vs.  Colombia.  Fondo,</w:t>
        <w:br/>
        <w:t>Reparaciones y Costas. Sentencia de 15 de septiembre de 2005.  Serie  C  No.</w:t>
        <w:br/>
        <w:t>134, párr. 215; Caso González  y  otras  (“Campo  Algodonero”)  Vs.  México.</w:t>
        <w:br/>
        <w:t>Excepción Preliminar, Fondo, Reparaciones  y  Costas.  Sentencia  de  16  de</w:t>
        <w:br/>
        <w:t>noviembre de 2009. Serie C No. 205, párr. 373; Caso  de  la  Masacre  de  La</w:t>
        <w:br/>
        <w:t>Rochela Vs. Colombia. Fondo, Reparaciones y Costas. Sentencia de  11  de  de</w:t>
        <w:br/>
        <w:t>mayo de 2007. Serie C No. 163, párr. 206; Caso de las  Masacres  de  Ituango</w:t>
        <w:br/>
        <w:t>Vs. Colombia. Excepción Preliminar, Fondo, Reparaciones y Costas.  Sentencia</w:t>
        <w:br/>
        <w:t>de 1 de julio de 2006 Serie C No. 148, párr. 327, y Caso de  la  Masacre  de</w:t>
        <w:br/>
        <w:t>Pueblo Bello Vs. Colombia. Fondo, Reparaciones y Costas. Sentencia de 31  de</w:t>
        <w:br/>
        <w:t>enero de 2006. Serie C No. 140, párr. 203.</w:t>
        <w:br/>
        <w:br/>
        <w:br/>
        <w:t>[243]       Cfr. Caso de la Masacre de Pueblo  Bello  Vs.  Colombia.  Fondo,</w:t>
        <w:br/>
        <w:t>Reparaciones y Costas. Sentencia de 31 de enero de 2006. Serie  C  No.  140,</w:t>
        <w:br/>
        <w:t>párr.  203;  Caso  de  la  Masacre  de  La  Rochela  Vs.  Colombia.   Fondo,</w:t>
        <w:br/>
        <w:t>Reparaciones y Costas. Sentencia de 11 de de mayo de 2007. Serie C No.  163,</w:t>
        <w:br/>
        <w:t>párr. 215, y Caso  de  las  Masacres  de  Ituango  Vs.  Colombia.  Excepción</w:t>
        <w:br/>
        <w:t>Preliminar, Fondo, Reparaciones y Costas. Sentencia de 1 de  julio  de  2006</w:t>
        <w:br/>
        <w:t>Serie C No. 148, párr. 333.</w:t>
        <w:br/>
        <w:br/>
        <w:br/>
        <w:t>[244]       Así, el fallo de primera instancia de 2 de octubre  de  2002  de</w:t>
        <w:br/>
        <w:t>la Comisión Especial Disciplinaria de la Procuraduría General de la  Nación,</w:t>
        <w:br/>
        <w:t>estimó que: “el 27 de octubre de 2000, se formularon  cargos  disciplinarios</w:t>
        <w:br/>
        <w:t>contra C.R.P., J.J.V. y H.M.H.A. Concretamente,  al  Capitán  C.R.P.  se  le</w:t>
        <w:br/>
        <w:t>imputó el lanzamiento de un artefacto explosivo, tipo cluster  ó  municiones</w:t>
        <w:br/>
        <w:t>de racimo, teniendo conocimiento del peligro que ello acarreaba,  en  cuanto</w:t>
        <w:br/>
        <w:t>que el blanco escogido se hallaba dentro del caserío,  muy  cerca  al  lugar</w:t>
        <w:br/>
        <w:t>donde  esa  mañana  se  habla  concentrado  la  población   civil,   quienes</w:t>
        <w:br/>
        <w:t>perfectamente podían  ser  vistos  desde  el  helicóptero.  La  Procuraduría</w:t>
        <w:br/>
        <w:t>sostiene que dicho comportamiento constituye una violación grave al  Derecho</w:t>
        <w:br/>
        <w:t>Internacional Humanitario, el cual  se  estructuró  en  el  marco  del  dolo</w:t>
        <w:br/>
        <w:t>eventual. Al Técnico de Vuelo H.M.H.A. se le imputó que el 13  de  diciembre</w:t>
        <w:br/>
        <w:t>de 1998, en el momento de las operaciones militares en el caserío  de  Santo</w:t>
        <w:br/>
        <w:t>Domingo, atendiendo  la  orden  impartida  por  el  piloto  de  la  aeronave</w:t>
        <w:br/>
        <w:t>mencionada,  disparó  un  dispositivo  cluster  a  un   blanco   previamente</w:t>
        <w:br/>
        <w:t>seleccionado, teniendo conocimiento  que  el  mismo  se  encontraba  situado</w:t>
        <w:br/>
        <w:t>dentro del caserío cerca al lugar donde la  mayoría  de  los  habitantes  se</w:t>
        <w:br/>
        <w:t>hallaban reunidos, lo cual podía percibir desde el helicóptero conforme  con</w:t>
        <w:br/>
        <w:t>las condiciones de visibilidad del lugar. Dicha conducta se adecuó a  título</w:t>
        <w:br/>
        <w:t>de dolo eventual”. Procuraduría General  de  la  Nación,  Comisión  Especial</w:t>
        <w:br/>
        <w:t>Disciplinaria, radicación 155-45564-00, 2 de octubre de 2002 (expediente  de</w:t>
        <w:br/>
        <w:t>prueba, tomo 3,  folios  991  a  993).  Así,  “conforme  con  los  criterios</w:t>
        <w:br/>
        <w:t>consignados en el artículo 27 de la Ley 200 de 1995, se tiene que  para  los</w:t>
        <w:br/>
        <w:t>dos servidores públicos disciplinados en esta  actuación  procesal,  quienes</w:t>
        <w:br/>
        <w:t>actuaron como coautores en la realización de  la  conducta  reprochable,  la</w:t>
        <w:br/>
        <w:t>falta disciplinaria por  lo  trasgresión  de  la  Constitución,  el  Derecho</w:t>
        <w:br/>
        <w:t>Internacional Humanitario, que se traduce materialmente en la violación  del</w:t>
        <w:br/>
        <w:t>deber  contenido  en  el  numeral  1°  del  artículo  40  Ibídem,  tiene  la</w:t>
        <w:br/>
        <w:t>naturaleza de grave por el dolo en la conducta, por la jerarquía y mando  de</w:t>
        <w:br/>
        <w:t>los imputados, la falta de consideración para con los  administrados  y  los</w:t>
        <w:br/>
        <w:t>efectos  de  la  falta  respecto  de  la  población  civil,   sus   derechos</w:t>
        <w:br/>
        <w:t>fundamentales en especial la grave violación del derecho  fundamental  a  la</w:t>
        <w:br/>
        <w:t>vida y la integridad física”. Procuraduría General de  la  Nación,  Comisión</w:t>
        <w:br/>
        <w:t>Especial Disciplinaria,  radicación  155-45564-00,  2  de  octubre  de  2002</w:t>
        <w:br/>
        <w:t>(expediente de prueba, tomo 3, folio 1030). Al Mayor J.M.G.G. se  le  imputó</w:t>
        <w:br/>
        <w:t>como reproche disciplinario un comportamiento omisivo a título de culpa  por</w:t>
        <w:br/>
        <w:t>no ejercer sus atribuciones respecto de la tropa ubicada en el  área  urbana</w:t>
        <w:br/>
        <w:t>del corregimiento de Santo Domingo, entre el 16 y 22 de diciembre  de  1998,</w:t>
        <w:br/>
        <w:t>lapso  en  el  que  habría  permitido  negligentemente  que   los   soldados</w:t>
        <w:br/>
        <w:t>ingresaran de manera arbitraria  a  las  residencias  aprovechando  que  sus</w:t>
        <w:br/>
        <w:t>habitantes  se  habían  desplazado  hacia  otros  municipios  a  causa   del</w:t>
        <w:br/>
        <w:t>bombardeo del 13 de diciembre de 1998. Finalmente, al Teniente J.J.V. se  le</w:t>
        <w:br/>
        <w:t>imputó un comportamiento por omisión  porque  a  sabiendas  de  lo  ocurrido</w:t>
        <w:br/>
        <w:t>encubrió el actuar posiblemente irregular de sus compañeros de  tripulación.</w:t>
        <w:br/>
        <w:t>Procuraduría  General  de  la  Nación,  Comisión   Especial   Disciplinaria,</w:t>
        <w:br/>
        <w:t>radicación 155-45564-00, 2 de octubre de 2002 (expediente  de  prueba,  tomo</w:t>
        <w:br/>
        <w:t>3, folio 1003).</w:t>
        <w:br/>
        <w:br/>
        <w:br/>
        <w:t>[245]       Sentencia del  20  de  mayo  de  2004  el  Tribunal  Contencioso</w:t>
        <w:br/>
        <w:t>Administrativo de  Arauca.  Acción  de  Reparación  Directa  (expediente  de</w:t>
        <w:br/>
        <w:t>prueba, tomo 20, folio 10233 a 10234).</w:t>
        <w:br/>
        <w:br/>
        <w:br/>
        <w:t>[246]       “Como se advierte,  en  este  caso  se  demostró  la  falla  del</w:t>
        <w:br/>
        <w:t>servicio en que incurrió la Nación, al disparar  contra  el  personal  civil</w:t>
        <w:br/>
        <w:t>durante  la  persecución  de  una  aeronave  clandestina  que  presuntamente</w:t>
        <w:br/>
        <w:t>realizaba tareas del narcotráfico, conducta que  resulta  reprochable  a  la</w:t>
        <w:br/>
        <w:t>luz de los preceptos constitucionales e internacionales.  Por  consiguiente,</w:t>
        <w:br/>
        <w:t>al declarar la responsabilidad  patrimonial  del  Estado,  no  solamente  se</w:t>
        <w:br/>
        <w:t>resarcen los daños causados  a  las  víctimas,  sino  que  se  vela  por  la</w:t>
        <w:br/>
        <w:t>protección de los derechos fundamentales, con  el  fin  de  que  los  hechos</w:t>
        <w:br/>
        <w:t>juzgados no se vuelvan a repetir”. Cfr. Sentencia 19 de noviembre  de  2008,</w:t>
        <w:br/>
        <w:t>Sección Tercera, Consejo de Estado, Mario Galvis Gelves y otros,  radicación</w:t>
        <w:br/>
        <w:t>No 07001-23-31-0002000-0348-01, Consejero Ponente: Ramiro  Saavedra  Becerra</w:t>
        <w:br/>
        <w:t>(expediente de prueba, tomo 3, folios 1080 a 1081).</w:t>
        <w:br/>
        <w:br/>
        <w:br/>
        <w:t>[247]       El Tribunal Contencioso de Arauca consideró:  “¿Podría  entonces</w:t>
        <w:br/>
        <w:t>en el caso presente,  predicarse  la  teoría  del  daño  especial?  La  Sala</w:t>
        <w:br/>
        <w:t>considera que no, por cuanto  si  bien  en  un  comienzo  la  actuación  del</w:t>
        <w:br/>
        <w:t>Ejercito Nacional y la Fuerza  Aérea  fue  legítima  al  perseguir  aeronave</w:t>
        <w:br/>
        <w:t>clandestina dedicada al narcotráfico y enfrentar además a  los  guerrilleros</w:t>
        <w:br/>
        <w:t>que la esperaban y protegían, tal actuar legítimo y obligatorio además  para</w:t>
        <w:br/>
        <w:t>las Fuerzas Militares, se desdibujó cuando desde el helicóptero FAG 4407  se</w:t>
        <w:br/>
        <w:t>disparó hacia el personal civil con un dolo eventual  como  lo  etiquetó  el</w:t>
        <w:br/>
        <w:t>auto que vinculó a la  investigación  los  uniformados.  Es  decir,  ni  tan</w:t>
        <w:br/>
        <w:t>siquiera puede predicarse la culpa, por cuanto, por lo menos el  capitán  de</w:t>
        <w:br/>
        <w:t>la aeronave, era consciente del sitio hacia donde  se  dirigía  el  disparó.</w:t>
        <w:br/>
        <w:t>[…]  Hubo  entonces  una  falla  de  la  Administración  y  tal  falla   fue</w:t>
        <w:br/>
        <w:t>debidamente acreditada dentro del proceso; luego el título de imputación  es</w:t>
        <w:br/>
        <w:t>edificable sobre tal régimen como lo reclama la parte actora  sin  que,  por</w:t>
        <w:br/>
        <w:t>lo demás, para efectos  de  la  cuantificación  de  la  condena  ello  tenga</w:t>
        <w:br/>
        <w:t>relevancia  alguna,  pues  igualmente  al  haberse  causado  las  muertes  y</w:t>
        <w:br/>
        <w:t>lesiones  con  armamento  oficial,  ello  permite  también  la  vinculación,</w:t>
        <w:br/>
        <w:t>liberando además de determinados aspectos probatorios a la parte actora  por</w:t>
        <w:br/>
        <w:t>tratarse del ejercicio de actividades peligrosas”. Sentencia del 20 de  mayo</w:t>
        <w:br/>
        <w:t>de  2004  el  Tribunal  Contencioso  Administrativo  de  Arauca.  Acción  de</w:t>
        <w:br/>
        <w:t>Reparación Directa (expediente de prueba, tomo 20, folio 10233 a 10234).</w:t>
        <w:br/>
        <w:br/>
        <w:br/>
        <w:t>[248]       El artículo 4.1 de  la  Convención  Americana  establece:  “Toda</w:t>
        <w:br/>
        <w:t>persona tiene  derecho  a  que  se  respete  su  vida. Este  derecho  estará</w:t>
        <w:br/>
        <w:t>protegido por la ley y, en general, a partir del momento de  la  concepción.</w:t>
        <w:br/>
        <w:t>Nadie puede ser privado de la vida arbitrariamente”.</w:t>
        <w:br/>
        <w:br/>
        <w:br/>
        <w:t>[249]       El Artículo 5.1 de  la  Convención  Americana  establece:  “Toda</w:t>
        <w:br/>
        <w:t>persona tiene derecho a que se respete  su  integridad  física,  psíquica  y</w:t>
        <w:br/>
        <w:t>moral.</w:t>
        <w:br/>
        <w:br/>
        <w:br/>
        <w:t>[250]       El Artículo 19 de la Convención Americana establece: “Todo  niño</w:t>
        <w:br/>
        <w:t>tiene derecho a  las  medidas  de  protección  que  su  condición  de  menor</w:t>
        <w:br/>
        <w:t>requieren por parte de su familia, de la sociedad y del Estado”.</w:t>
        <w:br/>
        <w:br/>
        <w:br/>
        <w:t>[251]       El artículo 2 de la Convención Americana  establece  que:  “[s]i</w:t>
        <w:br/>
        <w:t>el ejercicio de los derechos y libertades mencionados en el  artículo  1  no</w:t>
        <w:br/>
        <w:t>estuviere ya garantizado por disposiciones legislativas o de otro  carácter,</w:t>
        <w:br/>
        <w:t>los  Estados  Partes  se  comprometen  a  adoptar,   con   arreglo   a 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libertades”.</w:t>
        <w:br/>
        <w:br/>
        <w:br/>
        <w:t>[252]       El artículo  1.1  de  la  Convención  Americana  establece  que:</w:t>
        <w:br/>
        <w:t>“[l]os Estados Partes en [la]  Convención  se  comprometen  a  respetar  los</w:t>
        <w:br/>
        <w:t>derechos y libertades reconocidos en ella y a garantizar su  libre  y  pleno</w:t>
        <w:br/>
        <w:t>ejercicio  a  toda  persona  que  esté  sujeta  a   su   jurisdicción,   sin</w:t>
        <w:br/>
        <w:t>discriminación alguna por motivos de raza, color,  sexo,  idioma,  religión,</w:t>
        <w:br/>
        <w:t>opiniones políticas o de cualquier otra índole, origen  nacional  o  social,</w:t>
        <w:br/>
        <w:t>posición económica, nacimiento o cualquier otra condición social”.</w:t>
        <w:br/>
        <w:br/>
        <w:br/>
        <w:t>[253]       Cfr. Caso de las Masacres de  Ituango  Vs.  Colombia.  Excepción</w:t>
        <w:br/>
        <w:t>Preliminar, Fondo, Reparaciones y Costas. Sentencia de 1 de  julio  de  2006</w:t>
        <w:br/>
        <w:t>Serie C No. 148, párr. 179; Caso de la masacre de  Mapiripán  Vs.  Colombia,</w:t>
        <w:br/>
        <w:t>párrs. 114, 153 y 172, y Caso Masacres de El Mozote y lugares  aledaños  Vs.</w:t>
        <w:br/>
        <w:t>El Salvador, párr. 141.</w:t>
        <w:br/>
        <w:br/>
        <w:br/>
        <w:t>[254]       Cabe recordar que el derecho internacional humanitario debe  ser</w:t>
        <w:br/>
        <w:t>aplicado  por  las  partes  en   el   marco   de   conflictos   armados   no</w:t>
        <w:br/>
        <w:t>internacionales, siempre y cuando los hechos correspondan a situaciones  que</w:t>
        <w:br/>
        <w:t>se producen con ocasión y en desarrollo del conflicto.  Véase  al  respecto,</w:t>
        <w:br/>
        <w:t>CPI, Sala de Cuestiones Preliminares I, Caso El  Fiscal  c.  Thomas  Lubanga</w:t>
        <w:br/>
        <w:t>Dyilo, ICC-01/04-01/06-803, decisión sobre confirmación de cargos, de 29  de</w:t>
        <w:br/>
        <w:t>enero de 2007, párrafo 287 y TPIY Caso El Fiscal c. Tadiç (“Prijedor”),  No.</w:t>
        <w:br/>
        <w:t>IT-94-1, Sentencia sobre excepciones  preliminares  (competencia)  de  2  de</w:t>
        <w:br/>
        <w:t>octubre de 1995, párrafo 70. Véase también para el  caso  colombiano,  Corte</w:t>
        <w:br/>
        <w:t>Suprema de Justicia, Sala de Casación Penal, Segunda Instancia  de  Justicia</w:t>
        <w:br/>
        <w:t>y Paz, Auto de  21  de  septiembre  de  2009,  radicado  32.022,  Magistrado</w:t>
        <w:br/>
        <w:t>Ponente: Dr. Sigifredo Espinosa Pérez, páginas 186  y  187  de  229.  En  el</w:t>
        <w:br/>
        <w:t>presente caso, las partes y la  Comisión  coinciden  en  considerar  que  la</w:t>
        <w:br/>
        <w:t>situación debe ser  analizada  por  la  Corte  interpretando  la  Convención</w:t>
        <w:br/>
        <w:t>Americana  a  la  luz  de  las   disposiciones   pertinentes   del   derecho</w:t>
        <w:br/>
        <w:t>internacional humanitario.</w:t>
        <w:br/>
        <w:br/>
        <w:br/>
        <w:t>[255]        Véase  en  particular  Convenio  de  Ginebra  relativo   a   la</w:t>
        <w:br/>
        <w:t>Protección de Personas Civiles en  Tiempo  de  Guerra,  Aprobado  el  12  de</w:t>
        <w:br/>
        <w:t>agosto de 1949  por  la  Conferencia  Diplomática  para  Elaborar  Convenios</w:t>
        <w:br/>
        <w:t>Internacionales  destinados  a  proteger  a  las  víctimas  de  la   guerra,</w:t>
        <w:br/>
        <w:t>celebrada en Ginebra del 12 de abril al 12 de agosto  de  1949.  Entrada  en</w:t>
        <w:br/>
        <w:t>vigor: 21 de octubre de 1950 y ratificado por Colombia el 8 de noviembre  de</w:t>
        <w:br/>
        <w:t>1961.</w:t>
        <w:br/>
        <w:br/>
        <w:br/>
        <w:t>[256]       El artículo  3  común  de  los  Convenios  de  ginebra  de  1949</w:t>
        <w:br/>
        <w:t>establece  lo  siguiente:  “Conflictos  no  internacionales:  En   caso   de</w:t>
        <w:br/>
        <w:t>conflicto armado que no sea de  índole  internacional  y  que  surja  en  el</w:t>
        <w:br/>
        <w:t>territorio de una de las Altas Partes Contratantes cada una  de  las  Partes</w:t>
        <w:br/>
        <w:t>en conflicto tendrá la obligación de aplicar, como  mínimo,  las  siguientes</w:t>
        <w:br/>
        <w:t>disposiciones: 1)  Las  personas  que  no  participen  directamente  en  las</w:t>
        <w:br/>
        <w:t>hostilidades, incluidos los  miembros  de  las  fuerzas  armadas  que  hayan</w:t>
        <w:br/>
        <w:t>depuesto las armas y las personas puestas fuera de combate  por  enfermedad,</w:t>
        <w:br/>
        <w:t>herida,  detención  o  por  cualquier  otra  causa,  serán,  en  todas   las</w:t>
        <w:br/>
        <w:t>circunstancias, tratadas con humanidad,  sin  distinción  alguna  de  índole</w:t>
        <w:br/>
        <w:t>desfavorable basada en la raza, el color, la  religión  o  la  creencia,  el</w:t>
        <w:br/>
        <w:t>sexo, el nacimiento o la fortuna o cualquier otro criterio análogo.  A  este</w:t>
        <w:br/>
        <w:t>respecto, se prohíben, en cualquier tiempo y lugar, por lo que atañe  a  las</w:t>
        <w:br/>
        <w:t>personas  arriba  mencionadas:  a)  los  atentados  contra  la  vida  y   la</w:t>
        <w:br/>
        <w:t>integridad corporal, especialmente el homicidio en  todas  sus  formas,  las</w:t>
        <w:br/>
        <w:t>mutilaciones, los tratos crueles, la tortura y los suplicios; b) la toma  de</w:t>
        <w:br/>
        <w:t>rehenes; c) los atenta dos contra la dignidad  personal,  especialmente  los</w:t>
        <w:br/>
        <w:t>tratos  humillantes  y  degradantes;  d)  las  condenas   dictadas   y   las</w:t>
        <w:br/>
        <w:t>ejecuciones sin previo juicio ante un  tribunal  legítimamente  constituido,</w:t>
        <w:br/>
        <w:t>con garantías judiciales reconocidas como  indispensables  por  los  pueblos</w:t>
        <w:br/>
        <w:t>civilizados. 2) Los heridos y los enfermos serán recogidos y  asistidos.  Un</w:t>
        <w:br/>
        <w:t>organismo humanitario imparcial, tal como  el  Comité  Internacional  de  la</w:t>
        <w:br/>
        <w:t>Cruz Roja, podrá ofrecer sus servicios a las Partes  en  conflicto.  Además,</w:t>
        <w:br/>
        <w:t>las Partes en conflicto harán  lo  posible  por  poner  en  vigor,  mediante</w:t>
        <w:br/>
        <w:t>acuerdos especiales, la totalidad o parte de  las  otras  disposiciones  del</w:t>
        <w:br/>
        <w:t>presente Convenio. La aplicación de las anteriores disposiciones no  surtirá</w:t>
        <w:br/>
        <w:t>efectos sobre el estatuto jurídico de las Partes en conflicto”.</w:t>
        <w:br/>
        <w:br/>
        <w:br/>
        <w:t>[257]       Colombia es parte del Protocolo adicional II a los Convenios  de</w:t>
        <w:br/>
        <w:t>Ginebra de 1949 relativo a la protección de las víctimas de  los  conflictos</w:t>
        <w:br/>
        <w:t>armados sin carácter internacional desde el 14 de agosto de 1995.</w:t>
        <w:br/>
        <w:br/>
        <w:br/>
        <w:t>[258]        Cfr.  Comité  Internacional  de  la  Cruz  Roja,   El   Derecho</w:t>
        <w:br/>
        <w:t>Internacional Humanitario Consuetudinario, vol. I,  editado  por  Jean-Marie</w:t>
        <w:br/>
        <w:t>Henckaerts y Louise Doswald-Beck, 2007.</w:t>
        <w:br/>
        <w:br/>
        <w:br/>
        <w:t>[259]       Cfr. Caso de los  “Niños  de  la  Calle”  (Villagrán  Morales  y</w:t>
        <w:br/>
        <w:t>otros) Vs. Guatemala. Fondo. Sentencia de 19 de noviembre de 1999.  Serie  C</w:t>
        <w:br/>
        <w:t>No. 63, párr. 139, y Caso Masacres de El Mozote y lugares  aledaños  Vs.  El</w:t>
        <w:br/>
        <w:t>Salvador, párr. 145.</w:t>
        <w:br/>
        <w:br/>
        <w:br/>
        <w:t>[260]       Cfr. Caso de la Masacre de Pueblo  Bello  Vs.  Colombia.  Fondo,</w:t>
        <w:br/>
        <w:t>Reparaciones y Costas, párr. 111, y Caso Furlán y Familiares Vs.  Argentina,</w:t>
        <w:br/>
        <w:t>párr. 134.</w:t>
        <w:br/>
        <w:br/>
        <w:br/>
        <w:t>[261]       Cfr.,  Caso  Velásquez  Rodríguez.  Fondo,  párr.  164,  y  Caso</w:t>
        <w:br/>
        <w:t>Masacres de El Mozote y lugares aledaños Vs. El Salvador, párr. 142.</w:t>
        <w:br/>
        <w:br/>
        <w:br/>
        <w:t>[262]       Cfr. La expresión "leyes" en el artículo  30  de  la  Convención</w:t>
        <w:br/>
        <w:t>Americana sobre Derechos Humanos, Opinión Consultiva OC-6/86 del 9  de  mayo</w:t>
        <w:br/>
        <w:t>de 1986. Serie A No. 6, párr. 21.</w:t>
        <w:br/>
        <w:br/>
        <w:br/>
        <w:t>[263]       Cfr.  Caso  Vargas  Areco  Vs.  Paraguay.  Sentencia  de  26  de</w:t>
        <w:br/>
        <w:t>septiembre de 2006. Serie C No. 155, párr. 73, y Caso Masacres de El  Mozote</w:t>
        <w:br/>
        <w:t>y lugares aledaños Vs. El Salvador, párr. 144.</w:t>
        <w:br/>
        <w:br/>
        <w:br/>
        <w:t>[264]       Cfr. Caso Velásquez Rodríguez Vs. Honduras, Fondo, párr. 166,  y</w:t>
        <w:br/>
        <w:t>Caso Masacres de El Mozote y lugares aledaños Vs. El Salvador, párr. 144.</w:t>
        <w:br/>
        <w:br/>
        <w:br/>
        <w:t>[265]       Caso Velásquez Rodríguez Vs. Honduras. Fondo, párr. 174, y  Caso</w:t>
        <w:br/>
        <w:t>Masacres de El Mozote y lugares aledaños Vs. El Salvador, párr. 144.</w:t>
        <w:br/>
        <w:br/>
        <w:br/>
        <w:t>[266]       Cfr. Caso de los  “Niños  de  la  Calle”  (Villagrán  Morales  y</w:t>
        <w:br/>
        <w:t>otros) Vs. Guatemala. Fondo, párr. 144, y  Caso  Masacres  de  El  Mozote  y</w:t>
        <w:br/>
        <w:t>lugares aledaños Vs. El Salvador, párr. 145.</w:t>
        <w:br/>
        <w:br/>
        <w:br/>
        <w:t>[267] Cfr. Caso de los “Niños de la Calle” (Villagrán Morales y  otros)  Vs.</w:t>
        <w:br/>
        <w:t>Guatemala. Fondo, párrs. 144-145, y Caso Masacres de  El  Mozote  y  lugares</w:t>
        <w:br/>
        <w:t>aledaños Vs. El Salvador, párr. 147.</w:t>
        <w:br/>
        <w:br/>
        <w:br/>
        <w:t>[268]       Caso Loayza Tamayo Vs. Perú. Fondo, párr. 57,  y  Caso  masacres</w:t>
        <w:br/>
        <w:t>de El Mozote y lugares aledaños Vs. El Salvador, párr. 147.</w:t>
        <w:br/>
        <w:br/>
        <w:br/>
        <w:t>[269] Cfr. Caso de los “Niños de la Calle” (Villagrán Morales y  otros)  Vs.</w:t>
        <w:br/>
        <w:t>Guatemala. Fondo, párr. 165, y Caso Familia  Barrios  Vs.  Venezuela,  párr.</w:t>
        <w:br/>
        <w:t>82.</w:t>
        <w:br/>
        <w:br/>
        <w:br/>
        <w:t>[270]        Condición  Jurídica  y  Derechos  Humanos  del  Niño.   Opinión</w:t>
        <w:br/>
        <w:t>Consultiva OC-17/02 del 28  de  agosto  de  2002.  Serie  A  No.  17.  Véase</w:t>
        <w:br/>
        <w:t>también: artículo 1 de la Convención sobre los Derechos de los Niños  de  20</w:t>
        <w:br/>
        <w:t>de noviembre de 1989, entrada  en  vigor  el  2  de  septiembre  de  1990  y</w:t>
        <w:br/>
        <w:t>ratificada por Colombia el 28 de enero de 1991.</w:t>
        <w:br/>
        <w:br/>
        <w:br/>
        <w:t>[271]       La Corte no es  un  tribunal  de  alzada  o  de  apelación  para</w:t>
        <w:br/>
        <w:t>dirimir los desacuerdos que tengan las partes  sobre  determinados  alcances</w:t>
        <w:br/>
        <w:t>de la prueba o de la aplicación del  derecho  interno  en  aspectos  que  no</w:t>
        <w:br/>
        <w:t>estén  directamente  relacionados  con  el  cumplimiento   de   obligaciones</w:t>
        <w:br/>
        <w:t>internacionales en derechos humanos. Cfr. Caso Nogueira de Carvalho  y  otro</w:t>
        <w:br/>
        <w:t>vs. Brasil. Excepciones Preliminares y Fondo. Sentencia de 28  de  noviembre</w:t>
        <w:br/>
        <w:t>de 2006. Serie C No. 161, párr. 80, y Caso González Medina y familiares  Vs.</w:t>
        <w:br/>
        <w:t>República Dominicana, párr. 38.</w:t>
        <w:br/>
        <w:br/>
        <w:br/>
        <w:t>[272]       Caso Nogueira de Carvalho y otro vs. Brasil, párr.  80,  y  Caso</w:t>
        <w:br/>
        <w:t>Atala Riffo y Niñas Vs. Chile. Fondo, Reparaciones y Costas.  Sentencia  del</w:t>
        <w:br/>
        <w:t>24 de febrero de 2012. Serie C No. 239, párr. 65.</w:t>
        <w:br/>
        <w:br/>
        <w:br/>
        <w:t>[273]       Cfr. Testimonio de Alba Yanet García  en  la  Audiencia  Pública</w:t>
        <w:br/>
        <w:t>del 27 y 28 de junio de 2012. Ante la  Corte  Alba  Yanet  García,  dijo  lo</w:t>
        <w:br/>
        <w:t>siguiente: “ […] se viene un helicóptero pasa sobre nosotros […] se  detiene</w:t>
        <w:br/>
        <w:t>un poco, ya es cuando él nos lanza unas cosas, que yo dije,  el  helicóptero</w:t>
        <w:br/>
        <w:t>nos está tirado papeles, en ese momento yo casi no termino la frase,  cuando</w:t>
        <w:br/>
        <w:t>ya siento es la explosión, siento el impacto, todo quedo, en el  momento  yo</w:t>
        <w:br/>
        <w:t>no vi nada, no veía, pero las personas que estaban a mi alrededor  gritaban,</w:t>
        <w:br/>
        <w:t>pedían auxilio, yo en ese momento, mi terror fue tanto que yo salí,  intente</w:t>
        <w:br/>
        <w:t>correr, cuando yo intente  correr,  el  brazo  izquierdo  no  me  respondió,</w:t>
        <w:br/>
        <w:t>entonces yo me veo ya estaba toda bañada en sangre, el brazo  me  descolgaba</w:t>
        <w:br/>
        <w:t>prácticamente, entonces mi temor, mi miedo fue  horrorizante  todavía  mucho</w:t>
        <w:br/>
        <w:t>mas, entonces yo lo que hice fue agarrarme mi brazo y refugiarme  hacia  una</w:t>
        <w:br/>
        <w:t>casa que estaba al frente que  era  la  droguería  de  Santo  Domingo  […]”.</w:t>
        <w:br/>
        <w:t>Testimonio de María  Panqueva  dijo:”  nosotros  estábamos  ahí,  cuando  yo</w:t>
        <w:br/>
        <w:t>alcanzo a mirar un chorrito de humo, pero  ya  fue  demasiado  tarde  porque</w:t>
        <w:br/>
        <w:t>escuchamos, fue el estruendo y fue  cuando  yo  ya  mire  […]”.  Declaración</w:t>
        <w:br/>
        <w:t>rendida el 21 de diciembre de 1998 ante  el  Juzgado  24  de  la  Unidad  de</w:t>
        <w:br/>
        <w:t>Instrucción Penal militar (expediente de prueba, tomo 2, folios 643 a  645);</w:t>
        <w:br/>
        <w:t>Declaración rendida por Amalio Neite el 16 de  diciembre  de  1998  ante  la</w:t>
        <w:br/>
        <w:t>Personería Municipal de Tame (expediente de prueba, tomo  2,  folios  654  a</w:t>
        <w:br/>
        <w:t>655); Declaración  rendida  por  Luis  Sel  Murillo  Villamizar  del  22  de</w:t>
        <w:br/>
        <w:t>diciembre de 1998, ante el Juzgado 12 de  la  Unidad  de  Instrucción  Penal</w:t>
        <w:br/>
        <w:t>militar (expediente de prueba,  tomo  2,  folios  650  a  652);  Declaración</w:t>
        <w:br/>
        <w:t>rendida por Nilsa Díaz Herrera el 22 de diciembre de 1998  ante  el  Juzgado</w:t>
        <w:br/>
        <w:t>de la Unidad de Instrucción Penal militar (expediente  de  prueba,  tomo  2,</w:t>
        <w:br/>
        <w:t>folios 647 a 648); Declaración rendida por Adán Piñeros el 16  de  diciembre</w:t>
        <w:br/>
        <w:t>de 1998 ante Personería Municipal de Tame (expediente  de  prueba,  tomo  2,</w:t>
        <w:br/>
        <w:t>folio 657). Queja rendida por Ascención Daza Galindo el día 17 de  diciembre</w:t>
        <w:br/>
        <w:t>de 1998 ante la Personería Municipal de Tame, citado en:  Resolución  de  la</w:t>
        <w:br/>
        <w:t>Unidad de Instrucción  Penal  Militar  Especial  de  14  de  junio  de  2001</w:t>
        <w:br/>
        <w:t>(expediente de prueba, tomo 2, folio 496); Queja rendida por  María  Antonia</w:t>
        <w:br/>
        <w:t>Rojas ante la Personería Municipal de Tame, el día 17 de diciembre de  1998,</w:t>
        <w:br/>
        <w:t>citado en: Resolución de la Unidad de Instrucción Penal Militar Especial  de</w:t>
        <w:br/>
        <w:t>14 de junio de 2001 (expediente de prueba, tomo  2,  folio  496  a  497),  y</w:t>
        <w:br/>
        <w:t>queja rendida por Carmen Edilia González ante  la  Personería  Municipal  de</w:t>
        <w:br/>
        <w:t>Tame, el día 18 de diciembre de 1998, citado en: Resolución de la Unidad  de</w:t>
        <w:br/>
        <w:t>Instrucción Penal Militar Especial de 14 de junio  de  2001  (expediente  de</w:t>
        <w:br/>
        <w:t>prueba, tomo 2, folio 497).</w:t>
        <w:br/>
        <w:br/>
        <w:br/>
        <w:t>[274]       Del mismo modo Carmen Edilia González manifestó: “como a las 10</w:t>
        <w:br/>
        <w:t>AM lanzaron bombas sobre el caserío, los helicópteros que sobrevolaban la</w:t>
        <w:br/>
        <w:t>zona y como consecuencia las personas que se encontraban en la carretera y</w:t>
        <w:br/>
        <w:t>las que permanecían en sus viviendas fueron impactadas por las esquirlas de</w:t>
        <w:br/>
        <w:t>las bombas, que cuando salió de su casa estaba su esposo muerto, el niño</w:t>
        <w:br/>
        <w:t>que tenia ella en sus brazos también estaba herido […]”. Queja rendida por</w:t>
        <w:br/>
        <w:t>Carmen Edilia González ante la Personería Municipal de Tame, el día 18 de</w:t>
        <w:br/>
        <w:t>diciembre de 1998, citado en: Resolución de la Unidad de Instrucción Penal</w:t>
        <w:br/>
        <w:t>Militar Especial de 14 de junio de 2001 (expediente de prueba, tomo 2,</w:t>
        <w:br/>
        <w:t>folio 497). Historias Clínicas (expediente de prueba, tomo 19, folios 9811</w:t>
        <w:br/>
        <w:t>a 9931); Sala Disciplinaria de la Procuraduría General de la Nación,</w:t>
        <w:br/>
        <w:t>radicación 161-01640 (155-45564/2000), 19 de diciembre de 2002 (expediente</w:t>
        <w:br/>
        <w:t>de prueba, tomo 2, folio 610 a 611); Carta enviada por la personera</w:t>
        <w:br/>
        <w:t>municipal del Tame (Arauca) al Alto Comisionado de Naciones Unidas para los</w:t>
        <w:br/>
        <w:t>Derechos Humanos de 14 de diciembre de 1998 (expediente de prueba, tomo 15,</w:t>
        <w:br/>
        <w:t>folios 7813 a 7814); Decisión emitida por las Fuerzas Militares de</w:t>
        <w:br/>
        <w:t>Colombia, Fuerza Aérea y la Unidad de Instrucción Penal Militar Especial el</w:t>
        <w:br/>
        <w:t>14 de junio de 2001 (expediente de prueba, tomo 2, folio 421 a 422), y</w:t>
        <w:br/>
        <w:t>Video diligencia de 11 de febrero del 2000 (expediente de prueba, tomo 19,</w:t>
        <w:br/>
        <w:t>folio 9620), y la Inspección y estudio de balística y explosivos,</w:t>
        <w:br/>
        <w:t>ampliación del dictamen del 28 de abril de 2000. Investigación N. 419 UNDH,</w:t>
        <w:br/>
        <w:t>Fiscalía General de la Nación (expediente de prueba, tomo 19, folio 9689 a</w:t>
        <w:br/>
        <w:t>9691). Véase también: Juzgado Doce Penal del Circuito de Conocimiento de</w:t>
        <w:br/>
        <w:t>Bogotá D.C. con funciones de Ley 600 de 2000, Sentencia de Primera</w:t>
        <w:br/>
        <w:t>Instancia, Radicado 2005-102, 24 de septiembre de 2009 (expediente de</w:t>
        <w:br/>
        <w:t>prueba, tomo 2, folios 350 y ss.).</w:t>
        <w:br/>
        <w:br/>
        <w:br/>
        <w:t>[275]       En relación con el emplazamiento de la “mata de monte que está</w:t>
        <w:br/>
        <w:t>pegadita”, véase Fotografía aérea tomada sobre el área de Santo Domingo y</w:t>
        <w:br/>
        <w:t>la Mata de Monte (expediente de prueba, tomo 19, folio 10088 y 10089);</w:t>
        <w:br/>
        <w:t>Video Skymaster de 13 de diciembre de 1998, donde se puede ver que a las</w:t>
        <w:br/>
        <w:t>10:00 am se reporta esta conversación (expediente de prueba, tomo 19, folio</w:t>
        <w:br/>
        <w:t>9621); Instituto Agustín Codazzi, Subdirección de Geografía y Cartografía,</w:t>
        <w:br/>
        <w:t>esquema a escala 1:100.000 con los puntos y distancia (expediente de</w:t>
        <w:br/>
        <w:t>prueba, tomo 19, folio 9945 a 9946), y el Informe operacional Santo</w:t>
        <w:br/>
        <w:t>Domingo, Dirección de Operaciones Especiales Aéreas, Fuerzas Militares de</w:t>
        <w:br/>
        <w:t>Colombia, Fuerza Aérea (expediente de prueba, tomo 19, folios 10122 a</w:t>
        <w:br/>
        <w:t>10125). Véase también: Juzgado Doce Penal del Circuito de Conocimiento de</w:t>
        <w:br/>
        <w:t>Bogotá D.C. con funciones de Ley 600 de 2000, Sentencia de Primera</w:t>
        <w:br/>
        <w:t>Instancia, Radicado 2005-102, 24 de septiembre de 2009 (expediente de</w:t>
        <w:br/>
        <w:t>prueba, tomo 2, folio 345).</w:t>
        <w:br/>
        <w:br/>
        <w:br/>
        <w:t>[276]       Video Skymaster de 13 de diciembre de  1998,  hora  10:02:09  am</w:t>
        <w:br/>
        <w:t>hasta 10:02:11 am (expediente de prueba, tomo 19, folio 9621).</w:t>
        <w:br/>
        <w:br/>
        <w:br/>
        <w:t>[277]       Cfr. Video Skymaster de 13 de diciembre de 1998,  hora  09:16:04</w:t>
        <w:br/>
        <w:t>am; 09:23:23 am; 10:02:49 am (expediente de prueba, tomo 19, folio 9621).</w:t>
        <w:br/>
        <w:br/>
        <w:br/>
        <w:t>[278]       Cfr. Video Skymaster de 13 de diciembre de 1998,  hora  10:02:50</w:t>
        <w:br/>
        <w:t>am y ss. (expediente de prueba, tomo 19, folio 9621).</w:t>
        <w:br/>
        <w:br/>
        <w:br/>
        <w:t>[279]       Cfr. Video Skymaster de 13 de diciembre de 1998,  hora  10:08:19</w:t>
        <w:br/>
        <w:t>am (expediente de prueba, tomo 19, folio 9621).</w:t>
        <w:br/>
        <w:br/>
        <w:br/>
        <w:t>[280]       Sentencia Juzgado Doce Penal del  Circuito  de  Conocimiento  de</w:t>
        <w:br/>
        <w:t>Bogotá D.C.  con  funciones  de  Ley  600  de  2000,  Sentencia  de  Primera</w:t>
        <w:br/>
        <w:t>Instancia, Radicado 2005-102,  24  de  septiembre  de  2009  (expediente  de</w:t>
        <w:br/>
        <w:t>prueba, tomo 20, folio 10626).</w:t>
        <w:br/>
        <w:br/>
        <w:br/>
        <w:t>[281]       Cfr. Testimonio de María Panqueva dijo:  “cuando  yo  alcanzo  a</w:t>
        <w:br/>
        <w:t>mirar un chorrito de humo, pero ya fue demasiado  tarde  porque  escuchamos,</w:t>
        <w:br/>
        <w:t>fue el estruendo […]”. Declaración rendida el 21 de diciembre de  1998  ante</w:t>
        <w:br/>
        <w:t>el Juzgado 24 de la Unidad  de  Instrucción  Penal  militar  (expediente  de</w:t>
        <w:br/>
        <w:t>prueba,  tomo  2,  folios  643  a  645);  testimonio  de  Luis  Sel  Murillo</w:t>
        <w:br/>
        <w:t>Villamizar: “yo vi un helicóptero grande, de color verde […]  se  le  miraba</w:t>
        <w:br/>
        <w:t>como dos especies de cañones hacia adelante, como unos tubos,  se  le  veían</w:t>
        <w:br/>
        <w:t>llantas,  el  helicóptero  iba  sobrevolando  hacia  la  parte  derecha  del</w:t>
        <w:br/>
        <w:t>caserío, y cuando yo mire que boto como un chorro de humo dirigido hacia  el</w:t>
        <w:br/>
        <w:t>sitio exacto donde hizo la explosión, cuando el chorro de humo choco con  la</w:t>
        <w:br/>
        <w:t>carretera explotó, cayó en toda la mitad de la carretera frente  al  negocio</w:t>
        <w:br/>
        <w:t>del señor Mario Galvis […] esta explosión fue la que ocasiono  once  muertes</w:t>
        <w:br/>
        <w:t>instantáneas y los heridos algunos de ellos murieron en el camino,  para  un</w:t>
        <w:br/>
        <w:t>saldo total de diecisiete muertos […]”; declaración  rendida  por  Luis  Sel</w:t>
        <w:br/>
        <w:t>Murillo Villamizar del 22 de diciembre de 1998, ante el  Juzgado  12  de  la</w:t>
        <w:br/>
        <w:t>Unidad de Instrucción Penal militar (expediente de prueba,  tomo  2,  folios</w:t>
        <w:br/>
        <w:t>650 a 652); testimonio de Nilsa Diaz Herrera: “[…] el es un helicóptero  que</w:t>
        <w:br/>
        <w:t>tiene unos aparaticos a los lados, unos tubos, es grande, color  como  negro</w:t>
        <w:br/>
        <w:t>o verde, estaba siempre alto […], yo vi un chorro de humo  que  venía  hacia</w:t>
        <w:br/>
        <w:t>abajo y al momentico hizo explosión, solo vi la oleada  de  humo  que  venía</w:t>
        <w:br/>
        <w:t>hacia abajo […], el pueblo queda a  lado  y  lado  de  la  carretera  y  los</w:t>
        <w:br/>
        <w:t>cohetes cayeron en toda la carretera,  en  el  camino  una  cayó  fuera  del</w:t>
        <w:br/>
        <w:t>caserío: otra cayó en el fogón donde se estaba haciendo el  bazar,  otra  en</w:t>
        <w:br/>
        <w:t>un camión y la otra en la carretera; y  las  esquirlas  de  las  explosiones</w:t>
        <w:br/>
        <w:t>fueron lo que mato a la gente […]”, y Declaración  rendida  por  Nilsa  Díaz</w:t>
        <w:br/>
        <w:t>Herrera el 22 de  diciembre  de  1998  ante  el  Juzgado  de  la  Unidad  de</w:t>
        <w:br/>
        <w:t>Instrucción Penal militar (expediente de prueba, tomo 2, folios 647 a 648).</w:t>
        <w:br/>
        <w:br/>
        <w:br/>
        <w:t>[282]       Cfr. Diligencia de  Inspección  practicada  en  la  Base  de  la</w:t>
        <w:br/>
        <w:t>Fuerza Aérea Colombiana  en  Apiay  (Meta)  en  el  minuto  1:01:45.  Unidad</w:t>
        <w:br/>
        <w:t>Nacional de Derechos Humanos y Derecho Internacional  Humanitario,  Fiscalía</w:t>
        <w:br/>
        <w:t>General de la Nación, Rad. N. 419 (expediente de  prueba,  tomo  17,  folios</w:t>
        <w:br/>
        <w:t>8849 a 8852). Véase también: Sentencia Juzgado Doce Penal  del  Circuito  de</w:t>
        <w:br/>
        <w:t>Conocimiento de Bogotá D.C. con funciones de Ley 600 de 2000,  Sentencia  de</w:t>
        <w:br/>
        <w:t>Primera Instancia, Radicado 2005-102, 24 de septiembre de  2009  (expediente</w:t>
        <w:br/>
        <w:t>de prueba, tomo 20, folio 10642).</w:t>
        <w:br/>
        <w:br/>
        <w:br/>
        <w:t>[283]       Cfr. Dictamen Balístico N. 128288 del 3 de septiembre  de  2003,</w:t>
        <w:br/>
        <w:t>Fiscalía General de la Nación, Misión de trabajo BF  1241/2003  Proceso  419</w:t>
        <w:br/>
        <w:t>(expediente de prueba, tomo 40, folios 21266 y ss.); Informe Fotográfico  N.</w:t>
        <w:br/>
        <w:t>128269 de la Misión de Trabajo 554-2003,  Fiscalía  General  de  la  Nación,</w:t>
        <w:br/>
        <w:t>Rad. N. 419 (expediente de prueba, tomo 12, folios 6072 a 6101);  Diligencia</w:t>
        <w:br/>
        <w:t>de Inspección practicada en la Base de la Fuerza Aérea Colombiana  en  Apiay</w:t>
        <w:br/>
        <w:t>(Meta)  Unidad  Nacional  de  Derechos  Humanos  y   Derecho   Internacional</w:t>
        <w:br/>
        <w:t>Humanitario, Fiscalía General de la  Nación,  Rad.  N.  419  (expediente  de</w:t>
        <w:br/>
        <w:t>prueba, tomo 17, folios 8849 a 8852); Tribunal  Superior  Distrito  Judicial</w:t>
        <w:br/>
        <w:t>de Bogotá Sala Penal, Sentencia de junio 15 de  2011  mediante  la  cual  se</w:t>
        <w:br/>
        <w:t>resuelve recurso  de  apelación  interpuesto  contra  sentencia  de  primera</w:t>
        <w:br/>
        <w:t>instancia, Magistrado Ponente: Luis Mariano  Rodríguez  Roa  (expediente  de</w:t>
        <w:br/>
        <w:t>prueba, tomo 16, folios 8456 a 8457), y sentencia  Juzgado  Doce  Penal  del</w:t>
        <w:br/>
        <w:t>Circuito de Conocimiento de Bogotá D.C. con funciones de Ley  600  de  2000,</w:t>
        <w:br/>
        <w:t>Sentencia de Primera Instancia, Radicado 2005-102, 24 de septiembre de  2009</w:t>
        <w:br/>
        <w:t>(expediente de prueba, tomo 2, folio 356 a 357, 364 a 365).</w:t>
        <w:br/>
        <w:br/>
        <w:br/>
        <w:t>[284]       Cfr. Video Diligencia de 11 de febrero del 2000 (expediente de</w:t>
        <w:br/>
        <w:t>prueba, tomo 19, folio 9620), y la Inspección y estudio de balística y</w:t>
        <w:br/>
        <w:t>explosivos, ampliación del dictamen del 28 de abril de 2000. Investigación</w:t>
        <w:br/>
        <w:t>N. 419 UNDH, Fiscalía General de la Nación (expediente de prueba, tomo 19,</w:t>
        <w:br/>
        <w:t>folio 9689 a 9691), y Carta enviada por la personera municipal del Tame</w:t>
        <w:br/>
        <w:t>(Arauca) al Alto Comisionado de Naciones Unidas para los Derechos Humanos</w:t>
        <w:br/>
        <w:t>de 14 de diciembre de 1998 (expediente de prueba, tomo 15, folios 7813 a</w:t>
        <w:br/>
        <w:t>7814).</w:t>
        <w:br/>
        <w:br/>
        <w:br/>
        <w:t>[285]       De acuerdo con el dictamen de inspección y estudio de balística</w:t>
        <w:br/>
        <w:t>y explosivos de la Fiscalía General de la Nación que establece que “luego</w:t>
        <w:br/>
        <w:t>de comparar algunos de los fragmentos recuperados en inspecciones</w:t>
        <w:br/>
        <w:t>judiciales a Santo Domingo y en las necropsias de algunas de las víctimas</w:t>
        <w:br/>
        <w:t>de las explosiones del 13 de diciembre de 1998, con las piezas</w:t>
        <w:br/>
        <w:t>constitutivas de las bombas AN–M1A2 del dispositivo cluster se observó</w:t>
        <w:br/>
        <w:t>compatibilidad y correspondencia de su morfología y dimensiones entre los</w:t>
        <w:br/>
        <w:t>mismos, específicamente con el cordón o anillos de hierro que recubren</w:t>
        <w:br/>
        <w:t>longitudinalmente el cuerpo de este tipo de bombas. Igualmente otros</w:t>
        <w:br/>
        <w:t>fragmentos de constitución de aluminio y latón recuperados en el sitio de</w:t>
        <w:br/>
        <w:t>los hechos […] corresponden a la cabeza o nariz de la espoleta AN–M1-A2</w:t>
        <w:br/>
        <w:t>[…]”. Inspección y estudio de balística y explosivos, ampliación del</w:t>
        <w:br/>
        <w:t>dictamen, misión de trabajo BA-0066/2000, 28 de abril de 2000.</w:t>
        <w:br/>
        <w:t>Investigación N. 419 UNDH, Fiscalía General de la Nación (expediente de</w:t>
        <w:br/>
        <w:t>prueba, tomo 19, folio 9689 a 9692; tomo 2, folio 603 a 607).</w:t>
        <w:br/>
        <w:br/>
        <w:br/>
        <w:t>[286]        Según los alegatos del Estado, resulta equivocado esa</w:t>
        <w:br/>
        <w:t>conclusión, ya que la disimilitud entre los tamaños y formas de las</w:t>
        <w:br/>
        <w:t>oquedades ubicadas alrededor del camión descartan que las mismas hayan sido</w:t>
        <w:br/>
        <w:t>causadas por un dispositivo AN-M1A2. En suma, para el Estado el registro</w:t>
        <w:br/>
        <w:t>fílmico de las diferentes inspecciones adelantadas en Santo Domingo,</w:t>
        <w:br/>
        <w:t>demuestran que entre los dos cráteres ubicados alrededor del automotor</w:t>
        <w:br/>
        <w:t>demuestran amplias diferencias en sus características (expediente de fondo,</w:t>
        <w:br/>
        <w:t>tomo 2, folios 437 a 438). Como prueba aportan: video Diligencia de</w:t>
        <w:br/>
        <w:t>Inspección de 18 de diciembre de 1998 (expediente de prueba, tomo 19, folio</w:t>
        <w:br/>
        <w:t>9619); video Diligencia de Inspección de 28 de diciembre de 1998</w:t>
        <w:br/>
        <w:t>(expediente de prueba, tomo 29, folio 9619), y video Diligencia de 11 de</w:t>
        <w:br/>
        <w:t>febrero de 2000 (expediente de prueba, tomo 19, folio 9620). También el</w:t>
        <w:br/>
        <w:t>Estado argumenta que la aparición de los cráteres mencionados alrededor del</w:t>
        <w:br/>
        <w:t>camión rojo, no coinciden con la hora en la que fue lanzado el dispositivo</w:t>
        <w:br/>
        <w:t>cluster AN-M1A2, porque de acuerdo con el registro fílmico del video</w:t>
        <w:br/>
        <w:t>Skymaster a las 7:15 am del 13 de diciembre de 1998, se muestra una oquedad</w:t>
        <w:br/>
        <w:t>cerca a la parte posterior del camión rojo (expediente de fondo, tomo 2,</w:t>
        <w:br/>
        <w:t>folio 440). Como prueba aportan: video Skymaster de 13 de diciembre de</w:t>
        <w:br/>
        <w:t>1998, donde se registra toda la operación realizada por la Fuerza Aérea</w:t>
        <w:br/>
        <w:t>(expediente de prueba, tomo 19, folio 9621), y fotografía que muestra a los</w:t>
        <w:br/>
        <w:t>pobladores a las 7:14 am (expediente de prueba, tomo 19, folio 9588).</w:t>
        <w:br/>
        <w:br/>
        <w:br/>
        <w:t>[287]       Según lo establece el Estado, los hallazgos obtenidos fueron</w:t>
        <w:br/>
        <w:t>obtenidos sin observar los protocolos que rigen la cadena de custodia. Ya</w:t>
        <w:br/>
        <w:t>que no existe certeza sobre su procedencia, y los mismos pudieron ser</w:t>
        <w:br/>
        <w:t>transportados desde cualquier lugar al caserío de Santo Domingo. Lo</w:t>
        <w:br/>
        <w:t>anterior lo sustentan diciendo que estos fueron aportados 14 meses. después</w:t>
        <w:br/>
        <w:t>de la ocurrencia de los hechos (expediente de fondo, tomo 2, folio 443).</w:t>
        <w:br/>
        <w:br/>
        <w:br/>
        <w:t>[288]       Al respecto véase Sentencia Juzgado Doce Penal del  Circuito  de</w:t>
        <w:br/>
        <w:t>Conocimiento de Bogotá D.C. con funciones de Ley 600 de 2000,  Sentencia  de</w:t>
        <w:br/>
        <w:t>Primera Instancia, Radicado 2005-102, 24 de septiembre de  2009  (expediente</w:t>
        <w:br/>
        <w:t>de prueba, tomo 20, folios 10581 a 10661) y  Tribunal  Superior  de  Bogotá,</w:t>
        <w:br/>
        <w:t>Sala Penal, Sentencia del 15 de junio de 2011 (expediente  de  prueba,  tomo</w:t>
        <w:br/>
        <w:t>20, folio 10717 y ss).</w:t>
        <w:br/>
        <w:br/>
        <w:br/>
        <w:t>[289]       Cfr. Sentencia Juzgado Doce Penal del Circuito  de  Conocimiento</w:t>
        <w:br/>
        <w:t>de Bogotá D.C. con funciones de  Ley  600  de  2000,  Sentencia  de  Primera</w:t>
        <w:br/>
        <w:t>Instancia, Radicado 2005-102,  24  de  septiembre  de  2009  (expediente  de</w:t>
        <w:br/>
        <w:t>prueba, tomo 20, folios 10581 a 10661) y Tribunal Superior de  Bogotá,  Sala</w:t>
        <w:br/>
        <w:t>Penal, Sentencia del 15 de junio de 2011 (expediente  de  prueba,  tomo  20,</w:t>
        <w:br/>
        <w:t>folio 10717 y ss).</w:t>
        <w:br/>
        <w:br/>
        <w:br/>
        <w:t>[290]       De acuerdo con el dictamen de inspección y estudio de balística</w:t>
        <w:br/>
        <w:t>y explosivos de la Fiscalía General de la Nación se establece: “teniendo</w:t>
        <w:br/>
        <w:t>que el número de puntos de impacto (seis) indicado por los testigos en</w:t>
        <w:br/>
        <w:t>Santo Domingo, las evidencias recolectadas en el sitio de los hechos y en</w:t>
        <w:br/>
        <w:t>las necropsias de las víctimas, se concluye que estos impactos o cráteres</w:t>
        <w:br/>
        <w:t>fueron producidos por las seis bombas AN-M1A2 o AN-M158 que normalmente son</w:t>
        <w:br/>
        <w:t>lanzadas desde una aeronave con el dispositivo cluster”. Inspección y</w:t>
        <w:br/>
        <w:t>estudio de balística y explosivos, ampliación del dictamen, misión de</w:t>
        <w:br/>
        <w:t>trabajo BA-0066/2000, 28 de abril de 2000. Investigación N. 419 UNDH,</w:t>
        <w:br/>
        <w:t>Fiscalía General de la Nación (expediente de prueba, tomo 19, folio 9689 a</w:t>
        <w:br/>
        <w:t>9691).</w:t>
        <w:br/>
        <w:br/>
        <w:br/>
        <w:t>[291]       Cfr. Testimonio de Alba Yanet García  en  la  Audiencia  Pública</w:t>
        <w:br/>
        <w:t>del 27 y 28 de junio de  2012;  testimonio  de  María  Panqueva  declaración</w:t>
        <w:br/>
        <w:t>rendida el 21 de diciembre de 1998 ante  el  Juzgado  24  de  la  Unidad  de</w:t>
        <w:br/>
        <w:t>Instrucción Penal militar (expediente de prueba, tomo 2, folios 643 a  645);</w:t>
        <w:br/>
        <w:t>testimonio de Amalio Neite, declaración rendida el 16 de diciembre  de  1998</w:t>
        <w:br/>
        <w:t>ante la Personería Municipal de Tame (expediente de prueba, tomo  2,  folios</w:t>
        <w:br/>
        <w:t>654 a 655); declaración rendida por Luis Sel Murillo Villamizar  del  22  de</w:t>
        <w:br/>
        <w:t>diciembre de 1998, ante el Juzgado 12 de  la  Unidad  de  Instrucción  Penal</w:t>
        <w:br/>
        <w:t>militar (expediente de prueba,  tomo  2,  folios  650  a  652);  declaración</w:t>
        <w:br/>
        <w:t>rendida por Nilsa Díaz Herrera el 22 de diciembre de 1998  ante  el  Juzgado</w:t>
        <w:br/>
        <w:t>de la Unidad de Instrucción Penal militar (expediente  de  prueba,  tomo  2,</w:t>
        <w:br/>
        <w:t>folios 647 a  648);  y  declaración  rendida  por  Adán  Piñeros  el  16  de</w:t>
        <w:br/>
        <w:t>diciembre de 1998 ante Personería Municipal de Tame (expediente  de  prueba,</w:t>
        <w:br/>
        <w:t>tomo 2,  folio  657).  Véase  también:  Sentencia  Juzgado  Doce  Penal  del</w:t>
        <w:br/>
        <w:t>Circuito de Conocimiento de Bogotá D.C. con funciones de Ley  600  de  2000,</w:t>
        <w:br/>
        <w:t>Sentencia de Primera Instancia, Radicado 2005-102, 24 de septiembre de  2009</w:t>
        <w:br/>
        <w:t>(expediente de prueba, tomo 20, folios 10581 a 10661), y  Tribunal  Superior</w:t>
        <w:br/>
        <w:t>de Bogotá, Sala Penal, Sentencia del 15 de  junio  de  2011  (expediente  de</w:t>
        <w:br/>
        <w:t>prueba, tomo 20, folio 10777).</w:t>
        <w:br/>
        <w:br/>
        <w:br/>
        <w:t>[292]        Al respecto véase expediente de fondo, tomo 2, folios 437 a</w:t>
        <w:br/>
        <w:t>438; video Diligencia de Inspección de 18 de diciembre de 1998 (expediente</w:t>
        <w:br/>
        <w:t>de prueba, tomo 19, folio 9619); video Diligencia de Inspección de 28 de</w:t>
        <w:br/>
        <w:t>diciembre de 1998 (expediente de prueba, tomo 29, folio 9619); video</w:t>
        <w:br/>
        <w:t>Diligencia de 11 de febrero de 2000 (expediente de prueba, tomo 19, folio</w:t>
        <w:br/>
        <w:t>9620); video Skymaster de 13 de diciembre de 1998, donde se registra toda</w:t>
        <w:br/>
        <w:t>la operación realizada por la Fuerza Aérea (expediente de prueba, tomo 19,</w:t>
        <w:br/>
        <w:t>folio 9621), y fotografía que muestra a los pobladores a las 7:14 am</w:t>
        <w:br/>
        <w:t>(expediente de prueba, tomo 19, folio 9588).</w:t>
        <w:br/>
        <w:br/>
        <w:br/>
        <w:t>[293]        Al respecto véase expediente de fondo, tomo 2, folios 437 a</w:t>
        <w:br/>
        <w:t>438, y fotografía que muestra a los pobladores a las 7:14 am viendo una</w:t>
        <w:br/>
        <w:t>oquedad cerca del camión rojo (expediente de prueba, tomo 19, folio 9588).</w:t>
        <w:br/>
        <w:br/>
        <w:br/>
        <w:t>[294]       A pesar de lo anterior este Tribunal observa que las  objeciones</w:t>
        <w:br/>
        <w:t>formuladas por el Estado en  relación  con  los  lugares  de  los  presuntos</w:t>
        <w:br/>
        <w:t>impactos  de  las  bombas  que  componen  el  dispositivo  cluster  presenta</w:t>
        <w:br/>
        <w:t>inconsistencias con el resto  de  la  prueba.  En  particular  es  relevante</w:t>
        <w:br/>
        <w:t>señalar que los mapas de las áreas de impacto presentados por el  Estado  en</w:t>
        <w:br/>
        <w:t>relación  con  la  posición  de  las  víctimas  al  momento   del   supuesto</w:t>
        <w:br/>
        <w:t>lanzamiento, son desvirtuados por el resto de la prueba. Así,  el  video  de</w:t>
        <w:br/>
        <w:t>la diligencia de 18 de diciembre de 1998 (expediente  de  prueba,  tomo  19,</w:t>
        <w:br/>
        <w:t>folio 9619) muestra que la dirección del impacto  de  uno  de  los  cráteres</w:t>
        <w:br/>
        <w:t>identificados  en  el  mapa  de  la  Fiscalía  (punto  de  impacto  “B”   en</w:t>
        <w:br/>
        <w:t>Levantamiento Planimétrico de febrero 11 de 2000,  Fiscalía  General  de  la</w:t>
        <w:br/>
        <w:t>Nación, expediente de prueba, tomo  19,  folio  10127)  presenta  marcas  de</w:t>
        <w:br/>
        <w:t>metralla expedida en dirección de Oeste a  Este  (min.  10:43  y  ss.),  sin</w:t>
        <w:br/>
        <w:t>embargo el Estado afirma, a la inversa de lo indicado por la evidencia,  que</w:t>
        <w:br/>
        <w:t>la dirección de las esquirlas va en sentido contrario,  lo  que  le  permite</w:t>
        <w:br/>
        <w:t>concluir que la misma no podría  haber  afectado  a  las  personas  víctimas</w:t>
        <w:br/>
        <w:t>identificadas con los números 1, 2, 3, 4, 5, 6, 7, 8, 9, 10, 11, y 12 en  el</w:t>
        <w:br/>
        <w:t>referido mapa. Por otro lado, la Corte observa que  no  existe  un  criterio</w:t>
        <w:br/>
        <w:t>unificado en cuanto a los efectos que tendrían las bombas del artefacto  AN-</w:t>
        <w:br/>
        <w:t>M1A2, puesto que según el  manual  técnico  presentado  por  el  Estado  las</w:t>
        <w:br/>
        <w:t>mismas tendrían una dispersión máxima de  30  metros,  mientras  que  en  la</w:t>
        <w:br/>
        <w:t>diligencia llevada a cabo en Apiay (infra párr. 63), se  pudo  observar  que</w:t>
        <w:br/>
        <w:t>luego de dos disparos de artefactos  similares,  se  encontraron  fragmentos</w:t>
        <w:br/>
        <w:t>provenientes de los mismas a  100  metros  alrededor  de  cada  uno  de  los</w:t>
        <w:br/>
        <w:t>cráteres. Asimismo, la Corte observa que el manual técnico remitido  por  el</w:t>
        <w:br/>
        <w:t>Estado  (infra  párr.  63),  indica  que  los  efectos  de  las  bombas  son</w:t>
        <w:br/>
        <w:t>diferentes en función del ángulo de  caída  de  las  mismas,  señalando  que</w:t>
        <w:br/>
        <w:t>cuando el ángulo de caída es de 84º, la  dispersión  de  los  fragmentos  es</w:t>
        <w:br/>
        <w:t>distinta a la que se produce con otras inclinaciones (expediente de  prueba,</w:t>
        <w:br/>
        <w:t>tomo 19, folio 10080). Sobre ese punto, la Corte observa que  el  Estado  no</w:t>
        <w:br/>
        <w:t>indicó por qué motivo consideraba que las bombas habrían caído todas con  un</w:t>
        <w:br/>
        <w:t>ángulo de 75º, cuando de haberse producido diferentemente, el  escenario  de</w:t>
        <w:br/>
        <w:t>las áreas de impacto presentado por el Estado podría haber sido diferente  y</w:t>
        <w:br/>
        <w:t>posiblemente más consistente con la versión manejada por la Fiscalía en  sus</w:t>
        <w:br/>
        <w:t>investigaciones. Por último, en cuanto a la prueba presentada por el  Estado</w:t>
        <w:br/>
        <w:t>en torno a la existencia previa de uno de los cráteres (supra nota 295),  el</w:t>
        <w:br/>
        <w:t>Tribunal señala que las imágenes del video Skymaster que fueron  presentadas</w:t>
        <w:br/>
        <w:t>no son claras ni concluyentes para llegar a tal conclusión.</w:t>
        <w:br/>
        <w:br/>
        <w:br/>
        <w:t>[295]       Al respecto véase expediente de fondo, tomo 2, folio 452. El</w:t>
        <w:br/>
        <w:t>Estado alega que en las tomas realizadas al caserío de Santo Domingo a las</w:t>
        <w:br/>
        <w:t>10:08 am el día 13 de diciembre de 1998, es decir 6 minutos después del</w:t>
        <w:br/>
        <w:t>lanzamiento del dispositivo ANM1A2, no se registra el supuesto</w:t>
        <w:br/>
        <w:t>posicionamiento de los occisos, cuestión que le resta veracidad al informe</w:t>
        <w:br/>
        <w:t>de la Fiscalía. Véase también: Video Skymaster de 13 de diciembre de 1998</w:t>
        <w:br/>
        <w:t>(expediente de prueba, tomo 19, folio 9621).</w:t>
        <w:br/>
        <w:br/>
        <w:br/>
        <w:t>[296]       Cfr. Levantamiento Planimétrico de 11 de febrero de 2000,</w:t>
        <w:br/>
        <w:t>Fiscalía General de la Nación (expediente de prueba, tomo 19, folio 10127).</w:t>
        <w:br/>
        <w:t>Véase asimismo Inspección y estudio de balística y explosivos, ampliación</w:t>
        <w:br/>
        <w:t>del dictamen, misión de trabajo BA-0066/2000, 28 de abril de 2000.</w:t>
        <w:br/>
        <w:t>Investigación N. 419 UNDH, Fiscalía General de la Nación (expediente de</w:t>
        <w:br/>
        <w:t>prueba, tomo 19, folio 9689 a 9692).</w:t>
        <w:br/>
        <w:br/>
        <w:br/>
        <w:t>[297]       Cfr. Testimonio de Alba Yanet García  en  la  Audiencia  Pública</w:t>
        <w:br/>
        <w:t>del 27 y 28 de junio de 2012. Alba manifestó que: “entonces  yo  me  veo  ya</w:t>
        <w:br/>
        <w:t>estaba  toda  bañada  en  sangre,  el  brazo  me  descolgaba  prácticamente,</w:t>
        <w:br/>
        <w:t>entonces mi temor, mi miedo fue horrorizante todavía mucho más, entonces  yo</w:t>
        <w:br/>
        <w:t>lo que hice fue agarrarme mi brazo y refugiarme hacia una  casa  que  estaba</w:t>
        <w:br/>
        <w:t>al frente que era la droguería de Santo  Domingo.  Ahí  me  refugie,  varias</w:t>
        <w:br/>
        <w:t>personas heridas también […]”.</w:t>
        <w:br/>
        <w:br/>
        <w:br/>
        <w:t>[298]       “Giovanni Hernández al pie del  árbol  que  queda  frente  a  la</w:t>
        <w:br/>
        <w:t>tienda […]”. Acta levantada con motivo de la diligencia  de  inspección  del</w:t>
        <w:br/>
        <w:t>día 11 de febrero de 2000, Fiscalía General  de  la  Nación  (expediente  de</w:t>
        <w:br/>
        <w:t>prueba, tomo 19, folio 9596), y Levantamiento Planimétrico de febrero 11  de</w:t>
        <w:br/>
        <w:t>2000, Fiscalía General de la Nación (expediente de prueba,  tomo  19,  folio</w:t>
        <w:br/>
        <w:t>10127).</w:t>
        <w:br/>
        <w:br/>
        <w:br/>
        <w:t>[299]       Al  respecto  véase  el  testimonio  de  Hugo  Fernelly  Vargas.</w:t>
        <w:br/>
        <w:t>Declaración rendida por afidávit  (expediente  de  prueba,  tomo  50,  folio</w:t>
        <w:br/>
        <w:t>27993 a 27994) y Tribunal Superior de Bogotá, Sala Penal, Sentencia  del  15</w:t>
        <w:br/>
        <w:t>de junio de 2011 (expediente de prueba, tomo 20, folio 10780 y ss).</w:t>
        <w:br/>
        <w:br/>
        <w:br/>
        <w:t>[300]       Cfr. Sentencia Juzgado Doce Penal del Circuito  de  Conocimiento</w:t>
        <w:br/>
        <w:t>de Bogotá D.C. con funciones de  Ley  600  de  2000,  Sentencia  de  Primera</w:t>
        <w:br/>
        <w:t>Instancia, Radicado 2005-102,  24  de  septiembre  de  2009  (expediente  de</w:t>
        <w:br/>
        <w:t>prueba, tomo 20, folios 10613, y 10502 a 10506).</w:t>
        <w:br/>
        <w:br/>
        <w:br/>
        <w:t>[301]       Sentencia Juzgado Doce Penal del  Circuito  de  Conocimiento  de</w:t>
        <w:br/>
        <w:t>Bogotá D.C.  con  funciones  de  Ley  600  de  2000,  Sentencia  de  Primera</w:t>
        <w:br/>
        <w:t>Instancia, Radicado 2005-102,  24  de  septiembre  de  2009  (expediente  de</w:t>
        <w:br/>
        <w:t>prueba, tomo 20, folio 10614).</w:t>
        <w:br/>
        <w:br/>
        <w:br/>
        <w:t>[302]       Cfr. Tribunal Superior de Bogotá, Sala Penal, Sentencia  del  15</w:t>
        <w:br/>
        <w:t>de junio de 2011  (expediente  de  prueba,  tomo  20,  folio  10782).  Véase</w:t>
        <w:br/>
        <w:t>también: Sentencia Juzgado  Doce  Penal  del  Circuito  de  Conocimiento  de</w:t>
        <w:br/>
        <w:t>Bogotá D.C.  con  funciones  de  Ley  600  de  2000,  Sentencia  de  Primera</w:t>
        <w:br/>
        <w:t>Instancia, Radicado 2005-102,  24  de  septiembre  de  2009  (expediente  de</w:t>
        <w:br/>
        <w:t>prueba, tomo 20, folio 10535).</w:t>
        <w:br/>
        <w:br/>
        <w:br/>
        <w:t>[303]       Cfr. Sentencia Juzgado Doce Penal del Circuito  de  Conocimiento</w:t>
        <w:br/>
        <w:t>de Bogotá D.C. con funciones de  Ley  600  de  2000,  Sentencia  de  Primera</w:t>
        <w:br/>
        <w:t>Instancia, Radicado 2005-102,  24  de  septiembre  de  2009  (expediente  de</w:t>
        <w:br/>
        <w:t>prueba, tomo 20, folio 10605), y Tribunal Superior de  Bogotá,  Sala  Penal,</w:t>
        <w:br/>
        <w:t>Sentencia del 15 de junio de 2011 (expediente  de  prueba,  tomo  20,  folio</w:t>
        <w:br/>
        <w:t>10777).</w:t>
        <w:br/>
        <w:br/>
        <w:br/>
        <w:t>[304]       Véase al respecto la imagen del Camión rojo a las 09:16:04 am;</w:t>
        <w:br/>
        <w:t>09:20:19 am; 09:33:53 am, 09:34:41 am, 09:43:35 am. Video Skymaster de 13</w:t>
        <w:br/>
        <w:t>de diciembre de 1998, donde se registra toda la operación realizada por la</w:t>
        <w:br/>
        <w:t>Fuerza Aérea (expediente de prueba, tomo 19, folio 9621).</w:t>
        <w:br/>
        <w:br/>
        <w:br/>
        <w:t>[305]       Cfr. Sentencia Juzgado Doce Penal del Circuito  de  Conocimiento</w:t>
        <w:br/>
        <w:t>de Bogotá D.C. con funciones de  Ley  600  de  2000,  Sentencia  de  Primera</w:t>
        <w:br/>
        <w:t>Instancia, Radicado 2005-102,  24  de  septiembre  de  2009  (expediente  de</w:t>
        <w:br/>
        <w:t>prueba, tomo 20, folio 10602).</w:t>
        <w:br/>
        <w:br/>
        <w:br/>
        <w:t>[306]       Sentencia Juzgado Doce Penal del  Circuito  de  Conocimiento  de</w:t>
        <w:br/>
        <w:t>Bogotá D.C.  con  funciones  de  Ley  600  de  2000,  Sentencia  de  Primera</w:t>
        <w:br/>
        <w:t>Instancia, Radicado 2005-102,  24  de  septiembre  de  2009  (expediente  de</w:t>
        <w:br/>
        <w:t>prueba, tomo 20, folio 10602). En la Sentencia se relata “el  caso  de  Inés</w:t>
        <w:br/>
        <w:t>Yurelly Bello Tiliano, madre de Jorge Bello, de 4  años  de  edad,  quien  a</w:t>
        <w:br/>
        <w:t>pesar de todo su recorrido para salvarle la vida, dado que fue  atendido  en</w:t>
        <w:br/>
        <w:t>Tame, Saravena y Arauca, a la postre falleció la noche del 14  de  diciembre</w:t>
        <w:br/>
        <w:t>de 1998, mas de 36 horas después de los [hechos] acontecidos […].  Y  siendo</w:t>
        <w:br/>
        <w:t>así, resultaría insólito que la madre se  preste  a  la  confabulación  para</w:t>
        <w:br/>
        <w:t>encubrir a los verdaderos autores de la muerte de su ser querido,  toda  vez</w:t>
        <w:br/>
        <w:t>que no mencionó que la muerte de su hijo hubiera  sido  consecuencia  de  la</w:t>
        <w:br/>
        <w:t>explosión de un vehículo por acción de la guerrilla”.</w:t>
        <w:br/>
        <w:br/>
        <w:br/>
        <w:t>[307]       Henkaerts, Jean – Marie,  Doswald  –  Beck  Louise,  El  Derecho</w:t>
        <w:br/>
        <w:t>Internacional Humanitario Consuetudinario, volumen I, normas,  CICR,  Buenos</w:t>
        <w:br/>
        <w:t>Aires, 2007, p. 3, Norma 1.</w:t>
        <w:br/>
        <w:br/>
        <w:br/>
        <w:t>[308]       Henkaerts, Jean – Marie,  Doswald  –  Beck  Louise,  El  Derecho</w:t>
        <w:br/>
        <w:t>Internacional  Humanitario  Consuetudinario,  volumen   I,   normas,   CICR,</w:t>
        <w:br/>
        <w:t>Cambridge, 2005, p. 29, Norma 7.</w:t>
        <w:br/>
        <w:br/>
        <w:br/>
        <w:t>[309]       En ese mismo sentido,  la  norma  87  de  Derecho  Internacional</w:t>
        <w:br/>
        <w:t>Humanitario Consuetudinario y el artículo 3 común a  los  cuatros  Convenios</w:t>
        <w:br/>
        <w:t>de Ginebra establecen que “[l]as personas civiles y las  personas  fuera  de</w:t>
        <w:br/>
        <w:t>combate serán tratadas con humanidad”. Henkaerts, Jean –  Marie,  Doswald  –</w:t>
        <w:br/>
        <w:t>Beck Louise, El derecho internacional humanitario  consuetudinario,  volumen</w:t>
        <w:br/>
        <w:t>I, normas, CICR, Buenos Aires, 2007, p. 349, Norma 87.</w:t>
        <w:br/>
        <w:br/>
        <w:br/>
        <w:t>[310]       Cfr. Tribunal  Penal  para  la  Ex  -  Yugoslavia  (en  adelante</w:t>
        <w:br/>
        <w:t>también  “TPIY”),  Radicado:  IT-96-29/1-T.  Asunto  “Fiscal  Vs.  Stanislav</w:t>
        <w:br/>
        <w:t>Galic”. Sentencia del 5 de diciembre de 2003. Sala de Primera Instancia  del</w:t>
        <w:br/>
        <w:t>TPIY, párr. 57. Véase  asimismo  Final  Report  to  the  Prosecutor  by  the</w:t>
        <w:br/>
        <w:t>Committee Established to  Review  the  NATO  Bombing  Campaign  Against  the</w:t>
        <w:br/>
        <w:t>Federal Republic of Yugoslavia, 13 June 2000, párr.  29,  e  Informe  de  la</w:t>
        <w:br/>
        <w:t>Comisión de Investigación sobre el Líbano, presentado de conformidad con  la</w:t>
        <w:br/>
        <w:t>resolución S-2/1 del Consejo de Derechos Humanos, 23 de noviembre  de  2006,</w:t>
        <w:br/>
        <w:t>párr. 25.</w:t>
        <w:br/>
        <w:br/>
        <w:br/>
        <w:t>[311]       Henkaerts, Jean – Marie,  Doswald  –  Beck  Louise,  El  Derecho</w:t>
        <w:br/>
        <w:t>Internacional Humanitario Consuetudinario, volumen I, normas,  CICR,  Buenos</w:t>
        <w:br/>
        <w:t>Aires, 2007, p. 53, Norma 14.</w:t>
        <w:br/>
        <w:br/>
        <w:br/>
        <w:t>[312]        Véase  Comisión  Interamericana,  Tercer   Informe   sobre   la</w:t>
        <w:br/>
        <w:t>situación de  derechos  humanos  en  Colombia.  Capítulo  IV,  “Violencia  y</w:t>
        <w:br/>
        <w:t>violación del derecho internacional de los derechos humanos  y  del  derecho</w:t>
        <w:br/>
        <w:t>internacional humanitario”, doc. OEA/Ser. L/V/II.102. Doc. 9,  rev.  1,  del</w:t>
        <w:br/>
        <w:t>26 de febrero de 1999, párrafos  77  a  80.  Véase  además:  Informe  de  la</w:t>
        <w:br/>
        <w:t>Comisión de Investigación sobre el Líbano, presentado de conformidad con  la</w:t>
        <w:br/>
        <w:t>resolución S-2/1 del Consejo de Derechos Humanos” del  23  de  noviembre  de</w:t>
        <w:br/>
        <w:t>2006, párr.  147,  y  Final  Report  to  the  Prosecutor  by  the  Committee</w:t>
        <w:br/>
        <w:t>Established  to  Review  the  NATO  Bombing  Campaign  Against  the  Federal</w:t>
        <w:br/>
        <w:t>Republic of Yugoslavia, 13 June 2000, párrs. 28, 48, 49 y 50.</w:t>
        <w:br/>
        <w:br/>
        <w:br/>
        <w:t>[313]       Henkaerts, Jean – Marie,  Doswald  –  Beck  Louise,  El  Derecho</w:t>
        <w:br/>
        <w:t>Internacional Humanitario Consuetudinario, volumen I, normas,  CICR,  Buenos</w:t>
        <w:br/>
        <w:t>Aires, 2007, p. 59, normas 15.</w:t>
        <w:br/>
        <w:br/>
        <w:br/>
        <w:t>[314]       Henkaerts, Jean – Marie,  Doswald  –  Beck  Louise,  El  Derecho</w:t>
        <w:br/>
        <w:t>Internacional Humanitario Consuetudinario, volumen I, normas,  CICR,  Buenos</w:t>
        <w:br/>
        <w:t>Aires, 2007, pp. 65 a 67, normas 17 y 18.</w:t>
        <w:br/>
        <w:br/>
        <w:br/>
        <w:t>[315]       Cfr. Juzgado 12 Penal del Circuito de Bogotá. Sentencia  del  24</w:t>
        <w:br/>
        <w:t>de septiembre de 2009, p. 64 (expediente de prueba, tomo 2, folio 364).</w:t>
        <w:br/>
        <w:br/>
        <w:br/>
        <w:t>[316]        Cfr.  Manuales  Técnicos  del   artefacto   explosivo   AN-M1A2</w:t>
        <w:br/>
        <w:t>(expediente de prueba, tomo 19, folio 10074).</w:t>
        <w:br/>
        <w:br/>
        <w:br/>
        <w:t>[317]       Cfr. Dictamen Balístico N. 128288 del 3 de septiembre  de  2003,</w:t>
        <w:br/>
        <w:t>Fiscalía General de la Nación, Misión de trabajo BF  1241/2003  Proceso  419</w:t>
        <w:br/>
        <w:t>(expediente de prueba, tomo 40, 21284).</w:t>
        <w:br/>
        <w:br/>
        <w:br/>
        <w:t>[318]       Tribunal Superior de Bogotá, Sala  Penal,  Sentencia  de  15  de</w:t>
        <w:br/>
        <w:t>junio de 2011 (expediente de prueba, tomo 20,  folio  10800).  “En  relación</w:t>
        <w:br/>
        <w:t>con la liberación del manual del artefacto, efectuada  por  H.A.,  […]  cabe</w:t>
        <w:br/>
        <w:t>destacar con los aportes de las piezas  procesales  que  se  transcribieron,</w:t>
        <w:br/>
        <w:t>que su labor se circunscribía solamente a halar el seguro  que  liberaba  el</w:t>
        <w:br/>
        <w:t>racimo, al escuchar del piloto C.R.P. la expresión ‘tres,  dos,  uno,  ya’”.</w:t>
        <w:br/>
        <w:t>Véase también: Video de la diligencia de Apiay de  2003,  min.  38:55  hasta</w:t>
        <w:br/>
        <w:t>40:12 (expediente de prueba, tomo 19, folio 9584). En el  video  se  explica</w:t>
        <w:br/>
        <w:t>el procedimiento y funcionamiento del dispositivo, y en él  se  observa  que</w:t>
        <w:br/>
        <w:t>el dispositivo va ubicado en la posición derecha,  el  dispositivo  se  debe</w:t>
        <w:br/>
        <w:t>lanzar a dos voces (el piloto dice “listo” y el técnico  debe  correlacionar</w:t>
        <w:br/>
        <w:t>diciendo “listo”, de nuevo el piloto le dice “ya”), luego  el  técnico  debe</w:t>
        <w:br/>
        <w:t>operar una manija de color rojo, que es la que se  debe  halar  para  soltar</w:t>
        <w:br/>
        <w:t>los ganchos que sostienen la bomba.</w:t>
        <w:br/>
        <w:br/>
        <w:br/>
        <w:t>[319]       Cfr. Manuales Técnicos del artefacto  explosivo  AN-M1A2,  p.  6</w:t>
        <w:br/>
        <w:t>(expediente de prueba,  tomo  19,  folio  10056).  Véase  también:  Dictamen</w:t>
        <w:br/>
        <w:t>Balístico N. 128288 del 3 de septiembre de  2003,  Fiscalía  General  de  la</w:t>
        <w:br/>
        <w:t>Nación, Misión de trabajo BF 1241/2003 Proceso 419  (expediente  de  prueba,</w:t>
        <w:br/>
        <w:t>tomo 40, 21271).</w:t>
        <w:br/>
        <w:br/>
        <w:br/>
        <w:t>[320]       Cfr. Declaración de  Ct.  R.G.G.,  piloto  de  la  Fuerza  Aérea</w:t>
        <w:br/>
        <w:t>Colombiana que participó  en  la  operación  “Relámpago”,  rendida  ante  la</w:t>
        <w:br/>
        <w:t>Unidad Nacional de Derechos Humanos  y  Derecho  Internacional  Humanitario.</w:t>
        <w:br/>
        <w:t>Radicado 419 de 19 de diciembre de 2003  (expediente  de  prueba,  tomo  12,</w:t>
        <w:br/>
        <w:t>folios 6139), y  Declaración  rendida  por  el  Ct.  L.R.Q.  (Comandante  de</w:t>
        <w:br/>
        <w:t>Instrucción y entrenamiento técnico y piloto de la Fuerza Aérea  Colombiana)</w:t>
        <w:br/>
        <w:t>ante la Procuraduría General de la Nación (expediente de  prueba,  tomo  12,</w:t>
        <w:br/>
        <w:t>folio 6168).</w:t>
        <w:br/>
        <w:br/>
        <w:br/>
        <w:t>[321]       Por ejemplo, el informe de la diligencia  de  Apiay  indica  que</w:t>
        <w:br/>
        <w:t>hay distancias de hasta 54 metros entre los puntos de impacto de dos  bombas</w:t>
        <w:br/>
        <w:t>AN-M41A1 de un mismo dispositivo. Dictamen Balístico  N.  128288  del  3  de</w:t>
        <w:br/>
        <w:t>septiembre de 2003, Fiscalía General de la  Nación,  Misión  de  trabajo  BF</w:t>
        <w:br/>
        <w:t>1241/2003 Proceso 419 (expediente de prueba, tomo 40, 21286).</w:t>
        <w:br/>
        <w:br/>
        <w:br/>
        <w:t>[322]       Dictamen Balístico N.  128288  del  3  de  septiembre  de  2003,</w:t>
        <w:br/>
        <w:t>Fiscalía General de la Nación, Misión de trabajo BF  1241/2003  Proceso  419</w:t>
        <w:br/>
        <w:t>(expediente de prueba, tomo 40, folio 21267).</w:t>
        <w:br/>
        <w:br/>
        <w:br/>
        <w:t>[323]       Cfr. Tribunal Superior de Bogotá, Sala Penal, Sentencia  del  15</w:t>
        <w:br/>
        <w:t>de junio de 2011 (expediente de prueba, tomo 20, folio 10806).</w:t>
        <w:br/>
        <w:br/>
        <w:br/>
        <w:t>[324]       Al respecto, según indicó el mismo en el proceso  penal  interno</w:t>
        <w:br/>
        <w:t>“[…] el lugar donde me encuentro ubicado en la parte posterior  trasera,  me</w:t>
        <w:br/>
        <w:t>impide tener visibilidad hacia la parte delantera de la aeronave  […]  hacia</w:t>
        <w:br/>
        <w:t>la parte izquierda tampoco tengo visibilidad [en razón de] la  posición  [en</w:t>
        <w:br/>
        <w:t>la] que me  encuentro”.  Cfr.  Tribunal  Superior  de  Bogotá,  Sala  Penal,</w:t>
        <w:br/>
        <w:t>Sentencia del 15 de junio de 2011 (expediente  de  prueba,  tomo  20,  folio</w:t>
        <w:br/>
        <w:t>10807).</w:t>
        <w:br/>
        <w:br/>
        <w:br/>
        <w:t>[325]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tomo  12,</w:t>
        <w:br/>
        <w:t>folios 6387 y 6388).</w:t>
        <w:br/>
        <w:br/>
        <w:br/>
        <w:t>[326]        De  esa  forma,  el  Juzgado  Doce  Penal   del   Circuito   de</w:t>
        <w:br/>
        <w:t>Conocimiento de Bogotá cita la Directiva Permanente NR  300  –  05  de  1996</w:t>
        <w:br/>
        <w:t>denominada “normas generales para apoyos aéreos a las operaciones contra  el</w:t>
        <w:br/>
        <w:t>narcotráfico y de contraguerilla interno”, la Directiva 057 de 23  de  julio</w:t>
        <w:br/>
        <w:t>de 1997, numeral 10 de  las  instrucciones  Generales  de  Coordinación;  el</w:t>
        <w:br/>
        <w:t>documento NR 16854/CGFM - EMCD3 - PO  -  375,  del  8  de  agosto  de  1998,</w:t>
        <w:br/>
        <w:t>suscrito por el Comandante General de las Fuerzas Militares, y la  Directiva</w:t>
        <w:br/>
        <w:t>Permanente 300 - 45  del  3  de  septiembre  de  1998,  relativa  a  "normas</w:t>
        <w:br/>
        <w:t>generales para apoyos aéreos de las FF.MM”. Juzgado Doce Penal del  Circuito</w:t>
        <w:br/>
        <w:t>de Conocimiento de Bogotá D.C. con funciones de Ley 600 de  2000,  Sentencia</w:t>
        <w:br/>
        <w:t>de  Primera  Instancia,  Radicado  2005-102,  24  de  septiembre   de   2009</w:t>
        <w:br/>
        <w:t>(expediente de prueba, tomo 12, folios 6385 y 6386).</w:t>
        <w:br/>
        <w:br/>
        <w:br/>
        <w:t>[327]       Directiva 057 de  23  de  julio  de  1997,  numeral  10  de  las</w:t>
        <w:br/>
        <w:t>instrucciones Generales de Coordinación, citada en Juzgado  Doce  Penal  del</w:t>
        <w:br/>
        <w:t>Circuito de Conocimiento de Bogotá D.C. con funciones de Ley  600  de  2000,</w:t>
        <w:br/>
        <w:t>Sentencia de Primera Instancia, Radicado 2005-102, 24 de septiembre de  2009</w:t>
        <w:br/>
        <w:t>(expediente de prueba, tomo 12, folio 6386).</w:t>
        <w:br/>
        <w:br/>
        <w:br/>
        <w:t>[328]       Directiva Permanente NR 300 –  05  de  1996  denominada  “normas</w:t>
        <w:br/>
        <w:t>generales para apoyos aéreos a las operaciones contra el narcotráfico  y  de</w:t>
        <w:br/>
        <w:t>contraguerilla interno”  citada  en  Juzgado  Doce  Penal  del  Circuito  de</w:t>
        <w:br/>
        <w:t>Conocimiento de Bogotá D.C. con funciones de Ley 600 de 2000,  Sentencia  de</w:t>
        <w:br/>
        <w:t>Primera Instancia, Radicado 2005-102, 24 de septiembre de  2009  (expediente</w:t>
        <w:br/>
        <w:t>de prueba, tomo 12, folio 6385).</w:t>
        <w:br/>
        <w:br/>
        <w:br/>
        <w:t>[329]       Documento NR 16854/CGFM - EMCD3 - PO - 375, del 8 de  agosto  de</w:t>
        <w:br/>
        <w:t>1998, suscrito por el Comandante General de las  Fuerzas  Militares,  citado</w:t>
        <w:br/>
        <w:t>por el Juzgado Doce Penal del Circuito de Conocimiento de  Bogotá  D.C.  con</w:t>
        <w:br/>
        <w:t>funciones de Ley 600 de 2000, Sentencia de Primera Instancia, Radicado 2005-</w:t>
        <w:br/>
        <w:t>102, 24 de septiembre de 2009 (expediente de prueba, tomo 12, folio 6385).</w:t>
        <w:br/>
        <w:br/>
        <w:br/>
        <w:t>[330]       Cfr. Tribunal Superior de Bogotá, Sala Penal, Sentencia  del  15</w:t>
        <w:br/>
        <w:t>de junio de 2011 (expediente de prueba, tomo 20, folio 10797).</w:t>
        <w:br/>
        <w:br/>
        <w:br/>
        <w:t>[331]       Cfr. Video Skymaster de 13 de diciembre de  1998,  hora  9:53:40</w:t>
        <w:br/>
        <w:t>am (expediente de prueba, tomo 19, folio 9621). Véase  también:  Juzgado  12</w:t>
        <w:br/>
        <w:t>Penal del Circuito de Bogotá. Sentencia del 24 de septiembre de 2009, p.  45</w:t>
        <w:br/>
        <w:t>(expediente de prueba, tomo 12, folio 6368).</w:t>
        <w:br/>
        <w:br/>
        <w:br/>
        <w:t>[332]       Escrito de Contestación (expediente  de  fondo,  tomo  2,  folio</w:t>
        <w:br/>
        <w:t>500).</w:t>
        <w:br/>
        <w:br/>
        <w:br/>
        <w:t>[333]       Tribunal Superior de Bogotá, Sala  Penal,  Sentencia  de  15  de</w:t>
        <w:br/>
        <w:t>junio de 2011 (expediente de prueba, tomo 20, folio 10783).</w:t>
        <w:br/>
        <w:br/>
        <w:br/>
        <w:t>[334]       Juzgado Doce Penal del Circuito de Conocimiento de  Bogotá  D.C.</w:t>
        <w:br/>
        <w:t>con funciones de Ley 600 de 2000, Sentencia de Primera  Instancia,  Radicado</w:t>
        <w:br/>
        <w:t>2005-102, 24 de septiembre de 2009 (expediente de  prueba,  tomo  12,  folio</w:t>
        <w:br/>
        <w:t>6367).</w:t>
        <w:br/>
        <w:br/>
        <w:br/>
        <w:t>[335]       Video Skymaster de 13 de diciembre de 1998, hora  9:43:42  am  a</w:t>
        <w:br/>
        <w:t>9:44:46 am (expediente de prueba,  tomo  19,  folio  9621).  Véase  también:</w:t>
        <w:br/>
        <w:t>Juzgado  Doce  Penal  del  Circuito  de  Conocimiento  de  Bogotá  D.C.  con</w:t>
        <w:br/>
        <w:t>funciones de Ley 600 de 2000, Sentencia de Primera Instancia, Radicado 2005-</w:t>
        <w:br/>
        <w:t>102, 24 de septiembre de 2009 (expediente de prueba, tomo 12, folio 6367).</w:t>
        <w:br/>
        <w:br/>
        <w:br/>
        <w:t>[336]       Juzgado Doce Penal del Circuito de Conocimiento de  Bogotá  D.C.</w:t>
        <w:br/>
        <w:t>con funciones de Ley 600 de 2000, Sentencia de Primera  Instancia,  Radicado</w:t>
        <w:br/>
        <w:t>2005-102, 24 de septiembre de 2009 (expediente de  prueba,  tomo  12,  folio</w:t>
        <w:br/>
        <w:t>6368).</w:t>
        <w:br/>
        <w:br/>
        <w:br/>
        <w:t>[337]       Tribunal Superior de Bogotá, Sala  Penal,  Sentencia  de  15  de</w:t>
        <w:br/>
        <w:t>junio de 2011 (expediente de prueba, tomo 20, folio 10782).</w:t>
        <w:br/>
        <w:br/>
        <w:br/>
        <w:t>[338]       En este sentido, en el Video Skymaster de  13  de  diciembre  de</w:t>
        <w:br/>
        <w:t>1998, hora 09:43:55 am (expediente de  prueba,  tomo  19,  folio  9621),  se</w:t>
        <w:br/>
        <w:t>puede escuchar uno de los pilotos decir “Oh!! There  is  the  troop.  That’s</w:t>
        <w:br/>
        <w:t>what they’re doing! […] smoke of the rocket,  that’s  next  to  the  troop”.</w:t>
        <w:br/>
        <w:t>["¡¡Oh!! Ahí está la tropa. ¡Eso es lo que están haciendo!  [...]  humo  del</w:t>
        <w:br/>
        <w:t>cohete, eso está al lado de la tropa"]</w:t>
        <w:br/>
        <w:br/>
        <w:br/>
        <w:t>[339]       Cfr. Tribunal Superior Distrito judicial de Bogotá, Sala  Penal,</w:t>
        <w:br/>
        <w:t>sentencia de 15 de junio de 2011, mediante la cual se  resuelve  el  recurso</w:t>
        <w:br/>
        <w:t>de apelación interpuesto contra la sentencia de primera instancia, MP:  Luis</w:t>
        <w:br/>
        <w:t>Mariano Rodríguez Roa (expediente de prueba, tomo 16,  folios  8414  y  ss.;</w:t>
        <w:br/>
        <w:t>tomo 19, 10717 y ss.).</w:t>
        <w:br/>
        <w:br/>
        <w:br/>
        <w:t>[340]       Cfr. Video Skymaster de 13 de diciembre de 1998,  hora  10:17:04</w:t>
        <w:br/>
        <w:t>am; 10:12:03 am, y 10:11 am (expediente de prueba, tomo 19, folio 9621).</w:t>
        <w:br/>
        <w:br/>
        <w:br/>
        <w:t>[341]       Véase por ejemplo cuando uno de los  pilotos  del  Skymaster  le</w:t>
        <w:br/>
        <w:t>dice al otro: “[e]sto es un trabajo para las tropas,  porque  aquí  nosotros</w:t>
        <w:br/>
        <w:t>no  podemos  separar  los  civiles  de  la  guerrilla,   porque   no   están</w:t>
        <w:br/>
        <w:t>uniformados”. Video Skymaster de 13 de diciembre de 1998, hora  10:53:42  am</w:t>
        <w:br/>
        <w:t>(expediente de prueba, tomo 19, folio 9621).</w:t>
        <w:br/>
        <w:br/>
        <w:br/>
        <w:t>[342]       Henkaerts, Jean – Marie,  Doswald  –  Beck  Louise,  El  Derecho</w:t>
        <w:br/>
        <w:t>Internacional Humanitario Consuetudinario, volumen I, normas,  CICR,  Buenos</w:t>
        <w:br/>
        <w:t>Aires, 2007, p. 46, Norma 12.</w:t>
        <w:br/>
        <w:br/>
        <w:br/>
        <w:t>[343]       El artículo 50 Protocolo I de 1977 adicional a los Convenios  de</w:t>
        <w:br/>
        <w:t>Ginebra de 1949 (“Definición de personas  civiles  y  de  población  civil”)</w:t>
        <w:br/>
        <w:t>establece que: “1. Es persona civil cualquiera que no pertenezca  a  una  de</w:t>
        <w:br/>
        <w:t>las categorías de personas a que se refieren el artículo 4, A. 1), 2), 3)  y</w:t>
        <w:br/>
        <w:t>6) del III Convenio, y el artículo 43 del presente  Protocolo.  En  caso  de</w:t>
        <w:br/>
        <w:t>duda acerca de la condición de una persona, se  la  considerará  como  civil</w:t>
        <w:br/>
        <w:t>[…]”.</w:t>
        <w:br/>
        <w:br/>
        <w:br/>
        <w:t>[344]       TPIY,  Radicado:  IT-96-29/1-T.  Asunto  “Fiscal  vs.  Stanislav</w:t>
        <w:br/>
        <w:t>Galic”. Sentencia del 5 de diciembre de 2003. Sala de Primera Instancia  del</w:t>
        <w:br/>
        <w:t>TPIY, párr. 57.</w:t>
        <w:br/>
        <w:br/>
        <w:br/>
        <w:t>[345]       Directiva 057 del 23 de julio 1997, citada por el  Juzgado  Doce</w:t>
        <w:br/>
        <w:t>Penal del Circuito de Conocimiento de Bogotá D.C. con funciones de  Ley  600</w:t>
        <w:br/>
        <w:t>de  2000,  Sentencia  de  Primera  Instancia,  Radicado  2005-102,   24   de</w:t>
        <w:br/>
        <w:t>septiembre de 2009 (expediente de prueba, tomo 12, folio 6386).</w:t>
        <w:br/>
        <w:br/>
        <w:br/>
        <w:t>[346]  Caso de los “Niños de la  Calle”  (Villagrán  Morales  y  otros)  Vs.</w:t>
        <w:br/>
        <w:t>Guatemala. Fondo, párr. 194, y  Caso  Furlán  y  Familiares  Vs.  Argentina,</w:t>
        <w:br/>
        <w:t>párr. 125.</w:t>
        <w:br/>
        <w:br/>
        <w:br/>
        <w:t>[347]  De  acuerdo  con  el  Comité  Internacional  de  la  Cruz  Roja  esta</w:t>
        <w:br/>
        <w:t>obligación ha sido definida como que “[l]as partes en conflicto deben  hacer</w:t>
        <w:br/>
        <w:t>lo posible por restablecer los lazos familiares, es decir, no solo  permitir</w:t>
        <w:br/>
        <w:t>las búsquedas  que  emprendan  los  miembros  de  familias  dispersas,  sino</w:t>
        <w:br/>
        <w:t>facilitarlas  incluso”.  Comentario  del  Protocolo  adicional  II   a   los</w:t>
        <w:br/>
        <w:t>Convenios de Ginebra de 1949 relativo a la protección  de  las  víctimas  de</w:t>
        <w:br/>
        <w:t>los conflictos armados sin carácter internacional. Apartado  B.  Reunión  de</w:t>
        <w:br/>
        <w:t>Familias, párr. 4553.</w:t>
        <w:br/>
        <w:br/>
        <w:br/>
        <w:t>[348]        Caso  de  la  Masacre  de  Mapiripán   Vs.   Colombia.   Fondo,</w:t>
        <w:br/>
        <w:t>Reparaciones y Costas, párr. 156.</w:t>
        <w:br/>
        <w:br/>
        <w:br/>
        <w:t>[349]       En el video del Skymater es posible escuchar que a las  08:39:18</w:t>
        <w:br/>
        <w:t>uno de los pilotos de la aeronave que distingue “unas 40  personas  […]  con</w:t>
        <w:br/>
        <w:t>traje de civil” y agrega “también hay niños ahí metidos”. Luego de la  caída</w:t>
        <w:br/>
        <w:t>de  la  bomba  también  se  puede  escuchar  en  la  grabación  que   fueron</w:t>
        <w:br/>
        <w:t>identificados  niños  entre  la  población  a  distintos  momentos   de   la</w:t>
        <w:br/>
        <w:t>grabación: a las  10:14:37  am;  10:19:00  am;  10:19:09  am;  10:25:22  am;</w:t>
        <w:br/>
        <w:t>10:27:44 am, y 10:33:06 am.</w:t>
        <w:br/>
        <w:br/>
        <w:br/>
        <w:t>[350]       Cfr. Caso Masacres de  El  Mozote  y  lugares  aledaños  Vs.  El</w:t>
        <w:br/>
        <w:t>Salvador, párr. 197, y Caso de la Masacre de Mapiripán Vs. Colombia.  Fondo,</w:t>
        <w:br/>
        <w:t>Reparaciones y Costas, párr. 146. Véase asimismo:  Caso  Contreras  y  otros</w:t>
        <w:br/>
        <w:t>Vs. El Salvador. Fondo, Reparaciones y  Costas,  párr.  120;  Caso  Castillo</w:t>
        <w:br/>
        <w:t>Páez Vs. Perú. Fondo. Sentencia de 3 de noviembre de 1997. Serie C  No.  34,</w:t>
        <w:br/>
        <w:t>Punto Resolutivo Cuarto; Caso Gelman Vs. Uruguay, párr. 133,  y  Caso  Gomes</w:t>
        <w:br/>
        <w:t>Lund y otros (Guerrilha do Araguaia) Vs. Brazil, párr. 235.</w:t>
        <w:br/>
        <w:br/>
        <w:br/>
        <w:t>[351] Cfr. Caso Valle Jaramillo y otros Vs. Colombia. Fondo, Reparaciones  y</w:t>
        <w:br/>
        <w:t>Costas. Sentencia de 27 de noviembre de 2008. Serie C No. 192, párr.  119  y</w:t>
        <w:br/>
        <w:t>Caso Blake Vs. Guatemala. Fondo. Sentencia de 24 de enero de 1998.  Serie  C</w:t>
        <w:br/>
        <w:t>No. 36, párr. 114.</w:t>
        <w:br/>
        <w:br/>
        <w:br/>
        <w:t>[352] Cfr. Caso Valle Jaramillo y otros Vs.  Colombia,  párr.  119,  y  Caso</w:t>
        <w:br/>
        <w:t>Trujillo Oroza Vs. Bolivia.  Reparaciones  y  Costas.  Sentencia  de  27  de</w:t>
        <w:br/>
        <w:t>febrero de 2002. Serie C No. 92, párr. 57.</w:t>
        <w:br/>
        <w:br/>
        <w:br/>
        <w:t>[353]       Cfr. Caso Valle Jaramillo y otros Vs.  Colombia,  párr.  119,  y</w:t>
        <w:br/>
        <w:t>Caso Familia Barrios Vs. Venezuela, párr. 302</w:t>
        <w:br/>
        <w:br/>
        <w:br/>
        <w:t>[354] Cfr. Caso Valle Jaramillo y otros Vs.  Colombia,  párr.  119,  y  Caso</w:t>
        <w:br/>
        <w:t>Blake Vs. Guatemala. Fondo. Sentencia de 24 de enero de 1998.  Serie  C  No.</w:t>
        <w:br/>
        <w:t>36, párr. 114.</w:t>
        <w:br/>
        <w:br/>
        <w:br/>
        <w:t>[355]       En el  peritaje  se  realizó  la  valoración  individual  de  81</w:t>
        <w:br/>
        <w:t>personas. Cfr. Peritaje psicosocial de la Dra. Ana Deutsch realizado  a  las</w:t>
        <w:br/>
        <w:t>familias víctimas de la masacre de  Santo  Domingo.  21  de  junio  de  2012</w:t>
        <w:br/>
        <w:t>(expediente de prueba, tomo 50, folio 27610).</w:t>
        <w:br/>
        <w:br/>
        <w:br/>
        <w:t>[356]       Peritaje psicosocial de la Dra.  Ana  Deutsch  realizado  a  las</w:t>
        <w:br/>
        <w:t>familias víctimas de los hechos de Santo Domingo el  21  de  junio  de  2012</w:t>
        <w:br/>
        <w:t>(expediente de prueba, tomo 50, folio 27606).</w:t>
        <w:br/>
        <w:br/>
        <w:br/>
        <w:t>[357]       Al respecto, Jorge Henry  Vanegas  Ortiz  contó:  “recuerdo  que</w:t>
        <w:br/>
        <w:t>viví ese momento de la noticia de la muerte de mis hijos, eso  uno  no  sabe</w:t>
        <w:br/>
        <w:t>ni donde queda, porque, que uno le digan que le mataron a sus hijos, eso  es</w:t>
        <w:br/>
        <w:t>una sorpresa impresionante. Por segundos uno queda como sonámbulos, que  uno</w:t>
        <w:br/>
        <w:t>no sabe lo que  va  a  hacer”  Testimonio  de  Jorge  Henry  Vanegas  Ortiz.</w:t>
        <w:br/>
        <w:t>Declaración rendida por afidávit  (expediente  de  prueba,  tomo  50,  folio</w:t>
        <w:br/>
        <w:t>27933). En este sentido, se mencionan las  declaraciones  de  Carmen  Edilia</w:t>
        <w:br/>
        <w:t>Gonzalez, quien contó que cuando salió  de  su  casa  después  el  bombardeo</w:t>
        <w:br/>
        <w:t>encontró a su esposo muerto Cfr. Queja rendida  por Carmen  Edilia  Gonzalez</w:t>
        <w:br/>
        <w:t>ante la Personería Municipal de Tame,  el  día  18  de  diciembre  de  1998,</w:t>
        <w:br/>
        <w:t>citado en: Resolución de la Unidad de Instrucción Penal Militar Especial  de</w:t>
        <w:br/>
        <w:t>14 de junio de 2001 (expediente de prueba, tomo 2, folio 497)  de  Luis  Sel</w:t>
        <w:br/>
        <w:t>Murillo Villamizar, quien perdió  a  su  única  hija  de  cinco  años  (Cfr.</w:t>
        <w:br/>
        <w:t>Declaración del particular Luis Sel Murillo Villamizar ante el  Juzgado  124</w:t>
        <w:br/>
        <w:t>de Instrucción Penal  Militar.  21  de  diciembre  de  1998  (expediente  de</w:t>
        <w:br/>
        <w:t>prueba, tomo 4, folio 1406). de Alicia  Bello  Tilano,  quien  recuerda  que</w:t>
        <w:br/>
        <w:t>“[corrió] hacia el lado donde vi[o] a [su] niña  [pero]  ya  estaba  muerta”</w:t>
        <w:br/>
        <w:t>(Queja  Juramentada  que  rinde  la  señora  Alicia  Bello  Tilano  ante  la</w:t>
        <w:br/>
        <w:t>Personería Municipal de Tame el 16  de  diciembre  de  1998  (expediente  de</w:t>
        <w:br/>
        <w:t>prueba, tomo 4, folio 1419) y de Nilsan de Jesús Díaz Herrera,  quien  contó</w:t>
        <w:br/>
        <w:t>que no “creía que [su marido] estuviera, pero ahí estaba. […] Lo  único  que</w:t>
        <w:br/>
        <w:t>hice fue voltearlo boca arriba, la piel de  él  me  quedaba  pegada  en  las</w:t>
        <w:br/>
        <w:t>manos, estaba todito quemado, lleno de huecos, el brazo se lo destrozó,  fue</w:t>
        <w:br/>
        <w:t>horrible” (Testimonio de Nilsa de Jesús Díaz  Herrera.  Declaración  rendida</w:t>
        <w:br/>
        <w:t>por afidávit (expediente de prueba, tomo 50, folio 27985).</w:t>
        <w:br/>
        <w:br/>
        <w:br/>
        <w:t>[358]       Véase anexo III.</w:t>
        <w:br/>
        <w:br/>
        <w:br/>
        <w:t>[359]       Cfr. Caso Genie Lacayo Vs. Nicaragua. Fondo, Reparaciones y</w:t>
        <w:br/>
        <w:t>Costas, párr. 51, y Caso Furlán y familiares Vs. Argentina. Excepciones</w:t>
        <w:br/>
        <w:t>Preliminares, párr. 300.</w:t>
        <w:br/>
        <w:br/>
        <w:br/>
        <w:t>[360]       A saber: María Yolanda Rangel, Teresa Mojica  Hernández,  Edilma</w:t>
        <w:br/>
        <w:t>Leal Pacheco, Nancy Ávila  Castillo  (o  Abaunza),  Luis  Orlando  (o  Levis</w:t>
        <w:br/>
        <w:t>Hernando) Martínez Carreño,  Luis  Enrique  Parada  Ropero,  Salomón  Neite,</w:t>
        <w:br/>
        <w:t>Arnulfo Arciniégas Velandia (o Calvo), Pablo  Suárez  Daza,  Carmen  Antonio</w:t>
        <w:br/>
        <w:t>Díaz Cobo, Rodolfo Carrillo y las niñas y niños: Jaime  Castro  Bello,  Egna</w:t>
        <w:br/>
        <w:t>Margarita Bello  Tilano,  Luis  Carlos  Neite  Méndez,  Deysi  Katherine  (o</w:t>
        <w:br/>
        <w:t>Catherine)  Cárdenas  Tilano,  Oscar  Esneider  Vanegas  Tulibila,   Geovany</w:t>
        <w:br/>
        <w:t>Hernández Becerra.</w:t>
        <w:br/>
        <w:br/>
        <w:br/>
        <w:t>[361]       A saber: Edwin  Fernando  Vanegas  Tulibila,  Milciades  Bonilla</w:t>
        <w:br/>
        <w:t>Ostos,  Ludwing  Vanegas,  Gleydis  Xiomara  García  Guevara,  Mario  Galvis</w:t>
        <w:br/>
        <w:t>Gelves, Fredy Monoga Villamizar (o Fredy Villamizar  Monoga),  Mónica  Bello</w:t>
        <w:br/>
        <w:t>Tilano, Maribel Daza Rojas, Amalio  Neite  González,  Marian  Arévalo,  José</w:t>
        <w:br/>
        <w:t>Agudelo Tamayo, María Cenobia  Panqueva,  Pedro  Uriel  Duarte  Lagos,  Ludo</w:t>
        <w:br/>
        <w:t>Vanegas, Adela Carrillo, Alcides Bonilla,  Fredy  Mora  y  los  niños:  Alba</w:t>
        <w:br/>
        <w:t>Yaneth  García  Guevara,  Marcos  Aurelio  Neite  Méndez,   Erinson   Olimpo</w:t>
        <w:br/>
        <w:t>Cárdenas, Hilda Yuraime Barranco Bastilla, Ricardo  Ramírez,  Yeimi  Viviana</w:t>
        <w:br/>
        <w:t>Contreras,  Maryori  Agudelo  Flórez,  Rosmira  Daza  Rojas,  Neftalí  Neite</w:t>
        <w:br/>
        <w:t>González, Lida Barranca.</w:t>
        <w:br/>
        <w:br/>
        <w:br/>
        <w:t>[362]       Niños y niñas que murieron: Jaime Castro Bello,  Egna  Margarita</w:t>
        <w:br/>
        <w:t>Bello Tilano, Luis  Carlos  Neite  Méndez,  Deysi  Katherine  (o  Catherine)</w:t>
        <w:br/>
        <w:t>Cárdenas  Tilano,  Oscar  Esneider  Vanegas  Tulibila  y  Geovany  Hernández</w:t>
        <w:br/>
        <w:t>Becerra. Niñas y niños que resultaron heridos: Alba Yaneth  García  Guevara,</w:t>
        <w:br/>
        <w:t>Marcos  Aurelio  Neite  Méndez,  Erinson  Olimpo  Cárdenas,  Hilda   Yuraime</w:t>
        <w:br/>
        <w:t>Barranco, Ricardo Ramírez, Yeimi Viviana Contreras, Maryori Agudelo  Flórez,</w:t>
        <w:br/>
        <w:t>Rosmira Daza Rojas, Neftalí Neite González y Lida Barranca.</w:t>
        <w:br/>
        <w:br/>
        <w:br/>
        <w:t>[363]       El artículo 22.1  de  la  Convención  Americana  establece  que:</w:t>
        <w:br/>
        <w:t>“Toda persona que se halle legalmente en el territorio de  un  Estado  tiene</w:t>
        <w:br/>
        <w:t>derecho a circular por el mismo y, a  residir  en  él  con  sujeción  a  las</w:t>
        <w:br/>
        <w:t>disposiciones legales […]”.</w:t>
        <w:br/>
        <w:br/>
        <w:br/>
        <w:t>[364]        Esas  personas  serían:  Alba  Yaneth  García  Guevara;   Edwin</w:t>
        <w:br/>
        <w:t>Fernando  Vanegas  Tulibila;  Milciades  Bonilla  Ostos;  Ludwing   Vanegas;</w:t>
        <w:br/>
        <w:t>Gleydis  Xiomara  García  Guevara;  Mario  Galvis   Gelves;   Fredy   Monoga</w:t>
        <w:br/>
        <w:t>Villamizar (o Fredy Villamizar Monoga); Mónica Bello  Tilano;  Maribel  Daza</w:t>
        <w:br/>
        <w:t>Rojas; Amalio Neite González; Marian Arévalo;  José  Agudelo  Tamayo;  María</w:t>
        <w:br/>
        <w:t>Cenobia Panqueva; Pedro Uriel Duarte Lagos; Ludo  Vanegas;  Adela  Carrillo;</w:t>
        <w:br/>
        <w:t>Alcides Bonilla; Fredy Mora. También los  [niños  y  niñas]  Marcos  Aurelio</w:t>
        <w:br/>
        <w:t>Neite Méndez; Erinson Olimpo  Cárdenas;  Hilda  Yuraime  Barranco  Bastilla;</w:t>
        <w:br/>
        <w:t>Ricardo Ramírez; Yeimi Viviana Contreras; Maryori  Agudelo  Flórez;  Rosmira</w:t>
        <w:br/>
        <w:t>Daza Rojas; Neftalí Neite González y Lida Barranca.</w:t>
        <w:br/>
        <w:br/>
        <w:t>[365]       Ley 387 de 1997 (julio 18). El Congreso de Colombia.</w:t>
        <w:br/>
        <w:br/>
        <w:t>[366]       El artículo 21 de la Convención establece que “1.  Toda  persona</w:t>
        <w:br/>
        <w:t>tiene derecho al uso y goce de sus bienes. La ley puede subordinar  tal  uso</w:t>
        <w:br/>
        <w:t>y goce al interés social. 2.  Ninguna  persona  puede  ser  privada  de  sus</w:t>
        <w:br/>
        <w:t>bienes, excepto mediante el pago de una indemnización justa, por razones  de</w:t>
        <w:br/>
        <w:t>utilidad pública o de interés social y en  los  casos  y  según  las  formas</w:t>
        <w:br/>
        <w:t>establecidas por la ley […]”.</w:t>
        <w:br/>
        <w:br/>
        <w:br/>
        <w:t>[367] Cfr. Caso Masacres de El Mozote y lugares aledaños  Vs.  El  Salvador,</w:t>
        <w:br/>
        <w:t>párr. 186; Caso Ricardo Canese Vs. Paraguay. Fondo, Reparaciones  y  Costas.</w:t>
        <w:br/>
        <w:t>Sentencia de 31 de agosto de 2004. Serie C No. 111, párr.  115,  y  Caso  de</w:t>
        <w:br/>
        <w:t>las Masacres de Ituango Vs. Colombia, párr. 206. En el mismo  sentido  véase</w:t>
        <w:br/>
        <w:t>Comité de Derechos Humanos de Naciones Unidas, Comentario general no. 27  de</w:t>
        <w:br/>
        <w:t>2 de noviembre de 1999, párrs. 1, 4, 5 y 19.</w:t>
        <w:br/>
        <w:br/>
        <w:br/>
        <w:t>[368]       Cfr. Caso de  la  Masacre  de  Mapiripán  Vs.  Colombia.  Fondo,</w:t>
        <w:br/>
        <w:t>Reparaciones y Costas, párr. 188, y Masacre  de  Río  Negro  Vs.  Guatemala,</w:t>
        <w:br/>
        <w:t>párr. 172.</w:t>
        <w:br/>
        <w:br/>
        <w:br/>
        <w:t>[369]  Cfr.  Naciones  Unidas,  Informe  del  Representante  del  Secretario</w:t>
        <w:br/>
        <w:t>General, Sr. Francis  M.  Deng,  presentado  con  arreglo  a  la  resolución</w:t>
        <w:br/>
        <w:t>1997/39 de la Comisión de  Derechos  Humanos,  Principios  Rectores  de  los</w:t>
        <w:br/>
        <w:t>Desplazamientos Internos, E/CN.4/1998/53/Add.2 de 11 de febrero de 1998.</w:t>
        <w:br/>
        <w:br/>
        <w:br/>
        <w:t>[370]       Cfr. Video Skymaster del 13 de  diciembre  de  1998  (07:21  am;</w:t>
        <w:br/>
        <w:t>07:38 am; 07:42 am; 08:39 am; 09:16 am hasta 09:36 am; 09:49 am),  donde  se</w:t>
        <w:br/>
        <w:t>registra toda la operación realizada por  la  Fuerza  Aérea  (expediente  de</w:t>
        <w:br/>
        <w:t>prueba, tomo 19, folio 9621).</w:t>
        <w:br/>
        <w:br/>
        <w:br/>
        <w:t>[371]       Cfr. Video Skymaster del 13 de diciembre  de  1998  (hora  10:08</w:t>
        <w:br/>
        <w:t>am; 10:09 am; 10:11 am; 10:17 am; 10:18:22 am;  10:18:58  am;  10:19  am,  y</w:t>
        <w:br/>
        <w:t>10:42 am) donde se registra toda la operación realizada por la Fuerza  Aérea</w:t>
        <w:br/>
        <w:t>(expediente de prueba, tomo 19, folio 9621). Declaración y denuncia  pública</w:t>
        <w:br/>
        <w:t>del Cabildo Abierto en el  municipio  de  Tame,  17  de  diciembre  de  1998</w:t>
        <w:br/>
        <w:t>(expediente de prueba, tomo 15, folio 7681), y Nota  de  prensa:  Diario  El</w:t>
        <w:br/>
        <w:t>Tiempo, “Éxodo a Tame por combates”, 15 de diciembre de 1998 (expediente  de</w:t>
        <w:br/>
        <w:t>prueba, tomo 14, folio 7341). Véase  también,  nota  de  prensa:  Diario  El</w:t>
        <w:br/>
        <w:t>Espectador, “Santo Domingo será Reconstruido”, noticia  Judicial  Pág.  9-A,</w:t>
        <w:br/>
        <w:t>26 de diciembre de 1998 (expediente de prueba, tomo 14, folio 7360,  y  tomo</w:t>
        <w:br/>
        <w:t>16, folio 8227), y Resolución de la  Unidad  de  Instrucción  Penal  Militar</w:t>
        <w:br/>
        <w:t>Especial de 14 de junio de 2001 (expediente de prueba, tomo 2, folios 422  a</w:t>
        <w:br/>
        <w:t>423).</w:t>
        <w:br/>
        <w:br/>
        <w:br/>
        <w:t>[372]       Cfr. Video Skymaster del 13 de diciembre  de  1998  (hora  10:36</w:t>
        <w:br/>
        <w:t>am) donde se registra toda  la  operación  realizada  por  la  Fuerza  Aérea</w:t>
        <w:br/>
        <w:t>(expediente de prueba, tomo 19, folio 9621).</w:t>
        <w:br/>
        <w:br/>
        <w:br/>
        <w:t>[373]       Cfr. Juzgado Doce Penal del Circuito de Conocimiento  de  Bogotá</w:t>
        <w:br/>
        <w:t>D.C. con funciones de Ley 600  de  2000,  Sentencia  de  Primera  Instancia,</w:t>
        <w:br/>
        <w:t>Radicado 2005-102, 24 de septiembre de 2009 (expediente de prueba,  tomo  2,</w:t>
        <w:br/>
        <w:t>folio 346).</w:t>
        <w:br/>
        <w:br/>
        <w:br/>
        <w:t>[374]       Cfr. Declaración de Giovanni Díaz  Cobo,  quien  manifestó  que:</w:t>
        <w:br/>
        <w:t>“[e]n Beyotes desplazados duramos  siete  días,  y  la  gente  dijo  que  ya</w:t>
        <w:br/>
        <w:t>podíamos regresar y nos quedamos con el vacio en  el  alma”.  Giovanni  Díaz</w:t>
        <w:br/>
        <w:t>Cobo declaración rendida por afidávit (expediente de prueba, tomo 50,  folio</w:t>
        <w:br/>
        <w:t>27965). Del mismo modo Alba  Yanet  García,  declaró  durante  la  audiencia</w:t>
        <w:br/>
        <w:t>pública que: “Cambia totalmente, porque ya igual yo no, con  el  solo  hecho</w:t>
        <w:br/>
        <w:t>de tener que salir de Santo Domingo,  de  dejar  ahí  mi  familia,  yo  salí</w:t>
        <w:br/>
        <w:t>porque no pude vivir en Santo Domingo, los recuerdos igual después  de  casi</w:t>
        <w:br/>
        <w:t>14 años siguen ahí. Me toco salir  y  enfrentarme  a  otro  mundo,  nosotros</w:t>
        <w:br/>
        <w:t>todos en Santo Domingo  somos  campesinos,  me  toco  desplazarme  hacia  el</w:t>
        <w:br/>
        <w:t>pueblo, ya a enfrentarme a cosas diferentes, enfrentarme a un brazo  que  ya</w:t>
        <w:br/>
        <w:t>no lo podía tener como antes, enfrentarme a mis  recuerdos.  Fue  duro,  muy</w:t>
        <w:br/>
        <w:t>duro, ha sido muy duro”. Testimonio de Alba Yanet  García  en  la  Audiencia</w:t>
        <w:br/>
        <w:t>Pública del 27 y 28 de junio de 2012.</w:t>
        <w:br/>
        <w:br/>
        <w:br/>
        <w:t>[375]       Testimonio de Nilsa de Jesús Díaz Herrera.  Declaración  rendida</w:t>
        <w:br/>
        <w:t>por afidávit (expediente de prueba, tomo 50, folio 27987).</w:t>
        <w:br/>
        <w:br/>
        <w:br/>
        <w:t>[376]       Testimonio de Mónica Alicia Bello  Tilano.  Declaración  rendida</w:t>
        <w:br/>
        <w:t>por afidávit (expediente de prueba, tomo 50, folio 28028).</w:t>
        <w:br/>
        <w:br/>
        <w:br/>
        <w:t>[377]       Véase los siguientes testimonios: “[…]  para  el  13  de  12  de</w:t>
        <w:br/>
        <w:t>1998,  hubo  en  enfrentamiento  entre  la  guerrilla  y  el  Ejército,  los</w:t>
        <w:br/>
        <w:t>helicópteros bombardearon el caserío de Santo Domingo […] y  pues  como  fue</w:t>
        <w:br/>
        <w:t>tan terrible salimos todos con los heridos  y  con  los  muertos  y  dejamos</w:t>
        <w:br/>
        <w:t>todo…”. Y también: “[…] el trece de diciembre de mil novecientos  noventa  y</w:t>
        <w:br/>
        <w:t>ocho llego un avión el Ejército y empezó a tirar bombas y toda  la  gente  y</w:t>
        <w:br/>
        <w:t>todo el mundo salimos a correr  para  afuera  […]  y  a  nosotros  nos  tocó</w:t>
        <w:br/>
        <w:t>venirnos de allá desde ese día, ese día la gente salió toda de allá los  que</w:t>
        <w:br/>
        <w:t>tenían casa se quedaron sin casa”. La Unidad para la Atención  y  Reparación</w:t>
        <w:br/>
        <w:t>Integral a las Víctimas, transcribió los apartes de las declaraciones,  pero</w:t>
        <w:br/>
        <w:t>se reservó la identidad de los declarantes conforme al  artículo  15  de  la</w:t>
        <w:br/>
        <w:t>Constitución Política de Colombia. Oficio de la Unidad para  la  Atención  y</w:t>
        <w:br/>
        <w:t>Reparación Integral a las Víctimas, del 19 de julio de 2012  (expediente  de</w:t>
        <w:br/>
        <w:t>prueba, tomo 51, folio 28053).</w:t>
        <w:br/>
        <w:br/>
        <w:br/>
        <w:t>[378]       Oficio de la Unidad para la Atención  y  Reparación  Integral  a</w:t>
        <w:br/>
        <w:t>las Víctimas, del 19 de julio de 2012 (expediente de prueba, tomo 51,  folio</w:t>
        <w:br/>
        <w:t>28053). La Unidad para la Atención y Reparación  Integral  a  las  Víctimas,</w:t>
        <w:br/>
        <w:t>transcribió los apartes de las declaraciones, pero se reservo  la  identidad</w:t>
        <w:br/>
        <w:t>de los declarantes conforme al artículo 15 de la  Constitución  Política  de</w:t>
        <w:br/>
        <w:t>Colombia.</w:t>
        <w:br/>
        <w:br/>
        <w:br/>
        <w:t>[379]       Según el Secretario de gobierno del  Municipio  de  Tame:  "[a]l</w:t>
        <w:br/>
        <w:t>menos unas 200 personas han abandonado veredas y caseríos cercanos  a  Santo</w:t>
        <w:br/>
        <w:t>Domingo y han arribando a esa localidad buscando la protección del  Gobierno</w:t>
        <w:br/>
        <w:t>y la seguridad para sus hijos. En camiones, los desplazados  han  salido  de</w:t>
        <w:br/>
        <w:t>la zona de combates huyendo del  enfrentamiento  armado".  Nota  de  prensa:</w:t>
        <w:br/>
        <w:t>Diario  El  Espectador,  “La  Fuerza  Aérea  Colombiana  dice  que  no  hubo</w:t>
        <w:br/>
        <w:t>bombardeos”, 15 de diciembre de 1998 (expediente de prueba, tomo  14,  folio</w:t>
        <w:br/>
        <w:t>7354; tomo 16, folio 8226).</w:t>
        <w:br/>
        <w:br/>
        <w:br/>
        <w:t>[380]       Según el entonces coronel  S.A.G.V.:  “[a]proximadamente  a  las</w:t>
        <w:br/>
        <w:t>once de la mañana observe que  más  de  un  centenar  de  civiles  caminaban</w:t>
        <w:br/>
        <w:t>apresuradamente por la carretera hacia Tame, y  los  camiones  embarcaban  a</w:t>
        <w:br/>
        <w:t>las personas de una manera afanada o rápida, era una actitud como  de  miedo</w:t>
        <w:br/>
        <w:t>[…]”.  Procuraduría  General   de   la   Nación,   Dirección   Nacional   de</w:t>
        <w:br/>
        <w:t>Investigaciones Especiales, Unidad de Derechos Humanos. Acta  levantada  con</w:t>
        <w:br/>
        <w:t>ocasión a la  diligencia  de  exposición  libre  y  espontánea  rendida  por</w:t>
        <w:br/>
        <w:t>S.A.G.V. el 30 de abril de  1999  (expediente  de  prueba,  tomo  16,  folio</w:t>
        <w:br/>
        <w:t>8221).</w:t>
        <w:br/>
        <w:br/>
        <w:br/>
        <w:t>[381]       Al respecto, a las 10:18:19 am el Piloto  del  Skymaster  señala</w:t>
        <w:br/>
        <w:t>“looks to me like  the  civilians  are  fleeing  town[…]”.  También,  a  las</w:t>
        <w:br/>
        <w:t>10:18:59 am= Piloto Skymaster dice= “Estos son los civiles que  se  van  del</w:t>
        <w:br/>
        <w:t>pueblo”. Luego a las 10:36:40 am Piloto Skymaster dice=  “El  pueblo  entero</w:t>
        <w:br/>
        <w:t>se va […]”, y finalmente a las 10:52:06 am Piloto Skymaster  dice=  “No  hay</w:t>
        <w:br/>
        <w:t>nadie en el pueblo ya todo el mundo  se  fue”.  Video  Skymaster  de  13  de</w:t>
        <w:br/>
        <w:t>diciembre de 1998 (expediente de prueba, tomo 19, folio 9621).</w:t>
        <w:br/>
        <w:br/>
        <w:br/>
        <w:t>[382]       Cfr. Alcaldía Municipal de Tame, Departamento de Arauca,  29  de</w:t>
        <w:br/>
        <w:t>diciembre de 1998, respuesta a cuestionario de  22  de  diciembre  de  1998,</w:t>
        <w:br/>
        <w:t>enviado por el Juzgado 12 de Instrucción Militar  al  Alcalde  Municipal  de</w:t>
        <w:br/>
        <w:t>Tame (expediente de prueba, tomo 16, folio 8273 a 8274).</w:t>
        <w:br/>
        <w:br/>
        <w:br/>
        <w:t>[383]       Cfr. Alcaldía Municipal de Tame, Departamento de Arauca,  29  de</w:t>
        <w:br/>
        <w:t>diciembre de 1998, respuesta a cuestionario de  22  de  diciembre  de  1998,</w:t>
        <w:br/>
        <w:t>enviado por el Juzgado 12 de Instrucción Militar  al  Alcalde  Municipal  de</w:t>
        <w:br/>
        <w:t>Tame (expediente de prueba, tomo 16,  folio  8273  a  8274);  Diligencia  de</w:t>
        <w:br/>
        <w:t>Inspección realizada por el Juzgado 124 de la Unidad  de  Instrucción  Penal</w:t>
        <w:br/>
        <w:t>Militar a la localidad de Santo Domingo, el 17 de diciembre de 1998,  tomado</w:t>
        <w:br/>
        <w:t>de: Resolución de la Unidad de Instrucción Penal, de 14 de  junio  de  2001,</w:t>
        <w:br/>
        <w:t>pág. 164 (expediente de prueba, tomo 2, folio 547); Video de  la  diligencia</w:t>
        <w:br/>
        <w:t>del  17  de  diciembre  de  1998  (min.  19:08),  que  registra  la  primera</w:t>
        <w:br/>
        <w:t>inspección realizada en el caserío de Santo Domingo. (expediente de  prueba,</w:t>
        <w:br/>
        <w:t>tomo 20, folio 10175), y véase también: Acta del 28 de  diciembre  de  1998,</w:t>
        <w:br/>
        <w:t>Diligencia de Inspección (expediente de prueba, tomo 19, folio 9570).</w:t>
        <w:br/>
        <w:br/>
        <w:br/>
        <w:t>[384]       Nilsa de Jesús Díaz Herrera  declaración  rendida  por  afidávit</w:t>
        <w:br/>
        <w:t>(expediente de prueba, tomo 50, folio 27987).</w:t>
        <w:br/>
        <w:br/>
        <w:br/>
        <w:t>[385]       Cfr. Deicy  Damaris  Cedano  declaración  rendida  por  afidávit</w:t>
        <w:br/>
        <w:t>(expediente de prueba, tomo 50, folio 27979).</w:t>
        <w:br/>
        <w:br/>
        <w:br/>
        <w:t>[386]       Cfr.  Nilsa  de  Jesús  Díaz  Herrera  declaración  rendida  por</w:t>
        <w:br/>
        <w:t>afidávit (expediente de prueba, tomo 50, folio 27987).</w:t>
        <w:br/>
        <w:br/>
        <w:br/>
        <w:t>[387]        Cfr.  Convenio  interinstitucional  N.  0499   de   cooperación</w:t>
        <w:br/>
        <w:t>celebrado entre el Departamento de  Arauca  y  el  Instituto  de  Desarrollo</w:t>
        <w:br/>
        <w:t>Araucano,  con  el  objeto  de  reubicar,  reconstruir,  y  mejorar  las  47</w:t>
        <w:br/>
        <w:t>viviendas de Santo  Domingo,  del  31  de  diciembre  1999.  (expediente  de</w:t>
        <w:br/>
        <w:t>prueba, tomo 51, folios 28033 a  28037).  Véase  también,  nota  de  prensa:</w:t>
        <w:br/>
        <w:t>Diario El Espectador, “Santo Domingo será  Reconstruido”,  noticia  Judicial</w:t>
        <w:br/>
        <w:t>Pág. 9-A, 26 de diciembre de 1998 (expediente  de  prueba,  tomo  14,  folio</w:t>
        <w:br/>
        <w:t>7360; tomo 16, folio 8227).</w:t>
        <w:br/>
        <w:br/>
        <w:br/>
        <w:t>[388]        Cfr.  Rusmira  Daza  Roja  declaración  rendida  por   afidávit</w:t>
        <w:br/>
        <w:t>(expediente  de  prueba,  tomo  50,  folio  28021);  Mario   Galvis   Gelves</w:t>
        <w:br/>
        <w:t>declaración rendida por afidávit  (expediente  de  prueba,  tomo  50,  folio</w:t>
        <w:br/>
        <w:t>27941), y Milciades Bonilla declaración rendida por afidávit (expediente  de</w:t>
        <w:br/>
        <w:t>prueba, tomo 50, folio 28006).</w:t>
        <w:br/>
        <w:br/>
        <w:br/>
        <w:t>[389]       Cfr. Caso de la “Masacre  de  Mapiripán”  Vs.  Colombia.  Fondo,</w:t>
        <w:br/>
        <w:t>Reparaciones y Costas, párr. 183, y Caso de  las  Masacres  de  Ituango  Vs.</w:t>
        <w:br/>
        <w:t>Colombia, parr. 221.</w:t>
        <w:br/>
        <w:br/>
        <w:br/>
        <w:t>[390]       Cfr. Caso Masacres de  El  Mozote  y  lugares  aledaños  Vs.  El</w:t>
        <w:br/>
        <w:t>Salvador, párr. 179, y Caso Ivcher Bronstein Vs. Perú.  Fondo,  Reparaciones</w:t>
        <w:br/>
        <w:t>y Costas. Sentencia de 6 de febrero de 2001. Serie C No. 74, párr.  122.  En</w:t>
        <w:br/>
        <w:t>el mismo sentido véase: Caso de las Masacres de Ituango Vs. Colombia,  párr.</w:t>
        <w:br/>
        <w:t>174.</w:t>
        <w:br/>
        <w:br/>
        <w:br/>
        <w:t>[391]        Además  son  normas  de   Derecho   Internacional   Humanitario</w:t>
        <w:br/>
        <w:t>Consuetudinario relevantes en  el  presente  caso:  “Norma  8.  Por  lo  que</w:t>
        <w:br/>
        <w:t>respecta a los bienes, los objetivos militares se limitan a aquellos  bienes</w:t>
        <w:br/>
        <w:t>que por  su  naturaleza,  ubicación,  finalidad  o  utilización  contribuyan</w:t>
        <w:br/>
        <w:t>eficazmente a la acción militar y cuya destrucción total o parcial,  captura</w:t>
        <w:br/>
        <w:t>o neutralización ofrezca,  en  las  circunstancias  del  caso,  una  ventaja</w:t>
        <w:br/>
        <w:t>militar definida. Norma 9. Son bienes de carácter  civil  todos  los  bienes</w:t>
        <w:br/>
        <w:t>que no son objetivos militares. Norma  10.  Los  bienes  de  carácter  civil</w:t>
        <w:br/>
        <w:t>gozan de protección contra los ataques, salvo si son objetivos  militares  y</w:t>
        <w:br/>
        <w:t>mientras lo sean”. Henkaerts, Jean  –  Marie,  Doswald  –  Beck  Louise,  El</w:t>
        <w:br/>
        <w:t>derecho internacional humanitario consuetudinario, volumen I, normas,  CICR,</w:t>
        <w:br/>
        <w:t>Buenos Aires, 2007, pp. 29 a 41.</w:t>
        <w:br/>
        <w:br/>
        <w:br/>
        <w:t>[392]       Según el Derecho Internacional Humanitario  Consuetudinario,  es</w:t>
        <w:br/>
        <w:t>norma  consuetudinaria  para  conflictos  armados   internacionales   y   no</w:t>
        <w:br/>
        <w:t>internacionales, la siguiente:  “Norma  52.  Queda  prohibido  el  pillaje”.</w:t>
        <w:br/>
        <w:t>Véase:  Henkaerts,  Jean  –  Marie,  Doswald  –  Beck  Louise,  El   derecho</w:t>
        <w:br/>
        <w:t>internacional humanitario consuetudinario, volumen I, normas,  CICR,  Buenos</w:t>
        <w:br/>
        <w:t>Aires, 2007, pp. 203 a 206.</w:t>
        <w:br/>
        <w:br/>
        <w:br/>
        <w:t>[393]       Cfr. Tribunal Penal Internacional para  la  antigua  Yugoslavia,</w:t>
        <w:br/>
        <w:t>caso Kordic y Cerkez, Sala de Apelaciones, 17 de diciembre  de  2004,  párr.</w:t>
        <w:br/>
        <w:t>84, y caso Naletilic y Martinovic, Sala de Primera Instancia,  31  de  marzo</w:t>
        <w:br/>
        <w:t>de 2003, párr. 612.</w:t>
        <w:br/>
        <w:br/>
        <w:br/>
        <w:t>[394]       Tribunal Penal Internacional para la  antigua  Yugoslavia,  caso</w:t>
        <w:br/>
        <w:t>Simic, Tadic y Zaric, Sala de Primera Instancia,  17  de  octubre  de  2003,</w:t>
        <w:br/>
        <w:t>párr. 101.</w:t>
        <w:br/>
        <w:br/>
        <w:br/>
        <w:t>[395]        Cfr.  Caso  Uzcátegui  y   otros   Vs.   Venezuela.   Fondo   y</w:t>
        <w:br/>
        <w:t>Reparaciones. Sentencia de  3  de  septiembre  de  2012  Serie  C  No.  249,</w:t>
        <w:br/>
        <w:t>párr.204.</w:t>
        <w:br/>
        <w:br/>
        <w:br/>
        <w:t>[396]       Cfr. Fuerzas Militares de  Colombia.  Fuerza  Aérea.  Unidad  de</w:t>
        <w:br/>
        <w:t>Instrucción Penal Militar. Diligencia de  declaración  que  rinde  el  señor</w:t>
        <w:br/>
        <w:t>Olimpo Cárdenas. Tame (Arauca)  28  de  diciembre  de  2000  (expediente  de</w:t>
        <w:br/>
        <w:t>prueba, tomo 15, folio 7890). Véase  también:  Procuraduría  General  de  la</w:t>
        <w:br/>
        <w:t>Nación Dirección Nacional de Investigaciones Especiales Unidad  de  Derechos</w:t>
        <w:br/>
        <w:t>Humanos, Acta Levantada con ocasión de la diligencia de declaración  rendida</w:t>
        <w:br/>
        <w:t>por Wilson García Reatiga, Tame (Arauca), 17 de junio  de  1999  (expediente</w:t>
        <w:br/>
        <w:t>de prueba, tomo 4, folio 1492); Procuraduría General de la Nación  Dirección</w:t>
        <w:br/>
        <w:t>Nacional de Investigaciones Especiales  Unidad  de  Derechos  Humanos,  Acta</w:t>
        <w:br/>
        <w:t>Levantada con ocasión de la diligencia de declaración rendida por  Luis  Sel</w:t>
        <w:br/>
        <w:t>Murillo Villamizar, Tame  (Arauca)  19  de  junio  de  1999  (expediente  de</w:t>
        <w:br/>
        <w:t>prueba, tomo 4, folio 1415); declaración de Luis Sel Murillo rendida  el  21</w:t>
        <w:br/>
        <w:t>de diciembre de 1998 ante el juzgado 24 de Instrucción Penal Mílltar, pp  2-</w:t>
        <w:br/>
        <w:t>3 (expediente de prueba, tomo 4, folio 1406); declaración de Jaime Rojas  en</w:t>
        <w:br/>
        <w:t>nota de prensa: Diario El Tiempo,  “Dos  historias  distintas  de  un  mismo</w:t>
        <w:br/>
        <w:t>ataque”, 17 de diciembre de 1998  (expediente  de  prueba,  tomo  14,  folio</w:t>
        <w:br/>
        <w:t>7353);  Procuraduría  General   de   la   Nación.   Dirección   General   de</w:t>
        <w:br/>
        <w:t>Investigaciones Especiales. Unidad de Derechos Humanos. Acta  Levantada  con</w:t>
        <w:br/>
        <w:t>ocasión de la diligencia de declaración rendida  por  Martin  López  Trigos.</w:t>
        <w:br/>
        <w:t>Tame (Arauca) 19 de junio de 1999 (expediente de  prueba,  tomo  16,  folios</w:t>
        <w:br/>
        <w:t>8269);  Procuraduría  General   de   la   Nación.   Dirección   General   de</w:t>
        <w:br/>
        <w:t>Investigaciones Especiales. Unidad de Derechos Humanos. Acta  Levantada  con</w:t>
        <w:br/>
        <w:t>ocasión de la diligencia de declaración rendida por Luz  Claudelina  Estrada</w:t>
        <w:br/>
        <w:t>Chavez. Tame (Arauca) 17 de junio de 1999 (expediente  de  prueba,  tomo  4,</w:t>
        <w:br/>
        <w:t>folios 1509 y ss.); Declaración de la víctima Mario Galvis Gelves de  12  de</w:t>
        <w:br/>
        <w:t>junio de  2012,  en  Declaraciones  rendidas  por  Afidávit  (expediente  de</w:t>
        <w:br/>
        <w:t>prueba, tomo 50, folio 27941);  declaración  de  la  víctima  Lucero  Talero</w:t>
        <w:br/>
        <w:t>Sánchez de 6 de junio  de  2012,  en  Declaraciones  rendidas  por  Afidávit</w:t>
        <w:br/>
        <w:t>(expediente de prueba, tomo 50, folios 27952 y ss.),  y  declaración  de  la</w:t>
        <w:br/>
        <w:t>víctima  Hugo  Fernely  Pastrana  Vargas,  en  Declaraciones  rendidas   por</w:t>
        <w:br/>
        <w:t>Afidávit (expediente de prueba, tomo 50, folios 27993 y ss.).</w:t>
        <w:br/>
        <w:br/>
        <w:br/>
        <w:t>[397]       Cfr. Video del 16 de diciembre de 1998  (expediente  de  prueba,</w:t>
        <w:br/>
        <w:t>tomo 19, folio 9622), donde a las 08:07 am  se  registra  presencia  de  las</w:t>
        <w:br/>
        <w:t>FARC dentro del caserío.</w:t>
        <w:br/>
        <w:br/>
        <w:br/>
        <w:t>[398]       Cfr. Video diligencia de inspección del 28 de diciembre de  1998</w:t>
        <w:br/>
        <w:t>(expediente de prueba, tomo 19, folio 9619), que  al  minuto  04:03  muestra</w:t>
        <w:br/>
        <w:t>letreros alusivos al  grupo  armado  ilegal  FARC  en  las  paredes  de  las</w:t>
        <w:br/>
        <w:t>viviendas.</w:t>
        <w:br/>
        <w:br/>
        <w:br/>
        <w:t>[399]       Cfr.  Procuraduría  General  de  la  Nación.  Comisión  Especial</w:t>
        <w:br/>
        <w:t>Disciplinaria, providencia del 2 de octubre de 2002.  Radicado  155-45564-00</w:t>
        <w:br/>
        <w:t>(expediente de prueba, tomo 20, folios 10409 y ss.).</w:t>
        <w:br/>
        <w:br/>
        <w:br/>
        <w:t>[400]        Fuerzas  Militares  de  Colombia.  Fuerza  Aérea.   Unidad   de</w:t>
        <w:br/>
        <w:t>Instrucción Penal Militar. Diligencia de  declaración  que  rinde  el  señor</w:t>
        <w:br/>
        <w:t>Olimpo Cárdenas. Tame (Arauca)  28  de  diciembre  de  2000  (expediente  de</w:t>
        <w:br/>
        <w:t>prueba, tomo 15, folio 7890). Véase  también:  Procuraduría  General  de  la</w:t>
        <w:br/>
        <w:t>Nación Dirección Nacional de Investigaciones Especiales Unidad  de  Derechos</w:t>
        <w:br/>
        <w:t>Humanos, Acta Levantada con ocasión de la diligencia de declaración  rendida</w:t>
        <w:br/>
        <w:t>por Wilson Garcia Reatiga, Tame (Arauca), 17 de junio  de  1999  (expediente</w:t>
        <w:br/>
        <w:t>de prueba, tomo 4, folio 1492); Procuraduría General de la Nación  Dirección</w:t>
        <w:br/>
        <w:t>Nacional de Investigaciones Especiales  Unidad  de  Derechos  Humanos,  Acta</w:t>
        <w:br/>
        <w:t>Levantada con ocasión de la diligencia de declaración rendida por  Luis  Sel</w:t>
        <w:br/>
        <w:t>Murillo Villamizar, Tame  (Arauca)  19  de  junio  de  1999  (expediente  de</w:t>
        <w:br/>
        <w:t>prueba, tomo 4, folio 1415); Declaración de Luis Sel Murillo rendída  el  21</w:t>
        <w:br/>
        <w:t>de diciembre de 1998 ante el juzgado 24 de Instrucción Penal Mílltar, pp  2-</w:t>
        <w:br/>
        <w:t>3 (expediente de prueba, tomo 4, folio 1406), y Declaración de  Jaime  Rojas</w:t>
        <w:br/>
        <w:t>en nota de prensa: Diario El Tiempo, “Dos historias distintas  de  un  mismo</w:t>
        <w:br/>
        <w:t>ataque”, 17 de diciembre de 1998  (expediente  de  prueba,  tomo  14,  folio</w:t>
        <w:br/>
        <w:t>7353).</w:t>
        <w:br/>
        <w:br/>
        <w:br/>
        <w:t>[401]       Cfr. Procuraduría General de la  Nación.  Dirección  General  de</w:t>
        <w:br/>
        <w:t>Investigaciones Especiales. Unidad de Derechos Humanos. Acta  Levantada  con</w:t>
        <w:br/>
        <w:t>ocasión de la diligencia de declaración rendida  por  Martin  López  Trigos.</w:t>
        <w:br/>
        <w:t>Tame (Arauca) 19 de junio de 1999 (expediente de  prueba,  tomo  16,  folios</w:t>
        <w:br/>
        <w:t>8269). Véase también: Procuraduría General de la Nación.  Dirección  General</w:t>
        <w:br/>
        <w:t>de Investigaciones Especiales. Unidad de Derechos  Humanos.  Acta  Levantada</w:t>
        <w:br/>
        <w:t>con ocasión de la diligencia  de  declaración  rendida  por  Luz  Claudelina</w:t>
        <w:br/>
        <w:t>Estrada Chavez. Tame (Arauca) 17 de junio de  1999  (expediente  de  prueba,</w:t>
        <w:br/>
        <w:t>tomo 4, folios 1509 y ss.).</w:t>
        <w:br/>
        <w:br/>
        <w:br/>
        <w:t>[402]       Cfr. Video diligencia de inspección del 28 de diciembre de  1998</w:t>
        <w:br/>
        <w:t>(expediente de prueba, tomo 19, folio 9619), que  al  minuto  04:03  muestra</w:t>
        <w:br/>
        <w:t>letreros alusivos al  grupo  armado  ilegal  FARC  en  las  paredes  de  las</w:t>
        <w:br/>
        <w:t>viviendas. Véase también: Video  Skymaster  del  16  de  diciembre  de  1998</w:t>
        <w:br/>
        <w:t>(expediente de prueba, tomo 19, folio 9622), donde de la hora  08:07  am  se</w:t>
        <w:br/>
        <w:t>registra presencia de las FARC dentro del caserío, y  declaración  de  Maria</w:t>
        <w:br/>
        <w:t>Cenovia Panqueva, una de las pobladoras  de  Santo  Domingo,  contenida  en:</w:t>
        <w:br/>
        <w:t>Procuraduría  General  de  la  Nación.  Comisión   Especial   Disciplinaria,</w:t>
        <w:br/>
        <w:t>providencia del 2 de octubre de 2002. Radicado 155-45564-00  (expediente  de</w:t>
        <w:br/>
        <w:t>prueba, tomo 20, folios 10409 y ss.), en la cual recuerda  que  al  regresar</w:t>
        <w:br/>
        <w:t>al caserío encontró pinturas gráficas relativa a las FARC y al  ELN  en  los</w:t>
        <w:br/>
        <w:t>madreros de su droguería.</w:t>
        <w:br/>
        <w:br/>
        <w:br/>
        <w:t>[403]        Procuraduría  General   de   la   Nación.   Comisión   Especial</w:t>
        <w:br/>
        <w:t>Disciplinaria, providencia del 2 de octubre de 2002. Radicado  155-45564-00,</w:t>
        <w:br/>
        <w:t>p. 31 (expediente de prueba, tomo 20, folio 10438).</w:t>
        <w:br/>
        <w:br/>
        <w:br/>
        <w:t>[404]       Cfr. Video diligencia de inspección del 28 de diciembre de  1998</w:t>
        <w:br/>
        <w:t>(expediente de prueba, tomo 19, folio 9619).  Véase  también:  Video  de  la</w:t>
        <w:br/>
        <w:t>diligencia del 17 de diciembre de 1998, que registra la  primera  inspección</w:t>
        <w:br/>
        <w:t>realizada en el caserío de Santo Domingo (expediente  de  prueba,  tomo  20,</w:t>
        <w:br/>
        <w:t>folio 10175).</w:t>
        <w:br/>
        <w:br/>
        <w:br/>
        <w:t>[405]       Cfr. Video Skymaster de 13 de diciembre de  1998,  donde  a  las</w:t>
        <w:br/>
        <w:t>horas 10:09:43 am; 10:14:43 am, y 10:36:07 am la gasolinería parece en  buen</w:t>
        <w:br/>
        <w:t>estado (expediente de prueba, tomo  19,  folio  9621),  y  Video  Skymaster,</w:t>
        <w:br/>
        <w:t>donde a la hora 09:44:54  se  ve  la  gasolinería  quemada.  (expediente  de</w:t>
        <w:br/>
        <w:t>prueba, tomo 19, folio 9621). Véase también: Fiscalía General de la  Nación.</w:t>
        <w:br/>
        <w:t>Cuerpo Tecnico Investigativo (“CTI”). Diligencia de Inspección Judicial.  17</w:t>
        <w:br/>
        <w:t>de diciembre de 1998 (expediente de prueba, tomo 19, folios 9578 y ss.).</w:t>
        <w:br/>
        <w:br/>
        <w:br/>
        <w:t>[406]       Manuales Técnicos del artefacto  explosivo  AN-M1A2  (expediente</w:t>
        <w:br/>
        <w:t>de prueba, tomo 19, folio 10074).</w:t>
        <w:br/>
        <w:br/>
        <w:br/>
        <w:t>[407]       Juzgado 12 Penal del Circuito de Bogotá.  Sentencia  del  24  de</w:t>
        <w:br/>
        <w:t>septiembre de 2009 (expediente de prueba, tomo 20, folio 10606).</w:t>
        <w:br/>
        <w:br/>
        <w:br/>
        <w:t>[408]       Cfr. Alegatos Finales Escritos  de  los  representantes  (Fondo,</w:t>
        <w:br/>
        <w:t>tomo 4, folio 1399).</w:t>
        <w:br/>
        <w:br/>
        <w:br/>
        <w:t>[409]       Dictamen Balístico N.  128288  del  3  de  septiembre  de  2003,</w:t>
        <w:br/>
        <w:t>Fiscalía General de la Nación, Misión de trabajo BF  1241/2003  Proceso  419</w:t>
        <w:br/>
        <w:t>(expediente de prueba, tomo 40, folio 21282)</w:t>
        <w:br/>
        <w:br/>
        <w:br/>
        <w:t>[410]       Cfr. Fiscalía General de la Nación. Inspección  de  balística  y</w:t>
        <w:br/>
        <w:t>explosivos. Municipio de Tame  (Departamento  de  Arauca)  Colombia.  28  de</w:t>
        <w:br/>
        <w:t>diciembre de 1998 (expediente de prueba, tomo 19, folio 9560);  Fiscalía  de</w:t>
        <w:br/>
        <w:t>la Nación. Unidad Nacional de Derechos  Humanos.  Diligencia  de  Inspección</w:t>
        <w:br/>
        <w:t>Judicial. Santo Domingo (Tame). 18  de  diciembre  de  1998  (expediente  de</w:t>
        <w:br/>
        <w:t>prueba, tomo 19, folio 9582); Fiscalía de la Nación. Dirección  Nacional  de</w:t>
        <w:br/>
        <w:t>Derechos Humanos. Acta levantada con motivo de la Diligencia  de  Inspección</w:t>
        <w:br/>
        <w:t>Judicial Practicada en el Corregimiento de Santo Domingo. 11 de  febrero  de</w:t>
        <w:br/>
        <w:t>2000 (expediente de prueba,  tomo  19,  folios  9596  y  ss.);  Procuraduría</w:t>
        <w:br/>
        <w:t>General de la Nación.  Dirección  Nacional  de  Investigaciones  Especiales.</w:t>
        <w:br/>
        <w:t>Unidad de Derechos Humanos. 18 de junio de 1999. Acta levantada con  ocasión</w:t>
        <w:br/>
        <w:t>de la diligencia de visita especial y  constatación  en  el  caserío  de  la</w:t>
        <w:br/>
        <w:t>vereda  de  Santo  Domingo.  Jurisdicción  municipal   de   Tame   (Arauca).</w:t>
        <w:br/>
        <w:t>(expediente de prueba, tomo 19, folios 9630 y ss.); Video de  la  diligencia</w:t>
        <w:br/>
        <w:t>del 17 de diciembre de 1998, que registra la  primera  inspección  realizada</w:t>
        <w:br/>
        <w:t>en el caserío de  Santo  Domingo  (expediente  de  prueba,  tomo  20,  folio</w:t>
        <w:br/>
        <w:t>10175);  Video  diligencia  de  inspección  del  18  de  diciembre  de  1998</w:t>
        <w:br/>
        <w:t>(expediente  de  prueba,  tomo  19,  folio  9619),  y  Video  diligencia  de</w:t>
        <w:br/>
        <w:t>inspección del 28 de diciembre de  1998  (expediente  de  prueba,  tomo  19,</w:t>
        <w:br/>
        <w:t>folio 9619).</w:t>
        <w:br/>
        <w:br/>
        <w:br/>
        <w:t>[411]       Cfr. Declaración de la víctima Mario  Galvis  Gelves  de  12  de</w:t>
        <w:br/>
        <w:t>junio de  2012,  en  Declaraciones  rendidas  por  Afidávit  (expediente  de</w:t>
        <w:br/>
        <w:t>prueba, tomo 50, folios 27938 y ss.), en la cual la víctima alega que  parte</w:t>
        <w:br/>
        <w:t>de su negocio fue dañado por  las  esquirlas.  Véase  también:  Procuraduría</w:t>
        <w:br/>
        <w:t>General de la Nación.  Dirección  Nacional  de  Investigaciones  Especiales.</w:t>
        <w:br/>
        <w:t>Unidad de Derechos Humanos. 18 de junio de 1999. Acta levantada con  ocasión</w:t>
        <w:br/>
        <w:t>de la diligencia de visita especial y  constatación  en  el  caserío  de  la</w:t>
        <w:br/>
        <w:t>vereda  de  Santo  Domingo.  Jurisdicción   municipal   de   Tame   (Arauca)</w:t>
        <w:br/>
        <w:t>(expediente de prueba, tomo 19, folio 9632).</w:t>
        <w:br/>
        <w:br/>
        <w:br/>
        <w:t>[412]       Cfr. Procuraduría General de la Nación.  Dirección  Nacional  de</w:t>
        <w:br/>
        <w:t>Investigaciones Especiales. Unidad de  Derechos  Humanos.  18  de  junio  de</w:t>
        <w:br/>
        <w:t>1999. Acta levantada con ocasión de  la  diligencia  de  visita  especial  y</w:t>
        <w:br/>
        <w:t>constatación en el caserío de  la  vereda  de  Santo  Domingo.  Jurisdicción</w:t>
        <w:br/>
        <w:t>municipal de Tame (Arauca) (expediente de prueba, tomo 19, folio 9632).</w:t>
        <w:br/>
        <w:br/>
        <w:br/>
        <w:t>[413]       Cfr. Procuraduría General de la Nación.  Dirección  Nacional  de</w:t>
        <w:br/>
        <w:t>Investigaciones Especiales. Unidad de  Derechos  Humanos.  18  de  junio  de</w:t>
        <w:br/>
        <w:t>1999. Acta levantada con ocasión de  la  diligencia  de  visita  especial  y</w:t>
        <w:br/>
        <w:t>constatación en el caserío de  la  vereda  de  Santo  Domingo.  Jurisdicción</w:t>
        <w:br/>
        <w:t>municipal de Tame (Arauca) (expediente de prueba, tomo 19, folio 9632).</w:t>
        <w:br/>
        <w:br/>
        <w:br/>
        <w:t>[414]       Cfr. Fiscalía de  la  Nación.  Dirección  Nacional  de  Derechos</w:t>
        <w:br/>
        <w:t>Humanos. Acta levantada con motivo de la Diligencia de  Inspección  Judicial</w:t>
        <w:br/>
        <w:t>Practicada en el Corregimiento de Santo  Domingo.  11  de  febrero  de  2000</w:t>
        <w:br/>
        <w:t>(expediente de prueba, tomo 19, folio 9597).</w:t>
        <w:br/>
        <w:br/>
        <w:br/>
        <w:t>[415]       El artículo 11.1 de la Convención Americana  establece  que  “1.</w:t>
        <w:br/>
        <w:t>Toda persona tiene derecho al respeto de su honra y al reconocimiento de  su</w:t>
        <w:br/>
        <w:t>dignidad […]”.</w:t>
        <w:br/>
        <w:br/>
        <w:br/>
        <w:t>[416]       Caso Tristán Donoso Vs.  Panamá,  Excepción  Preliminar,  Fondo,</w:t>
        <w:br/>
        <w:t>Reparaciones y Costas. Sentencia de 27 de enero de 2009. Serie  C  No.  193,</w:t>
        <w:br/>
        <w:t>párr. 57.</w:t>
        <w:br/>
        <w:br/>
        <w:br/>
        <w:t>[417]       Cfr. Caso Ríos y otros Vs. Venezuela. Excepciones  Preliminares,</w:t>
        <w:br/>
        <w:t>Fondo, Reparaciones y Costas. Sentencia de 28 de enero de 2009. Serie C  No.</w:t>
        <w:br/>
        <w:t>194, párr. 148; Caso Perozo y otros Vs. Venezuela, párr.160, y Caso  de  los</w:t>
        <w:br/>
        <w:t>Hermanos Gómez Paquiyauri Vs. Perú. Fondo, Reparaciones y Costas.  Sentencia</w:t>
        <w:br/>
        <w:t>de 8 de julio de 2004. Véase asimismo Caso del Penal  Miguel  Castro  Castro</w:t>
        <w:br/>
        <w:t>Vs. Perú. Fondo, Reparaciones y Costas. Sentencia  de  25  de  noviembre  de</w:t>
        <w:br/>
        <w:t>2006. Serie C No. 160, párrs. 358 y 359.</w:t>
        <w:br/>
        <w:br/>
        <w:br/>
        <w:t>[418]       El artículo 63.1 de la Convención Americana establece: “Cuando</w:t>
        <w:br/>
        <w:t>decida que hubo violación de un derecho o libertad protegidos en esta</w:t>
        <w:br/>
        <w:t>Convención, la Corte dispondrá que se garantice al lesionado en el goce de</w:t>
        <w:br/>
        <w:t>su derecho o libertad conculcados. Dispondrá asimismo, si ello fuera</w:t>
        <w:br/>
        <w:t>procedente, que se reparen las consecuencias de la medida o situación que</w:t>
        <w:br/>
        <w:t>ha configurado la vulneración de esos derechos y el pago de una justa</w:t>
        <w:br/>
        <w:t>indemnización a la parte lesionada”.</w:t>
        <w:br/>
        <w:br/>
        <w:br/>
        <w:t>[419]       Cfr. Caso Velásquez Rodríguez Vs. Honduras. Reparaciones y</w:t>
        <w:br/>
        <w:t>Costas. Sentencia de 21 de julio de 1989. Serie C No. 7, párr. 25, y Caso</w:t>
        <w:br/>
        <w:t>Masacres de El Mozote y lugares aledaños Vs. El Salvador, párr. 302.</w:t>
        <w:br/>
        <w:br/>
        <w:br/>
        <w:t>[420] Caso Castillo Páez Vs. Perú. Reparaciones y Costas. Sentencia de 27</w:t>
        <w:br/>
        <w:t>de noviembre de 1998. Serie C No. 43, párr. 50, y Caso Masacres de El</w:t>
        <w:br/>
        <w:t>Mozote y lugares aledaños Vs. El Salvador, párr. 302.</w:t>
        <w:br/>
        <w:br/>
        <w:br/>
        <w:t>[421] Cfr. Caso Ticona Estrada y otros Vs. Bolivia. Fondo, Reparaciones y</w:t>
        <w:br/>
        <w:t>Costas. Sentencia de 27 de noviembre de 2008. Serie C No. 191, párr. 110 y</w:t>
        <w:br/>
        <w:t>Caso Masacres de El Mozote y lugares aledaños Vs. El Salvador, párr. 304.</w:t>
        <w:br/>
        <w:br/>
        <w:br/>
        <w:t>[422]       Cfr. Caso Velásquez Rodríguez Vs. Honduras. Reparaciones y</w:t>
        <w:br/>
        <w:t>Costas, párr. 26, y Caso Masacres de Río Negro Vs. Guatemala, párr. 248.</w:t>
        <w:br/>
        <w:br/>
        <w:t>[423]       Cfr. Caso de  la  Masacre  de  Mapiripán  Vs.  Colombia.  Fondo,</w:t>
        <w:br/>
        <w:t>Reparaciones y Costas, párr. 294, y Caso Masacres de  El  Mozote  y  lugares</w:t>
        <w:br/>
        <w:t>aledaños  Vs.  El  Salvador,  párr.  305.  Véase  asimismo  Caso   Velásquez</w:t>
        <w:br/>
        <w:t>Rodríguez Vs. Honduras. Reparaciones y Costas, párr. 26,</w:t>
        <w:br/>
        <w:br/>
        <w:t>[424]       Cfr. Caso Velásquez Rodríguez Vs. Honduras. Reparaciones y</w:t>
        <w:br/>
        <w:t>Costas, párrs. 25 a 27 y Caso Masacres de El Mozote y lugares aledaños Vs.</w:t>
        <w:br/>
        <w:t>El Salvador, párr. 303.</w:t>
        <w:br/>
        <w:br/>
        <w:br/>
        <w:t>[425]        La  Corte  hace  constar  que  23  de  los  27  heridos  fueron</w:t>
        <w:br/>
        <w:t>reconocidos como tales por los tribunales internos, y 4  en  la  instrucción</w:t>
        <w:br/>
        <w:t>penal militar (no por los jueces) con base  en  información  de  un  cabildo</w:t>
        <w:br/>
        <w:t>abierto. Además, dos personas mencionadas en la decisión  de  la  Unidad  de</w:t>
        <w:br/>
        <w:t>Instrucción Penal Militar, específicamente Ludo Vanegas y  Alcides  Bonilla,</w:t>
        <w:br/>
        <w:t>tienen la misma edad, no presentan familiares conocidos y además  tienen  un</w:t>
        <w:br/>
        <w:t>nombre similar a dos de las víctimas identificadas en los demás procesos,  a</w:t>
        <w:br/>
        <w:t>saber: Ludwing Vanegas y Milciades Bonilla, por lo que podrían  tratarse  de</w:t>
        <w:br/>
        <w:t>las mismas personas.</w:t>
        <w:br/>
        <w:br/>
        <w:br/>
        <w:t>[426]       Cfr. Caso de las Masacres de Ituango Vs. Colombia,  párr.  98  y</w:t>
        <w:br/>
        <w:t>Caso Barbani Duarte y  Otros  Vs.  Uruguay.  Fondo  Reparaciones  y  costas.</w:t>
        <w:br/>
        <w:t>Sentencia de 13 de octubre de  2011.  Serie  C  No.  234,  párr.  42.  Véase</w:t>
        <w:br/>
        <w:t>asimismo Caso Uzcátegui y otros Vs. Venezuela, párr. 243.</w:t>
        <w:br/>
        <w:br/>
        <w:br/>
        <w:t>[427]       A saber, Oscar Andrey  Galvis  Mojica  (hijo  de  Teresa  Mojica</w:t>
        <w:br/>
        <w:t>Hernández y de Mario Galvis Gelves), Albeiro Galvis Mojica (hijo  de  Teresa</w:t>
        <w:br/>
        <w:t>Mojica Hernández y  de  Mario  Galvis  Gelves),  Norberto  Arciniegas  Calvo</w:t>
        <w:br/>
        <w:t>(hermano de Arnulfo  Arciniegas),  Argemiro  Arciniegas  Calvo  (hermano  de</w:t>
        <w:br/>
        <w:t>Arnulfo  Arciniegas),  Orlando  Arciniegas   Calvo   (hermano   de   Arnulfo</w:t>
        <w:br/>
        <w:t>Arciniegas) y Erlinda Arciniegas Calvo (hermana de Arnulfo Arciniegas).</w:t>
        <w:br/>
        <w:br/>
        <w:t>[428]       Luis Felipe Durán Mora, Luz Dary  Tellez  Durán,  Yamile  Tellez</w:t>
        <w:br/>
        <w:t>Durán, Wilmer Tellez Durán, Emilse  Hernández  Durán,  Milena  Durán,  Yeimi</w:t>
        <w:br/>
        <w:t>Sulai Hernández Mora, Mary Molina Panqueva, Moises  Molina  Panqueva,  Genny</w:t>
        <w:br/>
        <w:t>Carolina Molina Restrepo,  Wilson  García  Reatiga,  Wilson  Enrique  García</w:t>
        <w:br/>
        <w:t>Guevara, María Antonia  Rojas,  Elizabeth  Daza  Rojas,  José  Antonio  Daza</w:t>
        <w:br/>
        <w:t>Rojas, Wilson Daza Rojas, Javier Daza  Rojas  y  Frady  Alexi  Leal  Pacheco</w:t>
        <w:br/>
        <w:t>(este  último,  a  pesar   de   haber   acudido   al   proceso   contencioso</w:t>
        <w:br/>
        <w:t>administrativo, no fue indemnizado por no  haber  probado  su  condición  de</w:t>
        <w:br/>
        <w:t>hermano de la víctima ni de damnificado)  (expediente  de  prueba,  tomo  2,</w:t>
        <w:br/>
        <w:t>folios 787 y 792).</w:t>
        <w:br/>
        <w:br/>
        <w:t>[429]       La  Comisión  agregó  que  también  se  ordene  “investigar  los</w:t>
        <w:br/>
        <w:t>vínculos entre agentes del Estado y la  empresa  extractiva  que  desarrolla</w:t>
        <w:br/>
        <w:t>actividades en la zona donde ocurrieron los hechos”.</w:t>
        <w:br/>
        <w:br/>
        <w:br/>
        <w:t>[430]        Además,  los  representantes  solicitaron  que  a)  este  “debe</w:t>
        <w:br/>
        <w:t>contemplar las líneas investigativas no exploradas, entre ellas  se  destaca</w:t>
        <w:br/>
        <w:t>la necesidad de investigar el accionar de las empresas privadas  durante  la</w:t>
        <w:br/>
        <w:t>operación Relámpago I y Relámpago II, así  como  la  participación  de  tres</w:t>
        <w:br/>
        <w:t>presuntos ciudadanos estadounidenses que  participaron  a  bordo  del  avión</w:t>
        <w:br/>
        <w:t>Skymaster en dichas operaciones y la prestación y facilitación  de  recursos</w:t>
        <w:br/>
        <w:t>como  la  sala  G  de  la  OXY”;  b)  el  Estado  debía  llevar  a  cabo  la</w:t>
        <w:br/>
        <w:t>“investigación de la totalidad de implicados en la planeación  y  desarrollo</w:t>
        <w:br/>
        <w:t>de la operación militar conjunta “Relámpago II” e identificar  la  línea  de</w:t>
        <w:br/>
        <w:t>mando responsable, la totalidad  de  los  autores  materiales  comprometidos</w:t>
        <w:br/>
        <w:t>tanto en aire como en tierra, y en lo que tiene que  ver  con  las  autorías</w:t>
        <w:br/>
        <w:t>intelectuales, aquellos que participaron  en  la  decisión  de  utilizar  el</w:t>
        <w:br/>
        <w:t>dispositivo  cluster,  lanzado  el  13  de  diciembre  de  1998   desde   el</w:t>
        <w:br/>
        <w:t>helicóptero UH1H sobre la población de Santo Domingo”; c)  el  Estado  debía</w:t>
        <w:br/>
        <w:t>“abstenerse  de  utilizar  obstáculos  procesales  como  el  vencimiento  de</w:t>
        <w:br/>
        <w:t>términos, la prescripción, la cosa juzgada,  el  principio  de  non  bis  in</w:t>
        <w:br/>
        <w:t>idem, las leyes de amnistía o cualquier otro mecanismo tendiente a  promover</w:t>
        <w:br/>
        <w:t>la exclusión de responsabilidad de las personas  que  hayan  participado  en</w:t>
        <w:br/>
        <w:t>los hechos. En particular los relacionados  con  la  reforma  constitucional</w:t>
        <w:br/>
        <w:t>que se conoce como el “marco jurídico para la paz”; d) la  Corte  ordene  al</w:t>
        <w:br/>
        <w:t>Estado “remover inmediatamente los obstáculos procesales de facto y de  jure</w:t>
        <w:br/>
        <w:t>generados durante el proceso ante la justicia penal militar,  ajustando  los</w:t>
        <w:br/>
        <w:t>aspectos normativos, prácticos y jurisprudenciales necesarios para  asegurar</w:t>
        <w:br/>
        <w:t>que  todos  los  responsables  sean  investigados,  juzgados  y  sancionados</w:t>
        <w:br/>
        <w:t>proporcionalmente”, y e) “el  Estado  debe  prohibir  que  miembros  de  las</w:t>
        <w:br/>
        <w:t>fuerzas militares sindicados de grandes violaciones a los  derechos  humanos</w:t>
        <w:br/>
        <w:t>sigan  incumpliendo  penas  en  sedes  militares”.  Por   otro   lado,   los</w:t>
        <w:br/>
        <w:t>representantes también solicitaron  que  se  ordene  al  Estado  “tomar  las</w:t>
        <w:br/>
        <w:t>medidas adecuadas […] frente a todos  los  responsables  de  los  hechos  de</w:t>
        <w:br/>
        <w:t>estigmatización en contra de la población de Santo Domingo. Para lo  que  el</w:t>
        <w:br/>
        <w:t>Estado deberá trasladar a la Unidad  de  Derechos  Humanos  de  la  Fiscalía</w:t>
        <w:br/>
        <w:t>General de la Nación el conjunto  de  procesos,  activos  o  que  lleguen  a</w:t>
        <w:br/>
        <w:t>iniciarse por nuevas  estigmatizaciones,  calumnias,  injurias,  amenazas  y</w:t>
        <w:br/>
        <w:t>persecución y acumularlos en una misma cuerda procesal  para  garantizar  la</w:t>
        <w:br/>
        <w:t>unidad  de  prueba  que  permita  identificar,  juzgar  y  sancionar  a  los</w:t>
        <w:br/>
        <w:t>responsables”. Por último,  los  representantes  también  señalaron  que  el</w:t>
        <w:br/>
        <w:t>Estado  debe  “divulgar  pública  y  ampliamente  los  resultados   de   las</w:t>
        <w:br/>
        <w:t>investigaciones penales que aborden de manera real y efectiva  estas  líneas</w:t>
        <w:br/>
        <w:t>de investigación”.</w:t>
        <w:br/>
        <w:br/>
        <w:br/>
        <w:t>[431]       Los representantes indicaron asimismo que “[e]l acto deberá  ser</w:t>
        <w:br/>
        <w:t>presidido por las altas autoridades  estatales,  tener  lugar  en  un  sitio</w:t>
        <w:br/>
        <w:t>simbólico en el departamento de Arauca, acordado  con  las  víctimas  y  sus</w:t>
        <w:br/>
        <w:t>representantes, y deberá contar con transmisión directa por las  cadenas  de</w:t>
        <w:br/>
        <w:t>televisión estatal y con difusión en  los  medios  masivos  de  comunicación</w:t>
        <w:br/>
        <w:t>promovida por el Gobierno Nacional”.</w:t>
        <w:br/>
        <w:br/>
        <w:br/>
        <w:t>[432]       El Estado indicó asimismo que “las autoridades de orden local  y</w:t>
        <w:br/>
        <w:t>gubernamental en convenio con la Red de Solidaridad  Social  suscribieron  y</w:t>
        <w:br/>
        <w:t>ejecutaron el contrato 0499/1999. Su objeto principal era la  reconstrucción</w:t>
        <w:br/>
        <w:t>de Santo Domingo y el mejoramiento de sus viviendas. Adicionalmente, la  Red</w:t>
        <w:br/>
        <w:t>de Solidaridad Social otorgó una  ayuda  equivalente  a  cinco  millones  de</w:t>
        <w:br/>
        <w:t>pesos ($5.000.000) a cada una  de  las  personas  que  alegaron  haber  sido</w:t>
        <w:br/>
        <w:t>afectada[s] por los fatídicos hechos ocurridos el 13 de  diciembre  de  1998</w:t>
        <w:br/>
        <w:t>en Santo Domingo”.</w:t>
        <w:br/>
        <w:br/>
        <w:br/>
        <w:t>[433]       El Estado también  señaló  que  “las  disculpas  públicas  y  la</w:t>
        <w:br/>
        <w:t>aceptación de responsabilidad son  catalogadas  como  medidas  orientadas  a</w:t>
        <w:br/>
        <w:t>restituir la dignidad de las víctimas y  a  generar  consciencia  sobre  los</w:t>
        <w:br/>
        <w:t>hechos que dieron lugar  la  violación  de  los  derechos  humanos”.  Además</w:t>
        <w:br/>
        <w:t>indicó que  “esta  medida  también  contribuye  a  la  satisfacción  de  las</w:t>
        <w:br/>
        <w:t>víctimas y a la garantía de no repetición. Esto en razón a que conduce a  la</w:t>
        <w:br/>
        <w:t>conmemoración de los sujetos afectados y a la conciencia  sobre  los  hechos</w:t>
        <w:br/>
        <w:t>que generaron el incumplimiento de las cláusulas convencionales”.</w:t>
        <w:br/>
        <w:br/>
        <w:br/>
        <w:t>[434]       Cfr. Caso Cantoral Benavides Vs. Perú.  Reparaciones  y  Costas.</w:t>
        <w:br/>
        <w:t>Sentencia de 3 de diciembre de 2001. Serie  C  No.  88,  párr.  81,  y  Caso</w:t>
        <w:br/>
        <w:t>Masacres de Río Negro Vs. Guatemala, párr. 277.</w:t>
        <w:br/>
        <w:br/>
        <w:br/>
        <w:t>[435]       Cfr. Caso Cantoral Benavides Vs. Perú.  Reparaciones  y  Costas,</w:t>
        <w:br/>
        <w:t>párr. 79, y Caso Masacres de El Mozote y lugares aledaños Vs.  El  Salvador,</w:t>
        <w:br/>
        <w:t>párr. 361.</w:t>
        <w:br/>
        <w:br/>
        <w:br/>
        <w:t>[436]       Los representantes agregaron que: “[d]icho tratamiento médico  y</w:t>
        <w:br/>
        <w:t>psicológico debe ser prestado por el tiempo que sea  necesario  y  tomar  en</w:t>
        <w:br/>
        <w:t>consideración los  padecimientos  de  cada  uno  de  ellos  después  de  una</w:t>
        <w:br/>
        <w:t>evaluación  individual  y  se  deberá  otorgar   en   la   medida   de   las</w:t>
        <w:br/>
        <w:t>posibilidades, en los centros más cercanos a su lugar de residencia”.</w:t>
        <w:br/>
        <w:br/>
        <w:br/>
        <w:t>[437]       Además de lo  anterior  los  representantes  señalaron  que:  a)</w:t>
        <w:br/>
        <w:t>“[e]s dable  deducir  de  la  masacre,  el  desplazamiento  forzado,  y  los</w:t>
        <w:br/>
        <w:t>sentimientos de terror y angustia que se vivieron en Santo Domingo el 13  de</w:t>
        <w:br/>
        <w:t>diciembre de 1998,  repercutieron  en  la  salud  física  y  mental  de  las</w:t>
        <w:br/>
        <w:t>víctimas y sus familiares, secuelas  que  no  han  sido  tratadas”.  b)  “En</w:t>
        <w:br/>
        <w:t>algunos casos, los cuerpos de las víctimas y sus familiares siguen  llevando</w:t>
        <w:br/>
        <w:t>la huella física y visible de esquirlas incrustadas en  su  cuerpo  y  otras</w:t>
        <w:br/>
        <w:t>afectaciones corporales con diferentes secuelas, sumadas a los  sentimientos</w:t>
        <w:br/>
        <w:t>de dolor, tristeza e impotencia, entre  otros,  que  no  han  gozado  de  un</w:t>
        <w:br/>
        <w:t>diagnostico, tratamiento y acompañamiento profesional”.</w:t>
        <w:br/>
        <w:br/>
        <w:br/>
        <w:t>[438]       Sobre el particular el Estado señaló  que  “[l]a  red  [también]</w:t>
        <w:br/>
        <w:t>cuenta  con  un  grupo  de  trabajadores  comunitarios  llamados  cogestores</w:t>
        <w:br/>
        <w:t>sociales, encargados de identificar a las  familias  y  acompañarlos  en  la</w:t>
        <w:br/>
        <w:t>implementación de una hoja de ruta hacia su autodeterminación  para  superar</w:t>
        <w:br/>
        <w:t>su situación (Plan Familiar)”. El segundo programa citado  consiste  en  que</w:t>
        <w:br/>
        <w:t>“4 de las personas enlistadas  reciben  apoyo  monetario  directo  para  los</w:t>
        <w:br/>
        <w:t>componentes de nutrición y  educación  a  los  niños  […],  condicionado  al</w:t>
        <w:br/>
        <w:t>cumplimiento de compromisos por  parte  de  la  familia:  en  educación,  al</w:t>
        <w:br/>
        <w:t>garantizar la asistencia escolar de los [niños y niñas] y en salud,  con  la</w:t>
        <w:br/>
        <w:t>asistencia de los niñas y niños menores [sic] a  las  citas  de  control  de</w:t>
        <w:br/>
        <w:t>crecimiento y desarrollo de programadas”.</w:t>
        <w:br/>
        <w:br/>
        <w:br/>
        <w:t>[439]       Declaración mediante Afidávit de la señora Nilsa de  Jesús  Díaz</w:t>
        <w:br/>
        <w:t>Herrera (expediente de prueba, tomo 50, folio 27987).</w:t>
        <w:br/>
        <w:br/>
        <w:br/>
        <w:t>[440]       Cfr. Caso González y  otras  (“Campo  Algodonero”)  Vs.  México,</w:t>
        <w:br/>
        <w:t>párr. 529, y Caso Masacres de El Mozote y lugares aledaños Vs. El  Salvador,</w:t>
        <w:br/>
        <w:t>párr. 350.</w:t>
        <w:br/>
        <w:br/>
        <w:br/>
        <w:t>[441] Cfr. Caso Barrios Altos Vs. Perú. Reparaciones y Costas. Sentencia  de</w:t>
        <w:br/>
        <w:t>30 de noviembre de 2001. Serie C No. 87, párrs. 42 y 45, y Caso Masacres  de</w:t>
        <w:br/>
        <w:t>El Mozote y lugares aledaños Vs. El Salvador, párr. 352.</w:t>
        <w:br/>
        <w:br/>
        <w:br/>
        <w:t>[442]       Cfr. Caso Masacre de la Masacre de las Dos Erres Vs.  Guatemala,</w:t>
        <w:br/>
        <w:t>párr. 270, y Caso Masacres de El Mozote y lugares aledaños Vs. El  Salvador,</w:t>
        <w:br/>
        <w:t>párr. 353.</w:t>
        <w:br/>
        <w:br/>
        <w:br/>
        <w:t>[443] Cfr. Caso 19 Comerciantes Vs. Colombia. Fondo, Reparaciones y  Costas,</w:t>
        <w:br/>
        <w:t>párr. 278, y Caso Masacres de El Mozote y lugares aledaños Vs. El  Salvador,</w:t>
        <w:br/>
        <w:t>párr. 353.</w:t>
        <w:br/>
        <w:br/>
        <w:br/>
        <w:t>[444]       Además manifestaron que este material “debería ser  transmitido,</w:t>
        <w:br/>
        <w:t>de acuerdo a las facultades que tiene la Comisión  Nacional  de  Televisión,</w:t>
        <w:br/>
        <w:t>por los canales públicos y privados en horario triple A, y en los cursos  de</w:t>
        <w:br/>
        <w:t>formación de las fuerzas militares, como mecanismo  para  contrarrestar  los</w:t>
        <w:br/>
        <w:t>actos de  difamación  pública  judiciales  y  extrajudiciales,  que  de  las</w:t>
        <w:br/>
        <w:t>víctimas hicieron las Fuerzas Militares con la edición y difusión en  varios</w:t>
        <w:br/>
        <w:t>programas televisivos y noticieros de televisión, del video la Verdad  sobre</w:t>
        <w:br/>
        <w:t>Santo Domingo”.</w:t>
        <w:br/>
        <w:br/>
        <w:br/>
        <w:t>[445]       En particular,  solicitaron  a  la  Corte  “ordenar  a  Colombia</w:t>
        <w:br/>
        <w:t>emprender  las  medidas  jurídicas,  administrativas  y   de   otra   índole</w:t>
        <w:br/>
        <w:t>necesarias para evitar la  reiteración  de  hechos  similares,  no  solo  en</w:t>
        <w:br/>
        <w:t>relación con las Fuerzas Armadas de  Colombia,  sino  que  también,  resulta</w:t>
        <w:br/>
        <w:t>necesaria la  adopción  en  forma  prioritaria  de  medidas  preventivas  en</w:t>
        <w:br/>
        <w:t>relación  con  las  actividades  que  empresas  de  seguridad  y  vigilancia</w:t>
        <w:br/>
        <w:t>extranjeras y empresas extractivas realizan  en  el  territorio  colombiano,</w:t>
        <w:br/>
        <w:t>precisamente para prevenir posibles violaciones a los derechos humanos”.</w:t>
        <w:br/>
        <w:br/>
        <w:br/>
        <w:t>[446]       Solicitaron, en  particular,  la  incorporación  de  protocolos,</w:t>
        <w:br/>
        <w:t>directrices y normas de protección a la población y bienes civiles  conforme</w:t>
        <w:br/>
        <w:t>a la normativa humanitaria de  conducción  de  hostilidades  en  el  diseño,</w:t>
        <w:br/>
        <w:t>planeación y ejecución de operaciones  aéreas  contrainsurgentes,  así  como</w:t>
        <w:br/>
        <w:t>mecanismos de control que eviten la repetición de  hechos  similares  a  los</w:t>
        <w:br/>
        <w:t>ocurridos en la masacre de Santo Domingo. Asimismo, se solicitó  ordenar  al</w:t>
        <w:br/>
        <w:t>Estado a) abstenerse de utilizar obstáculos procesales como  el  vencimiento</w:t>
        <w:br/>
        <w:t>de términos, la prescripción, la cosa juzgada, el principio de  non  bis  in</w:t>
        <w:br/>
        <w:t>idem, las leyes de amnistía o cualquier otro mecanismo tendiente a  promover</w:t>
        <w:br/>
        <w:t>la exclusión de responsabilidad de las personas  que  hayan  participado  en</w:t>
        <w:br/>
        <w:t>los hechos. En particular los relacionados  con  la  reforma  constitucional</w:t>
        <w:br/>
        <w:t>que  se  conoce  como  el  “marco  jurídico  para   la   paz;   b)   remover</w:t>
        <w:br/>
        <w:t>inmediatamente los obstáculos  procesales  de  facto  y  de  jure  generados</w:t>
        <w:br/>
        <w:t>durante el proceso ante la justicia penal militar,  ajustando  los  aspectos</w:t>
        <w:br/>
        <w:t>normativos, prácticos  y  jurisprudenciales  necesarios  para  asegurar  que</w:t>
        <w:br/>
        <w:t>todos  los  responsables   sean   investigados,   juzgados   y   sancionados</w:t>
        <w:br/>
        <w:t>proporcionalmente. Finalmente, se solicitó al Estado prohibir  que  miembros</w:t>
        <w:br/>
        <w:t>de las fuerzas militares sindicados de grandes violaciones  a  los  derechos</w:t>
        <w:br/>
        <w:t>humanos sigan incumpliendo penas en sedes militares.</w:t>
        <w:br/>
        <w:br/>
        <w:br/>
        <w:t>[447]       Los representantes agregaron que “la  construcción  de  un  arco</w:t>
        <w:br/>
        <w:t>ubicado en la entrada del caserío de Santo Domingo (en la vía a  Tame),  que</w:t>
        <w:br/>
        <w:t>en sus columnas represente  la  imagen  de  las  víctimas;  y  en  la  parte</w:t>
        <w:br/>
        <w:t>superior una imagen alegórica a los hechos del 13 de diciembre de 1998  y  a</w:t>
        <w:br/>
        <w:t>la persistencia de los afectados, afectadas y la población  araucana  en  la</w:t>
        <w:br/>
        <w:t>búsqueda de justicia. El presupuesto  departamental  y/o  municipal  debería</w:t>
        <w:br/>
        <w:t>incluir un  rubro  permanente  para  el  apoyo  de  proyectos  colectivos  y</w:t>
        <w:br/>
        <w:t>comunitarios encaminados al fortalecimiento de este propósito”.</w:t>
        <w:br/>
        <w:br/>
        <w:br/>
        <w:t>[448]       Según lo afirmado por el Estado en su Escrito de Contestación  a</w:t>
        <w:br/>
        <w:t>la  Demanda,  “desde  el  mes  de  marzo  de  2009,  mediante  transferencia</w:t>
        <w:br/>
        <w:t>electrónica de cuentas del Tesorero Nacional de Colombia  se  giraron  a  la</w:t>
        <w:br/>
        <w:t>cuenta corriente en el Banco BBVA del apoderado de las víctimas, dos  pagos.</w:t>
        <w:br/>
        <w:t>Uno por un valor de cuatro mil trescientos sesenta y cinco  millones  ciento</w:t>
        <w:br/>
        <w:t>nueve mil quinientos ochenta y cuatro pesos ($4.365.109.584) y otro  de  mil</w:t>
        <w:br/>
        <w:t>trescientos noventa  y  tres  millones  seiscientos  cuarenta  y  nueve  mil</w:t>
        <w:br/>
        <w:t>novecientos treinta y cuatro pesos ($1.393.649.934)”.</w:t>
        <w:br/>
        <w:br/>
        <w:br/>
        <w:t>[449]       Según los Decretos 4834 del 30 de diciembre de 2010,  modificado</w:t>
        <w:br/>
        <w:t>por el Decreto 033 del 11 de enero de 2011 del Ministerio de  la  Protección</w:t>
        <w:br/>
        <w:t>Social, el salario mínimo legal mensual para trabajadores  de  los  sectores</w:t>
        <w:br/>
        <w:t>urbanos y rurales es de  $535.600  pesos  colombianos.  Como  señalaron  los</w:t>
        <w:br/>
        <w:t>representantes, lo anterior daba  como  resultado  un  salario  de  $401.700</w:t>
        <w:br/>
        <w:t>pesos colombianos mensuales. Los representantes agregaron  al  respecto  que</w:t>
        <w:br/>
        <w:t>las liquidaciones que se hagan por  el  presente  lucro  cesante  deben  ser</w:t>
        <w:br/>
        <w:t>incrementadas  en  un  25%  por  concepto  de  prestaciones   sociales.   En</w:t>
        <w:br/>
        <w:t>consecuencia, el salario a tener en cuenta para liquidar este  perjuicio  es</w:t>
        <w:br/>
        <w:t>de $502.125  pesos  colombianos  mensuales,  ergo,  la  suma  de  $6'025.500</w:t>
        <w:br/>
        <w:t>anuales, más intereses ($361.530), lo  que  daría  un  total  de  $6'387.030</w:t>
        <w:br/>
        <w:t>pesos colombianos; hecho el cambio a dólares  americanos:  US$  3.348;  suma</w:t>
        <w:br/>
        <w:t>que se multiplicara por el tiempo restante de expectativa de vida, en  años,</w:t>
        <w:br/>
        <w:t>de la víctima y la pérdida de capacidad laboral en el caso de  las  personas</w:t>
        <w:br/>
        <w:t>heridas, para dar el resultado total del  detrimento.  Los  datos  sobre  la</w:t>
        <w:br/>
        <w:t>pérdida de capacidad laboral se tomo de acuerdo a lo probado en  el  proceso</w:t>
        <w:br/>
        <w:t>de reparación en la jurisdicción contencioso administrativa interna.</w:t>
        <w:br/>
        <w:br/>
        <w:br/>
        <w:t>[450]        De  acuerdo  a  los  cálculos  anteriores,  los  representantes</w:t>
        <w:br/>
        <w:t>solicitaron  que  realicen  los  pagos  de  los  siguientes  montos  a   los</w:t>
        <w:br/>
        <w:t>familiares de las personas  fallecidas:  A  la  familia  Galvis  Mujica  US$</w:t>
        <w:br/>
        <w:t>114.935 por la muerte de María Teresa Mujica, y a Mario  Galvis  35.717  US$</w:t>
        <w:br/>
        <w:t>por sus lesiones. A la familia Carrillo Mora y Carrillo Moreno  US$  158.525</w:t>
        <w:br/>
        <w:t>por la muerte de Rodolfo Carrillo. A la familia Neite  González  US$  77.036</w:t>
        <w:br/>
        <w:t>por la muerte de  Salomón  Neite.  A  la  familia  Neite  Méndez-Rangel  US$</w:t>
        <w:br/>
        <w:t>185.174 por la muerte de Luis Carlos Neite  Méndez.  A  la  familia  Vanegas</w:t>
        <w:br/>
        <w:t>Tulivila US$ 185.174 por la muerte de Oscar Esneider Vanegas Tulivila,  y  a</w:t>
        <w:br/>
        <w:t>Edwin Fernando Tulivila US$ 48.979 por sus lesiones.  A  la  familia  Duarte</w:t>
        <w:br/>
        <w:t>Cárdenas US$ 171.046 por la muerte  de  Carmen  Antonio  Díaz  Cobos.  A  la</w:t>
        <w:br/>
        <w:t>familia Leal Pacheco US$ 177.742 por la muerte de Edilma Leal Pacheco. A  la</w:t>
        <w:br/>
        <w:t>familia Hernández Becerra US$ 185.174 por  la  muerte  de  Johany  Hernández</w:t>
        <w:br/>
        <w:t>Becerra. A la familia Martínez Carreño y Martínez Talero US$ 158.525 por  la</w:t>
        <w:br/>
        <w:t>muerte de  Luis  Orlando  Martínez  Carreño.  A  la  familia  Ávila  Abaunza</w:t>
        <w:br/>
        <w:t>(Castillo) y Bonilla  Ávila  US$  209.614  por  la  muerte  de  Nancy  Ávila</w:t>
        <w:br/>
        <w:t>Abaunza. A la familia Cárdenas Tilano US$ 209.614 por  la  muerte  de  Deysi</w:t>
        <w:br/>
        <w:t>Katherine Cárdenas Tilano, y a Erinzon Olimpo  Cárdenas  Tilano  US$  12.407</w:t>
        <w:br/>
        <w:t>por sus lesiones. A la familia Castro Bello US$ 185.174  por  la  muerte  de</w:t>
        <w:br/>
        <w:t>Jaime Castro Bello. A la familia Quintana Bello-Tilano USS  209.614  por  la</w:t>
        <w:br/>
        <w:t>muerte de Egna Margarita Bello Tilano, y a Mónica Alicia  Bello  Tilano  US$</w:t>
        <w:br/>
        <w:t>34.650 por sus lesiones. A la familia Suárez Daza  y  (Suárez)  Cedano,  US$</w:t>
        <w:br/>
        <w:t>158.525 por la muerte de Pablo Suárez Daza. A  Alba  Yaneth  García  Guevara</w:t>
        <w:br/>
        <w:t>US$ 47.687 por sus lesiones, y Fredy Yovany  Monoga  Villamizar  US$  54.478</w:t>
        <w:br/>
        <w:t>por sus lesiones.</w:t>
        <w:br/>
        <w:br/>
        <w:br/>
        <w:t>[451]       Al respecto, el Estado señaló que no es  suficiente  “establecer</w:t>
        <w:br/>
        <w:t>el salario que pudo haber  devengado  la  víctima  para  prolongarlo  en  el</w:t>
        <w:br/>
        <w:t>tiempo  de  vida  probable  (que  por  demás  cambia  radicalmente  en   las</w:t>
        <w:br/>
        <w:t>tasaciones: por ejemplo: la expectativa de vida para el señor Mario  Galvis,</w:t>
        <w:br/>
        <w:t>quien murió de 47 años fue de 78 años; para el menos  Johany  Hernández  que</w:t>
        <w:br/>
        <w:t>al morir tenía 14 años fue calculada su vida probable en 73 años, pero  para</w:t>
        <w:br/>
        <w:t>el señor Salomón  Neite,  que  murió  de  58  años,  fue  de  81  años  como</w:t>
        <w:br/>
        <w:t>expectativa de vida). Para la liquidación del  lucro  cesante  es  necesario</w:t>
        <w:br/>
        <w:t>presentar elementos de juicio que permitan concluir la capacidad laboral  de</w:t>
        <w:br/>
        <w:t>la víctima y la dependencia  económica  de  sus  deudos  o  la  contribución</w:t>
        <w:br/>
        <w:t>patrimonial en la familia. En este caso, nada de eso está demostrado”.</w:t>
        <w:br/>
        <w:br/>
        <w:br/>
        <w:t>[452]       En particular solicitaron que se otorgue “una  indemnización  en</w:t>
        <w:br/>
        <w:t>equidad para las familias de las víctimas teniendo en cuenta los  siguientes</w:t>
        <w:br/>
        <w:t>criterios: 1)  Para  la  familia  de  la  víctima  que  resultó  herido  sin</w:t>
        <w:br/>
        <w:t>registrar incapacidad medico-laboral, se otorgue la cantidad de  US$  2.500;</w:t>
        <w:br/>
        <w:t>2) Para la familia de la víctima que vio  disminuida  su  capacidad  laboral</w:t>
        <w:br/>
        <w:t>hasta un diez por ciento (10%), se otorgue una compensación  de  US$  5.000;</w:t>
        <w:br/>
        <w:t>3) Para la familia de la víctima que vio  disminuida  su  capacidad  laboral</w:t>
        <w:br/>
        <w:t>entre un diez por ciento y un veinte por ciento (10%-20%),  se  otorgue  una</w:t>
        <w:br/>
        <w:t>compensación de US$ 10.000; 4)  Para  la  familia  de  la  víctima  que  vio</w:t>
        <w:br/>
        <w:t>disminuida su capacidad laboral entre un veinte por ciento y un treinta  por</w:t>
        <w:br/>
        <w:t>ciento (20%-30%), se otorgue una compensación de  US$  15.000;  5)  Para  la</w:t>
        <w:br/>
        <w:t>familia de la víctima que sufrieren pérdida de capacidad laboral  más  alta,</w:t>
        <w:br/>
        <w:t>se aplicará la regla de aumentar el monto en US$ 5.000  por  cada  intervalo</w:t>
        <w:br/>
        <w:t>del diez por ciento (10%) en adelante y, 6) En el caso de que  el  lesionado</w:t>
        <w:br/>
        <w:t>sea un menor de edad, se incrementará esta compensación en  US$  2.500,  por</w:t>
        <w:br/>
        <w:t>cuenta de la mejor atención que requieren los pacientes de esta  población”.</w:t>
        <w:br/>
        <w:t>Además solicitaron que se ordene el pago por esos  mismos  conceptos  a  las</w:t>
        <w:br/>
        <w:t>siguientes familias: A la familia Galvis Mujica US$  20.000,  a  la  familia</w:t>
        <w:br/>
        <w:t>Neite González US$ 5.000, a la familia Neite Méndez-Rangel US$  2500,  a  la</w:t>
        <w:br/>
        <w:t>familia Vanegas Tulivila US$  15.000,  a  la  familia  Molina  Panqueva  US$</w:t>
        <w:br/>
        <w:t>2.500, a la familia Ávila Abaunza (Castillo) y Bonilla Ávila  US$  2.500,  a</w:t>
        <w:br/>
        <w:t>la familia Barranco Bastidas US$ 2500,  a  la  familia  García  Guevara  US$</w:t>
        <w:br/>
        <w:t>17.500, a la familia Cárdenas  Tilano US$  15.000,  a  la  familia  Quintana</w:t>
        <w:br/>
        <w:t>Bello-Tilano US$ 10.000, a la familia Daza Rojas US$ 5.000. A  Fredy  Yovany</w:t>
        <w:br/>
        <w:t>Monoga Villamizar US$ 20.000 y a otras víctimas independientes  heridos  US$</w:t>
        <w:br/>
        <w:t>2.500.</w:t>
        <w:br/>
        <w:br/>
        <w:br/>
        <w:t>[453]       Los representantes solicitaron concretamente,  y  de  acuerdo  a</w:t>
        <w:br/>
        <w:t>los criterios expuestos, que los lesionados  sean  reparados  por  perjuicio</w:t>
        <w:br/>
        <w:t>fisiológico de la siguiente manera: US$ 35.000 para  Mario  Galvis  y  Fredy</w:t>
        <w:br/>
        <w:t>Yovany Monoga Villamizar; US$ 30.000 para Edwin Fernando Vanegas Tulivila  y</w:t>
        <w:br/>
        <w:t>Alba Yaneth García Guevara; US$ 20.000 para Mónica Alicia Bello Tilano;  US$</w:t>
        <w:br/>
        <w:t>15.000 para Erinzon Olimpo Cárdenas Tilano; USD 7.500  para  Neftalí  Neite,</w:t>
        <w:br/>
        <w:t>Marcos Aurelio Neite, Hilda Yuraine Barranco Bastilla, Rosmira  Daza  Rojas,</w:t>
        <w:br/>
        <w:t>Lida Barranca, Ricardo Ramírez, Yeimi Viviana Contreras  y  Maryori  Agudelo</w:t>
        <w:br/>
        <w:t>Flórez; y US$ 5.000 para Amalio Neite,  María  Cenobia  Panqueva,  Milciades</w:t>
        <w:br/>
        <w:t>Bonilla,  Gleydis  Xiomara  García  Guevara,  Maribel  Daza  Rojas,  Ludwing</w:t>
        <w:br/>
        <w:t>Vanegas, Marian Arévalo, José Agudelo  Tamayo,  Pedro  Uriel  Duarte  Lagos,</w:t>
        <w:br/>
        <w:t>Ludo Vanegas, Adela Carrillo, Alciades Bonilla y Fredy Mora.</w:t>
        <w:br/>
        <w:br/>
        <w:br/>
        <w:t>[454]       Sentencia del Tribunal  Contencioso  Administrativo  de  Arauca,</w:t>
        <w:br/>
        <w:t>Mario Galvis Gelvez y otros, expediente No. 81-001-23-2000-348, 20  de  mayo</w:t>
        <w:br/>
        <w:t>de 2004 (expediente de prueba, tomo XX, folio 10180-10274).</w:t>
        <w:br/>
        <w:br/>
        <w:br/>
        <w:t>[455]       Los representantes realizaron la actualización con  base  en  el</w:t>
        <w:br/>
        <w:t>Índice de Precios al Consumidor (IPC) del mes de diciembre de 1998  que  fue</w:t>
        <w:br/>
        <w:t>de 52.18 y el registrado para el mes de septiembre de 2011 que se  sitúa  en</w:t>
        <w:br/>
        <w:t>108.35 puntos. Dicho cálculo no fue controvertido por el Estado.</w:t>
        <w:br/>
        <w:br/>
        <w:br/>
        <w:t>[456]       Audiencias de Conciliación celebradas ante  la  Sección  Tercera</w:t>
        <w:br/>
        <w:t>del Consejo de Estado, la primera de ellas el 24 de noviembre de 2006  y  la</w:t>
        <w:br/>
        <w:t>segunda el 8 de noviembre de 2007, en el marco  del  proceso  de  reparación</w:t>
        <w:br/>
        <w:t>directa en la jurisdicción interna. El 24 de noviembre de  2006  las  partes</w:t>
        <w:br/>
        <w:t>llegaron a un acuerdo conciliatorio que fue ratificado en audiencia el 8  de</w:t>
        <w:br/>
        <w:t>noviembre de 2007 y aprobado el 13 de diciembre de 2007.  Véase  el  Acuerdo</w:t>
        <w:br/>
        <w:t>Conciliatorio, Sección Tercera, Consejo de Estado,  Mario  Galvis  Gelves  y</w:t>
        <w:br/>
        <w:t>otros, proceso No. 28259, 8 de noviembre de 2007 proceso  No.  28259,  8  de</w:t>
        <w:br/>
        <w:t>noviembre de 2007 (expediente  de  prueba,  tomo  3,  folios  1044-1045),  y</w:t>
        <w:br/>
        <w:t>Sentencia de Sección Tercera, Consejo  de  Estado,  Mario  Galvis  Gelves  y</w:t>
        <w:br/>
        <w:t>otros, radicación  No.  07001-23-31-000-2000-0348-01,  13  de  diciembre  de</w:t>
        <w:br/>
        <w:t>2007(expediente de prueba, tomo 2, folios 751-806).</w:t>
        <w:br/>
        <w:br/>
        <w:br/>
        <w:t>[457]       Solicitaron en particular que se ordene el pago de US$ 700  para</w:t>
        <w:br/>
        <w:t>las familias de Salomon Neite y Luis Orlando Martínez Carreño, US$ 800  para</w:t>
        <w:br/>
        <w:t>familia de Edilma Leal Pacheco, USD 900  para  la  familia  de  Luis  Carlos</w:t>
        <w:br/>
        <w:t>Neite Mendez, US$  1.000  para  las  familias  de  Rodolfo  Carrillo,  Deysi</w:t>
        <w:br/>
        <w:t>Katherine Cárdenas  Tilano,  Jaime  Castro  Bello  y  Egna  Margarita  Bello</w:t>
        <w:br/>
        <w:t>Tilano, US$ 1.300 para la familia de Johany  Hernandez  Becerra,  US$  1.700</w:t>
        <w:br/>
        <w:t>para la familia de Carmen Antonio Díaz Cobos, US$ 1.750 para la  familia  de</w:t>
        <w:br/>
        <w:t>Pablo Suarez Daza, US$ 1.937 para la familia de  María  Teresa  Mujica,  US$</w:t>
        <w:br/>
        <w:t>2.000 para la familia de Nancy Ávila Abaunza, US$ 2.050 para la  familia  de</w:t>
        <w:br/>
        <w:t>Luis Enrique Parada Ropero, US$ 2.600 para  la  familia  de  Oscar  Esneider</w:t>
        <w:br/>
        <w:t>Vanegas Tulivia, US$ 3.200 para la familia de  Arnulfo  Arciniegas  Calvo  y</w:t>
        <w:br/>
        <w:t>US$ 4.400 para la familia de Maria Yolanda Rangel.</w:t>
        <w:br/>
        <w:br/>
        <w:br/>
        <w:t>[458]       En  particular  señalaron  que  la  cuantía  de  esa  medida  de</w:t>
        <w:br/>
        <w:t>reparación deberá ser de US$ 5.000 por cada familia que registrare daños  en</w:t>
        <w:br/>
        <w:t>las mismas o en sus muebles y enceres, y se incremente en US$  5.000  cuando</w:t>
        <w:br/>
        <w:t>las  familias  registraren   pérdidas   agropecuarias.   Respecto   de   los</w:t>
        <w:br/>
        <w:t>establecimientos de comercio, a continuación se relacionan las familias  que</w:t>
        <w:br/>
        <w:t>han precisado la propiedad u perjuicios sobre estos y que los tasaron de  la</w:t>
        <w:br/>
        <w:t>siguiente manera: a) Establecimiento Comercial “El Oasis”  propiedad  de  la</w:t>
        <w:br/>
        <w:t>Familia Galvis  Mujica,  US$  193.431;  b)  Droguería  y  Miscelánea  “Santo</w:t>
        <w:br/>
        <w:t>Domingo”  propiedad  de  la  familia  Molina  Panqueva,  US$   184.227;   c)</w:t>
        <w:br/>
        <w:t>Establecimiento Comercial de Ropa, Chinchorros y  Confección  propiedad  del</w:t>
        <w:br/>
        <w:t>señor Hugo Fernely Pastrana Vargas, US$ 49.348; d) Estación de Gasolina,  el</w:t>
        <w:br/>
        <w:t>Restaurante y el Hotel (Hospedaje), US$  42.779,  y  e)  Vehículo  Chevrolet</w:t>
        <w:br/>
        <w:t>propiedad de la familia Palomino Cortes, US$ 15.499. La  Corte  observa  que</w:t>
        <w:br/>
        <w:t>los representantes remitieron información contradictoria con respecto  a  la</w:t>
        <w:br/>
        <w:t>cuantía de las medidas de reparación de Hugo Fernely  Pastrana  Vargas,  que</w:t>
        <w:br/>
        <w:t>también aparece en las cifras adjuntadas por los representantes y por  quien</w:t>
        <w:br/>
        <w:t>se reclama un monto de US$ 53,848.</w:t>
        <w:br/>
        <w:br/>
        <w:br/>
        <w:t>[459]       En particular el Estado indicó que “si  no  está  acreditada  la</w:t>
        <w:br/>
        <w:t>condición de propietario del inmueble […]  no  es  posible  inferir  que  se</w:t>
        <w:br/>
        <w:t>hubieren generado daños materiales”; en segundo lugar, el Estado indicó  que</w:t>
        <w:br/>
        <w:t>“al no estar demostrada la propiedad o posesión de los  establecimientos  de</w:t>
        <w:br/>
        <w:t>comercio supuestamente afectados en el caserío por los hechos  sucedidos  el</w:t>
        <w:br/>
        <w:t>13 de diciembre de 1998, los perjuicios  materiales  solicitados  no  pueden</w:t>
        <w:br/>
        <w:t>tasarse en equidad”.</w:t>
        <w:br/>
        <w:br/>
        <w:br/>
        <w:t>[460]       El Estado señaló en particular que es un hecho notorio  que  “en</w:t>
        <w:br/>
        <w:t>el  caserío  de   Santo   Domingo   es   irrazonable   considerar   que   un</w:t>
        <w:br/>
        <w:t>establecimiento comercial origine daños por casi US$ 200.000 dólares  o  que</w:t>
        <w:br/>
        <w:t>los deterioros a un lugar de hospedaje puedan  representar  US$  42.780.  Es</w:t>
        <w:br/>
        <w:t>irrisorio pensar que un  vehículo  modelo  1955  pueda  costar  USD  15.499,</w:t>
        <w:br/>
        <w:t>cuando automotores nuevos pueden conseguirse por valores cercanos a los  US$</w:t>
        <w:br/>
        <w:t>13.000. Además de que los montos son  irrazonables,  no  se  acreditaron  la</w:t>
        <w:br/>
        <w:t>existencia de los negocios, ni la propiedad de dichos muebles”.</w:t>
        <w:br/>
        <w:br/>
        <w:br/>
        <w:t>[461]       Solicitaron en  particular  que  el  pago  se  determine  de  la</w:t>
        <w:br/>
        <w:t>siguiente forma: 1) “Por cada una de las 17 víctimas fallecidas, se fije  la</w:t>
        <w:br/>
        <w:t>suma de US$ 100.000, o  su  equivalente  en  moneda  colombiana.  Cuando  la</w:t>
        <w:br/>
        <w:t>víctima sea menor de edad, se incrementará en US$ 25.000,  en  razón  de  su</w:t>
        <w:br/>
        <w:t>condición; a) Respecto de los familiares padre, madre, cónyuge  o  compañero</w:t>
        <w:br/>
        <w:t>(a) permanente e hijos de las víctimas fallecidas se fije  la  suma  de  US$</w:t>
        <w:br/>
        <w:t>70.000; b) Respecto de los familiares  hermanos,  tíos  y  sobrinos  de  las</w:t>
        <w:br/>
        <w:t>víctimas fallecidas se fije la suma de US$ 30.000; 2) Para cada una  de  las</w:t>
        <w:br/>
        <w:t>27 víctimas de lesiones, se fije la suma de US$ 1.000, o su  equivalente  en</w:t>
        <w:br/>
        <w:t>moneda  colombiana,  por  cada  unidad  de  pérdida  de  capacidad  laboral,</w:t>
        <w:br/>
        <w:t>debiéndolos estos aproximar, en todo caso, a  los  múltiplos  de  5.000  más</w:t>
        <w:br/>
        <w:t>altos, para efectos de equidad. En los casos que  las  víctimas  solo  hayan</w:t>
        <w:br/>
        <w:t>sufrido heridas se asignará la suma  de  US$  5.000.  Asimismo  cuando  sean</w:t>
        <w:br/>
        <w:t>menores de edad, se agregará otro tanto de US$ 5.000 si hay  incapacidad,  o</w:t>
        <w:br/>
        <w:t>US$ 2.500 si solo hubo heridas; a) Respecto de los familiares  padre,  madre</w:t>
        <w:br/>
        <w:t>o cónyuge o compañero (a) permanente e hijos de las víctimas  lesionadas  se</w:t>
        <w:br/>
        <w:t>fije la suma del 20%  de  la  indemnización  que  reciba  cada  uno  de  sus</w:t>
        <w:br/>
        <w:t>respectivos familiares; b) Respecto  de  los  familiares  hermanos,  tíos  y</w:t>
        <w:br/>
        <w:t>sobrinos de  las  víctimas  lesionadas  se  fije  la  suma  del  10%  de  la</w:t>
        <w:br/>
        <w:t>indemnización que reciba cada uno de sus respectivos familiares, y  3)  Para</w:t>
        <w:br/>
        <w:t>cada uno de los afectados en su derecho a la propiedad, se fije la  suma  de</w:t>
        <w:br/>
        <w:t>US$ 3.000,  en  los  casos  que  corresponda  a  establecimientos  o  bienes</w:t>
        <w:br/>
        <w:t>comerciales; y US$ 2.000 cuando las afectaciones sean sobre viviendas”.</w:t>
        <w:br/>
        <w:br/>
        <w:br/>
        <w:t>[462]       En el caso de la víctima 17, según los representantes, el  joven</w:t>
        <w:br/>
        <w:t>Luis Enrique Parada Ropero fue criado desde  temprana  edad  por  la  señora</w:t>
        <w:br/>
        <w:t>Myriam Soreira Tulibila Macualo (expediente de fondo, tomo  1,  folio  240).</w:t>
        <w:br/>
        <w:t>Sin embargo, ella fue reparada por la muerte  de  su  hijo,  Oscar  Esneider</w:t>
        <w:br/>
        <w:t>Vanegas Tulibila, y no por la muerte de Luis  Enrique  Parada  Ropero.  Esto</w:t>
        <w:br/>
        <w:t>indica que no se acudió a la vía contencioso administrativa en relación  con</w:t>
        <w:br/>
        <w:t>la muerte del joven Parada. Asimismo, según los representantes, parte de  la</w:t>
        <w:br/>
        <w:t>familia de Luis Enrique Parada vive en el Estado de Barinas de la  República</w:t>
        <w:br/>
        <w:t>Bolivariana de Venezuela, y se identificaron los nombres de  tíos  (hermanos</w:t>
        <w:br/>
        <w:t>de su padre): Isidro, Andres e Isaías Paradas, pero éstos  no  figuran  como</w:t>
        <w:br/>
        <w:t>víctimas (expediente de fondo, tomo 1, folio 240).</w:t>
        <w:br/>
        <w:br/>
        <w:br/>
        <w:t>[463]        Cfr.  Sentencia  del  Tribunal  Contencioso  Administrativo  de</w:t>
        <w:br/>
        <w:t>Arauca, Mario Galvis Gelvez y otros, expediente No.  81-001-23-2000-348,  20</w:t>
        <w:br/>
        <w:t>de mayo de 2004 (expediente de  prueba,  tomo  20,  folio  10180-10274),  el</w:t>
        <w:br/>
        <w:t>Acuerdo Conciliatorio, Sección Tercera,  Consejo  de  Estado,  Mario  Galvis</w:t>
        <w:br/>
        <w:t>Gelves y otros, proceso No. 28259, 8 de noviembre  de  2007  (expediente  de</w:t>
        <w:br/>
        <w:t>prueba,  tomo  3,  folios  1044-1045),   y   la   aprobación   del   Acuerdo</w:t>
        <w:br/>
        <w:t>Conciliatorio, Sentencia  de  Sección  Tercera,  Consejo  de  Estado,  Mario</w:t>
        <w:br/>
        <w:t>Galvis Gelves y otros, radicación No.  07001-23-31-000-2000-0348-01,  13  de</w:t>
        <w:br/>
        <w:t>diciembre de 2007(expediente de prueba, tomo 2,  folios  751-806).  Mediante</w:t>
        <w:br/>
        <w:t>esta sentencia se aprobó la conciliación entre la Nación  y  19  de  los  23</w:t>
        <w:br/>
        <w:t>litisconsortes facultativos, se declaró  terminado  el  proceso  respecto  a</w:t>
        <w:br/>
        <w:t>ellos, y se improbó el acuerdo respecto de los cuatro restantes  ordenándose</w:t>
        <w:br/>
        <w:t>seguir el proceso respecto de ellos. Posteriormente, por medio de  Sentencia</w:t>
        <w:br/>
        <w:t>de 19 de noviembre de 2008, se declara  patrimonialmente  responsable  a  la</w:t>
        <w:br/>
        <w:t>Nación – Ministerio de Defensa – Fuerza Aérea Colombiana por los  perjuicios</w:t>
        <w:br/>
        <w:t>ocasionados  a  los  cuatro  litisconsortes  restantes.  Véase  de   Sección</w:t>
        <w:br/>
        <w:t>Tercera, Consejo de Estado, Mario Galvis  Gelves  y  otros,  radicación  No.</w:t>
        <w:br/>
        <w:t>07001-23-31-000-2000-0348-01,  19  de  noviembre  de  2008  (expediente   de</w:t>
        <w:br/>
        <w:t>prueba, tomo 3, folios 1047-1127).</w:t>
        <w:br/>
        <w:br/>
        <w:br/>
        <w:t>[464]       Mediante Resolución 979 del Ministerio de Defensa  Nacional,  de</w:t>
        <w:br/>
        <w:t>18 de marzo de 2009, se da cumplimiento al  acuerdo  conciliatorio  aprobado</w:t>
        <w:br/>
        <w:t>el 13 de diciembre de 2007 (expediente  de  prueba,  tomo  2,  folios  1129-</w:t>
        <w:br/>
        <w:t>1146), y mediante la Resolución 1560 del Ministerio de Defensa Nacional,  de</w:t>
        <w:br/>
        <w:t>27 de abril de 2009, se da cumplimiento a la sentencia del 19  de  noviembre</w:t>
        <w:br/>
        <w:t>de 2008 (expediente de prueba, tomo 3, folios  1148-1155),  por  lo  que  la</w:t>
        <w:br/>
        <w:t>Nación – Ministerio de  Defensa  pagó  al  representante  de  las  presuntas</w:t>
        <w:br/>
        <w:t>víctimas un total de cinco  mil  setecientas  y  ocho  millones  setecientos</w:t>
        <w:br/>
        <w:t>cincuenta y nueve  mil  quinientos  diecinueve  pesos  con  veinte  centavos</w:t>
        <w:br/>
        <w:t>($5.758.759.019,20). En la Resolución 979 se indemnizan a  79  familiares  y</w:t>
        <w:br/>
        <w:t>en la Resolución 1560 se indemnizan a 30 familiares.  Existen  2  familiares</w:t>
        <w:br/>
        <w:t>de víctima fallecida (Carmen  Edilia  González  Ravelo,  esposa  de  Salomón</w:t>
        <w:br/>
        <w:t>Neite;  y  Marcos  Neite  González,  hijo  de  Salomón  Neite),  que  fueron</w:t>
        <w:br/>
        <w:t>indemnizados en ambas Resoluciones</w:t>
        <w:br/>
        <w:br/>
        <w:br/>
        <w:t>[465]       Nerys Duarte Cárdenas, Andersson Díaz Duarte y  Davinson  Duarte</w:t>
        <w:br/>
        <w:t>Cárdenas acudieron a la  vía  contenciosa  administrativa,  pero  no  fueron</w:t>
        <w:br/>
        <w:t>reparados por no haber demostrado  el  vínculo  familiar.  Por  otra  parte,</w:t>
        <w:br/>
        <w:t>Lucero Talero Sánchez, compañera de  Levis  Orlando  Martínez,  tampoco  fue</w:t>
        <w:br/>
        <w:t>indemnizada por no haber demostrado  que  conviviera  con  la  víctima,  sin</w:t>
        <w:br/>
        <w:t>embargo, sus hijos sí fueron reparados por ser hijos de él. En  el  caso  de</w:t>
        <w:br/>
        <w:t>María Elena Carreño, no demostró que era hermana  de  la  víctima  fallecida</w:t>
        <w:br/>
        <w:t>Levis Orlando Martínez (expediente de prueba, tomo 2, folios 782 y 783).</w:t>
        <w:br/>
        <w:br/>
        <w:t>[466]       A saber, Edwin  Fernando  Vanegas  Tulibila  (hermano  de  Oscar</w:t>
        <w:br/>
        <w:t>Esneider Vanegas Tulibila), Milciades Bonilla  Ostos  (compañero  permanente</w:t>
        <w:br/>
        <w:t>de Nancy Ávila Abaunza),  Mario  Galvis  Gelves  (esposo  de  Teresa  Mojica</w:t>
        <w:br/>
        <w:t>Hernández), Mónica Bello Tilano (madre de  Egna  Margarita  Bello  Tilano  y</w:t>
        <w:br/>
        <w:t>hermana de Katherine  Cárdenas  Tilano),  Amalio  Neite  González  (hijo  de</w:t>
        <w:br/>
        <w:t>Salomón Neite), Marcos Aurelio Neite Méndez (hermano de  Luis  Carlos  Neite</w:t>
        <w:br/>
        <w:t>Méndez), Erinson Olimpo  Cárdenas  Tilano  (hermano  de  Katherine  Cárdenas</w:t>
        <w:br/>
        <w:t>Tilano) y Neftalí Neite González (hijo de Salomón Neite).</w:t>
        <w:br/>
        <w:br/>
        <w:t>[467]       Se trata de María Cenobia Panqueva y Neftalí Neite González.  En</w:t>
        <w:br/>
        <w:t>el primer caso no se determinó pérdida de capacidad laboral y en el  segundo</w:t>
        <w:br/>
        <w:t>no se aportó la historia clínica  por  lo  que  no  se  pudo  determinar  la</w:t>
        <w:br/>
        <w:t>pérdida de capacidad  laboral.  Veáse  Sentencia  del  Tribunal  Contencioso</w:t>
        <w:br/>
        <w:t>Administrativo de Arauca, Mario Galvis Gelvez y otros,  expediente  No.  81-</w:t>
        <w:br/>
        <w:t>001-23-2000-348, 20 de mayo de 2004 (expediente de prueba,  tomo  20,  folio</w:t>
        <w:br/>
        <w:t>10253); Sentencia de  Sección  Tercera,  Consejo  de  Estado,  Mario  Galvis</w:t>
        <w:br/>
        <w:t>Gelves  y  otros,  radicación  No.   07001-23-31-000-2000-0348-01,   13   de</w:t>
        <w:br/>
        <w:t>diciembre de 2007 (expediente de prueba, tomo 2, folio 783), y Sentencia  de</w:t>
        <w:br/>
        <w:t>Sección Tercera, Consejo de Estado, Mario Galvis Gelves y otros,  radicación</w:t>
        <w:br/>
        <w:t>No. 07001-23-31-000-2000-0348-01, 19 de noviembre  de  2008  (expediente  de</w:t>
        <w:br/>
        <w:t>prueba, tomo 3, folio 1081-1082).</w:t>
        <w:br/>
        <w:br/>
        <w:br/>
        <w:t>[468]       El Estado se refirió únicamente  a  las  hermanas  Maribel  Daza</w:t>
        <w:br/>
        <w:t>Rojas y Rusmira Daza Rojas, como víctimas heridas que no habrían  acudido  a</w:t>
        <w:br/>
        <w:t>la jurisdicción contencioso administrativa.</w:t>
        <w:br/>
        <w:br/>
        <w:br/>
        <w:t>[469]        Se  trata  de  Carmen  Edilia  González  Ravelo  quien  recibió</w:t>
        <w:br/>
        <w:t>indemnización por las lesiones de su hijo Amalio Neite  González,  así  como</w:t>
        <w:br/>
        <w:t>sus hermanos Neftalí, Neila, Salomón, Elizabeth y Marcos Neite González.</w:t>
        <w:br/>
        <w:br/>
        <w:t>[470]       Nerys Duarte Cárdenas (compañera permanente  de  Carmen  Antonio</w:t>
        <w:br/>
        <w:t>Díaz), Andersson Duarte Cárdenas (hijo de  Carmen  Antonio  Díaz),  Davinson</w:t>
        <w:br/>
        <w:t>Duarte Cárdenas  (hijo  de  Carmen  Antonio  Díaz),  Lucero  Talero  Sánchez</w:t>
        <w:br/>
        <w:t>(compañera permanente  de  Levis  Orlando  Martínez  Carreña),  María  Elena</w:t>
        <w:br/>
        <w:t>Carreño (hermana de Levis Orlando Martínez Carreña).</w:t>
        <w:br/>
        <w:br/>
        <w:t>[471]       Cfr. Caso Garrido y  Baigorria  Vs.  Argentina.  Reparaciones  y</w:t>
        <w:br/>
        <w:t>Costas. Sentencia de 27 de agosto de 1998. Serie C No. 39, párr. 79, y  Caso</w:t>
        <w:br/>
        <w:t>Masacres de El Mozote y lugares aledaños Vs. El Salvador, párr. 385.</w:t>
        <w:br/>
        <w:br/>
        <w:br/>
        <w:t>[472]       En particular indicaron los gastos incurridos por  la  Fundación</w:t>
        <w:br/>
        <w:t>de Derechos Humanos  “Joel  Sierra”  (US$  4.000),  la  Asociación  para  la</w:t>
        <w:br/>
        <w:t>Promoción  Social  Alternativa  Minga  (US$   12.000),   Humanidad   Vigente</w:t>
        <w:br/>
        <w:t>Corporación Jurídica (US$ 10.000) y el Colectivo de  Abogados  “José  Alvear</w:t>
        <w:br/>
        <w:t>Restrepo” (US$ 9.000). Además se indicó que los representantes David  Stahl,</w:t>
        <w:br/>
        <w:t>Lisa Meyer y Douglass Cassel actuaron  a  solicitud  de  las  organizaciones</w:t>
        <w:br/>
        <w:t>colombianas de manera pro-bono, por lo que no solicitan costas y gastos.</w:t>
        <w:br/>
        <w:br/>
        <w:br/>
        <w:t>[473]       Al respecto, los representantes indicaron que la  delegación  de</w:t>
        <w:br/>
        <w:t>los representantes de las víctimas se compuso de nueve  personas,  abogados,</w:t>
        <w:br/>
        <w:t>testigos y perito, y los gastos por persona fueron  aproximadamente  de  US$</w:t>
        <w:br/>
        <w:t>1.400.</w:t>
        <w:br/>
        <w:br/>
        <w:br/>
        <w:t>[474]       Al respecto, el Estado se refiere a jurisprudencia de  la  Corte</w:t>
        <w:br/>
        <w:t>en relación con el establecimiento de estos valores, específicamente  señala</w:t>
        <w:br/>
        <w:t>los siguientes  casos:  Caso  Caballero  Delgado  y  Santana  vs.  Colombia.</w:t>
        <w:br/>
        <w:t>Reparaciones y Costas. Sentencia del 29 de enero de 1997. Serie C No. 31,  y</w:t>
        <w:br/>
        <w:t>Caso Mapiripán Vs. Colombia. Fondo, Reparaciones y Costas.</w:t>
        <w:br/>
        <w:br/>
        <w:br/>
        <w:t>[475]       Cfr. Caso Garrido y  Baigorria  Vs.  Argentina.  Reparaciones  y</w:t>
        <w:br/>
        <w:t>Costas, párr. 79, y Caso Masacres de El Mozote y  lugares  aledaños  Vs.  El</w:t>
        <w:br/>
        <w:t>Salvador, párr. 389.</w:t>
        <w:br/>
        <w:br/>
        <w:t>[476]       Cfr. Caso Garrido y  Baigorria  Vs.  Argentina.  Reparaciones  y</w:t>
        <w:br/>
        <w:t>Costas, párr. 82, y Caso Masacres de El Mozote y  lugares  aledaños  Vs.  El</w:t>
        <w:br/>
        <w:t>Salvador, párr. 389.</w:t>
        <w:br/>
        <w:br/>
        <w:t>[477] Cfr. Caso Chaparro Álvarez y Lapo Íñiguez.  Vs.  Ecuador.  Excepciones</w:t>
        <w:br/>
        <w:t>Preliminares, Fondo, Reparaciones y Costas. Sentencia de 21 de noviembre  de</w:t>
        <w:br/>
        <w:t>2007. Serie C No. 170, párr. 275, y Caso Masacres de  El  Mozote  y  lugares</w:t>
        <w:br/>
        <w:t>aledaños Vs. El Salvador, párr. 390.</w:t>
        <w:br/>
        <w:br/>
        <w:br/>
        <w:t>[478]       Cfr. Caso Chaparro Álvarez y Lapo Íñiguez.  Vs.  Ecuador,  párr.</w:t>
        <w:br/>
        <w:t>277 y Caso Masacres de El Mozote y lugares aledaños Vs. El  Salvador,  párr.</w:t>
        <w:br/>
        <w:t>390.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