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Caso SUáREZ PERALTA VS. ECUADOR</w:t>
        <w:br/>
        <w:br/>
        <w:br/>
        <w:t xml:space="preserve">                       SENTENCIA DE 21 DE MAYO DE 2013</w:t>
        <w:br/>
        <w:t xml:space="preserve">          (Excepciones Preliminares, Fondo, Reparaciones y Costas)</w:t>
        <w:br/>
        <w:br/>
        <w:br/>
        <w:br/>
        <w:t>En el caso Suárez Peralta,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jueces:</w:t>
        <w:br/>
        <w:br/>
        <w:t>Diego García-Sayán, Presidente;</w:t>
        <w:br/>
        <w:t xml:space="preserve">      Manuel E. Ventura Robles, Vicepresidente;</w:t>
        <w:br/>
        <w:t>Alberto Pérez Pérez, Juez;</w:t>
        <w:br/>
        <w:t>Eduardo Vio Grossi, Juez;</w:t>
        <w:br/>
        <w:t>Roberto de Figueiredo Caldas, Juez;</w:t>
        <w:br/>
        <w:t>Humberto Sierra Porto, Juez, y</w:t>
        <w:br/>
        <w:t>Eduardo Ferrer Mac-Gregor Poisot,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42, 65 y 67 del  Reglamento  de  la</w:t>
        <w:br/>
        <w:t>Corte[1] (en adelante “el Reglamento”), dicta la presente Sentencia, que  se</w:t>
        <w:br/>
        <w:t>estructura en el siguiente orden:</w:t>
        <w:br/>
        <w:br/>
        <w:t xml:space="preserve">                       CASO SUÁREZ PERALTA VS ECUADOR</w:t>
        <w:br/>
        <w:br/>
        <w:t xml:space="preserve">                                   Índice</w:t>
        <w:br/>
        <w:br/>
        <w:br/>
        <w:br/>
        <w:br/>
        <w:t>I Introducción de la Causa y OBJETO DE LA CONTROVERSIA  4</w:t>
        <w:br/>
        <w:br/>
        <w:t>II PROCEDIMIENTO ANTE LA CORTE    6</w:t>
        <w:br/>
        <w:br/>
        <w:t>III excepciones preliminares      7</w:t>
        <w:br/>
        <w:t>A.    Sobre la inclusión de la presunta violación del derecho a la</w:t>
        <w:br/>
        <w:t>integridad personal    8</w:t>
        <w:br/>
        <w:t>1.    Argumentos de la Comisión y de las partes   8</w:t>
        <w:br/>
        <w:t>2.    Consideraciones de la Corte 8</w:t>
        <w:br/>
        <w:t>B.    Solicitud de inclusión de presuntas víctimas en el caso      9</w:t>
        <w:br/>
        <w:t>1.    Argumentos de la Comisión y de las partes   9</w:t>
        <w:br/>
        <w:t>2.    Consideraciones de la Corte 10</w:t>
        <w:br/>
        <w:br/>
        <w:t>IV COMPETENCIA   10</w:t>
        <w:br/>
        <w:br/>
        <w:t>V  PRUEBA   10</w:t>
        <w:br/>
        <w:t>A.    Prueba documental, testimonial y pericial   11</w:t>
        <w:br/>
        <w:t>B.    Admisión de la prueba 11</w:t>
        <w:br/>
        <w:t>1.    Admisión de la prueba documental 11</w:t>
        <w:br/>
        <w:t>2.    Admisión de las declaraciones de la presunta víctima y de una perito</w:t>
        <w:br/>
        <w:t>12</w:t>
        <w:br/>
        <w:br/>
        <w:t>VI HECHOS PROBADOS     12</w:t>
        <w:br/>
        <w:t>A.    Antecedentes e intervención quirúrgica 12</w:t>
        <w:br/>
        <w:t>B.    Hechos posteriores a la intervención quirúrgica   13</w:t>
        <w:br/>
        <w:t>C.    El proceso judicial tramitado en referencia a los hechos del caso 16</w:t>
        <w:br/>
        <w:t>D.    Sobre la Clínica Minchala   22</w:t>
        <w:br/>
        <w:br/>
        <w:t>VII Alcance DEL”Acuerdo de Cumplimiento“     23</w:t>
        <w:br/>
        <w:t>A.    Acuerdo de cumplimiento de las recomendaciones contenidas en el</w:t>
        <w:br/>
        <w:t>Informe de Fondo de la Comisión   23</w:t>
        <w:br/>
        <w:t>B.    Argumentos de la Comisión y de las partes   26</w:t>
        <w:br/>
        <w:t>C.    Consideraciones de la Corte 26</w:t>
        <w:br/>
        <w:br/>
        <w:t>VIII DERECHO A LAS GARANTÍAS JUDICIALES Y A LA PROTECCIÓN JUDICIAL 27</w:t>
        <w:br/>
        <w:t>A.    Argumentos de las partes y de la Comisión   27</w:t>
        <w:br/>
        <w:t>B.    Consideraciones de la Corte 28</w:t>
        <w:br/>
        <w:t>1.    Debida diligencia y plazo razonable en la investigación y el proceso</w:t>
        <w:br/>
        <w:t>penal 28</w:t>
        <w:br/>
        <w:t>2.    Sobre los alegados recursos disponibles     31</w:t>
        <w:br/>
        <w:t>a)    Respecto de la solicitud de multa al juez penal   31</w:t>
        <w:br/>
        <w:t>b)    Respecto del recurso de apelación a la prescripción, acción de</w:t>
        <w:br/>
        <w:t>reparación civil y recusación.    32</w:t>
        <w:br/>
        <w:t>3.    Conclusión 35</w:t>
        <w:br/>
        <w:br/>
        <w:t>IX DERECHO A LA INTEGRIDAD PERSONAL    35</w:t>
        <w:br/>
        <w:t>A.    Argumentos de la Comisión y de las partes   35</w:t>
        <w:br/>
        <w:t>B.    Consideraciones generales de la Corte  36</w:t>
        <w:br/>
        <w:t>1.    El deber de regulación del Estado de los servicios de salud para la</w:t>
        <w:br/>
        <w:t>protección de la integridad personal   39</w:t>
        <w:br/>
        <w:t>2.    El deber de supervisión y fiscalización del Estado en referencia a</w:t>
        <w:br/>
        <w:t>los servicios de salud y la protección de la integridad personal de Melba</w:t>
        <w:br/>
        <w:t>Suárez Peralta   42</w:t>
        <w:br/>
        <w:t>a)    Las prestaciones médicas brindadas en el Policlínico de la Comisión</w:t>
        <w:br/>
        <w:t>de Tránsito de Guayas  42</w:t>
        <w:br/>
        <w:t>b)    Las prestaciones médicas realizadas en la Clínica Minchala.  44</w:t>
        <w:br/>
        <w:t>c)    Conclusión 47</w:t>
        <w:br/>
        <w:t>3.    Vulneración a la Integridad Personal respecto de Melba Peralta</w:t>
        <w:br/>
        <w:t>Mendoza     47</w:t>
        <w:br/>
        <w:br/>
        <w:t>X REPARACIONES   48</w:t>
        <w:br/>
        <w:t>A.    Parte Lesionada  49</w:t>
        <w:br/>
        <w:t>B.    Obligación de investigar los hechos e identificar, juzgar y, en su</w:t>
        <w:br/>
        <w:t>caso, sancionar a los responsables     49</w:t>
        <w:br/>
        <w:t>1.    Solicitud de investigaciones y determinación de responsabilidades</w:t>
        <w:br/>
        <w:t>administrativas y penales   49</w:t>
        <w:br/>
        <w:t>a)    Sobre las investigaciones administrativas y disciplinarias   50</w:t>
        <w:br/>
        <w:t>b)    Sobre los procedimientos penales 50</w:t>
        <w:br/>
        <w:t>C.    Medidas de rehabilitación, satisfacción y garantías de no repetición</w:t>
        <w:br/>
        <w:t>51</w:t>
        <w:br/>
        <w:t>1.    Rehabilitación   51</w:t>
        <w:br/>
        <w:t>a)    Solicitud de asistencia médica   51</w:t>
        <w:br/>
        <w:t>2.    Satisfacción     52</w:t>
        <w:br/>
        <w:t>a)    Solicitud de publicación y difusión de la Sentencia, reconocimiento</w:t>
        <w:br/>
        <w:t>de responsabilidad internacional y disculpas públicas   52</w:t>
        <w:br/>
        <w:t>b)    Solicitud de reparación por daño al proyecto de vida   53</w:t>
        <w:br/>
        <w:t>3.    Garantías de no repetición  54</w:t>
        <w:br/>
        <w:t>a)    Solicitud de adopción de medidas en derecho interno    54</w:t>
        <w:br/>
        <w:t>b)    Solicitud de capacitación a los profesionales de la salud sobre la</w:t>
        <w:br/>
        <w:t>responsabilidad del ejercicio profesional    55</w:t>
        <w:br/>
        <w:t>D.    Indemnización Compensatoria 56</w:t>
        <w:br/>
        <w:t>1.    Argumentos de la Comisión y de las partes   56</w:t>
        <w:br/>
        <w:t>2.    Consideraciones de la Corte 57</w:t>
        <w:br/>
        <w:t>E.    Costas y Gastos  58</w:t>
        <w:br/>
        <w:t>F.    Reintegro de los gastos al Fondo de Asistencia Legal de Víctimas  59</w:t>
        <w:br/>
        <w:t>G.    Modalidades de cumplimiento de los pagos ordenados     59</w:t>
        <w:br/>
        <w:br/>
        <w:t>XI PUNTOS RESOLUTIVOS  60</w:t>
        <w:br/>
        <w:br/>
        <w:br/>
        <w:br/>
        <w:br/>
        <w:br/>
        <w:br/>
        <w:br/>
        <w:br/>
        <w:br/>
        <w:br/>
        <w:br/>
        <w:br/>
        <w:br/>
        <w:br/>
        <w:br/>
        <w:t>I</w:t>
        <w:br/>
        <w:t>Introducción de la Causa y OBJETO DE LA CONTROVERSIA</w:t>
        <w:br/>
        <w:br/>
        <w:br/>
        <w:br/>
        <w:t>El caso sometido a  la  Corte.  –  El  26  de  enero  de  2012  la  Comisión</w:t>
        <w:br/>
        <w:t>Interamericana   de   Derechos   Humanos   (en   adelante    “la    Comisión</w:t>
        <w:br/>
        <w:t>Interamericana” o “la Comisión”) sometió a la jurisdicción de la  Corte  (en</w:t>
        <w:br/>
        <w:t>adelante ”escrito  de  sometimiento”)  el  caso  ”Melba  del  Carmen  Suárez</w:t>
        <w:br/>
        <w:t>Peralta”  contra  la  República  de  Ecuador  (en  adelante  “el  Estado”  o</w:t>
        <w:br/>
        <w:t>“Ecuador”), indicando que: a) en julio  de  2000  Melba  del  Carmen  Suárez</w:t>
        <w:br/>
        <w:t>Peralta fue  intervenida  quirúrgicamente  por  apendicitis  en  la  clínica</w:t>
        <w:br/>
        <w:t>privada Minchala, que le provocó padecimientos severos y permanentes; b)  el</w:t>
        <w:br/>
        <w:t>proceso penal iniciado en relación con estos hechos finalizó sin  resultado,</w:t>
        <w:br/>
        <w:t>debido a la falta de debida diligencia en  la  conducción  del  proceso,  lo</w:t>
        <w:br/>
        <w:t>que, consecuentemente, dio lugar a la declaración de  prescripción  en  2005</w:t>
        <w:br/>
        <w:t>luego de transcurridos más de cinco  años  de  dictado  el  auto  cabeza  de</w:t>
        <w:br/>
        <w:t>proceso; c) no se realizó  una  investigación  efectiva  contra  el  acusado</w:t>
        <w:br/>
        <w:t>principal ni sobre posibles responsables en diferentes  grados  de  autoría;</w:t>
        <w:br/>
        <w:t>d) el proceso penal se caracterizó por  la  falta  de  impulso  procesal  de</w:t>
        <w:br/>
        <w:t>oficio y  de  mínimas  garantías  de  debida  diligencia  para  la  presunta</w:t>
        <w:br/>
        <w:t>víctima; e) la falta de respuesta y demora  en  impulsar  y  diligenciar  el</w:t>
        <w:br/>
        <w:t>proceso favorecieron con impunidad a los eventuales responsables,  y  f)  no</w:t>
        <w:br/>
        <w:t>hubo motivación en la  resolución  sobre  la  solicitud  de  multa  para  el</w:t>
        <w:br/>
        <w:t>administrador de justicia que intervino en el proceso.</w:t>
        <w:br/>
        <w:br/>
        <w:t>Trámite ante la Comisión. – El trámite ante la Comisión fue el siguiente:</w:t>
        <w:br/>
        <w:br/>
        <w:t xml:space="preserve">   a) Petición. - El 23 de febrero de 2006 la señora Melba del Carmen Suárez</w:t>
        <w:br/>
        <w:t xml:space="preserve">      Peralta y su representante Jorge Sosa Meza presentaron la petición</w:t>
        <w:br/>
        <w:t xml:space="preserve">      inicial ante la Comisión;</w:t>
        <w:br/>
        <w:br/>
        <w:t xml:space="preserve">   b) Informe de admisibilidad. - El 30 de octubre de 2008 la Comisión</w:t>
        <w:br/>
        <w:t xml:space="preserve">      aprobó el Informe de Admisibilidad No. 85/08[2];</w:t>
        <w:br/>
        <w:br/>
        <w:t xml:space="preserve">   c)   Informe de Fondo. - El 20 de julio de 2011 la Comisión aprobó el</w:t>
        <w:br/>
        <w:t xml:space="preserve">      Informe de Fondo 75/11[3], de conformidad con el artículo 50 de la</w:t>
        <w:br/>
        <w:t xml:space="preserve">      Convención (en adelante también “el Informe de Fondo” o “el Informe</w:t>
        <w:br/>
        <w:t xml:space="preserve">      No. 75/11”), en el cual llegó a una serie de conclusiones y formuló</w:t>
        <w:br/>
        <w:t xml:space="preserve">      varias recomendaciones al Estado.</w:t>
        <w:br/>
        <w:br/>
        <w:t xml:space="preserve">        a. Conclusiones. – La Comisión concluyó que el Estado era</w:t>
        <w:br/>
        <w:t xml:space="preserve">           responsable por la violación de los siguientes derechos</w:t>
        <w:br/>
        <w:t xml:space="preserve">           reconocidos en la Convención Americana:</w:t>
        <w:br/>
        <w:br/>
        <w:t xml:space="preserve">              i. “[E]l derecho a las garantías judiciales y a la protección</w:t>
        <w:br/>
        <w:t xml:space="preserve">                 judicial, consagradas en los artículos 8.1 y 25.1 de la</w:t>
        <w:br/>
        <w:t xml:space="preserve">                 Convención Americana en relación con la obligación general</w:t>
        <w:br/>
        <w:t xml:space="preserve">                 de respetar y garantizar los derechos, prevista en el</w:t>
        <w:br/>
        <w:t xml:space="preserve">                 artículo 1.1 de la misma, en perjuicio de Melba del Carmen</w:t>
        <w:br/>
        <w:t xml:space="preserve">                 Suáarez Peralta y de su madre, Melba Peralta Mendoza”.</w:t>
        <w:br/>
        <w:br/>
        <w:t xml:space="preserve">        b. Recomendaciones. – En consecuencia, la Comisión hizo al Estado</w:t>
        <w:br/>
        <w:t xml:space="preserve">           una serie de recomendaciones:</w:t>
        <w:br/>
        <w:br/>
        <w:t xml:space="preserve">              i. “Adoptar las medidas necesarias para investigar</w:t>
        <w:br/>
        <w:t xml:space="preserve">                 efectivamente los hechos del presente caso y sancionar, en</w:t>
        <w:br/>
        <w:t xml:space="preserve">                 un plazo razonable, a los operadores de justicia cuya</w:t>
        <w:br/>
        <w:t xml:space="preserve">                 conducta haya resultado en la demora excesiva en la</w:t>
        <w:br/>
        <w:t xml:space="preserve">                 tramitación del proceso penal y la consecuente falta de</w:t>
        <w:br/>
        <w:t xml:space="preserve">                 acceso a la justicia para las víctimas;</w:t>
        <w:br/>
        <w:br/>
        <w:t xml:space="preserve">             ii. Adoptar las medidas necesarias a fin de reparar</w:t>
        <w:br/>
        <w:t xml:space="preserve">                 adecuadamente a Melba del Carmen Suárez Peralta y a su</w:t>
        <w:br/>
        <w:t xml:space="preserve">                 madre, Melba Peralta Mendoza, por las violaciones de</w:t>
        <w:br/>
        <w:t xml:space="preserve">                 derechos humanos determinadas en el [Informe de Fondo],</w:t>
        <w:br/>
        <w:t xml:space="preserve">                 incluyendo tanto el aspecto moral como material. Dada la</w:t>
        <w:br/>
        <w:t xml:space="preserve">                 naturaleza partículas de los hechos del caso, esta</w:t>
        <w:br/>
        <w:t xml:space="preserve">                 reparación debe incluir el pago de gastos relacionados con</w:t>
        <w:br/>
        <w:t xml:space="preserve">                 la procuración de justicia por parte de las víctimas, así</w:t>
        <w:br/>
        <w:t xml:space="preserve">                 como el reconocimiento de responsabilidad internacional y</w:t>
        <w:br/>
        <w:t xml:space="preserve">                 la disculpa pública por el Estado;</w:t>
        <w:br/>
        <w:br/>
        <w:t xml:space="preserve">            iii. Adoptar las medidas necesarias para brindar de manera</w:t>
        <w:br/>
        <w:t xml:space="preserve">                 inmediata y gratuita, a través de instituciones de salud</w:t>
        <w:br/>
        <w:t xml:space="preserve">                 especializadas y en el lugar de residencia de la señora</w:t>
        <w:br/>
        <w:t xml:space="preserve">                 Suárez Peralta, el tratamiento médico requerido, incluyendo</w:t>
        <w:br/>
        <w:t xml:space="preserve">                 los medicamentos que ella requiera en consideración con sus</w:t>
        <w:br/>
        <w:t xml:space="preserve">                 padecimientos;</w:t>
        <w:br/>
        <w:br/>
        <w:t xml:space="preserve">             iv. Adoptar las medidas necesarias para asegurar que se regule</w:t>
        <w:br/>
        <w:t xml:space="preserve">                 e implementen efectivamente normas relacionadas con el</w:t>
        <w:br/>
        <w:t xml:space="preserve">                 ejercicio de los profesionales de la salud, conforme a los</w:t>
        <w:br/>
        <w:t xml:space="preserve">                 estándares nacionales e internacionales en la materia, y</w:t>
        <w:br/>
        <w:br/>
        <w:t xml:space="preserve">              v. Adoptar todas las medidas necesarias para evitar que hechos</w:t>
        <w:br/>
        <w:t xml:space="preserve">                 similares vuelvan a ocurrir en el futuro, en cumplimiento</w:t>
        <w:br/>
        <w:t xml:space="preserve">                 de los deberes de prevención y garantía de los derechos</w:t>
        <w:br/>
        <w:t xml:space="preserve">                 reconocidos por la Convención Americana”.</w:t>
        <w:br/>
        <w:br/>
        <w:t xml:space="preserve">   d) Notificación al Estado. – El Informe de Fondo fue notificado al Estado</w:t>
        <w:br/>
        <w:t xml:space="preserve">      el 26 de julio de 2011, otorgándosele un plazo de dos meses para</w:t>
        <w:br/>
        <w:t xml:space="preserve">      informar sobre el cumplimiento de las recomendaciones;</w:t>
        <w:br/>
        <w:br/>
        <w:t xml:space="preserve">   e)   Acuerdo de Cumplimiento. - El 8 de septiembre de 2011 la señora</w:t>
        <w:br/>
        <w:t xml:space="preserve">      Johana Pesantez Benítez, Ministra de Justicia, Derechos Humanos y</w:t>
        <w:br/>
        <w:t xml:space="preserve">      Cultos, y la señora Melba del Carmen Suárez Peralta, firmaron un</w:t>
        <w:br/>
        <w:t xml:space="preserve">      documento titulado “Acuerdo de Cumplimiento”, el cual tenía como</w:t>
        <w:br/>
        <w:t xml:space="preserve">      objeto el cumplimiento de “las recomendaciones ordenadas por la</w:t>
        <w:br/>
        <w:t xml:space="preserve">      Comisión, dentro del Informe de Fondo No. 75/11, Caso 12.683, Melba</w:t>
        <w:br/>
        <w:t xml:space="preserve">      del Carmen Suárez Peralta – Ecuador”;</w:t>
        <w:br/>
        <w:br/>
        <w:t xml:space="preserve">   f)   Prórroga. - El 24 de octubre de 2011 la Comisión concedió al Estado</w:t>
        <w:br/>
        <w:t xml:space="preserve">      una prórroga de tres meses para cumplir con las recomendaciones</w:t>
        <w:br/>
        <w:t xml:space="preserve">      formuladas en el Informe No. 75/11. El 25 de enero de 2012, el Estado</w:t>
        <w:br/>
        <w:t xml:space="preserve">      informó a la Comisión sobre el cumplimiento de algunas de dichas</w:t>
        <w:br/>
        <w:t xml:space="preserve">      recomendaciones (infra párr. 79 a 81), y</w:t>
        <w:br/>
        <w:br/>
        <w:t xml:space="preserve">   g) Sometimiento a la Corte. - El 26 de enero de 2012, como consecuencia</w:t>
        <w:br/>
        <w:t xml:space="preserve">      de “la necesidad de obtención de justicia para las víctimas ante la</w:t>
        <w:br/>
        <w:t xml:space="preserve">      falta de cumplimiento de las recomendaciones por parte del Estado de</w:t>
        <w:br/>
        <w:t xml:space="preserve">      Ecuador, y la grave situación de salud en la que se enc[ontraba] la</w:t>
        <w:br/>
        <w:t xml:space="preserve">      [señora] Melba del Carmen Suárez Peralta”, la Comisión sometió el caso</w:t>
        <w:br/>
        <w:t xml:space="preserve">      a la Corte. La Comisión designó como sus delegados ante la Corte a la</w:t>
        <w:br/>
        <w:t xml:space="preserve">      Comisionada Dinah Shelton y al entonces Secretario Ejecutivo Santiago</w:t>
        <w:br/>
        <w:t xml:space="preserve">      A. Canton, y designó como asesores legales a las señoras Elizabeth Abi-</w:t>
        <w:br/>
        <w:t xml:space="preserve">      Mershed, Secretaria Ejecutiva Adjunta, Tatiana Gos y Karin Mansel,</w:t>
        <w:br/>
        <w:t xml:space="preserve">      abogadas de la Secretaría Ejecutiva.</w:t>
        <w:br/>
        <w:br/>
        <w:t>Solicitudes de la Comisión Interamericana. – Con base  en  lo  anterior,  la</w:t>
        <w:br/>
        <w:t>Comisión solicitó a la Corte que declare  la  responsabilidad  internacional</w:t>
        <w:br/>
        <w:t>del Estado por la violación de los artículos 8.1 y 25.1  de  la  Convención,</w:t>
        <w:br/>
        <w:t>en relación con el artículo 1.1 de dicho instrumento, en perjuicio de  Melba</w:t>
        <w:br/>
        <w:t>del  Carmen  Suárez  Peralta,   y   su   madre,   Melba   Peralta   Mendoza.</w:t>
        <w:br/>
        <w:t>Adicionalmente, la Comisión  solicitó  al  Tribunal  que  ordene  al  Estado</w:t>
        <w:br/>
        <w:t>determinadas medidas de reparación, que se detallarán  y  analizarán  en  el</w:t>
        <w:br/>
        <w:t>capítulo X de la presente Sentencia.</w:t>
        <w:br/>
        <w:br/>
        <w:br/>
        <w:t>II</w:t>
        <w:br/>
        <w:t>PROCEDIMIENTO ANTE LA CORTE</w:t>
        <w:br/>
        <w:br/>
        <w:br/>
        <w:t>Notificación al Estado y al representante. – El sometimiento del caso por</w:t>
        <w:br/>
        <w:t>parte de la Comisión fue notificado por la Corte al Estado y al</w:t>
        <w:br/>
        <w:t>representante el 1 de marzo de 2012.</w:t>
        <w:br/>
        <w:br/>
        <w:t>Escrito de solicitudes, argumentos y pruebas. – El 28 de abril de 2012 el</w:t>
        <w:br/>
        <w:t>representante de las presuntas víctimas presentó ante la Corte su escrito</w:t>
        <w:br/>
        <w:t>de solicitudes, argumentos y pruebas (en adelante “escrito de solicitudes y</w:t>
        <w:br/>
        <w:t>argumentos”). El representante coincidió sustancialmente con los alegatos</w:t>
        <w:br/>
        <w:t>de la Comisión y solicitó  a la Corte que declarara la responsabilidad</w:t>
        <w:br/>
        <w:t>internacional del Estado por la violación de los mismos artículos alegados</w:t>
        <w:br/>
        <w:t>por la Comisión, y adicionalmente solicitó que se declarara la violación</w:t>
        <w:br/>
        <w:t>del artículo 5 (Derecho a la Integridad Personal) de la Convención, en</w:t>
        <w:br/>
        <w:t>perjuicio de Melba Suárez Peralta y sus familiares. Asimismo, el</w:t>
        <w:br/>
        <w:t>representante solicitó acogerse al Fondo de Asistencia de Víctimas de la</w:t>
        <w:br/>
        <w:t>Corte Interamericana (en adelante el “Fondo de Asistencia de la Corte” o el</w:t>
        <w:br/>
        <w:t>“Fondo”). Finalmente, solicitó a la Corte que ordenara al Estado la</w:t>
        <w:br/>
        <w:t>adopción de diversas medidas de reparación y el reintegro de determinadas</w:t>
        <w:br/>
        <w:t>costas y gastos.</w:t>
        <w:br/>
        <w:br/>
        <w:t>Escrito de contestación. – El 22 de agosto de 2012 el Estado  presentó  ante</w:t>
        <w:br/>
        <w:t>la Corte su escrito de excepciones preliminares, contestación al escrito  de</w:t>
        <w:br/>
        <w:t>sometimiento del caso  y  de  observaciones  al  escrito  de  solicitudes  y</w:t>
        <w:br/>
        <w:t>argumentos  (en  adelante  “escrito  de  contestación”).  En  dicho  escrito</w:t>
        <w:br/>
        <w:t>presentó una  serie  de  excepciones  preliminares  y  “cuestiones  previas”</w:t>
        <w:br/>
        <w:t>(infra párr. 12). El Estado  designó como Agente Principal  al  señor  Erick</w:t>
        <w:br/>
        <w:t>Roberts, y como Agentes Alternos al señor Carlos Espín y la  señora  Daniela</w:t>
        <w:br/>
        <w:t>Ulloa.</w:t>
        <w:br/>
        <w:br/>
        <w:t>Acogimiento al Fondo de Asistencia Legal. – Mediante Resolución del</w:t>
        <w:br/>
        <w:t>Presidente de la Corte (en adelante “el Presidente”) de 14 de septiembre de</w:t>
        <w:br/>
        <w:t>2012, se declaró procedente la solicitud interpuesta por las presuntas</w:t>
        <w:br/>
        <w:t>víctimas, a través de su representante, para acogerse al Fondo de</w:t>
        <w:br/>
        <w:t>Asistencia de la Corte[4].</w:t>
        <w:br/>
        <w:br/>
        <w:t>Observaciones a las excepciones preliminares. – Los días 11 y 13 de octubre</w:t>
        <w:br/>
        <w:t>de 2012 la Comisión y el representante de las presuntas víctimas,</w:t>
        <w:br/>
        <w:t>respectivamente, presentaron sus observaciones a las excepciones</w:t>
        <w:br/>
        <w:t>preliminares interpuestas por el Estado.</w:t>
        <w:br/>
        <w:br/>
        <w:t>Audiencia pública y prueba adicional. – Mediante Resolución del Presidente</w:t>
        <w:br/>
        <w:t>de 20 de diciembre de 2012[5], se convocó a las partes a una audiencia</w:t>
        <w:br/>
        <w:t>pública para recibir sus alegatos y observaciones finales orales sobre las</w:t>
        <w:br/>
        <w:t>excepciones preliminares y eventuales fondo, reparaciones y costas, así</w:t>
        <w:br/>
        <w:t>como para recibir la declaración de Dennis Cerezo Cervantes y el dictamen</w:t>
        <w:br/>
        <w:t>pericial de Laura Cecilia Pautassi. Posteriormente, mediante Resolución de</w:t>
        <w:br/>
        <w:t>24 de enero de 2013[6], la Corte decidió recibir la declaración en</w:t>
        <w:br/>
        <w:t>audiencia pública de la presunta víctima Melba del Carmen Suárez Peralta,</w:t>
        <w:br/>
        <w:t>en lugar de la declaración del señor Dennis Cerezo Cervantes, la cual se</w:t>
        <w:br/>
        <w:t>solicitó que fuera rendida mediante affidavit. La audiencia pública fue</w:t>
        <w:br/>
        <w:t>celebrada el 11 de febrero de 2013 durante el 98 Período Ordinario de</w:t>
        <w:br/>
        <w:t>Sesiones de la Corte, el cual tuvo lugar en su sede[7]. En la audiencia se</w:t>
        <w:br/>
        <w:t>recibieron las declaraciones de una presunta víctima y de una perita, así</w:t>
        <w:br/>
        <w:t>como las observaciones y alegatos finales orales de la Comisión, el</w:t>
        <w:br/>
        <w:t>representante de las presuntas víctimas y el Estado, respectivamente.</w:t>
        <w:br/>
        <w:t>Durante la referida audiencia, la Corte requirió a las partes que</w:t>
        <w:br/>
        <w:t>presentaran determinada información y documentación para mejor resolver.</w:t>
        <w:br/>
        <w:t>Adicionalmente, se recibieron algunas de las declaraciones solicitadas por</w:t>
        <w:br/>
        <w:t>affidavit mediante la Resolución del Presidente de 20 de diciembre de 2012</w:t>
        <w:br/>
        <w:t>(infra párr. 31).</w:t>
        <w:br/>
        <w:br/>
        <w:t>Alegatos y observaciones finales escritos. – El 11 de marzo de 2013, el</w:t>
        <w:br/>
        <w:t>Estado y el representante remitieron sus alegatos finales escritos y la</w:t>
        <w:br/>
        <w:t>Comisión presentó sus observaciones finales escritas. El representante y el</w:t>
        <w:br/>
        <w:t>Estado dieron respuesta parcial a las solicitudes de la Corte de</w:t>
        <w:br/>
        <w:t>información y documentación para mejor resolver.</w:t>
        <w:br/>
        <w:br/>
        <w:t>Observaciones del representante y el Estado. – Los escritos de alegatos y</w:t>
        <w:br/>
        <w:t>observaciones finales escritos fueron transmitidos a las partes y a la</w:t>
        <w:br/>
        <w:t>Comisión el 14 de marzo de 2013. El Presidente otorgó un plazo al</w:t>
        <w:br/>
        <w:t>representante y al Estado para que presentaran las observaciones que</w:t>
        <w:br/>
        <w:t>estimaran pertinentes a la prueba para mejor resolver solicitada por la</w:t>
        <w:br/>
        <w:t>Corte, así como a la información y anexos remitidos por el representante y</w:t>
        <w:br/>
        <w:t>el Estado. El 22 de marzo y el 4 de abril de 2013 el Estado y el</w:t>
        <w:br/>
        <w:t>representante remitieron, respectivamente, las observaciones solicitadas.</w:t>
        <w:br/>
        <w:br/>
        <w:br/>
        <w:t>III</w:t>
        <w:br/>
        <w:t>excepciones preliminares</w:t>
        <w:br/>
        <w:br/>
        <w:br/>
        <w:t>El Estado presentó una  serie  de  excepciones  preliminares  y  “cuestiones</w:t>
        <w:br/>
        <w:t>previas” argumentando incompetencia parcial de la Corte en relación  con  lo</w:t>
        <w:br/>
        <w:t>siguiente: a) el alegato por  parte  del  representante  sobre  la  presunta</w:t>
        <w:br/>
        <w:t>violación del artículo 5.1 de la Convención en  perjuicio  de  Melba  Suárez</w:t>
        <w:br/>
        <w:t>Peralta y sus familiares; b) la  inclusión  de  presuntas  víctimas  que  no</w:t>
        <w:br/>
        <w:t>habían sido establecidas en el Informe  de  Fondo  de  la  Comisión;  c)  la</w:t>
        <w:br/>
        <w:t>solicitud de la Comisión en relación con el ofrecimiento del peritaje de  la</w:t>
        <w:br/>
        <w:t>señora  Laura  Pautassi,  y  d)  la  solicitud  de  la  Comisión  sobre   la</w:t>
        <w:br/>
        <w:t>incorporación al acervo probatorio de los peritajes del señor  Raúl  Moscoso</w:t>
        <w:br/>
        <w:t>Álvarez y del señor Ernesto Albán Gómez, ambos rendidos  en  el  caso  Albán</w:t>
        <w:br/>
        <w:t>Cornejo y otros Vs. Ecuador.</w:t>
        <w:br/>
        <w:br/>
        <w:t>Al respecto, la Corte ha afirmado que las excepciones preliminares son</w:t>
        <w:br/>
        <w:t>objeciones que tienen carácter previo y tienden a impedir el análisis del</w:t>
        <w:br/>
        <w:t>fondo de un asunto cuestionado, mediante la objeción de la admisibilidad de</w:t>
        <w:br/>
        <w:t>un caso o la competencia del Tribunal para conocer de un determinado caso o</w:t>
        <w:br/>
        <w:t>de alguno de sus aspectos, ya sea en razón de la persona, materia, tiempo o</w:t>
        <w:br/>
        <w:t>lugar, siempre y cuando dichos planteamientos tengan el carácter de</w:t>
        <w:br/>
        <w:t>preliminares[8].</w:t>
        <w:br/>
        <w:br/>
        <w:t>Respecto de las objeciones c) y d), la Corte señala que en la Resolución</w:t>
        <w:br/>
        <w:t>del Presidente de 20 de diciembre de 2012 se resolvieron las impugnaciones</w:t>
        <w:br/>
        <w:t>respecto del ofrecimiento de un peritaje y la incorporación de peritajes</w:t>
        <w:br/>
        <w:t>previamente rendidos ante ella[9]. En dicha Resolución se estimó pertinente</w:t>
        <w:br/>
        <w:t>recibir e incorporar la prueba referida, y al ser considerada como prueba</w:t>
        <w:br/>
        <w:t>documental, se concedió a las partes la posibilidad de referirse a dichos</w:t>
        <w:br/>
        <w:t>dictámenes en los alegatos finales, por lo que la Corte estima que no</w:t>
        <w:br/>
        <w:t>procede pronunciarse de manera adicional en este Fallo.</w:t>
        <w:br/>
        <w:br/>
        <w:t>Respecto de las objeciones a) y b), la Corte se referirá en los apartados</w:t>
        <w:br/>
        <w:t>siguientes:</w:t>
        <w:br/>
        <w:br/>
        <w:br/>
        <w:t>Sobre la inclusión de la presunta violación del derecho a la integridad</w:t>
        <w:br/>
        <w:t>personal</w:t>
        <w:br/>
        <w:br/>
        <w:br/>
        <w:br/>
        <w:t xml:space="preserve">        Argumentos de la Comisión y de las partes</w:t>
        <w:br/>
        <w:br/>
        <w:br/>
        <w:br/>
        <w:t>El Estado manifestó que la presunta víctima vulneró el principio de buena</w:t>
        <w:br/>
        <w:t>fe procesal al no haber alegado la violación del artículo 5.1 de la</w:t>
        <w:br/>
        <w:t>Convención durante el trámite del caso ante la Comisión e introducir la</w:t>
        <w:br/>
        <w:t>presunta violación de este derecho en el proceso ante la Corte. El Estado</w:t>
        <w:br/>
        <w:t>consideró que dicha situación es un cambio evidente de la postura original</w:t>
        <w:br/>
        <w:t>del representante y ello afecta directamente al proceso interamericano, el</w:t>
        <w:br/>
        <w:t>derecho a la defensa del Estado y la seguridad jurídica. En este sentido,</w:t>
        <w:br/>
        <w:t>manifestó que “el derecho que ahora se pretende sea declarado[,] no fue</w:t>
        <w:br/>
        <w:t>discutido, ni presentado por la [Comisión] ante la […] Corte, y se debe</w:t>
        <w:br/>
        <w:t>mencionar que han transcurrido más de [cinco] años en los que las presuntas</w:t>
        <w:br/>
        <w:t>víctimas no invocaron ante la Comisión la supuesta violación del artículo</w:t>
        <w:br/>
        <w:t>5.1”.</w:t>
        <w:br/>
        <w:br/>
        <w:t>El representante manifestó que el escrito de solicitudes y argumentos es un</w:t>
        <w:br/>
        <w:t>“documento autónomo donde las [v]íctimas o los beneficiarios presentan de</w:t>
        <w:br/>
        <w:t>manera independiente las alegaciones relacionadas al caso, y ello les</w:t>
        <w:br/>
        <w:t>permite a las [v]íctimas presentar nuevas argumentaciones en relación a los</w:t>
        <w:br/>
        <w:t>hechos planteados en la demanda”. En este sentido, alegaron que “[s]i  bien</w:t>
        <w:br/>
        <w:t>es cierto [que] la Comisión Interamericana omitió examinar [el artículo 5</w:t>
        <w:br/>
        <w:t>de la Convención] a la luz de los hechos invocados, de la lectura de los</w:t>
        <w:br/>
        <w:t>hechos descritos en la demanda se deduce claramente una omisión del Estado</w:t>
        <w:br/>
        <w:t>ecuatoriano en la prevención del suceso denunciado”.</w:t>
        <w:br/>
        <w:br/>
        <w:t>Por su parte, la Comisión alegó que el representante puede presentar hechos</w:t>
        <w:br/>
        <w:t>que permitan explicar, aclarar o desestimar los hechos mencionados en el</w:t>
        <w:br/>
        <w:t>Informe de Fondo, así como puede invocar la violación de otros derechos</w:t>
        <w:br/>
        <w:t>distintos a los comprendidos, en tanto son las presuntas víctimas las</w:t>
        <w:br/>
        <w:t>titulares de todos los derechos consagrados en la Convención.</w:t>
        <w:br/>
        <w:br/>
        <w:br/>
        <w:t xml:space="preserve">        Consideraciones de la Corte</w:t>
        <w:br/>
        <w:br/>
        <w:br/>
        <w:t>La Corte ha establecido que las presuntas víctimas y sus representantes</w:t>
        <w:br/>
        <w:t>pueden invocar la violación de otros derechos distintos a los comprendidos</w:t>
        <w:br/>
        <w:t>en el Informe de Fondo, siempre y cuando se atengan a los hechos contenidos</w:t>
        <w:br/>
        <w:t>en dicho documento, en tanto son las presuntas víctimas las titulares de</w:t>
        <w:br/>
        <w:t>todos los derechos consagrados en la Convención[10]. Así, no es admisible</w:t>
        <w:br/>
        <w:t>alegar nuevos hechos, sin perjuicio de exponer aquellos que permitan</w:t>
        <w:br/>
        <w:t>explicar, aclarar o desestimar los que han sido mencionados en aquélla, o</w:t>
        <w:br/>
        <w:t>bien, responder a las pretensiones del demandante[11]. La aplicación de</w:t>
        <w:br/>
        <w:t>tales criterios al presente caso requiere que la Corte verifique si la</w:t>
        <w:br/>
        <w:t>alegada violación al artículo 5.1 de la Convención se refiere a hechos</w:t>
        <w:br/>
        <w:t>contenidos en el marco fáctico expuesto por la Comisión en el Informe de</w:t>
        <w:br/>
        <w:t>Fondo[12].</w:t>
        <w:br/>
        <w:br/>
        <w:t>La Corte observa que el representante alegó la violación del artículo 5.1</w:t>
        <w:br/>
        <w:t>de la Convención con fundamento en la falta de control del ejercicio</w:t>
        <w:br/>
        <w:t>profesional del médico que realizó la intervención quirúrgica de la</w:t>
        <w:br/>
        <w:t>presunta víctima Melba Suárez Peralta y las investigaciones practicadas en</w:t>
        <w:br/>
        <w:t>el curso del procedimiento penal. Así, explicó que las operaciones que se</w:t>
        <w:br/>
        <w:t>realizaron en la Clínica Minchala “fueron parte de un convenio que realizó</w:t>
        <w:br/>
        <w:t>una entidad estatal denominada Comisión de Tránsito de Guayas, donde el</w:t>
        <w:br/>
        <w:t>esposo de la [presunta] víctima laboraba, y que ofrecía a los familiares de</w:t>
        <w:br/>
        <w:t>sus empleados y oficiales operaciones a bajo [c]osto”.</w:t>
        <w:br/>
        <w:br/>
        <w:t>La Corte constata que en el Informe de Fondo la Comisión se refirió a la</w:t>
        <w:br/>
        <w:t>intervención quirúrgica a la cual fue sometida la presunta víctima Melba</w:t>
        <w:br/>
        <w:t>Suárez Peralta en la Clínica Minchala, los padecimientos sufridos como</w:t>
        <w:br/>
        <w:t>consecuencia de ésta, y el procedimiento penal interpuesto por la presunta</w:t>
        <w:br/>
        <w:t>víctima Melba Peralta Mendoza por la supuesta “operación sucia” que se le</w:t>
        <w:br/>
        <w:t>practicó a su hija, Melba Suárez Peralta[13]. En dicho procedimiento penal</w:t>
        <w:br/>
        <w:t>se realizó, inter alia, el reconocimiento del lugar de los hechos y la</w:t>
        <w:br/>
        <w:t>verificación de la situación laboral del médico Emilio Guerrero (infra</w:t>
        <w:br/>
        <w:t>párrs. 41, 42, 47, 53, 55 y 58).</w:t>
        <w:br/>
        <w:br/>
        <w:t>Con fundamento en lo anterior, la Corte considera que, al alegar la</w:t>
        <w:br/>
        <w:t>supuesta violación del artículo 5.1 de la Convención, el representante se</w:t>
        <w:br/>
        <w:t>refirió al marco fáctico planteado por la Comisión en el Informe de Fondo y</w:t>
        <w:br/>
        <w:t>amplió elementos contextuales a los expuestos. Por lo tanto, la Corte</w:t>
        <w:br/>
        <w:t>decide pronunciarse en su análisis de fondo sobre la presunta violación del</w:t>
        <w:br/>
        <w:t>artículo 5.1 de la Convención planteada por el representante.</w:t>
        <w:br/>
        <w:br/>
        <w:br/>
        <w:br/>
        <w:t>Solicitud de inclusión de presuntas víctimas en el caso</w:t>
        <w:br/>
        <w:br/>
        <w:br/>
        <w:br/>
        <w:br/>
        <w:t xml:space="preserve">        Argumentos de la Comisión y de las partes</w:t>
        <w:br/>
        <w:br/>
        <w:br/>
        <w:t>El Estado alegó que “la Corte deberá declarar su incompetencia para conocer</w:t>
        <w:br/>
        <w:t>sobre las reparaciones alegadas a favor de Dennis Cerezo Cervantes, Gandy</w:t>
        <w:br/>
        <w:t>Alberto Cerezo Suárez, Katherine Madeleine Cerezo Suárez y Marilyn Melba</w:t>
        <w:br/>
        <w:t>Cerezo Suárez, en razón de que […] el derecho de acción para presentar un</w:t>
        <w:br/>
        <w:t>caso ante la Corte, le corresponde a la [Comisión], [y] no a la presunta</w:t>
        <w:br/>
        <w:t>víctima[,] por tanto la declaración de quienes serían las víctimas y</w:t>
        <w:br/>
        <w:t>beneficiarios de una eventual reparación no podrían ser otras personas que</w:t>
        <w:br/>
        <w:t>las determinadas por la Comisión en su [I]nforme de [F]ondo, hecho que</w:t>
        <w:br/>
        <w:t>circunscribe los límites del caso”.</w:t>
        <w:br/>
        <w:br/>
        <w:t>El representante alegó que el escrito de solicitudes y argumentos</w:t>
        <w:br/>
        <w:t>constituye un escrito autónomo e independiente de las alegaciones del</w:t>
        <w:br/>
        <w:t>Informe de Fondo presentado por la Comisión, por medio del cual se pueden</w:t>
        <w:br/>
        <w:t>incorporar otros beneficiarios o víctimas que se encuentren en el contexto</w:t>
        <w:br/>
        <w:t>de los hechos denunciados. En virtud de ello, estimó que los integrantes de</w:t>
        <w:br/>
        <w:t>la familia Cerezo Suárez, entendiendo por tal a Dennis Cerezo Cervantes,</w:t>
        <w:br/>
        <w:t>esposo de la señora Suárez Peralta, y sus hijos comunes, a saber, Gandy</w:t>
        <w:br/>
        <w:t>Alberto, Katherine Madeleine y Marilyn Melba, todos de apellido Cerezo</w:t>
        <w:br/>
        <w:t>Suárez, son también víctimas de las presuntas violaciones en perjuicio de</w:t>
        <w:br/>
        <w:t>la señora Melba del Carmen Suárez Peralta.</w:t>
        <w:br/>
        <w:br/>
        <w:t>Por su parte, la Comisión consideró que la determinación de víctimas en</w:t>
        <w:br/>
        <w:t>este caso es un tema que debe ser analizado en la etapa de fondo.</w:t>
        <w:br/>
        <w:br/>
        <w:br/>
        <w:br/>
        <w:br/>
        <w:t xml:space="preserve">        Consideraciones de la Corte</w:t>
        <w:br/>
        <w:br/>
        <w:br/>
        <w:br/>
        <w:t>De acuerdo a lo dispuesto en el artículo 35.1 del Reglamento  de  la  Corte,</w:t>
        <w:br/>
        <w:t>la Comisión  consignó en  su  escrito  de  sometimiento  que  las  presuntas</w:t>
        <w:br/>
        <w:t>víctimas de este caso eran las señoras Melba del  Carmen  Suárez  Peralta  y</w:t>
        <w:br/>
        <w:t>Melba Peralta Mendoza. No obstante, el representante  indicó  como  víctimas</w:t>
        <w:br/>
        <w:t>adicionales a Dennis Cerezo Cervantes, y Gandy Alberto, Katherine  Madeleine</w:t>
        <w:br/>
        <w:t>y Marilyn Melba, todos de apellido Cerezo Suárez.</w:t>
        <w:br/>
        <w:br/>
        <w:t>Al respecto, la Corte recuerda su jurisprudencia constante en el sentido  de</w:t>
        <w:br/>
        <w:t>que las presuntas víctimas deben estar señaladas en el Informe de  Fondo  de</w:t>
        <w:br/>
        <w:t>la Comisión  emitido  según  el  artículo  50  de  la  Convención  y  en  la</w:t>
        <w:br/>
        <w:t>presentación del caso ante la Corte, de acuerdo con  el  artículo  35.1  del</w:t>
        <w:br/>
        <w:t>Reglamento[14]. De conformidad con  el  mismo  artículo,  corresponde  a  la</w:t>
        <w:br/>
        <w:t>Comisión, y no a  la  Corte,  identificar  con  precisión  y  en  la  debida</w:t>
        <w:br/>
        <w:t>oportunidad procesal a las presuntas víctimas en un caso ante  ella[15].  La</w:t>
        <w:br/>
        <w:t>seguridad jurídica exige,  como  regla  general,  que  todas  las  presuntas</w:t>
        <w:br/>
        <w:t>víctimas estén  debidamente  identificadas  en  ambos  escritos,  no  siendo</w:t>
        <w:br/>
        <w:t>posible añadir nuevas presuntas víctimas luego del Informe de  Fondo,  salvo</w:t>
        <w:br/>
        <w:t>en  la  circunstancia  excepcional  contemplada  en  el  artículo  35.2  del</w:t>
        <w:br/>
        <w:t>Reglamento de la Corte[16]. La Corte hace notar que el presente caso  no  se</w:t>
        <w:br/>
        <w:t>trata de uno  de  los  supuestos  del  referido  artículo  35.2  que  podría</w:t>
        <w:br/>
        <w:t>justificar la identificación de  presuntas  víctimas  con  posterioridad  al</w:t>
        <w:br/>
        <w:t>Informe de Fondo o sometimiento del caso.</w:t>
        <w:br/>
        <w:br/>
        <w:t>Por lo tanto, en aplicación del artículo 35.1 de su  Reglamento y de su</w:t>
        <w:br/>
        <w:t>jurisprudencia constante, la Corte declara que solamente puede considerar</w:t>
        <w:br/>
        <w:t>como presuntas víctimas aquellas personas que se encuentren señaladas en el</w:t>
        <w:br/>
        <w:t>Informe de Fondo, es decir las señoras Melba del Carmen Suárez Peralta y</w:t>
        <w:br/>
        <w:t>Melba Peralta Mendoza.</w:t>
        <w:br/>
        <w:br/>
        <w:br/>
        <w:t>IV</w:t>
        <w:br/>
        <w:t>COMPETENCIA</w:t>
        <w:br/>
        <w:br/>
        <w:br/>
        <w:t>La Corte es competente para conocer del presente caso, en los  términos  del</w:t>
        <w:br/>
        <w:t>artículo 62.3 de la Convención,  ya  que  Ecuador  es  Estado  Parte  en  la</w:t>
        <w:br/>
        <w:t>Convención desde el 28 de diciembre de  1977  y  reconoció  la  jurisdicción</w:t>
        <w:br/>
        <w:t>contenciosa de la Corte el 24 de julio de 1984.</w:t>
        <w:br/>
        <w:br/>
        <w:br/>
        <w:t>V</w:t>
        <w:br/>
        <w:t>PRUEBA</w:t>
        <w:br/>
        <w:br/>
        <w:br/>
        <w:t>Con base en lo establecido en los artículos 46, 47, 50, 57 y 58 del</w:t>
        <w:br/>
        <w:t>Reglamento, así como en su jurisprudencia respecto de la prueba y su</w:t>
        <w:br/>
        <w:t>apreciación[17], la Corte examina y valora los elementos probatorios</w:t>
        <w:br/>
        <w:t>documentales remitidos por las partes en diversas oportunidades procesales,</w:t>
        <w:br/>
        <w:t>las declaraciones y testimonios rendidos mediante declaración jurada ante</w:t>
        <w:br/>
        <w:t>fedatario público (affidavit) y en la audiencia pública, así como las</w:t>
        <w:br/>
        <w:t>pruebas para mejor resolver solicitadas por la Corte. Para ello se atiene a</w:t>
        <w:br/>
        <w:t>los principios de la sana crítica, dentro del marco normativo</w:t>
        <w:br/>
        <w:t>correspondiente[18].</w:t>
        <w:br/>
        <w:br/>
        <w:br/>
        <w:t>1 Prueba documental, testimonial y pericial</w:t>
        <w:br/>
        <w:br/>
        <w:br/>
        <w:br/>
        <w:t>La Corte  recibió  diversos  documentos  presentados  como  prueba  por  la</w:t>
        <w:br/>
        <w:t>Comisión, el representante y el Estado, adjuntos a sus escritos principales</w:t>
        <w:br/>
        <w:t>(supra párrs. 4  a  11).  Asimismo,  la  Corte  recibió  las  declaraciones</w:t>
        <w:br/>
        <w:t>rendidas ante fedatario público (affidavit) por los testigos Dennis  Cerezo</w:t>
        <w:br/>
        <w:t>Cervantes, Rodolfo Sánchez Jiménez, Luis Humberto Córdova Ramos, y  de  los</w:t>
        <w:br/>
        <w:t>peritos Hugo Miguel Morán Sánchez, Verónica Valencia y Jaysoon  Abarca.  En</w:t>
        <w:br/>
        <w:t>cuanto a la prueba rendida  en  audiencia  pública,  la  Corte  escuchó  la</w:t>
        <w:br/>
        <w:t>declaración de la presunta víctima Melba Suárez Peralta y  el  peritaje  de</w:t>
        <w:br/>
        <w:t>Laura Pautassi (supra párr. 9).</w:t>
        <w:br/>
        <w:br/>
        <w:br/>
        <w:t>2 Admisión de la prueba</w:t>
        <w:br/>
        <w:br/>
        <w:br/>
        <w:br/>
        <w:br/>
        <w:t xml:space="preserve">        Admisión de la prueba documental</w:t>
        <w:br/>
        <w:br/>
        <w:br/>
        <w:t>En el presente caso, como en otros, la Corte admite aquellos documentos</w:t>
        <w:br/>
        <w:t>remitidos por las partes en la debida oportunidad procesal (supra párrs. 4</w:t>
        <w:br/>
        <w:t>a 11) que no fueron controvertidos ni objetados, ni cuya autenticidad fue</w:t>
        <w:br/>
        <w:t>puesta en duda[19]. Los documentos solicitados por la Corte en audiencia</w:t>
        <w:br/>
        <w:t>pública, que fueron aportados por las partes con posterioridad a la misma,</w:t>
        <w:br/>
        <w:t>son incorporados al acervo probatorio en aplicación del artículo 58 del</w:t>
        <w:br/>
        <w:t>Reglamento.</w:t>
        <w:br/>
        <w:br/>
        <w:t>En cuanto a las notas de prensa y videos presentados por las partes y la</w:t>
        <w:br/>
        <w:t>Comisión junto con sus distintos escritos, la Corte ha considerado que</w:t>
        <w:br/>
        <w:t>podrán ser apreciados cuando recojan hechos públicos y notorios o</w:t>
        <w:br/>
        <w:t>declaraciones de funcionarios del Estado, o cuando corroboren aspectos</w:t>
        <w:br/>
        <w:t>relacionados con el caso, por lo que decide admitir los documentos que se</w:t>
        <w:br/>
        <w:t>encuentren completos o que, por lo menos, permitan constatar su fuente y</w:t>
        <w:br/>
        <w:t>fecha de publicación, y los valora tomando en cuenta el conjunto del acervo</w:t>
        <w:br/>
        <w:t>probatorio, las observaciones de las partes y las reglas de la sana</w:t>
        <w:br/>
        <w:t>crítica[20].</w:t>
        <w:br/>
        <w:br/>
        <w:t>Por otra parte, la Corte observa que el representante no aportó las</w:t>
        <w:br/>
        <w:t>declaraciones a ser rendidas ante fedatario público (affidavit) del testigo</w:t>
        <w:br/>
        <w:t>Eduardo Tigua Castro ni de los peritos Ignacio Hanna Musse e Iván Castro</w:t>
        <w:br/>
        <w:t>Patiño, las cuales fueron ofrecidas por el propio representante de las</w:t>
        <w:br/>
        <w:t>presuntas víctimas y solicitadas mediante Resolución del Presidente de 20</w:t>
        <w:br/>
        <w:t>de diciembre de 2012[21].</w:t>
        <w:br/>
        <w:br/>
        <w:t>En relación con los documentos aportados mediante los alegatos finales</w:t>
        <w:br/>
        <w:t>escritos, el Estado solicitó la exclusión de prueba allegada por el</w:t>
        <w:br/>
        <w:t>representante en virtud de que no se presentó en el momento procesal</w:t>
        <w:br/>
        <w:t>oportuno. Al respecto, la Corte observa que, en particular, el</w:t>
        <w:br/>
        <w:t>representante remitió una declaración jurada del señor Moisés Daniel</w:t>
        <w:br/>
        <w:t>Arguello Bermeo, la cual no fue solicitada como prueba para mejor resolver</w:t>
        <w:br/>
        <w:t>por un juez o la Corte durante la audiencia pública del caso. En razón de</w:t>
        <w:br/>
        <w:t>lo anterior, de acuerdo con el artículo 57 de su Reglamento, la Corte</w:t>
        <w:br/>
        <w:t>declara inadmisible la presentación de la referida prueba por parte del</w:t>
        <w:br/>
        <w:t>representante por no haber sido aportada en el momento procesal oportuno.</w:t>
        <w:br/>
        <w:br/>
        <w:br/>
        <w:br/>
        <w:t xml:space="preserve">        Admisión de las declaraciones de la presunta víctima y de una</w:t>
        <w:br/>
        <w:t xml:space="preserve">        perito</w:t>
        <w:br/>
        <w:br/>
        <w:br/>
        <w:t>En relación con la impugnación del Estado sobre el ofrecimiento por parte</w:t>
        <w:br/>
        <w:t>de la Comisión del peritaje de la señora Laura Pautassi, la Corte reitera</w:t>
        <w:br/>
        <w:t>que dicha impugnación fue resuelta mediante Resolución del Presidente de 20</w:t>
        <w:br/>
        <w:t>de diciembre de 2012[22], en la cual se estimó pertinente recibir e</w:t>
        <w:br/>
        <w:t>incorporar la prueba referida. En virtud de lo anterior, se estimó</w:t>
        <w:br/>
        <w:t>procedente admitir la declaración de la señora Pautassi, la cual fue</w:t>
        <w:br/>
        <w:t>rendida en la audiencia pública ante la Corte.</w:t>
        <w:br/>
        <w:br/>
        <w:t>Finalmente, respecto de la declaración de la presunta víctima Melba del</w:t>
        <w:br/>
        <w:t>Carmen Suárez Peralta y el contenido del peritaje de la señora Laura</w:t>
        <w:br/>
        <w:t>Pautassi, rendidos en audiencia pública, la Corte los estima pertinentes</w:t>
        <w:br/>
        <w:t>sólo en aquello que se ajusta al objeto que fue definido por el Presidente</w:t>
        <w:br/>
        <w:t>en las Resoluciones mediante las cuales ordenó recibirlos (supra párr. 9).</w:t>
        <w:br/>
        <w:t>Asimismo, conforme a la jurisprudencia de la Corte, la declaración rendida</w:t>
        <w:br/>
        <w:t>por la presunta víctima no puede ser valorada aisladamente sino dentro del</w:t>
        <w:br/>
        <w:t>conjunto de las pruebas del proceso, ya que es útil en la medida en que</w:t>
        <w:br/>
        <w:t>pueda proporcionar mayor información sobre las presuntas violaciones y sus</w:t>
        <w:br/>
        <w:t>consecuencias[23].</w:t>
        <w:br/>
        <w:br/>
        <w:br/>
        <w:t>VI</w:t>
        <w:br/>
        <w:br/>
        <w:br/>
        <w:t>HECHOS PROBADOS</w:t>
        <w:br/>
        <w:br/>
        <w:br/>
        <w:br/>
        <w:t>Antecedentes e intervención quirúrgica</w:t>
        <w:br/>
        <w:br/>
        <w:br/>
        <w:t>Melba del Carmen Suárez Peralta (en adelante “Melba Suárez Peralta”),</w:t>
        <w:br/>
        <w:t>ecuatoriana, de 22 años de edad al momento de los hechos, es actualmente</w:t>
        <w:br/>
        <w:t>madre de tres hijos. Es compañera del señor Dennis Edgar Cerezo Cervantes</w:t>
        <w:br/>
        <w:t>(en adelante “Edgar Cerezo”), quien al momento de los hechos trabajaba en</w:t>
        <w:br/>
        <w:t>la Comisión de Tránsito de Guayas como vigilante de tránsito[24].</w:t>
        <w:br/>
        <w:br/>
        <w:t>El 1 de junio de 2000 la Comisión de Tránsito  de  Guayas  emitió  la  Orden</w:t>
        <w:br/>
        <w:t>General  número  1977,  en  la  cual  promovía  servicios  médicos   a   sus</w:t>
        <w:br/>
        <w:t>funcionarios  y  familiares,  prestados  por  dos  médicos  cubanos  en   el</w:t>
        <w:br/>
        <w:t>Policlínico de la referida Comisión de Tránsito[25], a saber:</w:t>
        <w:br/>
        <w:br/>
        <w:br/>
        <w:t xml:space="preserve">      Se comunica al Personal del Cuerpo  de  Vigilancia,  que  los  Señores</w:t>
        <w:br/>
        <w:t xml:space="preserve">      Médicos del hermano País de Cuba se encuentran prestando sus servicios</w:t>
        <w:br/>
        <w:t xml:space="preserve">      en el Policlínico de la Institución, hasta el día Viernes 30 de  Junio</w:t>
        <w:br/>
        <w:t xml:space="preserve">      del 2000, […] Dr. Emilio Guerrero Gutiérrez en Cirugía General [y] Dr.</w:t>
        <w:br/>
        <w:t xml:space="preserve">      Rafael  Amador  en  Cirugía  Traumatología  y  Ortopédica.    […]   La</w:t>
        <w:br/>
        <w:t xml:space="preserve">      asistencia médica se hace extensiva también para [los] familiares.</w:t>
        <w:br/>
        <w:br/>
        <w:t>El 28 de junio de 2000 Melba Suárez Peralta realizó una consulta con  Emilio</w:t>
        <w:br/>
        <w:t>Guerrero Gutiérrez, en el Policlínico de la Comisión de Tránsito de  Guayas,</w:t>
        <w:br/>
        <w:t>por síntomas de dolor abdominal, vómitos  y  fiebre[26].  En  la  mencionada</w:t>
        <w:br/>
        <w:t>consulta, Emilio Guerrero le diagnosticó apendicitis crónica,  y  le  indicó</w:t>
        <w:br/>
        <w:t>la necesidad realizar una intervención quirúrgica urgente[27].  Conforme  el</w:t>
        <w:br/>
        <w:t>testimonio de  Jenny  Bohórquez,  Emilio  Guerrero  indicó  a  Melba  Suárez</w:t>
        <w:br/>
        <w:t>Peralta la realización  de  exámenes  de  laboratorio[28],  no  obstante  la</w:t>
        <w:br/>
        <w:t>señora Suárez Peralta señaló que no se le realizaron dichos exámenes[29].</w:t>
        <w:br/>
        <w:br/>
        <w:t>El 1 de julio de 2000 Melba Suárez Peralta realizó una  nueva  consulta  con</w:t>
        <w:br/>
        <w:t>el mismo médico, esta vez en la Clínica Minchala  (clínica  privada  ubicada</w:t>
        <w:br/>
        <w:t>en  Guayaquil,  Ecuador).   En  la  misma,  Emilio   Guerrero   decidió   su</w:t>
        <w:br/>
        <w:t>intervención quirúrgica, bajo el diagnóstico de una  apendicitis  aguda[30].</w:t>
        <w:br/>
        <w:t>Según el historial clínico de esa institución, la intervención  se  llevó  a</w:t>
        <w:br/>
        <w:t>cabo el 1 de julio y estuvo a  cargo  de  la  médico  Jenny  Bohórquez,  del</w:t>
        <w:br/>
        <w:t>primer ayudante Emilio Guerrero Gutiérrez, del anestesista  César  García  y</w:t>
        <w:br/>
        <w:t>de la circulante Olga, sin mención a su apellido[31].</w:t>
        <w:br/>
        <w:br/>
        <w:br/>
        <w:t>Hechos posteriores a la intervención quirúrgica</w:t>
        <w:br/>
        <w:br/>
        <w:br/>
        <w:t>Con posterioridad a la  operación,  Melba  Suárez  Peralta  padeció  dolores</w:t>
        <w:br/>
        <w:t>abdominales intensos, vómitos y otras complicaciones[32].  El  11  de  julio</w:t>
        <w:br/>
        <w:t>acudió al Hospital Luis Vernaza, siendo atendida por el médico  Héctor  Luis</w:t>
        <w:br/>
        <w:t>Taranto,  quien  señaló  que  presentaba  palidez,   distensión   abdominal,</w:t>
        <w:br/>
        <w:t>anorexia y dolor difuso a nivel  del  abdomen[33].  Asimismo,  dicho  médico</w:t>
        <w:br/>
        <w:t>diagnosticó abdomen agudo pos quirúrgico y  la  calificó  como  paciente  de</w:t>
        <w:br/>
        <w:t>suma gravedad por lo que fue intervenida quirúrgicamente el 12 de julio.  En</w:t>
        <w:br/>
        <w:t>dicha intervención el médico  le  realizó  una  laparoscopía  reexploradora,</w:t>
        <w:br/>
        <w:t>mediante la cual encontró “deshicencia  de  muñón  apendicular,  peritonitis</w:t>
        <w:br/>
        <w:t>localizada y natas de fibrina”. Asimismo, se le realizó un lavado y  drenaje</w:t>
        <w:br/>
        <w:t>de la  cavidad  abdominal  pélvica,  se  aspiró  material  purulento,  y  se</w:t>
        <w:br/>
        <w:t>procedió a decolar parte de su colon[34].</w:t>
        <w:br/>
        <w:br/>
        <w:t>Melba Suárez Peralta indicó que, en el  mes  de  junio  del  año  2006,  fue</w:t>
        <w:br/>
        <w:t>intervenida por una abdominoplastia y lipoescultura en el  Hospital  Houston</w:t>
        <w:br/>
        <w:t>Memorial Clínica Medihouston, de Guayaquil, Ecuador[35].</w:t>
        <w:br/>
        <w:br/>
        <w:t>Posteriormente, entre los meses de julio de 2006 y abril de 2012, la  señora</w:t>
        <w:br/>
        <w:t>Suárez Peralta ha realizado los  siguientes  procedimientos  médicos,  entre</w:t>
        <w:br/>
        <w:t>otros:</w:t>
        <w:br/>
        <w:br/>
        <w:t xml:space="preserve">      a) el 18 de julio de 2006 se realizó una ecografía en  la  Clínica  de</w:t>
        <w:br/>
        <w:t xml:space="preserve">         Especialidades  Moreno  en  la  cual   “se   recomend[ó]   realizar</w:t>
        <w:br/>
        <w:t xml:space="preserve">         tomografía pélvica para estudio complementario”[36];</w:t>
        <w:br/>
        <w:br/>
        <w:t xml:space="preserve">      b) los días 11 y 16  de  septiembre  de  2006  fue  al  Centro  Médico</w:t>
        <w:br/>
        <w:t xml:space="preserve">         Familiar (CE.ME.FA) de Guayaquil, por presentar malestar general  y</w:t>
        <w:br/>
        <w:t xml:space="preserve">         vómitos, en donde se le recetaron diversos medicamentos.  El  4  de</w:t>
        <w:br/>
        <w:t xml:space="preserve">         octubre realizó consulta en el mismo Centro por dolor en la  región</w:t>
        <w:br/>
        <w:t xml:space="preserve">         lumbar[37];</w:t>
        <w:br/>
        <w:br/>
        <w:t xml:space="preserve">      c) los días 17 y 23 de agosto[38]; 24 de septiembre de 2007[39]; 29 de</w:t>
        <w:br/>
        <w:t xml:space="preserve">         noviembre[40]; y 11 de  diciembre  de  2007[41]  realizó  consultas</w:t>
        <w:br/>
        <w:t xml:space="preserve">         médicas en diversos centros de salud. Los motivos de las  consultas</w:t>
        <w:br/>
        <w:t xml:space="preserve">         fueron,  entre  otros,  crisis  hipertensiva,  cefalea  y   fiebre,</w:t>
        <w:br/>
        <w:t xml:space="preserve">         habiéndosele recetado diversos medicamentos;</w:t>
        <w:br/>
        <w:br/>
        <w:t xml:space="preserve">      d) el 30 de enero de 2008 acudió a la Clínica Punto  Médico  Familiar,</w:t>
        <w:br/>
        <w:t xml:space="preserve">         en la cual se  le  diagnosticó  colitis  y  gastroenterocolitis  no</w:t>
        <w:br/>
        <w:t xml:space="preserve">         infecciosas, y dispepsia[42]. El 31  de  enero  del  mismo  año  se</w:t>
        <w:br/>
        <w:t xml:space="preserve">         realizó  una tomografía de abdomen en dicha Clínica, en la cual  se</w:t>
        <w:br/>
        <w:t xml:space="preserve">         encontró “[v]esícula  con  presencia  de  barrio  biliar  espeso  y</w:t>
        <w:br/>
        <w:t xml:space="preserve">         microcálculos”[43];</w:t>
        <w:br/>
        <w:br/>
        <w:t xml:space="preserve">      e) el 19 de mayo de 2008 fue internada en el Hospital San Francisco, a</w:t>
        <w:br/>
        <w:t xml:space="preserve">         causa de dolores abdominales[44]. En esa oportunidad se indicó  que</w:t>
        <w:br/>
        <w:t xml:space="preserve">         Melba  Suárez  Peralta  presentaba  “dolor  abdominal  cólico  [de]</w:t>
        <w:br/>
        <w:t xml:space="preserve">         moderada intensidad  que  aumenta  progresivamente  hasta  ser  muy</w:t>
        <w:br/>
        <w:t xml:space="preserve">         intenso, se acompaña de náuseas”. Se le dio de alta el  día  22  de</w:t>
        <w:br/>
        <w:t xml:space="preserve">         mayo[45]. El 7 de agosto volvió a ser  hospitalizada  en  la  misma</w:t>
        <w:br/>
        <w:t xml:space="preserve">         clínica por dolor precordial, y acudió a consulta nuevamente  el  6</w:t>
        <w:br/>
        <w:t xml:space="preserve">         de noviembre[46];</w:t>
        <w:br/>
        <w:br/>
        <w:t xml:space="preserve">      f) del 18 al 20  de  enero  de  2009  fue  internada  en  la  “Clínica</w:t>
        <w:br/>
        <w:t xml:space="preserve">         Alcívar”, en Guayaquil,  presentando  un  cuadro  de  “colecistitis</w:t>
        <w:br/>
        <w:t xml:space="preserve">         litiastica”, en  donde  se  le  realizaron  diversos  exámenes[47].</w:t>
        <w:br/>
        <w:t xml:space="preserve">         Asimismo, del 20 al 24 de octubre fue hospitalizada  nuevamente  en</w:t>
        <w:br/>
        <w:t xml:space="preserve">         esta  Clínica,  donde  se   le   intervino   mediante   “resolución</w:t>
        <w:br/>
        <w:t xml:space="preserve">         laparoscópica [con] grado de dificultad  […]  por  las  adherencias</w:t>
        <w:br/>
        <w:t xml:space="preserve">         presentes como consecuencia de las intervenciones  anteriores”.  Se</w:t>
        <w:br/>
        <w:t xml:space="preserve">         le  diagnosticó  “vesícula  biliar  con   empiema”,   medicándosele</w:t>
        <w:br/>
        <w:t xml:space="preserve">         mediante antibióticos[48];</w:t>
        <w:br/>
        <w:br/>
        <w:t xml:space="preserve">      g) en noviembre de 2010 se le realizó una limpieza de  adherencias  en</w:t>
        <w:br/>
        <w:t xml:space="preserve">         la misma clínica[49], y</w:t>
        <w:br/>
        <w:br/>
        <w:t xml:space="preserve">      h) del 22 al 24 de abril de 2012 Melba Suárez Peralta estuvo internada</w:t>
        <w:br/>
        <w:t xml:space="preserve">         en la Clínica Alcívar por presentar síntomas de cólicos, nauseas  y</w:t>
        <w:br/>
        <w:t xml:space="preserve">         temperatura[50].</w:t>
        <w:br/>
        <w:br/>
        <w:br/>
        <w:t>Según alegó Melba Suárez Peralta,  dichos  padecimientos  tuvieron  diversas</w:t>
        <w:br/>
        <w:t>consecuencias económicas, laborales y personales. En lo que  refiere  a  las</w:t>
        <w:br/>
        <w:t>consecuencias económicas, solicitó  diversos  préstamos  a  los  efectos  de</w:t>
        <w:br/>
        <w:t>solventar los costos de  las  atenciones  médicas  recibidas[51].  Asimismo,</w:t>
        <w:br/>
        <w:t>afirmó haber enajenado tres vehículos y un  inmueble  de  su  propiedad[52].</w:t>
        <w:br/>
        <w:t>Sin especificarse la fecha de cese, también concluyó su actividad  comercial</w:t>
        <w:br/>
        <w:t>dedicada al alquiler y venta de vehículos, la cual desempeñaba desde el  año</w:t>
        <w:br/>
        <w:t>1998, aunque inscrita en el Registro Único de  Contribuyentes  como  empresa</w:t>
        <w:br/>
        <w:t>dedicada al alquiler de automóviles con conductor desde el 17 de  agosto  de</w:t>
        <w:br/>
        <w:t>2005[53]. Asimismo, conforme señaló  en  audiencia,  por  los  padecimientos</w:t>
        <w:br/>
        <w:t>físicos, en la actualidad “no [s]e  encuentr[a]  en  capacidad  de  realizar</w:t>
        <w:br/>
        <w:t>ningún tipo de actividad económica”[54].</w:t>
        <w:br/>
        <w:br/>
        <w:br/>
        <w:br/>
        <w:br/>
        <w:t>El proceso judicial tramitado en referencia a los hechos del caso</w:t>
        <w:br/>
        <w:br/>
        <w:br/>
        <w:t>El 2 de agosto  de  2000  Melba  Peralta  Mendoza,  madre  de  Melba  Suárez</w:t>
        <w:br/>
        <w:t>Peralta, presentó una denuncia ante  el  Primer  Tribunal  en  lo  Penal  de</w:t>
        <w:br/>
        <w:t>Guayas, en contra del médico Emilio  Guerrero,  “más  autores,  cómplices  y</w:t>
        <w:br/>
        <w:t>encubridores que pudieran resultar”[55]. Ante ello, el 16 de agosto el  Juez</w:t>
        <w:br/>
        <w:t>Primero en lo Penal de Guayas (en  adelante  “Juez  Penal”)  dictó  el  Auto</w:t>
        <w:br/>
        <w:t>Cabeza del Proceso, iniciando así el proceso penal, mediante  la  etapa  del</w:t>
        <w:br/>
        <w:t>sumario[56].</w:t>
        <w:br/>
        <w:br/>
        <w:t>Los días 7, 14 y 28  de  agosto  de  2000  Melba  Peralta  Mendoza  presentó</w:t>
        <w:br/>
        <w:t>escritos ante el referido Juez solicitando el impulso procesal de  la  causa</w:t>
        <w:br/>
        <w:t>a través de la realización de diligencias de las probanzas  pertinentes[57].</w:t>
        <w:br/>
        <w:t>El Juez Penal emitió los oficios  solicitando  las  siguientes  pruebas:  la</w:t>
        <w:br/>
        <w:t>historia médica de la paciente, el reconocimiento del lugar de  los  hechos,</w:t>
        <w:br/>
        <w:t>la verificación de la situación laboral del médico Emilio Guerrero y  de  la</w:t>
        <w:br/>
        <w:t>Clínica Minchala, y la realización  de  un  examen  médico  a  Melba  Suárez</w:t>
        <w:br/>
        <w:t>Peralta[58].</w:t>
        <w:br/>
        <w:br/>
        <w:t>En atención a dichos oficios, el 1 de septiembre de  2000  la  Subsecretaría</w:t>
        <w:br/>
        <w:t>de Trabajo y Recursos Humanos del Litoral y Galápagos informó que  no  había</w:t>
        <w:br/>
        <w:t>constancia  de  que  el  señor  Emilio   Guerrero   hubiere   realizado   el</w:t>
        <w:br/>
        <w:t>correspondiente trámite de aprobación de su actividad  laboral  ni  obtenido</w:t>
        <w:br/>
        <w:t>el carnet ocupacional[59]. En este mismo  sentido,  según  declaraciones  de</w:t>
        <w:br/>
        <w:t>Jenny Bohorquez, “el  [doctor]  Emilio  Guerrero  fue  contratado  por  [un]</w:t>
        <w:br/>
        <w:t>Abogado […] para realizar  procedimientos  médicos[,]  llámese  consultas  o</w:t>
        <w:br/>
        <w:t>cirugías[,] para una  Fundación  llamada  ‘Genovanny  Francisco’,  que  para</w:t>
        <w:br/>
        <w:t>darle legalidad a su permanencia, y a  sus  intervenciones  quirúrgicas  las</w:t>
        <w:br/>
        <w:t>asumía [ella], por lo cual cuando se realizaba una  intervención  quirúrgica</w:t>
        <w:br/>
        <w:t>él pasaba a ayudar[la] y el Dr. Emilio Guerrero en ese tiempo se  encontraba</w:t>
        <w:br/>
        <w:t>homologando sus  títulos”[60].  Similar  información  fue  aportada  por  el</w:t>
        <w:br/>
        <w:t>Coordinador del Proceso de Control y Vigilancia Sanitaria Provincial  de  la</w:t>
        <w:br/>
        <w:t>Dirección Provincial de Salud de Guayas, Ministerio de Salud Pública,  quien</w:t>
        <w:br/>
        <w:t>certificó el 9 de  agosto  de  2012  que  “[l]os  doctores  Emilio  Guerrero</w:t>
        <w:br/>
        <w:t>Gutiérrez y Jenny  Bohórquez  no  registra[ban]  ningún  documento  que  los</w:t>
        <w:br/>
        <w:t>acredit[ara] como profesionales médicos”[61].</w:t>
        <w:br/>
        <w:br/>
        <w:t>El  6  de  septiembre  de  2000  Melba  Suárez  Peralta  rindió   testimonio</w:t>
        <w:br/>
        <w:t>instructivo ante el Juez Penal, señalando lo sucedido durante  la  operación</w:t>
        <w:br/>
        <w:t>en la Clínica Minchala y las atenciones médicas que  posteriormente  recibió</w:t>
        <w:br/>
        <w:t>en el Hospital Luis Vernaza[62]. Asimismo, el 7  de  septiembre  se  efectuó</w:t>
        <w:br/>
        <w:t>examen médico legal a Melba Suárez Peralta[63].</w:t>
        <w:br/>
        <w:br/>
        <w:t>Los días 18 y 20 de septiembre, 16 de octubre y 14  de  noviembre  de  2000,</w:t>
        <w:br/>
        <w:t>Melba Peralta  Mendoza  presentó  sucesivos  escritos  ante  el  Juez  Penal</w:t>
        <w:br/>
        <w:t>solicitando girar orden de captura contra el  encausado,  el  reconocimiento</w:t>
        <w:br/>
        <w:t>del lugar de los hechos y la conclusión del sumario[64].</w:t>
        <w:br/>
        <w:br/>
        <w:t>El 22 de marzo de 2001 el Juez del Juzgado Segundo de  lo  Penal  de  Guayas</w:t>
        <w:br/>
        <w:t>concluyó el sumario, “por encontrase vencido el término del [mismo]” [65].</w:t>
        <w:br/>
        <w:br/>
        <w:t>El 29 de mayo de 2001 Melba Peralta Mendoza y el Fiscal Primero de lo  Penal</w:t>
        <w:br/>
        <w:t>de Guayas (en adelante “Fiscal Penal”) presentaron acusación formal ante  el</w:t>
        <w:br/>
        <w:t>Juez Penal en contra del señor Emilio Guerrero[66]. Asimismo, Melba  Peralta</w:t>
        <w:br/>
        <w:t>Mendoza agregó en su acusación al médico Wilson Minchala Pinchu,  por  haber</w:t>
        <w:br/>
        <w:t>actuado con negligencia e imprudencia, y  “por  [haber]  autoriza[do]  a  un</w:t>
        <w:br/>
        <w:t>galeno que no est[aba] facultado para laborar en una Clínica”[67].</w:t>
        <w:br/>
        <w:br/>
        <w:t>El 7 de junio de 2001 Melba Peralta Mendoza solicitó ante el Juez Penal  que</w:t>
        <w:br/>
        <w:t>se “[hiciera] extensivo el sumario contra el Dr. Wilson Minchala  Pichú  por</w:t>
        <w:br/>
        <w:t>ser cómplice y encubridor”[68]. Adicionalmente solicitó la  clausura  de  la</w:t>
        <w:br/>
        <w:t>Clínica Minchala y la emisión de la “boleta  constitucional  de  captura  [y</w:t>
        <w:br/>
        <w:t>que se ordenare el arraigo] en contra de  los   [doctores]  Wilson  Minchala</w:t>
        <w:br/>
        <w:t>Pinchu y Emilio Guerrero Gutiérrez”[69]. El  14  de  agosto  el  Juez  Penal</w:t>
        <w:br/>
        <w:t>ordenó la ampliación del sumario y la recepción del  testimonio  indagatorio</w:t>
        <w:br/>
        <w:t>de Wilson Minchala, así como el reconocimiento del lugar de los hechos  para</w:t>
        <w:br/>
        <w:t>el día 23 de agosto[70]. (infra párr. 96).</w:t>
        <w:br/>
        <w:br/>
        <w:t>El 23 y  29  de  agosto  de  2001  el  señor  Wilson  Minchala  impugnó  los</w:t>
        <w:br/>
        <w:t>fundamentos de su inclusión en el proceso, solicitando que se  declarara  la</w:t>
        <w:br/>
        <w:t>nulidad  de  lo  actuado  y   se   le   convocara    a   rendir   testimonio</w:t>
        <w:br/>
        <w:t>indagatorio[71]. Por su parte, el 29 de  agosto  el  señor  Emilio  Guerrero</w:t>
        <w:br/>
        <w:t>solicitó la  nulidad  de  lo  actuado  con  fundamento  en  la  ausencia  de</w:t>
        <w:br/>
        <w:t>notificaciones e incumplimiento de solemnidades procesales[72].</w:t>
        <w:br/>
        <w:br/>
        <w:t>El 13 de septiembre de 2001  el  señor  Wilson  Minchala  no  compareció  al</w:t>
        <w:br/>
        <w:t>testimonio  indagatorio  convocado  por  el  Juez  Penal,  por  motivos   de</w:t>
        <w:br/>
        <w:t>salud[73]. El mismo día, Melba Peralta  Mendoza  solicitó  la  clausura  del</w:t>
        <w:br/>
        <w:t>sumario “por cuanto [se realizó] el reconocimiento del lugar de  los  hechos</w:t>
        <w:br/>
        <w:t>y [se hizo] extensivo el sumario [a] Wilson Minchala”[74].  El  sumario  fue</w:t>
        <w:br/>
        <w:t>concluido el 19 de septiembre[75].</w:t>
        <w:br/>
        <w:br/>
        <w:t>El 25 de septiembre de 2001 Melba Peralta  Mendoza  ratificó  ante  el  Juez</w:t>
        <w:br/>
        <w:t>Penal  su  acusación  contra  los   señores   Emilio   Guerrero   y   Wilson</w:t>
        <w:br/>
        <w:t>Minchala[76]. No obstante,  el  Fiscal  Penal  solicitó  al  Juez  Penal  la</w:t>
        <w:br/>
        <w:t>reapertura  del  sumario,  a  fin  de  que  se  recibieran  los  testimonios</w:t>
        <w:br/>
        <w:t>indagatorios de Emilio  Guerrero  y  Wilson  Minchala[77].  El  sumario  fue</w:t>
        <w:br/>
        <w:t>reabierto  por  providencia  del  Juez  Penal  dictada  el  11  de  octubre,</w:t>
        <w:br/>
        <w:t>fijándose la comparecencia para realizar la indagatoria  de  los  sindicados</w:t>
        <w:br/>
        <w:t>el 19 de octubre[78], fecha en la cual se recibió el  testimonio  de  Wilson</w:t>
        <w:br/>
        <w:t>Minchala, quien declaró que: “alquil[ó] el Quirófano de la Clínica  Minchala</w:t>
        <w:br/>
        <w:t>de la cual [es] su Director Propietario, a  la  Dra.  Jenny  Bohórquez,  por</w:t>
        <w:br/>
        <w:t>tratarse de una cirugía de  emergencia  (apendicitis),  como  consta  en  la</w:t>
        <w:br/>
        <w:t>Historia Clínica No. 975, por lo que  nunca  examin[ó]  ni  cono[ció]  a  la</w:t>
        <w:br/>
        <w:t>paciente en mención, por lo que no [era] paciente [suya] y  como  consta  en</w:t>
        <w:br/>
        <w:t>autos, la paciente fue examinada en consulta externa del Policlínico  de  la</w:t>
        <w:br/>
        <w:t>Comisión de Tránsito del  Guayas”.  Por  otra  parte,  también  declaró  que</w:t>
        <w:br/>
        <w:t>“descono[cía] si [Emilio Guerrero] est[aba] autorizado o no [para]   ejercer</w:t>
        <w:br/>
        <w:t>la profesión de  médico  en  nuestro  país,  pero  en  la  Clínica  de  [su]</w:t>
        <w:br/>
        <w:t>propiedad,   no   consta[ba]   como   cirujano   principal   para   realizar</w:t>
        <w:br/>
        <w:t>cirugía”[79].</w:t>
        <w:br/>
        <w:br/>
        <w:t>El 18 de octubre de 2001 Melba Peralta Mendoza presentó ante el  Juez  Penal</w:t>
        <w:br/>
        <w:t>una solicitud para recibir la declaración  de  Héctor  Luis  Taranto  Ortiz,</w:t>
        <w:br/>
        <w:t>médico tratante de Melba Suárez Peralta en el Hospital Luis Vernaza[80].  El</w:t>
        <w:br/>
        <w:t>24 de octubre de 2001 Emilio Guerrero solicitó al Juez  Penal  la  recepción</w:t>
        <w:br/>
        <w:t>del testimonio de Jenny Bohórquez[81]. El 31 de octubre el Juez  Penal  citó</w:t>
        <w:br/>
        <w:t>a rendir  declaración  a  Emilio  Guerrero,  Héctor  Luis  Taranto  y  Jenny</w:t>
        <w:br/>
        <w:t>Bohórquez[82].</w:t>
        <w:br/>
        <w:br/>
        <w:t>El 12 de noviembre de 2001 Emilio Guerrero se excusó de no comparecer  a  la</w:t>
        <w:br/>
        <w:t>declaración señalada[83]. Ese mismo  día,  se  recibió  la  declaración  del</w:t>
        <w:br/>
        <w:t>señor Héctor  Luis  Taranto,  quien  declaró  respecto  de  la  intervención</w:t>
        <w:br/>
        <w:t>quirúrgica realizada en el Hospital Luís Vernaza el 12  de  julio  de  2000,</w:t>
        <w:br/>
        <w:t>aclarando que a la señora  Melba  Suárez  Peralta  “se  le  diagnosticó  […]</w:t>
        <w:br/>
        <w:t>abdomen agudo pos  quirúrgico,  reinterviniéndola  y  encontrando  hallazgos</w:t>
        <w:br/>
        <w:t>tales como  líquido  intestinal,  material  purulento,  contenido  fecal,  y</w:t>
        <w:br/>
        <w:t>vísceras abdominales, cubiertas con nata de fibrina, todo esto  a  nivel  de</w:t>
        <w:br/>
        <w:t>[la] cavidad abdominal pélvica”[84].</w:t>
        <w:br/>
        <w:br/>
        <w:t>El 13 de noviembre de 2001 el Juez Penal recibió  la  declaración  de  Jenny</w:t>
        <w:br/>
        <w:t>Bohórquez[85]. En su declaración señaló que “el día  1º  de  julio  del  año</w:t>
        <w:br/>
        <w:t>2000 [se] encontraba en la Clínica  Minchala  en  compañía  del  Dr.  Emilio</w:t>
        <w:br/>
        <w:t>Guerrero, cuando […] llegó la señora  Melba  Suárez,  con  dolor  abdominal,</w:t>
        <w:br/>
        <w:t>vómitos, fiebre y además [le] presentó exámenes de  laboratorio[.]  [Vistos]</w:t>
        <w:br/>
        <w:t>los exámenes de laboratorio […] proced[ió] junto  con  el  Dr.  Guerrero,  a</w:t>
        <w:br/>
        <w:t>realizarle un examen físico minucioso,  llegando  a  la  conclusión  que  la</w:t>
        <w:br/>
        <w:t>señora presentaba un cuadro de apendicitis aguda, por lo  cual  decidi[eron]</w:t>
        <w:br/>
        <w:t>intervenirla  quirúrgicamente,  siendo  [ella]  el  cirujano  principal   de</w:t>
        <w:br/>
        <w:t>aquella intervención y el Dr. Guerrero participó como [su] ayudante”.</w:t>
        <w:br/>
        <w:br/>
        <w:t>El mismo día Melba Peralta Mendoza solicitó al Juez Penal  la  clausura  del</w:t>
        <w:br/>
        <w:t>sumario[86], el cual fue concluido  nuevamente  por  providencia  de  27  de</w:t>
        <w:br/>
        <w:t>noviembre “por encontrarse vencido en exceso el término  de  reapertura  del</w:t>
        <w:br/>
        <w:t>sumario”[87].</w:t>
        <w:br/>
        <w:br/>
        <w:t>Mediante escritos de 28 y 30 de noviembre de 2001 el señor  Emilio  Guerrero</w:t>
        <w:br/>
        <w:t>solicitó al Juez Penal que le convocara a nuevo testimonio  indagatorio[88].</w:t>
        <w:br/>
        <w:t>El 29 de noviembre del mismo año Melba Peralta Mendoza ratificó y  formalizó</w:t>
        <w:br/>
        <w:t>su acusación particular contra Emilio  Guerrero,  Wilson  Minchala  y  Jenny</w:t>
        <w:br/>
        <w:t>Bohórquez ante el Juez Penal[89]. Posteriormente, el 13 de mayo de  2002  el</w:t>
        <w:br/>
        <w:t>Fiscal Penal  presentó  un  escrito  ante  el  Juez  Penal  solicitando  “se</w:t>
        <w:br/>
        <w:t>declar[ara] la nulidad de lo actuado a partir de [la providencia dictada  el</w:t>
        <w:br/>
        <w:t>14 de agosto de 2001 por la cual el Juez  Penal  ordenó  la  reapertura  del</w:t>
        <w:br/>
        <w:t>sumario a los efectos de la inclusión de Wilson  Minchala]  y  en  su  lugar</w:t>
        <w:br/>
        <w:t>[se] dict[ara] el Auto Resolutorio tomando consideración  que  ya  exist[ía]</w:t>
        <w:br/>
        <w:t>Dictamen Fiscal”[90].</w:t>
        <w:br/>
        <w:br/>
        <w:t>El 3 de junio de 2002 Melba Peralta Mendoza  presentó  un  escrito  ante  el</w:t>
        <w:br/>
        <w:t>Juez Penal solicitando que se rechace la petición del Fiscal, y  se  dictara</w:t>
        <w:br/>
        <w:t>auto resolutorio de llamamiento a plenario “para los autores[,] cómplices  y</w:t>
        <w:br/>
        <w:t>encubridores con su respectiva boleta constitucional de  captura  en  contra</w:t>
        <w:br/>
        <w:t>de los [doctores]  Wilson  Minchala  y  Emilio  Guerrero,  [más]  autores[,]</w:t>
        <w:br/>
        <w:t>cómplices y encubridores”[91]. El 6 de junio  Emilio  Guerrero  solicitó  al</w:t>
        <w:br/>
        <w:t>Juez Penal la reapertura del sumario con la finalidad de que fuera  recibido</w:t>
        <w:br/>
        <w:t>su testimonio indagatorio[92].</w:t>
        <w:br/>
        <w:br/>
        <w:t>El 17  de  febrero  de  2003  el  Juez  Penal  emitió  Auto  Resolutorio  de</w:t>
        <w:br/>
        <w:t>Llamamiento a Plenario[93] contra Emilio  Guerrero,  en  calidad  de  autor,</w:t>
        <w:br/>
        <w:t>ordenándose prisión preventiva del encausado, por encontrársele  responsable</w:t>
        <w:br/>
        <w:t>del tipo penal  previsto  en  el  artículo  466  del  Código  Penal[94].  No</w:t>
        <w:br/>
        <w:t>obstante, al encontrarse éste prófugo, se  suspendieron  los  procedimientos</w:t>
        <w:br/>
        <w:t>en su contra,  hasta  su  comparecencia  en  juicio  o  su  aprehensión,  en</w:t>
        <w:br/>
        <w:t>aplicación del artículo 254 del Código de Procedimiento Penal[95].  A  tales</w:t>
        <w:br/>
        <w:t>efectos ordenó “oficiar a las Autoridades de Policía a fin de  que  procedan</w:t>
        <w:br/>
        <w:t>a su localización  y  captura”.  Asimismo,  por  no  haberse  demostrado  la</w:t>
        <w:br/>
        <w:t>responsabilidad penal de  Wilson  Minchala,  se  declaró  su  sobreseimiento</w:t>
        <w:br/>
        <w:t>provisoriamente, conforme  al  artículo  242  del  Código  de  Procedimiento</w:t>
        <w:br/>
        <w:t>Penal[96].</w:t>
        <w:br/>
        <w:br/>
        <w:t>El 24 de febrero de 2003 Emilio Guerrero presentó un  recurso  de  apelación</w:t>
        <w:br/>
        <w:t>ante  el  Juez  Penal  contra  el  Auto   Resolutorio   de   Llamamiento   a</w:t>
        <w:br/>
        <w:t>Plenario[97], el cual  se  concedió  dos  días  más  tarde,  ordenándose  su</w:t>
        <w:br/>
        <w:t>remisión al tribunal  superior[98].  En  resolución  de  la  apelación,  por</w:t>
        <w:br/>
        <w:t>providencia notificada el 29 de junio de 2004, la Tercera Sala Penal  de  la</w:t>
        <w:br/>
        <w:t>Corte Superior de Justicia de Guayaquil confirmó  en  todas  sus  partes  el</w:t>
        <w:br/>
        <w:t>auto de llamamiento a plenario[99].</w:t>
        <w:br/>
        <w:br/>
        <w:t>El 17 de septiembre de 2004 sucesivos escritos fueron  presentados  ante  el</w:t>
        <w:br/>
        <w:t>Juez Penal por parte de Emilio Guerrero, quien solicitó  la  sustitución  de</w:t>
        <w:br/>
        <w:t>la prisión preventiva que le había sido dictada  y  la  calificación  de  la</w:t>
        <w:br/>
        <w:t>fianza[100]. Por providencia de 21 de septiembre el  Juez  Penal  aceptó  la</w:t>
        <w:br/>
        <w:t>fianza y la fijó en ochocientos treinta  y  siete  dólares  de  los  Estados</w:t>
        <w:br/>
        <w:t>Unidos de América[101]. El 22 de septiembre Emilio  Guerrero  acreditó  ante</w:t>
        <w:br/>
        <w:t>el Juez Penal el depósito de la caución dispuesta[102]. El 23 de  septiembre</w:t>
        <w:br/>
        <w:t>Melba Suárez Peralta solicitó al Juez Penal que el valor de la fianza  fuera</w:t>
        <w:br/>
        <w:t>reconsiderado y aumentado dado que  “no  alcanzarían  a  cubrir  los  daños,</w:t>
        <w:br/>
        <w:t>costas  procesales,  pese  a  estar  debidamente  presentada  la   acusación</w:t>
        <w:br/>
        <w:t>particular y aceptada  al  trámite”[103].  Asimismo,  el  24  de  septiembre</w:t>
        <w:br/>
        <w:t>Emilio Guerrero solicitó al Juez Penal que fuera disminuido el monto  de  la</w:t>
        <w:br/>
        <w:t>caución calificada[104].</w:t>
        <w:br/>
        <w:br/>
        <w:t>El 28 de junio de 2005 Melba Peralta Mendoza presentó escrito ante  el  Juez</w:t>
        <w:br/>
        <w:t>Penal solicitando el impulso del proceso, alegando  que  dicho  Juez  podría</w:t>
        <w:br/>
        <w:t>ser responsable civil y penalmente “por retardo procesal y no  despachar  en</w:t>
        <w:br/>
        <w:t>forma oportuna el acto ilegal cometido”. Asimismo, solicitó  al  Juez  Penal</w:t>
        <w:br/>
        <w:t>“pronunciarse sin más dilaciones”[105].</w:t>
        <w:br/>
        <w:br/>
        <w:t>El 30 de junio del mismo año el Juez Penal emitió un oficio a la Jefa de  la</w:t>
        <w:br/>
        <w:t>Sala de Sorteos y Casilleros Judiciales de la Corte Superior  de  Guayaquil,</w:t>
        <w:br/>
        <w:t>a fin de que se radicara la competencia en uno  de  los  Tribunales  Penales</w:t>
        <w:br/>
        <w:t>del Distrito de Guayas para la tramitación del Plenario[106]. El 5 de  julio</w:t>
        <w:br/>
        <w:t>el Primer Tribunal Penal de Guayas ordenó devolver el proceso al juzgado  de</w:t>
        <w:br/>
        <w:t>origen, a fin de que se cumplieran  las  actuaciones  no  concluidas,  entre</w:t>
        <w:br/>
        <w:t>otras,  la  resolución  de  la  solicitud  de  sustitución  de  la   prisión</w:t>
        <w:br/>
        <w:t>preventiva presentada por Emilio Guerrero y la definición  de  su  situación</w:t>
        <w:br/>
        <w:t>jurídica[107].</w:t>
        <w:br/>
        <w:br/>
        <w:t>El 28 de julio el Juez Penal suspendió la orden de  prisión  preventiva,  en</w:t>
        <w:br/>
        <w:t>tanto Emilio Guerrero había consignado el valor de la fianza  calificada,  y</w:t>
        <w:br/>
        <w:t>volvió a remitir el expediente al Primer Tribunal Penal de Guayas[108].</w:t>
        <w:br/>
        <w:br/>
        <w:t>Los días 23 de agosto, 5 y 17 de septiembre del  mismo  año,  Melba  Peralta</w:t>
        <w:br/>
        <w:t>Mendoza  presentó  escritos  ante  el  Primer  Tribunal  Penal   de   Guayas</w:t>
        <w:br/>
        <w:t>solicitando  la  fijación  de   fecha   para   la   audiencia   pública   de</w:t>
        <w:br/>
        <w:t>juzgamiento[109].</w:t>
        <w:br/>
        <w:br/>
        <w:t>El 8 de  septiembre  del  mismo  año  Emilio  Guerrero  solicitó  al  Primer</w:t>
        <w:br/>
        <w:t>Tribunal  Penal  de  Guayas  la  prescripción  de  la   acción   penal,   en</w:t>
        <w:br/>
        <w:t>consideración al transcurso de cinco años desde el dictado del  Auto  Cabeza</w:t>
        <w:br/>
        <w:t>del Proceso, con fundamento en el artículo 101 del Código Penal[110].</w:t>
        <w:br/>
        <w:br/>
        <w:t>El 20 de septiembre del  mismo  año  el  Primer  Tribunal  Penal  de  Guayas</w:t>
        <w:br/>
        <w:t>declaró la prescripción de la acción[111]. Ante ello, el  22  de  septiembre</w:t>
        <w:br/>
        <w:t>Melba Peralta Mendoza solicitó a dicho Tribunal la aplicación de  una  multa</w:t>
        <w:br/>
        <w:t>al juez de la causa[112]. El 10 de noviembre el  Primer  Tribunal  Penal  de</w:t>
        <w:br/>
        <w:t>Guayas denegó la petición de  la  señora  Melba  Peralta  Mendoza  indicando</w:t>
        <w:br/>
        <w:t>únicamente que “[n]o proced[ía] lo solicitado […]”[113].</w:t>
        <w:br/>
        <w:br/>
        <w:t>Por otra parte, de conformidad  a  la  prueba  agregada  por  el  Estado  se</w:t>
        <w:br/>
        <w:t>desprende que, con motivo de procedimientos administrativos  realizados  por</w:t>
        <w:br/>
        <w:t>el Consejo de la Judicatura  de  Ecuador,  el  Juez  Penal  actuante  en  el</w:t>
        <w:br/>
        <w:t>proceso fue suspendido en el ejercicio de  sus  funciones  y  posteriormente</w:t>
        <w:br/>
        <w:t>destituido[114].</w:t>
        <w:br/>
        <w:br/>
        <w:br/>
        <w:t>Sobre la Clínica Minchala</w:t>
        <w:br/>
        <w:br/>
        <w:br/>
        <w:t>De la prueba que obra en el expediente se desprende que  el  8  de  mayo  de</w:t>
        <w:br/>
        <w:t>2002 la prensa ecuatoriana publicó que la Clínica  Minchala  fue  clausurada</w:t>
        <w:br/>
        <w:t>luego de una inspección realizada por el Control  Sanitario  de  Guayas,  al</w:t>
        <w:br/>
        <w:t>constatarse que “[la clínica] atendía entre  cuatro  y  cinco  pacientes  en</w:t>
        <w:br/>
        <w:t>cada habitación, por falta de espacio  para  recuperación.  En  el  área  de</w:t>
        <w:br/>
        <w:t>laboratorio se decomisaron  [cuarenta]  reactivos  con  más  de  un  año  de</w:t>
        <w:br/>
        <w:t>caducidad”[115]. Asimismo, el 14 de octubre de  2007  fue  publicado  en  la</w:t>
        <w:br/>
        <w:t>prensa ecuatoriana que la Clínica Minchala “fue clausurada por la  Dirección</w:t>
        <w:br/>
        <w:t>Provincial  de  Salud  porque  no  tenía  el   permiso   de   funcionamiento</w:t>
        <w:br/>
        <w:t>actualizado y por las malas condiciones sanitarias.  Permanecer[ía]  cerrada</w:t>
        <w:br/>
        <w:t>hasta que cumpl[iera] los requisitos  y  adecuaciones  necesarias,  […]  [no</w:t>
        <w:br/>
        <w:t>obstante] la  medida  no  se  aplic[ó]  por  [un]a  supuesta  mala  práctica</w:t>
        <w:br/>
        <w:t>médica”. En ambas situaciones, se ignora las fechas de reapertura[116].</w:t>
        <w:br/>
        <w:br/>
        <w:t xml:space="preserve">                                     VII</w:t>
        <w:br/>
        <w:br/>
        <w:t>Alcance DEL”Acuerdo de Cumplimiento“</w:t>
        <w:br/>
        <w:br/>
        <w:br/>
        <w:t>Determinados los hechos, procede  señalar,  de  manera  complementaria,  los</w:t>
        <w:br/>
        <w:t>efectos de los actos de aceptación  de  responsabilidad  realizados  por  el</w:t>
        <w:br/>
        <w:t>Estado  en  el   acuerdo   de   cumplimiento   e   implementación   de   las</w:t>
        <w:br/>
        <w:t>recomendaciones contenidas en el Informe de Fondo de  la  Comisión,  firmado</w:t>
        <w:br/>
        <w:t>entre el Estado y la señora Melba Suárez  Peralta  el  8  de  septiembre  de</w:t>
        <w:br/>
        <w:t>2011.</w:t>
        <w:br/>
        <w:br/>
        <w:br/>
        <w:t>Acuerdo de cumplimiento de las recomendaciones contenidas en el  Informe  de</w:t>
        <w:br/>
        <w:t>Fondo de la Comisión</w:t>
        <w:br/>
        <w:br/>
        <w:br/>
        <w:t>Luego de la adopción del Informe de Fondo de la Comisión,  el  Estado  y  la</w:t>
        <w:br/>
        <w:t>señora Melba Suárez Peralta y su representante se  reunieron  para  negociar</w:t>
        <w:br/>
        <w:t>un acuerdo de  cumplimiento  de  las  recomendaciones  contenidas  en  dicho</w:t>
        <w:br/>
        <w:t>Informe (supra párr. 2.e). El 8 de  septiembre  de  2011  el  Ministerio  de</w:t>
        <w:br/>
        <w:t>Justicia, Derechos  Humanos  y  Cultos,  representado  por  la  Ministra  de</w:t>
        <w:br/>
        <w:t>Justicia Johana Pesántez Benítez,  y  la  señora  Melba  del  Carmen  Suárez</w:t>
        <w:br/>
        <w:t>Peralta celebraron un “Acuerdo de Cumplimiento”, cuyo objetivo era:</w:t>
        <w:br/>
        <w:br/>
        <w:t>[C]umplir las recomendaciones ordenadas por la  Comisión  Interamericana  de</w:t>
        <w:br/>
        <w:t>Derechos Humanos, dentro del Informe de Fondo No  75/11,  Caso  12.683  […].</w:t>
        <w:br/>
        <w:t>Para tal efecto, se acord[ó] entre el M[inisterio y  las  Beneficiarias]  un</w:t>
        <w:br/>
        <w:t>cronograma de ejecución de las medidas de reparación[117].</w:t>
        <w:br/>
        <w:br/>
        <w:t>Las partes  acordaron  prestaciones  respecto  de  cada  una  de  las  cinco</w:t>
        <w:br/>
        <w:t>recomendaciones emitidas por la Comisión, las que  se  cumplirían  según  un</w:t>
        <w:br/>
        <w:t>“cronograma de ejecución”[118], entre  el  período  de  octubre  de  2011  y</w:t>
        <w:br/>
        <w:t>octubre de 2012, a saber:</w:t>
        <w:br/>
        <w:br/>
        <w:t>[1. El] Ministerio de Justicia, Derechos Humanos y Cultos se  compromete  a:</w:t>
        <w:br/>
        <w:t>[p]oner en conocimiento de la Fiscalía General del Estado [y del Consejo  de</w:t>
        <w:br/>
        <w:t>la Judicatura] los hechos y el Informe de Fondo, a fin de que se  proceda  a</w:t>
        <w:br/>
        <w:t>la investigación  y  respectiva  sanción  penal  [y  administrativa]  a  los</w:t>
        <w:br/>
        <w:t>operadores de justicia  por  cuya  conducta  haya  resultado  en  la  demora</w:t>
        <w:br/>
        <w:t>excesiva en la tramitación del proceso penal y consecuente falta  de  acceso</w:t>
        <w:br/>
        <w:t>a la justicia para las víctimas” [Plazo: octubre de 2011].</w:t>
        <w:br/>
        <w:br/>
        <w:t>[…]</w:t>
        <w:br/>
        <w:br/>
        <w:t>[2.  El  Estado  pagará]  una  indemnización  por  concepto  de  procuración</w:t>
        <w:br/>
        <w:t>judicial, daño material y daño moral  a  saber  USD  $250,000  a  Melba  del</w:t>
        <w:br/>
        <w:t>Carmen Peralta, USD $30,000 a Melba Peralta Mendoza y  USD  $20,000  por  la</w:t>
        <w:br/>
        <w:t>atención médica acordada con la beneficiaria[119], […] por un total de  USD$</w:t>
        <w:br/>
        <w:t>300,000 [Plazo: noviembre 2011].</w:t>
        <w:br/>
        <w:br/>
        <w:t>[3.] Asimismo […], coordinará  la  colocación  de  una  placa  de  disculpas</w:t>
        <w:br/>
        <w:t>públicas en el Edificio de la Corte Provincial de Justicia de Guayaquil  [y]</w:t>
        <w:br/>
        <w:t>la publicación de una parte del texto de la recomendación en  el  diario  El</w:t>
        <w:br/>
        <w:t>Universo de Guayaquil, el mismo  que  será  acordado  con  la  beneficiaria”</w:t>
        <w:br/>
        <w:t>[Plazo: noviembre de 2011].</w:t>
        <w:br/>
        <w:br/>
        <w:t>[4.] Adoptar las medidas necesarias  para  brindar  de  manera  inmediata  y</w:t>
        <w:br/>
        <w:t>gratuita, a través de sus instituciones de  salud  especializadas  y  en  el</w:t>
        <w:br/>
        <w:t>lugar de residencia de la  señora  Suárez  Peralta,  el  tratamiento  médico</w:t>
        <w:br/>
        <w:t>requerido, incluyendo los medicamentos que ella requiera y en  consideración</w:t>
        <w:br/>
        <w:t>con sus padecimientos […]. Teniendo en cuenta que en reuniones  previas,  el</w:t>
        <w:br/>
        <w:t>señor Cerezo y la [b]eneficiaria manifestaron que no aceptarán  la  atención</w:t>
        <w:br/>
        <w:t>médica de salud en hospitales, centros de  salud  y  clínicas  públicas,  se</w:t>
        <w:br/>
        <w:t>acordó que el Estado  pagará  el  monto  de  USD$  20,000  por  concepto  de</w:t>
        <w:br/>
        <w:t>atención médica [Plazo: noviembre de 2011]..</w:t>
        <w:br/>
        <w:br/>
        <w:t>[…]</w:t>
        <w:br/>
        <w:br/>
        <w:t>[5.] El  Estado  […]  deberá  dictar  y  reformar  normas  dirigidas  a  los</w:t>
        <w:br/>
        <w:t>profesionales  de  la  salud,  mismas  que  deberán  reunir  los  estándares</w:t>
        <w:br/>
        <w:t>nacionales e  internacionales  en  la  materia,  resaltando  y  dando  plena</w:t>
        <w:br/>
        <w:t>vigencia a los derechos de  los  pacientes.  [Asimismo…],  se  compromete  a</w:t>
        <w:br/>
        <w:t>presentar  un  proyecto  normativo  en  el  que  se  incluyan  las  reformas</w:t>
        <w:br/>
        <w:t>pertinentes sobre mala práctica médica y sobre derechos de  [los]  pacientes</w:t>
        <w:br/>
        <w:t>[Plazo: Octubre de 2012].</w:t>
        <w:br/>
        <w:br/>
        <w:t>[6.] El Estado [realizará] capacitaciones a profesionales de la salud  sobre</w:t>
        <w:br/>
        <w:t>derechos de [los] pacientes tanto en  el  ámbito  público  como  privado  de</w:t>
        <w:br/>
        <w:t>manera planificada y sostenible [Plazo: Octubre de 2012].</w:t>
        <w:br/>
        <w:br/>
        <w:br/>
        <w:t>El  14  y  15  de  septiembre  de  2011  los  representantes  y  el  Estado,</w:t>
        <w:br/>
        <w:t>respectivamente, informaron a  la  Comisión  sobre  la  firma  del  acuerdo.</w:t>
        <w:br/>
        <w:t>Asimismo, mediante dicho  escrito  el  Estado  solicitó  a  la  Comisión  la</w:t>
        <w:br/>
        <w:t>homologación del referido documento[120]. La Comisión  no  se  pronunció  al</w:t>
        <w:br/>
        <w:t>respecto. Seguidamente, el 10 de octubre de 2011 el  Estado  solicitó  a  la</w:t>
        <w:br/>
        <w:t>Comisión un plazo adicional de tres meses a  fin  de  informar  los  avances</w:t>
        <w:br/>
        <w:t>logrados en el cumplimiento de sus recomendaciones[121]. Al respecto, el  24</w:t>
        <w:br/>
        <w:t>de octubre de  2011  la  Comisión  comunicó  la  concesión  de  la  prórroga</w:t>
        <w:br/>
        <w:t>solicitada, informó que el nuevo  plazo  para  cumplir  las  recomendaciones</w:t>
        <w:br/>
        <w:t>vencería el 26 de enero de 2012, y que el  5  de  enero  de  2012  se  debía</w:t>
        <w:br/>
        <w:t>informar el estado de avance en la materia[122].</w:t>
        <w:br/>
        <w:br/>
        <w:t>Posteriormente, el 28 de diciembre de 2011, la señora Melba  Suárez  Peralta</w:t>
        <w:br/>
        <w:t>y su madre Melba Peralta Mendoza, juntamente con el Estado,  proyectaron  un</w:t>
        <w:br/>
        <w:t>segundo Acuerdo de  Cumplimiento,  el  cual  explícitamente  remplazaría  el</w:t>
        <w:br/>
        <w:t>primer documento firmado  el  8  de  septiembre  de  2011.  Dicho  documento</w:t>
        <w:br/>
        <w:t>establecería  también  un  nuevo  cronograma  de  ejecución  de  las  mismas</w:t>
        <w:br/>
        <w:t>disposiciones acordadas previamente, pero no llegó  a  ser  formalizado.  Al</w:t>
        <w:br/>
        <w:t>respecto, el 18  de  enero  de  2012  los  representantes  informaron  a  la</w:t>
        <w:br/>
        <w:t>Comisión que habían firmado dicho segundo acuerdo y  afirmaron  que  todavía</w:t>
        <w:br/>
        <w:t>no había sido cumplido por parte del Estado. Por su parte, el Estado  señalo</w:t>
        <w:br/>
        <w:t>a la Corte que el segundo Acuerdo de Cumplimiento no fue suscrito  a  nombre</w:t>
        <w:br/>
        <w:t>del Estado, debido a que las  facturas  de  respaldo  no  cubrían  el  monto</w:t>
        <w:br/>
        <w:t>alegado.</w:t>
        <w:br/>
        <w:br/>
        <w:t>El 26 de enero de 2012 el  Estado  comunicó  a  la  Comisión  el  estado  de</w:t>
        <w:br/>
        <w:t>cumplimiento del acuerdo de 8  de  septiembre  de  2011[123].  Al  respecto,</w:t>
        <w:br/>
        <w:t>informó que no había cumplido  el  pago  de  las  indemnizaciones  acordadas</w:t>
        <w:br/>
        <w:t>debido a que habiéndose solicitado al cónyuge de la  “víctima  documentación</w:t>
        <w:br/>
        <w:t>de respaldo que justifi[cara] el  daño  material  sufrido”,  sus  documentos</w:t>
        <w:br/>
        <w:t>acompañados “justifica[ban] el gasto de diecinueve  mil  seiscientos  veinte</w:t>
        <w:br/>
        <w:t>nueve dólares con treinta y siete centavos (19,629,37)”. La  diferencia  con</w:t>
        <w:br/>
        <w:t>los valores acordados “limit[ó] considerablemente la acción [del] Estado  al</w:t>
        <w:br/>
        <w:t>momento de cumplir el pago de trescientos mil dólares”. En tal  sentido,  el</w:t>
        <w:br/>
        <w:t>Estado informó  a  la  Comisión  que  “solicitar[ía]  por  segunda  vez  […]</w:t>
        <w:br/>
        <w:t>documentación adicional que justifi[cara] de forma  objetiva  y  contundente</w:t>
        <w:br/>
        <w:t>los gastos en los que h[ubiera] incurrido desde el año 2001”.  Al  respecto,</w:t>
        <w:br/>
        <w:t>la Corte observa que la acreditación de los gastos no estaba prevista en  el</w:t>
        <w:br/>
        <w:t>Acuerdo y que el pago no estaba sujeto a condición. Asimismo,  en  cuanto  a</w:t>
        <w:br/>
        <w:t>la recomendación de prestaciones médicas, el Estado señaló que  funcionarios</w:t>
        <w:br/>
        <w:t>de “la Cartera de Salud brindaría[n] las facilidades  logísticas  necesarias</w:t>
        <w:br/>
        <w:t>para atender a la señora Melba Suárez Peralta”, pero que  habiendo  visitado</w:t>
        <w:br/>
        <w:t>a la víctima en su domicilio, de acuerdo con  lo  indicado  por  el  Estado,</w:t>
        <w:br/>
        <w:t>ésta rechazó las  prestaciones del sistema público de salud.</w:t>
        <w:br/>
        <w:br/>
        <w:t>Además, en la misma comunicación a la Comisión, el Estado señaló que  en  lo</w:t>
        <w:br/>
        <w:t>que respecta al cumplimiento de extender disculpas públicas a las  víctimas,</w:t>
        <w:br/>
        <w:t>se había efectuado una publicación en el diario El Universo de  Ecuador,  en</w:t>
        <w:br/>
        <w:t>fecha 25 de enero de 2012, del siguiente tenor (en lo pertinente):</w:t>
        <w:br/>
        <w:br/>
        <w:t xml:space="preserve">              “MINISTERIO DE JUSTICIA, DERECHOS HUMANOS Y CULTOS</w:t>
        <w:br/>
        <w:t xml:space="preserve">                      PUBLICACIÓN DE DISCULPAS PÚBLICAS</w:t>
        <w:br/>
        <w:t>[El] Estado Ecuatoriano lamenta profundamente que funcionarios estatales  de</w:t>
        <w:br/>
        <w:t>la administración de justicia hayan dilatado  indebidamente  el  proceso  en</w:t>
        <w:br/>
        <w:t>perjuicio de las víctimas y que no se haya podido esclarecer  con  veracidad</w:t>
        <w:br/>
        <w:t>y en el marco de las garantías del debido proceso,  a  los  responsables  de</w:t>
        <w:br/>
        <w:t>este hecho.</w:t>
        <w:br/>
        <w:br/>
        <w:t>[El] Estado  Ecuatoriano,  sobre  la  base  [del]  Acuerdo  de  Cumplimiento</w:t>
        <w:br/>
        <w:t>suscrito entre esta Cartera de Estado y la señora Melba  Suárez  Peralta  el</w:t>
        <w:br/>
        <w:t>08 de septiembre de 2011 […] hace extensible las debidas disculpas  públicas</w:t>
        <w:br/>
        <w:t>a la señora Melba del Carmen Suárez Peralta y  a  su  madre,  Melba  Peralta</w:t>
        <w:br/>
        <w:t>Mendoza por haber  incurrido  en  la  violación  de  sus  derechos  humanos,</w:t>
        <w:br/>
        <w:t>específicamente por no haber hecho efectivos los artículos 8.1 y 25.1 de  la</w:t>
        <w:br/>
        <w:t>Convención Americana [sobre] Derechos Humanos[124]”.</w:t>
        <w:br/>
        <w:br/>
        <w:t>Finalmente,  en  la  misma  fecha  el  Estado  informó  a  la  Comisión  que</w:t>
        <w:br/>
        <w:t>instalaría una placa de disculpas  públicas  en  el  Edificio  de  la  Corte</w:t>
        <w:br/>
        <w:t>Provincial  de  Justicia  de  la  Provincia  de  Guayas,  en  el   siguiente</w:t>
        <w:br/>
        <w:t>tenor[125]:</w:t>
        <w:br/>
        <w:br/>
        <w:t xml:space="preserve">                           “REPÚBLICA DEL ECUADOR</w:t>
        <w:br/>
        <w:t xml:space="preserve">              MINISTERIO DE JUSTICIA, DERECHOS HUMANOS Y CULTOS</w:t>
        <w:br/>
        <w:t>El Estado ecuatoriano, a través de la presente placa, extiende  las  debidas</w:t>
        <w:br/>
        <w:t>disculpas públicas a la señora Melba del Carmen Suárez Peralta y  su  madre,</w:t>
        <w:br/>
        <w:t>Melba Peralta Mendoza por haber incurrido en la violación  de  sus  derechos</w:t>
        <w:br/>
        <w:t>humanos, específicamente por no haber hecho efectivos los  artículos  8.1  y</w:t>
        <w:br/>
        <w:t>25.1 de la Convención Americana  de  Derechos  Humanos  que  se  refieren  a</w:t>
        <w:br/>
        <w:t>garantías judiciales y protección judicial.</w:t>
        <w:br/>
        <w:br/>
        <w:t>Esta placa constituye una forma de reparación de conformidad con el  acuerdo</w:t>
        <w:br/>
        <w:t>de cumplimiento suscrito […] el 8 de septiembre de 2011. […]  Guayaquil,  23</w:t>
        <w:br/>
        <w:t>de enero de 2012” (F. 2341)</w:t>
        <w:br/>
        <w:br/>
        <w:t>La placa fue instalada en la Corte Provincial de Justicia de Guayas el 3  de</w:t>
        <w:br/>
        <w:t>agosto de 2012[126].</w:t>
        <w:br/>
        <w:br/>
        <w:br/>
        <w:t>Argumentos de la Comisión y de las partes</w:t>
        <w:br/>
        <w:br/>
        <w:br/>
        <w:t>El representante señaló que: a) el Estado firmó el acuerdo  de  cumplimiento</w:t>
        <w:br/>
        <w:t>de manera totalmente voluntaria; b) la placa instalada el  3  de  agosto  de</w:t>
        <w:br/>
        <w:t>2012 en la Corte Provincial de Justicia de Guayas textualmente  reconoce  la</w:t>
        <w:br/>
        <w:t>responsabilidad por la violación  de  los  artículos  8,  25  y  1.1  de  la</w:t>
        <w:br/>
        <w:t>Convención Americana; c) lo anterior representa un “acto  de  reconocimiento</w:t>
        <w:br/>
        <w:t>expreso […] dentro del trámite ante […] la Corte […]  ya  cuando  el  Estado</w:t>
        <w:br/>
        <w:t>había sido notificado [de la presentación del caso], [y]  de[l]  escrito  de</w:t>
        <w:br/>
        <w:t>[solicitudes y argumentos]”. Asimismo, “la placa fue  colocada  en  ausencia</w:t>
        <w:br/>
        <w:t>de la víctima, [quien tampoco tenía  conocimiento]  de  [tal  hecho]  si  no</w:t>
        <w:br/>
        <w:t>hasta cuando el Estado lo aleg[ó] cuando se había trabado la litis”.</w:t>
        <w:br/>
        <w:br/>
        <w:t>El Estado, por su parte, manifestó que: a) en ningún momento se ha  generado</w:t>
        <w:br/>
        <w:t>estoppel, toda  vez  que  dada  la  naturaleza  del  procedimiento  ante  la</w:t>
        <w:br/>
        <w:t>Comisión, un Estado puede llegar a un acuerdo  y  comprometerse  a  realizar</w:t>
        <w:br/>
        <w:t>ciertos actos, sin que de esto se desprenda que  el  Estado  esté  aceptando</w:t>
        <w:br/>
        <w:t>como  ciertos  los  hechos  que  se  le  imputan  ni  reconociendo  que   es</w:t>
        <w:br/>
        <w:t>responsable por las consecuencias  jurídicas  de  éstos;  b)  concretamente,</w:t>
        <w:br/>
        <w:t>sólo un acto unilateral específico de reconocimiento de hechos o  una  clara</w:t>
        <w:br/>
        <w:t>manifestación de responsabilidad en el marco de dicho  procedimiento,  sobre</w:t>
        <w:br/>
        <w:t>el  cual  la  Comisión  o  los   representantes   hayan   actuado   y   que,</w:t>
        <w:br/>
        <w:t>consecuentemente, haya generado efectos jurídicos, compromete al  Estado  en</w:t>
        <w:br/>
        <w:t>ese sentido y, por ende, le resulta oponible en el proceso  ante  la  Corte;</w:t>
        <w:br/>
        <w:t>c) en ningún momento el Estado ha cambiado su  posición  respecto  al  caso,</w:t>
        <w:br/>
        <w:t>por  lo  que  el  hecho  de  dar  cumplimiento  a  obligaciones   adquiridas</w:t>
        <w:br/>
        <w:t>internacionalmente y que  se  basan  en  la  Constitución  del  Ecuador,  no</w:t>
        <w:br/>
        <w:t>generan estoppel, ya que las alegaciones empleadas por el Estado respecto  a</w:t>
        <w:br/>
        <w:t>la falta de agotamiento de recursos internos nunca ha estado  en  duda.  Por</w:t>
        <w:br/>
        <w:t>todo ello, el Estado controvirtió la existencia de  una  supuesta  violación</w:t>
        <w:br/>
        <w:t>de los artículos 8 y 25 de la Convención.</w:t>
        <w:br/>
        <w:br/>
        <w:t>La Comisión no se pronunció al respecto.</w:t>
        <w:br/>
        <w:br/>
        <w:br/>
        <w:t>Consideraciones de la Corte</w:t>
        <w:br/>
        <w:br/>
        <w:br/>
        <w:t>La Corte toma nota de  la  celebración  entre  el  Estado  y  las  presuntas</w:t>
        <w:br/>
        <w:t>víctimas del Acuerdo con el fin de dar cumplimiento  a  las  recomendaciones</w:t>
        <w:br/>
        <w:t>de la Comisión. Asimismo, cabe destacar que el Estado,  de  conformidad  con</w:t>
        <w:br/>
        <w:t>lo establecido en dicho Acuerdo, manifestó que aceptaba  su  responsabilidad</w:t>
        <w:br/>
        <w:t>internacional en dos momentos posteriores a la finalización  del  mismo:  a)</w:t>
        <w:br/>
        <w:t>al realizar una publicación de disculpas públicas en un  periódico  de  alta</w:t>
        <w:br/>
        <w:t>circulación el 25 de enero de 2012, luego de emitido  el  Informe  de  Fondo</w:t>
        <w:br/>
        <w:t>(supra párr. 80), y b) al instalar una  placa  en  la  Corte  Provincial  de</w:t>
        <w:br/>
        <w:t>Justicia de Guayas el 3 de agosto de 2012 (supra  párr.  82).  Dichos  actos</w:t>
        <w:br/>
        <w:t>son  claros  sobre  la  intención  estatal  de  expresar   públicamente   su</w:t>
        <w:br/>
        <w:t>responsabilidad  por  las  violaciones  de  los  artículos  8  y  25  de  la</w:t>
        <w:br/>
        <w:t>Convención. Además, para la Corte resulta de especial consideración  que  la</w:t>
        <w:br/>
        <w:t>placa instalada en la Corte Provincial de  Justicia  de  Guayas  tuvo  lugar</w:t>
        <w:br/>
        <w:t>después de la notificación del caso  al  Estado  e  inclusive  luego  de  la</w:t>
        <w:br/>
        <w:t>remisión  del  escrito  de  solicitudes,  argumentos  y   pruebas   de   los</w:t>
        <w:br/>
        <w:t>representantes (supra párr. 4 y 5) y con el conocimiento de que el  caso  se</w:t>
        <w:br/>
        <w:t>encontraba bajo consideración de la Corte.</w:t>
        <w:br/>
        <w:br/>
        <w:t>Al  respecto,  la  Corte   considera   que   la   referida   aceptación   de</w:t>
        <w:br/>
        <w:t>responsabilidad por parte del Estado no  es  equivalente  al  reconocimiento</w:t>
        <w:br/>
        <w:t>contemplado en el artículo 62 del Reglamento[127], esto  es,  no  ha  tenido</w:t>
        <w:br/>
        <w:t>lugar durante el proceso seguido ante  ella,  no  le  ha  sido  directamente</w:t>
        <w:br/>
        <w:t>comunicado o informado por  el  Estado  ni  consiste  en  un  reconocimiento</w:t>
        <w:br/>
        <w:t>explícito por parte de éste respecto de los hechos de la causa como  tampoco</w:t>
        <w:br/>
        <w:t>un allanamiento unilateral respecto  de  las  pretensiones  que  constan  en</w:t>
        <w:br/>
        <w:t>autos.</w:t>
        <w:br/>
        <w:br/>
        <w:t>Con base en lo anterior, este Tribunal toma nota de  la  aceptación  parcial</w:t>
        <w:br/>
        <w:t>de responsabilidad efectuada por el Estado de manera pública.  No  obstante,</w:t>
        <w:br/>
        <w:t>en su escrito de contestación el Estado  contravino  las  violaciones  antes</w:t>
        <w:br/>
        <w:t>aceptadas  públicamente  y  objetó  su  responsabilidad   internacional   al</w:t>
        <w:br/>
        <w:t>respecto. Sin perjuicio  de  lo  anterior,  con  base  en  el  marco  de  su</w:t>
        <w:br/>
        <w:t>competencia contenciosa, la Corte estima  necesario  pronunciarse  sobre  la</w:t>
        <w:br/>
        <w:t>controversia  y  realizar  consideraciones  sobre  las  violaciones   a   la</w:t>
        <w:br/>
        <w:t>Convención  Americana  alegadas  tanto  por  la   Comisión   como   por   el</w:t>
        <w:br/>
        <w:t>representante de las presuntas víctimas.</w:t>
        <w:br/>
        <w:br/>
        <w:br/>
        <w:br/>
        <w:br/>
        <w:t>VIII</w:t>
        <w:br/>
        <w:br/>
        <w:br/>
        <w:t>DERECHO A LAS GARANTÍAS JUDICIALES Y A LA PROTECCIÓN JUDICIAL</w:t>
        <w:br/>
        <w:br/>
        <w:br/>
        <w:br/>
        <w:t>Argumentos de las partes y de la Comisión</w:t>
        <w:br/>
        <w:br/>
        <w:br/>
        <w:t>La Comisión señaló que, en el marco del sistema  normativo  ecuatoriano,  el</w:t>
        <w:br/>
        <w:t>recurso efectivo para resolver el problema ocasionado a la presunta  víctima</w:t>
        <w:br/>
        <w:t>era el  proceso  penal,  sin  embargo,  “[e]l  proceso  penal  iniciado  […]</w:t>
        <w:br/>
        <w:t>concluyó con la prescripción de la  acción  penal”,  y   “correspond[ía]  al</w:t>
        <w:br/>
        <w:t>Estado, en su calidad de titular de la acción punitiva, iniciar  e  impulsar</w:t>
        <w:br/>
        <w:t>los procedimientos tendientes a identificar, y  –eventualmente–  procesar  y</w:t>
        <w:br/>
        <w:t>sancionar a los responsables,  llevando  a  cabo  diligentemente  todas  las</w:t>
        <w:br/>
        <w:t>etapas procesales hasta su conclusión”. En el presente, la Comisión  destacó</w:t>
        <w:br/>
        <w:t>“el rol pasivo de la Fiscalía y  la  falta  de  diligencia  del  juez  [del]</w:t>
        <w:br/>
        <w:t>caso”, así como la “falta  de  impulso  procesal  de  oficio  y  de  mínimas</w:t>
        <w:br/>
        <w:t>garantías de debida diligencia”. Por último, en sus  observaciones  finales,</w:t>
        <w:br/>
        <w:t>la Comisión señaló que en casos de mala praxis médica  el  Estado  tiene  un</w:t>
        <w:br/>
        <w:t>deber especial de cuidado en virtud de la afectación al estado  de  salud  e</w:t>
        <w:br/>
        <w:t>integridad física de la víctima, de manera que debe velar por  la  prontitud</w:t>
        <w:br/>
        <w:t>y expedición razonable del proceso en dichos casos, lo cual  no  ocurrió  en</w:t>
        <w:br/>
        <w:t>el presente caso.</w:t>
        <w:br/>
        <w:br/>
        <w:t>El representante coincidió con lo expuesto por la Comisión y agregó “que  la</w:t>
        <w:br/>
        <w:t>administración de justicia pudo  haber  remediado  el  resultado  final  del</w:t>
        <w:br/>
        <w:t>proceso penal […], pues [de ella] dependía la celeridad en la  sustanciación</w:t>
        <w:br/>
        <w:t>de la causa, cuyo resultado pudo haber sido otro, si se  hubieran  respetado</w:t>
        <w:br/>
        <w:t>los plazos procesales de  la  norma  penal  ecuatoriana”;  y  que  “[d]e  la</w:t>
        <w:br/>
        <w:t>lectura del proceso […] se desprende que el Juez Primero de lo  Penal  y  el</w:t>
        <w:br/>
        <w:t>Presidente del Primer Tribunal  de  lo  Penal  en  alzada  contribuyeron  al</w:t>
        <w:br/>
        <w:t>retardo  injustificado  de  justicia”.  También,  en  sus  alegatos  finales</w:t>
        <w:br/>
        <w:t>concluyó que “[la] falta de impulso procesal por parte  de  las  autoridades</w:t>
        <w:br/>
        <w:t>tuvo como consecuencia, el atraso  de  la  sustanciación  del  proceso”.  En</w:t>
        <w:br/>
        <w:t>razón  de  lo  anterior,  la  “investigación  fue  parcial,  fragmentada   y</w:t>
        <w:br/>
        <w:t>accidentada, lo que tuvo marcada incidencia en la lentitud del proceso”.</w:t>
        <w:br/>
        <w:br/>
        <w:t>El Estado, por su parte, señaló que las  presuntas  víctimas  podrían  haber</w:t>
        <w:br/>
        <w:t>recusado al juez que tramitaba  la  causa,  lo  cual  era  una  “alternativa</w:t>
        <w:br/>
        <w:t>legítima a ser ejercida por las partes de un proceso, en razón de ser  un[a]</w:t>
        <w:br/>
        <w:t>garantía  […]  que  permite  la  realización  de  la  justicia  […]  si   un</w:t>
        <w:br/>
        <w:t>funcionario judicial no atiende sus deberes como le corresponde” y  que  ”no</w:t>
        <w:br/>
        <w:t>es imputable al Estado  el  que  no  se  haya  ejercido  el  derecho  a  las</w:t>
        <w:br/>
        <w:t>garantías judiciales como corresponde [en virtud de que]  la  recusación  sí</w:t>
        <w:br/>
        <w:t>era y es una garantía para derechos constitucionales”.  Finalmente,  en  sus</w:t>
        <w:br/>
        <w:t>alegatos  finales,  el  Estado  describió  el  procedimiento  para   obtener</w:t>
        <w:br/>
        <w:t>reparación económica de parte de los integrantes  de  la  administración  de</w:t>
        <w:br/>
        <w:t>justicia que, en el ejercicio de su función, causaren perjuicio económico  a</w:t>
        <w:br/>
        <w:t>las partes o a terceros interesados, como por ejemplo  el  retraso  procesal</w:t>
        <w:br/>
        <w:t>del presente caso.</w:t>
        <w:br/>
        <w:br/>
        <w:br/>
        <w:t>Consideraciones de la Corte</w:t>
        <w:br/>
        <w:br/>
        <w:br/>
        <w:t>En  el  presente  capítulo  la  Corte  analizará  los  respectivos  procesos</w:t>
        <w:br/>
        <w:t>internos a la luz de  los  derechos  a  las  garantías  judiciales  y  a  la</w:t>
        <w:br/>
        <w:t>protección  judicial,  previstos  en  los  artículos  8.1  y  25.1   de   la</w:t>
        <w:br/>
        <w:t>Convención, en relación con el artículo 1.1 del mismo instrumento, a fin  de</w:t>
        <w:br/>
        <w:t>determinar  si  el  Estado  ha  incumplido  o  no   con   sus   obligaciones</w:t>
        <w:br/>
        <w:t>internacionales por las actuaciones de sus órganos judiciales.</w:t>
        <w:br/>
        <w:br/>
        <w:t>La Corte ha señalado que “[e]l derecho a la tutela judicial  efectiva  exige</w:t>
        <w:br/>
        <w:t>a los jueces que dirijan el proceso  de  modo  a  evitar  que  dilaciones  y</w:t>
        <w:br/>
        <w:t>entorpecimientos indebidos, conduzcan a  la  impunidad,  frustrando  así  la</w:t>
        <w:br/>
        <w:t>debida protección judicial de los derechos humanos”[128], y que “los  jueces</w:t>
        <w:br/>
        <w:t>como rectores  del  proceso  tienen  el  deber  de  dirigir  y  encausar  el</w:t>
        <w:br/>
        <w:t>procedimiento judicial con el fin de no sacrificar la justicia y  el  debido</w:t>
        <w:br/>
        <w:t>proceso legal en pro del formalismo y la impunidad”, pues  de  lo  contrario</w:t>
        <w:br/>
        <w:t>se “conduce a la violación de la  obligación  internacional  del  Estado  de</w:t>
        <w:br/>
        <w:t>prevenir y proteger los derechos  humanos  y  menoscaba  el  derecho  de  la</w:t>
        <w:br/>
        <w:t>víctima y de sus familiares a saber la verdad  de  lo  sucedido,  a  que  se</w:t>
        <w:br/>
        <w:t>identifique y  se  sancione  a  todos  los  responsables  y  a  obtener  las</w:t>
        <w:br/>
        <w:t>consecuentes reparaciones”[129].</w:t>
        <w:br/>
        <w:br/>
        <w:br/>
        <w:t xml:space="preserve">    Debida diligencia y plazo razonable en la investigación y el proceso</w:t>
        <w:br/>
        <w:t xml:space="preserve">    penal</w:t>
        <w:br/>
        <w:br/>
        <w:br/>
        <w:t>Dentro  del  marco  fáctico  del  presente  caso,  quedó  probado   que   la</w:t>
        <w:br/>
        <w:t>investigación tuvo inicio el 2 de agosto de 2000, a partir de  una  denuncia</w:t>
        <w:br/>
        <w:t>ante el Primer Tribunal en lo Penal en Guayas por parte de la  señora  Melba</w:t>
        <w:br/>
        <w:t>Peralta Mendoza, madre de Melba Suárez Peralta (supra  párr.  46).  Respecto</w:t>
        <w:br/>
        <w:t>de la referida investigación, la Corte procede  a  formular  consideraciones</w:t>
        <w:br/>
        <w:t>sobre  los  retrasos,  faltas  y  omisiones  observados  a  lo   largo   del</w:t>
        <w:br/>
        <w:t>procedimiento penal, que concluyó con la declaración de prescripción  de  la</w:t>
        <w:br/>
        <w:t>acción el 20 de septiembre de 2005 por parte del Primer  Tribunal  Penal  de</w:t>
        <w:br/>
        <w:t>Guayas (supra párr. 71).</w:t>
        <w:br/>
        <w:br/>
        <w:t>En este sentido, la Corte nota que el sumario tuvo inicio el  16  de  agosto</w:t>
        <w:br/>
        <w:t>de 2000, a través del “auto cabeza de proceso” emitido por  el  Juez  Penal,</w:t>
        <w:br/>
        <w:t>en el cual se requirió la realización de diversas diligencias  (supra  párr.</w:t>
        <w:br/>
        <w:t>46). Sin embargo, hasta el primer cierre del sumario,  el  22  de  marzo  de</w:t>
        <w:br/>
        <w:t>2001, solamente consta en el expediente la declaración,  el   examen  médico</w:t>
        <w:br/>
        <w:t>legal a  la  presunta  víctima  y  la  rendición  de  información  sobre  la</w:t>
        <w:br/>
        <w:t>situación laboral del imputado.</w:t>
        <w:br/>
        <w:br/>
        <w:t>Asimismo, la Corte observa que en el proceso se presentaron diversas  faltas</w:t>
        <w:br/>
        <w:t>y  omisiones  en  la  realización  de   diligencias   esenciales   para   la</w:t>
        <w:br/>
        <w:t>investigación y resolución del caso,  tales  como  que:  a)  la  declaración</w:t>
        <w:br/>
        <w:t>indagatoria  del  imputado  Emilio  Guerrero  nunca  fue  realizada;  b)  el</w:t>
        <w:br/>
        <w:t>reconocimiento del lugar de los hechos ocurrió un año  después  de  iniciado</w:t>
        <w:br/>
        <w:t>el proceso; c) la declaración del imputado Wilson  Minchala  se  realizó  14</w:t>
        <w:br/>
        <w:t>meses después de iniciado el proceso, el 19 de octubre de  2001,  y  d)  las</w:t>
        <w:br/>
        <w:t>declaraciones testimoniales de personas a las que se atribuyó  participación</w:t>
        <w:br/>
        <w:t>en los  procedimientos  médicos  de  la  víctima,  Héctor  Taranto  y  Jenny</w:t>
        <w:br/>
        <w:t>Bohórquez se realizaron casi  15  meses  después  de  iniciado  el  proceso,</w:t>
        <w:br/>
        <w:t>respectivamente el 12 y 13 de noviembre de 2001 (supra párrs. 55 a 59).</w:t>
        <w:br/>
        <w:br/>
        <w:t>Lo anterior, además, deja en evidencia que la actuación del  Estado  no  fue</w:t>
        <w:br/>
        <w:t>eficiente, ya que el artículo 231 del Código de Procedimiento Penal  vigente</w:t>
        <w:br/>
        <w:t>a la época de los hechos disponía que  “en  ningún  caso  el  sumario  podrá</w:t>
        <w:br/>
        <w:t>durar en total más de sesenta días”. Las actuaciones  se  extendieron  desde</w:t>
        <w:br/>
        <w:t>el 16 de agosto de 2000 hasta el 27 de noviembre de 2001 (supra párrs. 46  y</w:t>
        <w:br/>
        <w:t>60).</w:t>
        <w:br/>
        <w:br/>
        <w:t>En igual sentido, la Corte observa que, a pesar de que el  impulso  procesal</w:t>
        <w:br/>
        <w:t>corresponde al Ministerio Público en  casos  de  acción  penal  pública,  su</w:t>
        <w:br/>
        <w:t>primera actuación sólo tuvo lugar el 29 de mayo  de  2001,  es  decir  nueve</w:t>
        <w:br/>
        <w:t>meses después de dictado el Auto Cabeza de Proceso.  Asimismo,  se  aprecian</w:t>
        <w:br/>
        <w:t>extensos lapsos entre ciertas actuaciones, como por ejemplo:</w:t>
        <w:br/>
        <w:br/>
        <w:t xml:space="preserve">        a) casi  nueve  meses  entre  la  primera  reapertura  del  sumario</w:t>
        <w:br/>
        <w:t xml:space="preserve">           ordenada el 14 de agosto de 2001 y la  petición  del  Ministerio</w:t>
        <w:br/>
        <w:t xml:space="preserve">           Público de anular tal actuación el 13 de  mayo  de  2002  (supra</w:t>
        <w:br/>
        <w:t xml:space="preserve">           párrs. 53 y 61);</w:t>
        <w:br/>
        <w:br/>
        <w:t xml:space="preserve">        b) casi 15 meses entre la orden de cierre  del  sumario  de  27  de</w:t>
        <w:br/>
        <w:t xml:space="preserve">           noviembre de  2001  y  el  auto  resolutorio  de  llamamiento  a</w:t>
        <w:br/>
        <w:t xml:space="preserve">           plenario de 17 febrero de 2003[130] (supra párrs. 60 y 63);</w:t>
        <w:br/>
        <w:br/>
        <w:t xml:space="preserve">        c) 16 meses entre la concesión del recurso de apelación  contra  el</w:t>
        <w:br/>
        <w:t xml:space="preserve">           auto resolutorio de llamamiento a plenario, el 26 de febrero  de</w:t>
        <w:br/>
        <w:t xml:space="preserve">           2003, y su resolución por la Corte Superior de Justicia el 29 de</w:t>
        <w:br/>
        <w:t xml:space="preserve">           junio de 2004 (supra párr. 64)[131], y</w:t>
        <w:br/>
        <w:br/>
        <w:t xml:space="preserve">        d) más de un año entre  la  resolución  de  la  Corte  Superior  de</w:t>
        <w:br/>
        <w:t xml:space="preserve">           Justicia que confirmó el llamamiento a plenario el 29  de  junio</w:t>
        <w:br/>
        <w:t xml:space="preserve">           de 2004 y la remisión del expediente a distribución para que  el</w:t>
        <w:br/>
        <w:t xml:space="preserve">           tribunal competente en etapa plenario continuara la  tramitación</w:t>
        <w:br/>
        <w:t xml:space="preserve">           el 30 de junio de 2005 (supra párrs. 64 y 67)[132].</w:t>
        <w:br/>
        <w:br/>
        <w:t>Asimismo, es posible apreciar que la mayoría de las  actuaciones  judiciales</w:t>
        <w:br/>
        <w:t>fueron realizadas a iniciativa de  la  señora  Melba  Peralta  Mendoza[133],</w:t>
        <w:br/>
        <w:t>quien presentó un gran número de escritos ante el Juez Penal y  el  Tribunal</w:t>
        <w:br/>
        <w:t>Penal los días 7, 14 y 28 de agosto, 18 y 20 de septiembre, 16 de octubre  y</w:t>
        <w:br/>
        <w:t>14 de noviembre de 2000; 18 de octubre y 13  de  noviembre  de  2001;  3  de</w:t>
        <w:br/>
        <w:t>junio de 2002; 23 de agosto, 5, 12 y 22 de septiembre  de  2005.  En  dichas</w:t>
        <w:br/>
        <w:t>peticiones solicitó, entre otros, que el proceso fuera impulsado y  resuelto</w:t>
        <w:br/>
        <w:t>de manera diligente, sin obtener respuestas o acciones claras frente  a  sus</w:t>
        <w:br/>
        <w:t>peticiones.</w:t>
        <w:br/>
        <w:br/>
        <w:t>Por otra parte, a pesar de que el caso se refería a  un  asunto  médico,  el</w:t>
        <w:br/>
        <w:t>cual conlleva un cierto elemento de complejidad, no correspondió a  ello  la</w:t>
        <w:br/>
        <w:t>lentitud del proceso, sobre  todo,  teniendo  presente  que  los  operadores</w:t>
        <w:br/>
        <w:t>judiciales  no  solicitaron  diligencias  técnicas,  pericias   o   estudios</w:t>
        <w:br/>
        <w:t>especializados para la investigación de los hechos que  pudieran  justificar</w:t>
        <w:br/>
        <w:t>la demora del mismo.  Asimismo,  en  el  presente  caso,  fueron  claramente</w:t>
        <w:br/>
        <w:t>determinadas  la  víctima,  las  personas  que  realizaron  la  intervención</w:t>
        <w:br/>
        <w:t>quirúrgica,  el  resultado  de  dicha   intervención,   el   lugar   y   las</w:t>
        <w:br/>
        <w:t>circunstancias de los hechos.</w:t>
        <w:br/>
        <w:br/>
        <w:t>De lo anterior se desprende la falta de  diligencia  y  efectividad  de  los</w:t>
        <w:br/>
        <w:t>operadores de justicia en impulsar el proceso de investigación del caso,  lo</w:t>
        <w:br/>
        <w:t>que,  sumado  a  las  diversas  interrupciones   temporales   del   trámite,</w:t>
        <w:br/>
        <w:t>culminaron  en  la  prescripción  de  la  acción   penal.   Es   decir,   la</w:t>
        <w:br/>
        <w:t>responsabilidad  por  las  falencias  y  la  demora  en  el  proceso  y   su</w:t>
        <w:br/>
        <w:t>consecuente prescripción se deben  exclusivamente  a  la  actuación  de  las</w:t>
        <w:br/>
        <w:t>autoridades   judiciales   ecuatorianas,    sobre    quienes    recaía    la</w:t>
        <w:br/>
        <w:t>responsabilidad de tomar  todas  las  medidas  necesarias  para  investigar,</w:t>
        <w:br/>
        <w:t>juzgar y, en su caso, sancionar a los  responsables,  independientemente  de</w:t>
        <w:br/>
        <w:t>la gestión de las partes[134].</w:t>
        <w:br/>
        <w:br/>
        <w:t>Además, la Corte toma nota de la  declaración  pericial  de  Laura  Pautassi</w:t>
        <w:br/>
        <w:t>quien, a la luz de  la  jurisprudencia  del  Tribunal  Europeo  de  Derechos</w:t>
        <w:br/>
        <w:t>Humanos[135], afirmó que en situaciones como las del presente caso,  en  las</w:t>
        <w:br/>
        <w:t>cuales la indemnización civil estaba sujeta  a  la  conclusión  del  proceso</w:t>
        <w:br/>
        <w:t>penal,  el  deber  de  investigar  en  un  plazo  razonable  “se  incrementa</w:t>
        <w:br/>
        <w:t>dependiendo de la situación de salud  de  la  persona  afectada”  pues  ésta</w:t>
        <w:br/>
        <w:t>“requiere de cuidados especiales [la duración  del  proceso]  vulnera[…]  su</w:t>
        <w:br/>
        <w:t>posibilidad de llevar una vida plena, […] en especial cuando la  persona  no</w:t>
        <w:br/>
        <w:t>puede trabajar debido a la mala praxis,  [y]  se  ve  limitada  entre  otras</w:t>
        <w:br/>
        <w:t>cuestiones a proveerse de un ingreso salarial propio”.</w:t>
        <w:br/>
        <w:br/>
        <w:t>Asimismo, la Corte destaca que  al  estar  en  juego  la  integridad  de  la</w:t>
        <w:br/>
        <w:t>persona,  y  la  consecuente  importancia   del   procedimiento   para   las</w:t>
        <w:br/>
        <w:t>víctimas[136], el mismo debe respetar las garantías  debidas  y  transcurrir</w:t>
        <w:br/>
        <w:t>en un plazo razonable. Este deber se actualiza “en aquellos casos donde  hay</w:t>
        <w:br/>
        <w:t>una lesión clara a la integridad de la persona, como  es  la  mala  práctica</w:t>
        <w:br/>
        <w:t>médica,  [y  por  tanto,]  las  autoridades  políticas,  administrativas   y</w:t>
        <w:br/>
        <w:t>especialmente  judiciales  deben  asegurar  e  implementar   la   expedición</w:t>
        <w:br/>
        <w:t>razonable y prontitud en  la  resolución  del  caso”[137].  En  el  presente</w:t>
        <w:br/>
        <w:t>asunto, la autoridad judicial  no  fue  efectiva  en  garantizar  la  debida</w:t>
        <w:br/>
        <w:t>diligencia del proceso penal, habida cuenta de la  obligación  positiva  del</w:t>
        <w:br/>
        <w:t>Estado de asegurar  su  progreso  razonable  y  sin  dilación,  teniendo  en</w:t>
        <w:br/>
        <w:t>consideración, además, la afectación a la integridad personal de la  víctima</w:t>
        <w:br/>
        <w:t>y la posibilidad de obtener reparación por medio de una acción civil  sujeta</w:t>
        <w:br/>
        <w:t>a la conclusión del proceso penal (infra párr. 120).</w:t>
        <w:br/>
        <w:br/>
        <w:t>En una similar situación esta Corte consideró que:</w:t>
        <w:br/>
        <w:br/>
        <w:t xml:space="preserve">      la falta de conclusión del proceso penal ha[bía] tenido  repercusiones</w:t>
        <w:br/>
        <w:t xml:space="preserve">      particulares […] ya que, en la legislación del Estado,  la  reparación</w:t>
        <w:br/>
        <w:t xml:space="preserve">      civil por los daños ocasionados como consecuencia de un hecho  ilícito</w:t>
        <w:br/>
        <w:t xml:space="preserve">      tipificado penalmente p[odía]  estar  sujeta  al  establecimiento  del</w:t>
        <w:br/>
        <w:t xml:space="preserve">      delito en un proceso de naturaleza criminal, por lo que en  la  acción</w:t>
        <w:br/>
        <w:t xml:space="preserve">      civil de resarcimiento tampoco se ha[bía] dictado sentencia de primera</w:t>
        <w:br/>
        <w:t xml:space="preserve">      instancia. Es decir, la falta de justicia en el  orden  penal  ha[bía]</w:t>
        <w:br/>
        <w:t xml:space="preserve">      impedido que [se obtuviera] una compensación civil por los hechos  del</w:t>
        <w:br/>
        <w:t xml:space="preserve">      […] caso”[138].</w:t>
        <w:br/>
        <w:br/>
        <w:t>Al respecto, la Corte  considera  que  la  prescripción  del  proceso  penal</w:t>
        <w:br/>
        <w:t>contra el médico acusado, impidió a la señora Melba Suárez  Peralta  iniciar</w:t>
        <w:br/>
        <w:t>acciones de responsabilidad civil por daños y perjuicios,  dado  que  en  el</w:t>
        <w:br/>
        <w:t>ordenamiento jurídico ecuatoriano vigente a  la  época  de  los  hechos,  la</w:t>
        <w:br/>
        <w:t>acción  de  reparación  civil   era   dependiente   de   la   acción   penal</w:t>
        <w:br/>
        <w:t>correspondiente[139] (infra párr. 120).</w:t>
        <w:br/>
        <w:br/>
        <w:t>A este respecto, durante la audiencia, la Corte solicitó al Estado  informar</w:t>
        <w:br/>
        <w:t>sobre la existencia de recursos de responsabilidad  extracontractual  a  los</w:t>
        <w:br/>
        <w:t>cuales hubiera podido acceder Melba Suárez para obtener una reparación.  Sin</w:t>
        <w:br/>
        <w:t>embargo, el Estado  no  remitió  prueba  de  ningún  recurso  disponible  ni</w:t>
        <w:br/>
        <w:t>fundamentó cómo la acción civil pudiera haber procedido,  independientemente</w:t>
        <w:br/>
        <w:t>de la falta de resolución de responsabilidad penal.</w:t>
        <w:br/>
        <w:br/>
        <w:br/>
        <w:t xml:space="preserve">    Sobre los alegados recursos disponibles</w:t>
        <w:br/>
        <w:br/>
        <w:br/>
        <w:t>En el presente apartado la Corte hará referencia a la solicitud de multa  al</w:t>
        <w:br/>
        <w:t>juez penal interpuesto por la víctima. Posteriormente,  la  Corte  analizará</w:t>
        <w:br/>
        <w:t>los alegatos del Estado respecto de los recursos que la víctima debía  haber</w:t>
        <w:br/>
        <w:t>interpuesto, a saber:  a)  la  apelación  de  la  decisión  que  declaró  la</w:t>
        <w:br/>
        <w:t>prescripción de la acción penal; b) la recusación del Juez Penal,  y  c)  la</w:t>
        <w:br/>
        <w:t>acción de daños y perjuicios en materia civil contra el juez de la causa.</w:t>
        <w:br/>
        <w:br/>
        <w:br/>
        <w:t xml:space="preserve">           Respecto de la solicitud de multa al juez penal</w:t>
        <w:br/>
        <w:br/>
        <w:br/>
        <w:t>La señora Melba Peralta Mendoza solicitó al Primer Tribunal Penal de  Guayas</w:t>
        <w:br/>
        <w:t>que se impusiera una  multa  al  Juez  Primero  en  lo  Penal  de  la  misma</w:t>
        <w:br/>
        <w:t>provincia, por considerar que la  prescripción  de  la  acción  penal  operó</w:t>
        <w:br/>
        <w:t>debido a su falta de diligencia. Sobre la misma se resolvió “No  procede  lo</w:t>
        <w:br/>
        <w:t>solicitado […]”.</w:t>
        <w:br/>
        <w:br/>
        <w:t>Al respecto, la Corte considera que tal decisión  no  fue  fundamentada,  en</w:t>
        <w:br/>
        <w:t>contravención con el propio artículo 24.13 de  la  Constitución  ecuatoriana</w:t>
        <w:br/>
        <w:t>vigente a la época de los hechos[140]. En tal sentido, la Corte ha  señalado</w:t>
        <w:br/>
        <w:t>que “la motivación es la justificación razonada que  permite  llegar  a  una</w:t>
        <w:br/>
        <w:t>conclusión”. En este  sentido,  “el  deber  de  motivación  es  una  de  las</w:t>
        <w:br/>
        <w:t>`debidas garantías´ incluidas en el  artículo  8.1  de  la  Convención  para</w:t>
        <w:br/>
        <w:t>salvaguardar el derecho a un debido proceso”[141].</w:t>
        <w:br/>
        <w:br/>
        <w:br/>
        <w:t xml:space="preserve">           Respecto del recurso de apelación a la prescripción, acción de</w:t>
        <w:br/>
        <w:t xml:space="preserve">           reparación civil y recusación.</w:t>
        <w:br/>
        <w:br/>
        <w:br/>
        <w:t>En su escrito de contestación, el Estado señaló que la víctima podría  haber</w:t>
        <w:br/>
        <w:t>apelado la decisión que declaró extinguida la  acción  penal  contra  Emilio</w:t>
        <w:br/>
        <w:t>Guerrero por su prescripción[142]. Asimismo, señaló que  la  víctima  podría</w:t>
        <w:br/>
        <w:t>haber recusado al Juez Primero en  lo  Penal  de  Guayas  con  base  en  los</w:t>
        <w:br/>
        <w:t>artículos 453 del Código de Procedimiento  Penal  y  871.10  del  Código  de</w:t>
        <w:br/>
        <w:t>Procedimiento  Civil[143],  de  modo   que   el   proceso   podría   haberse</w:t>
        <w:br/>
        <w:t>desarrollado sin dilaciones. En su alegato  final,  argumentó  que  ante  la</w:t>
        <w:br/>
        <w:t>resolución que declaró la  prescripción  de  la  acción  penal,  la  víctima</w:t>
        <w:br/>
        <w:t>podría haber interpuesto una acción de daños y perjuicios en  materia  civil</w:t>
        <w:br/>
        <w:t>en contra del juez  responsable  por  la  falta  de  despacho  oportuno  del</w:t>
        <w:br/>
        <w:t>proceso.</w:t>
        <w:br/>
        <w:br/>
        <w:t>A este respecto, los representantes y la  Comisión  argumentaron  que  tales</w:t>
        <w:br/>
        <w:t>recursos no eran idóneos (supra párrs. 89 y 90).</w:t>
        <w:br/>
        <w:br/>
        <w:t xml:space="preserve">                i. Recurso de apelación</w:t>
        <w:br/>
        <w:br/>
        <w:br/>
        <w:t>Respecto de la  apelación  a  la  declaratoria  de  prescripción,  la  Corte</w:t>
        <w:br/>
        <w:t>observa que dicho recurso estaba previsto en ley y, según  el  artículo  114</w:t>
        <w:br/>
        <w:t>del Código Penal, la prescripción se declara al reunirse las condiciones  de</w:t>
        <w:br/>
        <w:t>ley[144]. El artículo 348.3 del Código de Procedimiento Penal[145]  disponía</w:t>
        <w:br/>
        <w:t>que  procede  el  recurso  de  apelación  frente  a   la   declaratoria   de</w:t>
        <w:br/>
        <w:t>prescripción. Por su parte, el artículo 108 del  Código  Penal,  señala  que</w:t>
        <w:br/>
        <w:t>“la prescripción de la acción como la de  la  pena  se  interrumpen  por  el</w:t>
        <w:br/>
        <w:t>hecho de cometer el reo otra infracción que  merezca  igual  o  mayor  pena,</w:t>
        <w:br/>
        <w:t>antes de vencerse el tiempo para la prescripción”[146].  Adicionalmente,  el</w:t>
        <w:br/>
        <w:t>artículo 398 del código adjetivo establecía que los procesos en  los  cuales</w:t>
        <w:br/>
        <w:t>se declarara la prescripción de la  acción  penal  pública  se  elevarían  a</w:t>
        <w:br/>
        <w:t>consulta, tanto por los  tribunales  penales  como  por  los  jueces  de  lo</w:t>
        <w:br/>
        <w:t>penal[147].</w:t>
        <w:br/>
        <w:br/>
        <w:t>De la prueba del expediente se desprende que en Ecuador  la  declaración  de</w:t>
        <w:br/>
        <w:t>la prescripción era aplicable ipso  jure,  es  decir,  bastaba  al  operador</w:t>
        <w:br/>
        <w:t>judicial verificar la ocurrencia del plazo de prescripción dispuesto  en  la</w:t>
        <w:br/>
        <w:t>legislación para declarar su aplicación. Asimismo, la jurisprudencia  de  la</w:t>
        <w:br/>
        <w:t>Corte Nacional de Justicia de  Ecuador  aportada  en  autos  indica  que  la</w:t>
        <w:br/>
        <w:t>declaración  de  prescripción  corresponde  al  juez  o  tribunal  en  donde</w:t>
        <w:br/>
        <w:t>prescribió la acción, sobre quien recae  la  obligación  de  “declararla  de</w:t>
        <w:br/>
        <w:t>oficio o a petición de parte, una vez cumplidos los requisitos exigidos  por</w:t>
        <w:br/>
        <w:t>la Ley y no remitir el proceso para  que  sea  el  Superior  al  conocer  el</w:t>
        <w:br/>
        <w:t>recurso”[148].  Además,  en  caso  de  la  presentación  de  un  recurso  de</w:t>
        <w:br/>
        <w:t>apelación este  será  desestimado  si  “como  de  autos  consta  no  haberse</w:t>
        <w:br/>
        <w:t>interrumpido” la prescripción[149].</w:t>
        <w:br/>
        <w:br/>
        <w:t>Al respecto, el Estado no fundamentó cómo dicho recurso  podría  reabrir  la</w:t>
        <w:br/>
        <w:t>investigación o el proceso  penal  prescrito  ni  tampoco  controvirtió  las</w:t>
        <w:br/>
        <w:t>decisiones de la Corte Nacional de Justicia. Por  el  contrario,  el  Estado</w:t>
        <w:br/>
        <w:t>mismo, en sus alegatos finales escritos, señaló que “la ex Corte Suprema  de</w:t>
        <w:br/>
        <w:t>Justicia ha desarrollado vasta jurisprudencia sobre la  prescripción  de  la</w:t>
        <w:br/>
        <w:t>acción penal  [en  la  cual  ha]  sido  enfática  al  establecer  que  ‘[l]a</w:t>
        <w:br/>
        <w:t>prescripción de la acción para perseguir los delitos, es obligación  de  los</w:t>
        <w:br/>
        <w:t>Jueces declararla de oficio, al reunirse  las  condiciones  determinadas  en</w:t>
        <w:br/>
        <w:t>[la ley]”[150].</w:t>
        <w:br/>
        <w:br/>
        <w:t>En atención a lo anterior, durante la audiencia pública  la  Corte  solicitó</w:t>
        <w:br/>
        <w:t>al Estado remitir como prueba para mejor resolver, entre  otras,  “copia  de</w:t>
        <w:br/>
        <w:t>la resolución del trámite de consulta respecto de la prescripción  penal  en</w:t>
        <w:br/>
        <w:t>esta causa, en virtud de lo dispuesto en  el  artículo  398  del  Código  de</w:t>
        <w:br/>
        <w:t>Procedimiento Penal ecuatoriano”,  toda  vez  que  en  caso  de  no  haberse</w:t>
        <w:br/>
        <w:t>interpuesto  recurso  de  apelación  sobre  la  resolución  que  declaró  la</w:t>
        <w:br/>
        <w:t>prescripción de la acción, la Corte  superior  jerárquica  igualmente  debía</w:t>
        <w:br/>
        <w:t>revisar, mediante el trámite de consulta, la legalidad de dicha  resolución.</w:t>
        <w:br/>
        <w:t>Sin embargo, el Estado  no  dio  respuesta  a  lo  solicitado,  ni  siquiera</w:t>
        <w:br/>
        <w:t>haciendo una relación sobre el resultado de tal actuación.</w:t>
        <w:br/>
        <w:br/>
        <w:t>En este sentido, la Corte considera que, según  la  prueba  aportada  en  el</w:t>
        <w:br/>
        <w:t>presente caso, dicho recurso era  manifiestamente  improcedente,  visto  que</w:t>
        <w:br/>
        <w:t>los supuestos que permitían revocar la decisión de  prescripción  no  tenían</w:t>
        <w:br/>
        <w:t>relación alguna con la dilación en el trámite del  procedimiento  penal.  Al</w:t>
        <w:br/>
        <w:t>respecto, en el presente caso el recurso no produciría efectos  jurídicos  o</w:t>
        <w:br/>
        <w:t>fácticos en virtud de que no cumplía con los requisitos legales de  admisión</w:t>
        <w:br/>
        <w:t>previstos en el artículo 108 del Código Penal[151], es  decir,  que  el  reo</w:t>
        <w:br/>
        <w:t>hubiera  cometido  otra  infracción  que  merezca  igual  o  mayor  pena   o</w:t>
        <w:br/>
        <w:t>divergencias en cuanto al cálculo del tiempo de prescripción. Por  ello,  no</w:t>
        <w:br/>
        <w:t>existía  como  causa  de  procedencia  del  recurso  el  inadecuado   manejo</w:t>
        <w:br/>
        <w:t>procesal. Por tanto, si bien el artículo 348.3 del Código  de  Procedimiento</w:t>
        <w:br/>
        <w:t>Penal contemplaba el recurso  de  apelación  frente  a  la  declaratoria  de</w:t>
        <w:br/>
        <w:t>prescripción, el mismo no sería considerado procedente para lograr  revertir</w:t>
        <w:br/>
        <w:t>la declaratoria de prescripción que ya había  operado  ipso  jure,  como  se</w:t>
        <w:br/>
        <w:t>evidencia con la prueba que obra en el expediente.</w:t>
        <w:br/>
        <w:br/>
        <w:t>En  virtud  de  los  artículos  14,  23,  24,  428  y  460  del  Código   de</w:t>
        <w:br/>
        <w:t>Procedimiento Penal[152], la Fiscalía,  como  titular  de  la  acción  penal</w:t>
        <w:br/>
        <w:t>podría haber interpuesto  los  recursos  necesarios,  a  fin  de  activar  e</w:t>
        <w:br/>
        <w:t>impulsar el proceso a través de la recusación o  apelación  según  fuese  el</w:t>
        <w:br/>
        <w:t>caso[153]. Si bien, la  víctima  y  sus  familiares  podrían  presentar  una</w:t>
        <w:br/>
        <w:t>acusación particular,  de  manera  coadyuvante  o  complementaria,  esto  no</w:t>
        <w:br/>
        <w:t>suplía el rol del fiscal de su deber  de  acción.  Al  respecto,  el  Estado</w:t>
        <w:br/>
        <w:t>tampoco justificó por qué tal institución no realizó dichas actuaciones.</w:t>
        <w:br/>
        <w:br/>
        <w:t xml:space="preserve">               ii. Recusación</w:t>
        <w:br/>
        <w:br/>
        <w:t>Respecto de la recusación, como la Corte lo ha señalado, se trataba  de  “un</w:t>
        <w:br/>
        <w:t>instrumento procesal destinado a proteger el derecho a ser  juzgado  por  un</w:t>
        <w:br/>
        <w:t>órgano  imparcial  y  no  [necesariamente]  un   elemento   constitutivo   o</w:t>
        <w:br/>
        <w:t>definitorio  de  dicho  derecho”[154],  especialmente   tratándose   de   la</w:t>
        <w:br/>
        <w:t>celeridad del proceso. Al respecto, la Corte constata que dicho  recurso  no</w:t>
        <w:br/>
        <w:t>tenía  como  objetivo  proteger  la   situación   jurídica   infringida   en</w:t>
        <w:br/>
        <w:t>controversia ya que procedería,  en  todo  caso,  al  verificarse  elementos</w:t>
        <w:br/>
        <w:t>manifiestos que pudieran  impedir  la  objetividad  del  juez  a  cargo  del</w:t>
        <w:br/>
        <w:t>procedimiento y no así remediar la dilación procesal ya ocurrida. En  virtud</w:t>
        <w:br/>
        <w:t>de lo anterior, dicho recurso no era idóneo[155].</w:t>
        <w:br/>
        <w:br/>
        <w:t xml:space="preserve">              iii. Acción civil de reparación</w:t>
        <w:br/>
        <w:br/>
        <w:t>En cuanto a la interposición de acciones civiles de reparación en contra  de</w:t>
        <w:br/>
        <w:t>los médicos, la Corte reitera que  las  mismas  no  podían  interponerse  en</w:t>
        <w:br/>
        <w:t>tanto no hubiera culminado el proceso penal con fundamento  en  el  artículo</w:t>
        <w:br/>
        <w:t>17 del Código de Procedimiento Penal  vigente  a  la  época  de  los  hechos</w:t>
        <w:br/>
        <w:t>(supra párr. 106); por otra parte, respecto de aquella  reseñada  de  manera</w:t>
        <w:br/>
        <w:t>extemporánea por el Estado, sobre accionar civilmente contra un juez  (supra</w:t>
        <w:br/>
        <w:t>párr. 111) no tendría por objeto la determinación de los daños sufridos  por</w:t>
        <w:br/>
        <w:t>la mala praxis médica, sino se limitaría a discutir  un  eventual  perjuicio</w:t>
        <w:br/>
        <w:t>causado por el retraso procesal de responsabilidad del Juez.</w:t>
        <w:br/>
        <w:br/>
        <w:t>Así, si bien el  Estado  enunció  las  probables  consecuencias  de  haberse</w:t>
        <w:br/>
        <w:t>interpuesto la recusación, apelación o acción civil de  daños  y  perjuicios</w:t>
        <w:br/>
        <w:t>contra  el  juez  (supra  párr.  111),  no  acompañó  mayores   antecedentes</w:t>
        <w:br/>
        <w:t>prácticos que avalaran la efectividad de  interponer  dichos  recursos  como</w:t>
        <w:br/>
        <w:t>medida para lograr el objetivo de la investigación penal.</w:t>
        <w:br/>
        <w:br/>
        <w:t>Por todo  lo  anterior,  los  recursos  indicados  por  el  Estado  debieron</w:t>
        <w:br/>
        <w:t>interponerse  por  la  Fiscalía.  Asimismo,  no  se  demostró   que   fueran</w:t>
        <w:br/>
        <w:t>procedentes,  ni  idóneos,  ni  efectivos  para   esclarecer   los   hechos,</w:t>
        <w:br/>
        <w:t>determinar responsabilidades y alcanzar una reparación por las  afectaciones</w:t>
        <w:br/>
        <w:t>a la integridad personal y la salud de la señora Melba Suárez Peralta.</w:t>
        <w:br/>
        <w:br/>
        <w:br/>
        <w:t xml:space="preserve">    Conclusión</w:t>
        <w:br/>
        <w:br/>
        <w:br/>
        <w:t>En conclusión, la Corte considera que, en el presente caso,  las  falencias,</w:t>
        <w:br/>
        <w:t>retrasos  y  omisiones  en  la  investigación  penal  demuestran   que   las</w:t>
        <w:br/>
        <w:t>autoridades estatales no actuaron con la debida diligencia ni con arreglo  a</w:t>
        <w:br/>
        <w:t>las obligaciones  de  investigar  y  de  cumplir  con  una  tutela  judicial</w:t>
        <w:br/>
        <w:t>efectiva dentro de un plazo razonable, en función de garantizar a la  señora</w:t>
        <w:br/>
        <w:t>Melba  Suárez  Peralta  una  reparación  con  la  que  podría   acceder   al</w:t>
        <w:br/>
        <w:t>tratamiento médico  necesario  para  su  problema  de  salud.  Por  todo  lo</w:t>
        <w:br/>
        <w:t>anterior, el Estado violó los derechos previstos  en  los  artículos  8.1  y</w:t>
        <w:br/>
        <w:t>25.1 de la Convención, en relación con el  artículo  1.1  de  la  misma,  en</w:t>
        <w:br/>
        <w:t>perjuicio de Melba Suárez Peralta y Melba Peralta Mendoza.</w:t>
        <w:br/>
        <w:br/>
        <w:br/>
        <w:t>IX</w:t>
        <w:br/>
        <w:br/>
        <w:br/>
        <w:t>DERECHO A LA INTEGRIDAD PERSONAL</w:t>
        <w:br/>
        <w:br/>
        <w:br/>
        <w:br/>
        <w:br/>
        <w:br/>
        <w:t>Argumentos de la Comisión y de las partes</w:t>
        <w:br/>
        <w:br/>
        <w:br/>
        <w:t>La Comisión no se pronunció  en  su  Informe  de  Fondo  sobre  la  presunta</w:t>
        <w:br/>
        <w:t>vulneración del artículo 5.1 de la Convención[156].</w:t>
        <w:br/>
        <w:br/>
        <w:t>En el escrito de solicitudes y argumentos, el representante  solicitó  a  la</w:t>
        <w:br/>
        <w:t>Corte que declare la vulneración del artículo 5.1 de la Convención[157],  en</w:t>
        <w:br/>
        <w:t>perjuicio de Melba del Carmen Suárez Peralta, Melba Peralta  Mendoza  y  sus</w:t>
        <w:br/>
        <w:t>familiares,  dado  que  “la  mala  operación  médica  practicada  tuvo  como</w:t>
        <w:br/>
        <w:t>consecuencia la extracción de una parte de su intestino”,  y  en  virtud  de</w:t>
        <w:br/>
        <w:t>que “el Estado fue ineficiente  en  el  control  del  ejercicio  profesional</w:t>
        <w:br/>
        <w:t>médico del Emilio Gutiérrez, al haber permitido que oper[ara] sin la  debida</w:t>
        <w:br/>
        <w:t>autorización laboral”. El representante enfatizó que  “las  operaciones  que</w:t>
        <w:br/>
        <w:t>se efectuaron en la  Clínica  Minchala  fueron  parte  de  un  convenio  que</w:t>
        <w:br/>
        <w:t>realizó una entidad estatal  denominada  Comisión  de  Tránsito  de  Guayas,</w:t>
        <w:br/>
        <w:t>donde el esposo de la [v]íctima laboraba, y que ofrecía a los familiares  de</w:t>
        <w:br/>
        <w:t>sus empleados y oficiales operaciones a bajo [c]osto”. Por tanto,  consideró</w:t>
        <w:br/>
        <w:t>que el Estado fue “cómplice de  la  ejecución  del  acto  ilícito,  pues  la</w:t>
        <w:br/>
        <w:t>actuación ilegal del citado profesional […] de la [s]alud  fue  promovida  y</w:t>
        <w:br/>
        <w:t>alentada por  una  entidad  estatal”.  Asimismo,  en  sus  alegatos  finales</w:t>
        <w:br/>
        <w:t>orales, el representante agregó que “el origen de la  mala  práctica  médica</w:t>
        <w:br/>
        <w:t>de la operación fue […] la orden general número 19177 del jueves 1 de  junio</w:t>
        <w:br/>
        <w:t>del 2000, mediante [la] cual la entidad estatal de tránsito en  Ecuador  […]</w:t>
        <w:br/>
        <w:t>comunic[ó] […]  que  los  señores  médicos  del  hermano  país  de  Cuba  se</w:t>
        <w:br/>
        <w:t>encontraban prestando sus servicios en el  policlínico  de  la  institución,</w:t>
        <w:br/>
        <w:t>[y] mención[ó] [a]l doctor Emilio Guerrero[.]  [E]l  propio  órgano  estatal</w:t>
        <w:br/>
        <w:t>promocionó  la  consulta  [e]  incluso  la  intervención  quirúrgica  de  un</w:t>
        <w:br/>
        <w:t>profesional que no estaba autorizado dentro del  Estado,  […]  que  concluyó</w:t>
        <w:br/>
        <w:t>evidentemente y posteriormente, en la operación  de  […]  Melba  del  Carmen</w:t>
        <w:br/>
        <w:t>Suárez Peralta[. Así,] el Estado asumió una carga inversa negativa,  en  vez</w:t>
        <w:br/>
        <w:t>de positiva, al haber promocionado  y  no  impedido  [o]  prevenido  que  un</w:t>
        <w:br/>
        <w:t>profesional [no calificado] pudiese ejercer  la  medicina  a  sabiendas  del</w:t>
        <w:br/>
        <w:t>Estado y con promoción efectivamente de est[e]”.</w:t>
        <w:br/>
        <w:br/>
        <w:t>Por su parte, el Estado alegó que el representante “intent[ó] demostrar  que</w:t>
        <w:br/>
        <w:t>existen tipologías análogas de tortura o de  tratos  crueles  y  degradantes</w:t>
        <w:br/>
        <w:t>por derivación simple de una eventual atribución de responsabilidad  en  los</w:t>
        <w:br/>
        <w:t>artículos 1.1, 8 y 25 [de la Convención]  y  no  porque  exist[iese]  en  la</w:t>
        <w:br/>
        <w:t>configuración de los hechos ningún atisbo de  violación  al  derecho  de  la</w:t>
        <w:br/>
        <w:t>integridad personal”. Asimismo, refirió que “de acuerdo  a  la  presentación</w:t>
        <w:br/>
        <w:t>de los hechos […] se desprende  que  [en]  las  circunstancias  en  las  que</w:t>
        <w:br/>
        <w:t>ocurr[ió] la intervención quirúrgica de la señora  Suárez  Peralta  no  solo</w:t>
        <w:br/>
        <w:t>[…] no había ninguna intervención estatal,  sino  que  más  aún  es  erróneo</w:t>
        <w:br/>
        <w:t>afirmar que el Estado se encontraba en una  virtual  posición  de  garante”,</w:t>
        <w:br/>
        <w:t>por lo que señaló que “un Estado no  puede  ser  responsable  por  cualquier</w:t>
        <w:br/>
        <w:t>violación de derechos humanos  cometida  entre  particulares  dentro  de  su</w:t>
        <w:br/>
        <w:t>jurisdicción”. En sus alegatos finales orales, el Estado concluyó  que  “los</w:t>
        <w:br/>
        <w:t>actos que pudieron causar la supuesta mala práctica médica  e  inclusive  el</w:t>
        <w:br/>
        <w:t>supuesto retardo en la tramitación de  justicia,  no  se  enmarca[n]  en  lo</w:t>
        <w:br/>
        <w:t>definido como tortura física y psíquica, por lo cual sería improcedente  que</w:t>
        <w:br/>
        <w:t>e[l] Tribunal se pronuncie respecto al fondo de este artículo”.</w:t>
        <w:br/>
        <w:br/>
        <w:br/>
        <w:t>Consideraciones generales de la Corte</w:t>
        <w:br/>
        <w:br/>
        <w:br/>
        <w:t>La Corte reitera lo señalado respecto a que las  presuntas  víctimas  y  sus</w:t>
        <w:br/>
        <w:t>representantes pueden invocar la violación de  otros  derechos  distintos  a</w:t>
        <w:br/>
        <w:t>los comprendidos en la demanda siempre y cuando  se  atengan  a  los  hechos</w:t>
        <w:br/>
        <w:t>contenidos en dicho documento, en  tanto  son  las  presuntas  víctimas  las</w:t>
        <w:br/>
        <w:t>titulares de todos los derechos consagrados en la  Convención  (supra  párr.</w:t>
        <w:br/>
        <w:t>19). Por tanto, esta Corte considera pertinente  analizar  ciertos  aspectos</w:t>
        <w:br/>
        <w:t>relativos a la aplicación del artículo 5.1  de  la  Convención  al  presente</w:t>
        <w:br/>
        <w:t>caso, a fin de determinar si se  configura  la  responsabilidad  del  Estado</w:t>
        <w:br/>
        <w:t>respecto de este derecho.</w:t>
        <w:br/>
        <w:br/>
        <w:t>Al respecto, esta Corte ha sostenido que, en aplicación del artículo 1.1  de</w:t>
        <w:br/>
        <w:t>la Convención, los Estados poseen la obligación erga  omnes  de  respetar  y</w:t>
        <w:br/>
        <w:t>garantizar las normas de protección, así como de asegurar la efectividad  de</w:t>
        <w:br/>
        <w:t>los derechos humanos[158]. Por consiguiente, los Estados se  comprometen  no</w:t>
        <w:br/>
        <w:t>solo a respetar los derechos y libertades en  ella  reconocidos  (obligación</w:t>
        <w:br/>
        <w:t>negativa),  sino  también  a  adoptar  todas  las  medidas  apropiadas  para</w:t>
        <w:br/>
        <w:t>garantizarlos (obligación positiva)[159].  En  este  sentido,  la  Corte  ha</w:t>
        <w:br/>
        <w:t>establecido que “no basta  que  los  Estados  se  abstengan  de  violar  los</w:t>
        <w:br/>
        <w:t>derechos,  sino  que  es  imperativa  la  adopción  de  medidas   positivas,</w:t>
        <w:br/>
        <w:t>determinables en función de las particulares necesidades de  protección  del</w:t>
        <w:br/>
        <w:t>sujeto de derecho, ya sea por su  condición  personal  o  por  la  situación</w:t>
        <w:br/>
        <w:t>específica en que se encuentre”[160].</w:t>
        <w:br/>
        <w:br/>
        <w:t>Por otra parte, la Corte  estima  que  el  artículo  1.1  de  la  Convención</w:t>
        <w:br/>
        <w:t>también  contempla  el  deber  estatal  de  garantizar  la   existencia   de</w:t>
        <w:br/>
        <w:t>mecanismos legales tendientes a hacer frente a las amenazas a la  integridad</w:t>
        <w:br/>
        <w:t>física de las  personas[161],  y  que  permitan  investigar  seriamente  las</w:t>
        <w:br/>
        <w:t>violaciones que  se  hayan  cometido  a  los  efectos  de  sancionar  a  los</w:t>
        <w:br/>
        <w:t>responsables y asegurar a la víctima una  reparación[162].  En  el  presente</w:t>
        <w:br/>
        <w:t>caso, las obligaciones correspondientes a la  investigación  y  sanción  han</w:t>
        <w:br/>
        <w:t>sido analizadas en las consideraciones respecto de los artículos 8 y  25  de</w:t>
        <w:br/>
        <w:t>la Convención (supra párr. 123).</w:t>
        <w:br/>
        <w:br/>
        <w:t>La obligación de garantía se proyecta más allá  de  la  relación  entre  los</w:t>
        <w:br/>
        <w:t>agentes estatales y las personas  sometidas  a  su  jurisdicción,  abarcando</w:t>
        <w:br/>
        <w:t>asimismo el deber de prevenir, en la esfera privada, que  terceros  vulneren</w:t>
        <w:br/>
        <w:t>los bienes jurídicos protegidos[163]. No obstante, la Corte  ha  considerado</w:t>
        <w:br/>
        <w:t>que un Estado no puede ser responsable por cualquier violación  de  derechos</w:t>
        <w:br/>
        <w:t>humanos cometida entre particulares dentro de su jurisdicción.  El  carácter</w:t>
        <w:br/>
        <w:t>erga omnes de las obligaciones convencionales de garantía  a  cargo  de  los</w:t>
        <w:br/>
        <w:t>Estados no implica una responsabilidad ilimitada  de  los  mismos  frente  a</w:t>
        <w:br/>
        <w:t>cualquier acto o hecho de particulares; pues,  aunque  un  acto,  omisión  o</w:t>
        <w:br/>
        <w:t>hecho de un particular tenga como  consecuencia  jurídica  la  violación  de</w:t>
        <w:br/>
        <w:t>determinados  derechos   humanos   de   otro   particular,   aquel   no   es</w:t>
        <w:br/>
        <w:t>automáticamente atribuible al Estado, sino que corresponde atenderse  a  las</w:t>
        <w:br/>
        <w:t>circunstancias  particulares  del  caso  y  a  la   concreción   de   dichas</w:t>
        <w:br/>
        <w:t>obligaciones de garantía[164].  En este sentido, la Corte  deberá  verificar</w:t>
        <w:br/>
        <w:t>si se actualiza la responsabilidad del Estado en el caso concreto.</w:t>
        <w:br/>
        <w:br/>
        <w:t>En lo que respecta a la relación del deber de garantía  (artículo  1.1)  con</w:t>
        <w:br/>
        <w:t>el artículo 5.1 de la Convención, la Corte ha establecido que el  derecho  a</w:t>
        <w:br/>
        <w:t>la integridad personal se halla directa e inmediatamente  vinculado  con  la</w:t>
        <w:br/>
        <w:t>atención a la salud humana[165], y que la falta de atención médica  adecuada</w:t>
        <w:br/>
        <w:t>puede conllevar la vulneración del artículo 5.1 de  la  Convención[166].  En</w:t>
        <w:br/>
        <w:t>este sentido, la Corte ha sostenido que  la  protección  del  derecho  a  la</w:t>
        <w:br/>
        <w:t>integridad personal supone la regulación de los servicios  de  salud  en  el</w:t>
        <w:br/>
        <w:t>ámbito interno, así como  la  implementación  de  una  serie  de  mecanismos</w:t>
        <w:br/>
        <w:t>tendientes a tutelar la  efectividad  de  dicha  regulación[167].  Por  esta</w:t>
        <w:br/>
        <w:t>razón, se debe determinar si en el presente caso se garantizó la  integridad</w:t>
        <w:br/>
        <w:t>personal consagrada en el artículo 5.1 de la Convención en relación  con  el</w:t>
        <w:br/>
        <w:t>artículo 1.1 de la misma.</w:t>
        <w:br/>
        <w:br/>
        <w:t>Por  otra  parte,  la  Corte  también  considera  pertinente   recordar   la</w:t>
        <w:br/>
        <w:t>interdependencia e indivisibilidad existente entre los  derechos  civiles  y</w:t>
        <w:br/>
        <w:t>políticos  y  los  económicos  sociales  y  culturales,  ya  que  deben  ser</w:t>
        <w:br/>
        <w:t>entendidos integralmente como derechos humanos, sin  jerarquía  entre  sí  y</w:t>
        <w:br/>
        <w:t>exigibles  en  todos  los  casos  ante  aquellas  autoridades  que  resulten</w:t>
        <w:br/>
        <w:t>competentes para ello[168]. Al respecto, la  Declaración  Americana  de  los</w:t>
        <w:br/>
        <w:t>Derechos y Deberes del Hombre establece en su Artículo XI que  toda  persona</w:t>
        <w:br/>
        <w:t>tiene el derecho “a que su salud sea preservada  por  medidas  sanitarias  y</w:t>
        <w:br/>
        <w:t>sociales, relativas a […] la asistencia médica,  correspondientes  al  nivel</w:t>
        <w:br/>
        <w:t>que permitan los recursos públicos y los de la comunidad”. Por su parte,  el</w:t>
        <w:br/>
        <w:t>Artículo 45 de la  Carta  de  la  OEA  requiere  que  los  Estados  Miembros</w:t>
        <w:br/>
        <w:t>“dedi[quen] sus máximos esfuerzos [… para el] [d]esarrollo de  una  política</w:t>
        <w:br/>
        <w:t>eficiente de seguridad social”[169]. En este sentido,  el  artículo  10[170]</w:t>
        <w:br/>
        <w:t>del Protocolo Adicional a la Convención Americana sobre Derechos Humanos  en</w:t>
        <w:br/>
        <w:t>materia de  Derechos  Económicos,  Sociales  y  Culturales,  ratificado  por</w:t>
        <w:br/>
        <w:t>Ecuador el 25 de marzo de 1993, establece que toda persona tiene  derecho  a</w:t>
        <w:br/>
        <w:t>la salud, entendida como  el  disfrute  del  más  alto  nivel  de  bienestar</w:t>
        <w:br/>
        <w:t>físico, mental y social, e indica que la  salud  es  un  bien  público[171].</w:t>
        <w:br/>
        <w:t>Adicionalmente, en julio de 2012, la Asamblea General de la Organización  de</w:t>
        <w:br/>
        <w:t>Estados Americanos enfatizó la calidad de  los  establecimientos,  bienes  y</w:t>
        <w:br/>
        <w:t>servicios de salud,  lo  cual  requiere  la  presencia  de  personal  médico</w:t>
        <w:br/>
        <w:t>capacitado, así como de condiciones sanitarias adecuadas[172].</w:t>
        <w:br/>
        <w:br/>
        <w:t>Por tanto, esta Corte ha señalado que, a los efectos de dar  cumplimiento  a</w:t>
        <w:br/>
        <w:t>la obligación de garantizar el derecho a la  integridad  personal  y  en  el</w:t>
        <w:br/>
        <w:t>marco de la salud, los Estados deben establecer un marco normativo  adecuado</w:t>
        <w:br/>
        <w:t>que regule la prestación de servicios de salud, estableciendo estándares  de</w:t>
        <w:br/>
        <w:t>calidad para las instituciones públicas y  privadas,  que  permita  prevenir</w:t>
        <w:br/>
        <w:t>cualquier  amenaza  de  vulneración  a  la  integridad  personal  en  dichas</w:t>
        <w:br/>
        <w:t>prestaciones. Asimismo, el Estado debe prever mecanismos  de  supervisión  y</w:t>
        <w:br/>
        <w:t>fiscalización  estatal   de   las   instituciones   de   salud,   así   como</w:t>
        <w:br/>
        <w:t>procedimientos de tutela administrativa  y  judicial  para  el  damnificado,</w:t>
        <w:br/>
        <w:t>cuya efectividad dependerá, en definitiva, de la puesta en práctica  que  la</w:t>
        <w:br/>
        <w:t>administración competente realice al respecto[173].</w:t>
        <w:br/>
        <w:br/>
        <w:t>Por consiguiente, la Corte estima necesario analizar, en el marco del  deber</w:t>
        <w:br/>
        <w:t>de garantía, prevención y protección del derecho a la  integridad  personal,</w:t>
        <w:br/>
        <w:t>si el Estado ha  cumplido  diligentemente  con  su  obligación  de  regular,</w:t>
        <w:br/>
        <w:t>supervisar y fiscalizar  a  las  entidades  que,  en  este  caso,  prestaron</w:t>
        <w:br/>
        <w:t>servicios  de  salud  a  la  señora  Melba  Suárez   Peralta.   Para   ello,</w:t>
        <w:br/>
        <w:t>primeramente,  la  Corte  se  referirá  a  la  legislación  ecuatoriana  que</w:t>
        <w:br/>
        <w:t>regulaba los servicios de salud al momento  de  los  hechos  de  este  caso.</w:t>
        <w:br/>
        <w:t>Seguidamente, se pronunciará sobre la supervisión y  fiscalización  que  las</w:t>
        <w:br/>
        <w:t>entidades estatales realizaron en referencia a  los  servicios  prestados  a</w:t>
        <w:br/>
        <w:t>Melba Suárez  Peralta.  Por  último,  la  Corte  aludirá  a  las  eventuales</w:t>
        <w:br/>
        <w:t>afectaciones a la integridad personal de Melba Peralta Mendoza.</w:t>
        <w:br/>
        <w:br/>
        <w:br/>
        <w:t xml:space="preserve">        El deber de regulación del Estado de los servicios de salud para la</w:t>
        <w:br/>
        <w:t xml:space="preserve">        protección de la integridad personal</w:t>
        <w:br/>
        <w:br/>
        <w:br/>
        <w:t>Conforme esta Corte lo señaló en otro caso, “los  Estados  son  responsables</w:t>
        <w:br/>
        <w:t>de regular […] con carácter permanente la prestación de los servicios  y  la</w:t>
        <w:br/>
        <w:t>ejecución de los programas nacionales relativos al logro de  una  prestación</w:t>
        <w:br/>
        <w:t>de servicios de salud  públicos  de  calidad,  de  tal  manera  que  disuada</w:t>
        <w:br/>
        <w:t>cualquier amenaza al derecho a la vida y  a  la  integridad  física  de  las</w:t>
        <w:br/>
        <w:t>personas  sometidas  a  tratamiento  de  salud.  Deben,  inter  alia,  crear</w:t>
        <w:br/>
        <w:t>mecanismos adecuados para inspeccionar  las  instituciones,  […]  presentar,</w:t>
        <w:br/>
        <w:t>investigar y resolver quejas y establecer  procedimientos  disciplinarios  o</w:t>
        <w:br/>
        <w:t>judiciales apropiados para casos  de  conducta  profesional  indebida  o  de</w:t>
        <w:br/>
        <w:t>violación de los derechos de los pacientes”[174].</w:t>
        <w:br/>
        <w:br/>
        <w:t>El Comité de Derechos Económicos, Sociales  y  Culturales  de  las  Naciones</w:t>
        <w:br/>
        <w:t>Unidas[175]  y  el  Tribunal  Europeo  de  Derechos  Humanos[176]   se   han</w:t>
        <w:br/>
        <w:t>pronunciado en  este  mismo  sentido,  al  considerar  que  el  Estado  debe</w:t>
        <w:br/>
        <w:t>implementar medidas positivas para proteger la vida de las personas bajo  su</w:t>
        <w:br/>
        <w:t>jurisdicción y velar por la calidad de los servicios de atención a la  salud</w:t>
        <w:br/>
        <w:t>y asegurar que los profesionales reúnan las condiciones necesarias  para  su</w:t>
        <w:br/>
        <w:t>ejercicio, mediante  un  marco  regulatorio  de  las  entidades  públicas  o</w:t>
        <w:br/>
        <w:t>privadas, así como respecto  de  la  actividad  de  particulares,  grupos  o</w:t>
        <w:br/>
        <w:t>empresas, a fin de proteger la vida de sus pacientes.</w:t>
        <w:br/>
        <w:br/>
        <w:t>Al respecto, la Corte observa que, en el presente caso,  el  Estado  refirió</w:t>
        <w:br/>
        <w:t>diversa normativa que tiene por finalidad regular a las entidades de  salud,</w:t>
        <w:br/>
        <w:t>la cual fue aprobada con anterioridad y posterioridad a los hechos. Al 1  de</w:t>
        <w:br/>
        <w:t>julio  del  año  2000,  la  regulación  ecuatoriana  en  lo  pertinente,  se</w:t>
        <w:br/>
        <w:t>encontraba determinada por la siguiente normativa[177]:</w:t>
        <w:br/>
        <w:br/>
        <w:t xml:space="preserve">    a.     Constitución de 5 de junio de 1998, la cual entró en vigor el 11</w:t>
        <w:br/>
        <w:t xml:space="preserve">        de agosto del mismo año, y establecía que “[e]l Estado formulará  la</w:t>
        <w:br/>
        <w:t xml:space="preserve">        política nacional de salud y vigilará su aplicación; [y]  controlará</w:t>
        <w:br/>
        <w:t xml:space="preserve">        el funcionamiento de las entidades del sector”[178] (artículo 44);</w:t>
        <w:br/>
        <w:br/>
        <w:t xml:space="preserve">    b.     Código de la Salud, aprobado mediante el Decreto Supremo  número</w:t>
        <w:br/>
        <w:t xml:space="preserve">        188 el 8 de febrero de 1971, el cual señalaba en sus artículos 168 y</w:t>
        <w:br/>
        <w:t xml:space="preserve">        169 que: “[l]a autoridad de  salud  establecerá  las  normas  y  los</w:t>
        <w:br/>
        <w:t xml:space="preserve">        requisitos  que  deben  cumplir  los  establecimientos  de  atención</w:t>
        <w:br/>
        <w:t xml:space="preserve">        médica, y los  inspeccionará  y  evaluará  periódicamente  […].  Los</w:t>
        <w:br/>
        <w:t xml:space="preserve">        establecimientos de atención médica, someterán a la aprobación de la</w:t>
        <w:br/>
        <w:t xml:space="preserve">        autoridad de salud sus programas anuales y sus reglamentos”[179];</w:t>
        <w:br/>
        <w:br/>
        <w:t xml:space="preserve">    c.     En lo que refiere al ejercicio de las  profesiones  médicas,  el</w:t>
        <w:br/>
        <w:t xml:space="preserve">        artículo 174 del mismo Código determinaba los requisitos  necesarios</w:t>
        <w:br/>
        <w:t xml:space="preserve">        para  la  prestación  de  tales  servicios,  así  como  preveía   la</w:t>
        <w:br/>
        <w:t xml:space="preserve">        inscripción   de   los   profesionales   en    diversos    registros</w:t>
        <w:br/>
        <w:t xml:space="preserve">        públicos[180].  Asimismo,  en  su   artículo   179   disponía   que:</w:t>
        <w:br/>
        <w:t xml:space="preserve">        “[c]orresponde a la autoridad de salud la investigación y  represión</w:t>
        <w:br/>
        <w:t xml:space="preserve">        del ejercicio ilegal de la medicina y ramas conexas,  sin  perjuicio</w:t>
        <w:br/>
        <w:t xml:space="preserve">        de la acción de la justicia ordinaria, cuando corresponda”, para  lo</w:t>
        <w:br/>
        <w:t xml:space="preserve">        cual establecía un procedimiento a efectos de imponer  sanciones  de</w:t>
        <w:br/>
        <w:t xml:space="preserve">        multa a los infractores[181];</w:t>
        <w:br/>
        <w:br/>
        <w:t xml:space="preserve">    d.     Ley de Federación Médica Ecuatoriana, aprobada el 17 de julio de</w:t>
        <w:br/>
        <w:t xml:space="preserve">        1979, la  cual  creó  la  Federación  Médica  Ecuatoriana  como  una</w:t>
        <w:br/>
        <w:t xml:space="preserve">        “persona  jurídica  de  derecho  privado”  con   competencias   para</w:t>
        <w:br/>
        <w:t xml:space="preserve">        “defender los derechos profesionales de sus miembros  y  vigilar  el</w:t>
        <w:br/>
        <w:t xml:space="preserve">        cumplimiento de sus obligaciones” (artículo 3). Esa misma ley, a  su</w:t>
        <w:br/>
        <w:t xml:space="preserve">        vez, previó la existencia de un Tribunal de  Honor  para  juzgar  la</w:t>
        <w:br/>
        <w:t xml:space="preserve">        conducta  de  los   médicos   y   aplicar   sanciones   cuando   así</w:t>
        <w:br/>
        <w:t xml:space="preserve">        correspondiere (artículos 22 y 25)[182].</w:t>
        <w:br/>
        <w:br/>
        <w:t xml:space="preserve">    e.     Otras disposiciones legales regulaban los derechos del  paciente</w:t>
        <w:br/>
        <w:t xml:space="preserve">        respecto a los centros de salud y las  prestaciones  médicas,  tales</w:t>
        <w:br/>
        <w:t xml:space="preserve">        como el Código de Ética Médica, de 17 de agosto de  1992[183]  y  la</w:t>
        <w:br/>
        <w:t xml:space="preserve">        Ley de Derechos y Amparo del Paciente, de  3  de  febrero  de  1995,</w:t>
        <w:br/>
        <w:t xml:space="preserve">        modificada luego por la Ley número 77 publicada el 22  de  diciembre</w:t>
        <w:br/>
        <w:t xml:space="preserve">        de 2006[184]. Asimismo, mediante la Ley Orgánica  de  la  Defensoría</w:t>
        <w:br/>
        <w:t xml:space="preserve">        del Pueblo, aprobada el 20 de febrero de  1997,  se  instituye  este</w:t>
        <w:br/>
        <w:t xml:space="preserve">        organismo público al cual le  corresponde,  entre  otras  funciones,</w:t>
        <w:br/>
        <w:t xml:space="preserve">        “[d]efender y excitar, de oficio o a petición de parte, cuando fuere</w:t>
        <w:br/>
        <w:t xml:space="preserve">        procedente,   la   observancia   de   los   derechos   fundamentales</w:t>
        <w:br/>
        <w:t xml:space="preserve">        individuales o colectivos”[185].</w:t>
        <w:br/>
        <w:br/>
        <w:t>Por otra parte, esta Corte  toma  nota  de  la  regulación  ecuatoriana  que</w:t>
        <w:br/>
        <w:t>posteriormente ha sido aprobada en esta materia, tal  como  la  Constitución</w:t>
        <w:br/>
        <w:t>Política del Ecuador, de 20 de octubre de 2008[186], que en su  artículo  32</w:t>
        <w:br/>
        <w:t>establece las garantías del derecho a la salud conforme a los principios  de</w:t>
        <w:br/>
        <w:t>universalidad,  solidaridad,  interculturalidad,   calidad,   eficiencia   y</w:t>
        <w:br/>
        <w:t>eficacia, y en su artículo 363 prevé la formulación  de  políticas  públicas</w:t>
        <w:br/>
        <w:t>que garanticen la prevención y atención integral de salud, así como  la  Ley</w:t>
        <w:br/>
        <w:t>Orgánica de Salud, de 22 de diciembre de 2006, modificada el 24 de enero  de</w:t>
        <w:br/>
        <w:t>2012[187]. Adicionalmente, esta Corte también toma  nota  de  la  labor  que</w:t>
        <w:br/>
        <w:t>organismos  públicos  como  el  Defensor   del   Pueblo   han   desempeñando</w:t>
        <w:br/>
        <w:t>recientemente en esta temática[188].</w:t>
        <w:br/>
        <w:br/>
        <w:t>Por tanto, esta Corte observa que la normativa citada instituía, al  momento</w:t>
        <w:br/>
        <w:t>de los hechos, un marco regulatorio para el ejercicio  de  las  prestaciones</w:t>
        <w:br/>
        <w:t>médicas,  otorgando  a  las  autoridades  estatales   correspondientes   las</w:t>
        <w:br/>
        <w:t>competencias necesarias para realizar el control de las mismas, tanto en  lo</w:t>
        <w:br/>
        <w:t>que refiere a la supervisión  y  fiscalización  del  funcionamiento  de  los</w:t>
        <w:br/>
        <w:t>establecimientos públicos o privados, como en la supervisión  del  ejercicio</w:t>
        <w:br/>
        <w:t>de la profesión del médico. En razón de lo anterior, la Corte estima que  la</w:t>
        <w:br/>
        <w:t>autoridad sanitaria nacional poseía ciertas atribuciones administrativas,  a</w:t>
        <w:br/>
        <w:t>través del Código de Salud, para fiscalizar a los prestadores  del  servicio</w:t>
        <w:br/>
        <w:t>y en su caso sancionar las afectaciones  derivadas  de  la  práctica  médica</w:t>
        <w:br/>
        <w:t>irregular, lo cual es verificado a continuación.</w:t>
        <w:br/>
        <w:br/>
        <w:br/>
        <w:t xml:space="preserve">        El deber de supervisión y fiscalización del Estado en referencia a</w:t>
        <w:br/>
        <w:t xml:space="preserve">        los servicios de salud y la protección de la integridad personal de</w:t>
        <w:br/>
        <w:t xml:space="preserve">        Melba Suárez Peralta</w:t>
        <w:br/>
        <w:br/>
        <w:br/>
        <w:t>A fin de determinar si en este caso se configuran violaciones al  derecho  a</w:t>
        <w:br/>
        <w:t>la integridad personal  y,  por  tanto,  responsabilidad  internacional  del</w:t>
        <w:br/>
        <w:t>Estado, en relación a la obligación de garantía a su cargo, la Corte  estima</w:t>
        <w:br/>
        <w:t>necesario diferenciar dos momentos en la atención médica  brindada  a  Melba</w:t>
        <w:br/>
        <w:t>Suárez Peralta; por un lado, en el Policlínico de la  Comisión  de  Tránsito</w:t>
        <w:br/>
        <w:t>de Guayas y, por otro lado, en la Clínica Minchala de Guayaquil.</w:t>
        <w:br/>
        <w:br/>
        <w:br/>
        <w:t xml:space="preserve">           Las prestaciones médicas brindadas en el Policlínico de la</w:t>
        <w:br/>
        <w:t xml:space="preserve">           Comisión de Tránsito de Guayas</w:t>
        <w:br/>
        <w:br/>
        <w:br/>
        <w:t>La Corte observa que la Comisión de Tránsito  de  Guayas,  entidad  estatal,</w:t>
        <w:br/>
        <w:t>brindó atención médica a Melba Suárez Peralta como  parte  de  un  beneficio</w:t>
        <w:br/>
        <w:t>otorgado a los familiares de sus funcionarios, uno  de  los  cuales  era  el</w:t>
        <w:br/>
        <w:t>esposo de Melba Suárez Peralta. Así, la  Corte  entiende  que  esta  entidad</w:t>
        <w:br/>
        <w:t>estatal ofreció y proporcionó servicios de salud a  través  de  la  atención</w:t>
        <w:br/>
        <w:t>del señor Emilio Guerrero, lo cual fue difundido por sus  autoridades  el  1</w:t>
        <w:br/>
        <w:t>de junio de 2000 (supra párr. 39). Frente a dicha atención, Emilio  Guerrero</w:t>
        <w:br/>
        <w:t>diagnosticó apendicitis e indicó la urgencia de la  operación  quirúrgica  a</w:t>
        <w:br/>
        <w:t>la señora Melba Suárez Peralta (supra párr. 40), la cual se llevó a cabo  el</w:t>
        <w:br/>
        <w:t>1 de julio de 2000 en la Clínica Minchala, institución privada (supra  párr.</w:t>
        <w:br/>
        <w:t>41).</w:t>
        <w:br/>
        <w:br/>
        <w:t>En consideración a los hechos de este caso, ha sido  probado  que  el  señor</w:t>
        <w:br/>
        <w:t>Emilio Guerrero no había realizado el correspondiente trámite de  aprobación</w:t>
        <w:br/>
        <w:t>de su actividad laboral ante el Subsecretario de Trabajo del Litoral  (supra</w:t>
        <w:br/>
        <w:t>párr. 48)  ni  había  cumplido  el  registro  ordenado  por  la  legislación</w:t>
        <w:br/>
        <w:t>aplicable ante el Consejo Nacional de Educación Superior, el  Ministerio  de</w:t>
        <w:br/>
        <w:t>Salud  Pública,  y  la  Dirección  Provincial  de  Salud   de   Guayas[189],</w:t>
        <w:br/>
        <w:t>requisitos necesarios para ejercer su profesión  en  Ecuador  (supra  párrs.</w:t>
        <w:br/>
        <w:t>136 y 137). Al respecto, la Corte observa que el Estado no ha  controvertido</w:t>
        <w:br/>
        <w:t>el hecho de no haber fiscalizado la realización de los trámites  y  registro</w:t>
        <w:br/>
        <w:t>que, conforme a la legislación  interna,  debía  presentar  Emilio  Guerrero</w:t>
        <w:br/>
        <w:t>como requisito previo para el ejercicio de la profesión de médico cirujano.</w:t>
        <w:br/>
        <w:br/>
        <w:t>La Corte toma nota que el Estado aportó un  certificado  sin  firma  emitido</w:t>
        <w:br/>
        <w:t>por la Subsecretaría Nacional de Vigilancia de la  Salud  Pública  el  8  de</w:t>
        <w:br/>
        <w:t>febrero de 2013 que refiere a que, en dicha fecha  (2013),  Emilio  Guerrero</w:t>
        <w:br/>
        <w:t>se encontraba registrado en la ex  Subsecretaría  Regional  de  Salud  Costa</w:t>
        <w:br/>
        <w:t>Insular[190]. No  obstante,  la  Corte  observa  que  dicho  certificado  no</w:t>
        <w:br/>
        <w:t>contiene información referente al momento de los  hechos,  ni  a  cuándo  se</w:t>
        <w:br/>
        <w:t>realizó tal  inscripción,  contrario  a  la  prueba  que  se  desprende  del</w:t>
        <w:br/>
        <w:t>expediente judicial (supra párr. 48) Al respecto,  esta  Corte  requirió  al</w:t>
        <w:br/>
        <w:t>Estado que esclareciera si al momento de los hechos Emilio  Guerrero  estaba</w:t>
        <w:br/>
        <w:t>habilitado para ejercer como médico  cirujano,  así  como  remitiera  prueba</w:t>
        <w:br/>
        <w:t>sobre la supervisión que eventualmente la autoridad  competente  del  Estado</w:t>
        <w:br/>
        <w:t>hubiera realizado al Policlínico de la Comisión de Tránsito  de  Guayas  y/o</w:t>
        <w:br/>
        <w:t>al médico Emilio Guerrero[191], lo cual no fue aportado en este proceso.</w:t>
        <w:br/>
        <w:br/>
        <w:t>Por consiguiente, la difusión que la Comisión de Tránsito de Guayas  realizó</w:t>
        <w:br/>
        <w:t>respecto  a  la  atención  médica  que  Emilio  Guerrero  brindaba   en   el</w:t>
        <w:br/>
        <w:t>Policlínico  de  dicha  entidad  estatal,  como  beneficio  tanto  para  sus</w:t>
        <w:br/>
        <w:t>funcionarios  como  para  los  familiares  de  estos  últimos  (supra  párr.</w:t>
        <w:br/>
        <w:t>39)[192], dotó al Estado de un especial  deber  de  cuidado  conforme  a  su</w:t>
        <w:br/>
        <w:t>deber de garantía, dada la responsabilidad involucrada en  su  accionar  con</w:t>
        <w:br/>
        <w:t>motivo de la promoción de la atención a la salud[193]. Este  llamado  derivó</w:t>
        <w:br/>
        <w:t>en la primera atención médica que recibió la señora Melba Suárez Peralta  de</w:t>
        <w:br/>
        <w:t>la que  se  diagnosticó  su  aparente  padecimiento  y  la  canalizó  a  una</w:t>
        <w:br/>
        <w:t>siguiente atención médica. Al respecto, la Corte estima  que  la  delegación</w:t>
        <w:br/>
        <w:t>formal hacia otra entidad de salud que realizó el médico  proporcionado  por</w:t>
        <w:br/>
        <w:t>el Estado de la prestación de un servicio  que  asumía  a  su  cargo  no  lo</w:t>
        <w:br/>
        <w:t>desvinculó del mismo, puesto que se  mantuvo  la  relación  de  cuidado  del</w:t>
        <w:br/>
        <w:t>derecho  a  la  integridad  personal  entre  el  Estado   delegante   y   la</w:t>
        <w:br/>
        <w:t>beneficiaria de la prestación.</w:t>
        <w:br/>
        <w:br/>
        <w:t>Al respecto, la Corte ha establecido que “cuando la  atención  de  salud  es</w:t>
        <w:br/>
        <w:t>pública, es el Estado el que presta el servicio directamente a la  población</w:t>
        <w:br/>
        <w:t>[…]. El servicio de salud público […]  es  primariamente  ofrecido  por  los</w:t>
        <w:br/>
        <w:t>hospitales  públicos;  sin  embargo,  la  iniciativa   privada,   de   forma</w:t>
        <w:br/>
        <w:t>complementaria, y mediante la firma de convenios o  contratos,  […]  también</w:t>
        <w:br/>
        <w:t>provee servicios  de  salud  bajo  los  auspicios  del  [Estado].  En  ambas</w:t>
        <w:br/>
        <w:t>situaciones, ya sea que el paciente esté internado en un hospital público  o</w:t>
        <w:br/>
        <w:t>en un hospital privado que tenga un convenio o contrato […], la  persona  se</w:t>
        <w:br/>
        <w:t>encuentra bajo cuidado del […] Estado”[194]. “Si  bien  los  Estados  pueden</w:t>
        <w:br/>
        <w:t>delegar su prestación, a través de la llamada  tercerización,  mantienen  la</w:t>
        <w:br/>
        <w:t>titularidad de  la  obligación  de  proveer  los  servicios  públicos  y  de</w:t>
        <w:br/>
        <w:t>proteger el bien público respectivo”[195].</w:t>
        <w:br/>
        <w:br/>
        <w:t>En  este  sentido,  la  supervisión  y  fiscalización  del  servicio  médico</w:t>
        <w:br/>
        <w:t>brindado por el Estado  en  el  Policlínico  que,  en  este  caso,  debieron</w:t>
        <w:br/>
        <w:t>realizar  las  autoridades  correspondientes  (Policlínico   de   Guayas   y</w:t>
        <w:br/>
        <w:t>Ministerio de Salud Pública), no fueron acreditados (supra  párr.  137).  La</w:t>
        <w:br/>
        <w:t>Corte estima que la convocatoria realizada por parte  del  Estado,  mediante</w:t>
        <w:br/>
        <w:t>la orden General No. 1977, en la que promovió servicios médicos, generó  una</w:t>
        <w:br/>
        <w:t>situación de riesgo que el propio Estado debía haber  conocido.  Sobre  esta</w:t>
        <w:br/>
        <w:t>situación, se demostró que se prestó atención médica en un centro  de  salud</w:t>
        <w:br/>
        <w:t>público por parte de quien no acreditó estar certificado para  el  ejercicio</w:t>
        <w:br/>
        <w:t>de su profesión (supra párr. 48) y que, frente a ello,  el  Estado  no  solo</w:t>
        <w:br/>
        <w:t>permitió sino que además promovió la misma. Dicha  situación  de  riesgo  se</w:t>
        <w:br/>
        <w:t>materializó posteriormente con las afectaciones a la salud de  Melba  Suárez</w:t>
        <w:br/>
        <w:t>Peralta. Por tanto, esta Corte concluye que el Estado incumplió su deber  de</w:t>
        <w:br/>
        <w:t>cuidado y garantía del derecho a la  integridad  personal  de  Melba  Suárez</w:t>
        <w:br/>
        <w:t>Peralta, en relación con la atención de salud brindada en el Policlínico  de</w:t>
        <w:br/>
        <w:t>la Comisión de Tránsito de Guayas.</w:t>
        <w:br/>
        <w:br/>
        <w:br/>
        <w:t xml:space="preserve">           Las prestaciones médicas realizadas en la Clínica Minchala</w:t>
        <w:br/>
        <w:br/>
        <w:br/>
        <w:t>La  Corte  toma  nota  de  las  condiciones  contextuales  de  la  operación</w:t>
        <w:br/>
        <w:t>realizada en la Clínica Minchala, alegadas por Melba Suárez Peralta  durante</w:t>
        <w:br/>
        <w:t>la audiencia, en la que se refirió a las malas condiciones de salubridad  de</w:t>
        <w:br/>
        <w:t>la Clínica y  a  la  falta  de  experticia  de  los  médicos  actuantes.  Al</w:t>
        <w:br/>
        <w:t>respecto, señaló  que  “el  lugar  estaba  sucio,  desastroso,  porque  solo</w:t>
        <w:br/>
        <w:t>recib[ió] anestesia local, como que eran solo aprendices no más, no se  veía</w:t>
        <w:br/>
        <w:t>una atención adecuada, porque conversaban, cerrás aquí, así se cose, así  se</w:t>
        <w:br/>
        <w:t>sutura,  o  sea,  todo  como  hablaban  parecía  que  era[n]  aprendi[ces]”.</w:t>
        <w:br/>
        <w:t>Asimismo, la  Corte  también  considera  las  declaraciones  realizadas  por</w:t>
        <w:br/>
        <w:t>Wilson Minchala[196] y Jenny Bohórquez[197]  en  el  proceso  penal  interno</w:t>
        <w:br/>
        <w:t>(supra párrs. 48 y  56),  en  las  que  se  destaca  que  cuando  el  médico</w:t>
        <w:br/>
        <w:t>contratado era Emilio Guerrero, y “para darle legalidad a  su  permanencia”,</w:t>
        <w:br/>
        <w:t>las intervenciones quirúrgicas eran  asumidas  por  Jenny  Bohórquez  y  “él</w:t>
        <w:br/>
        <w:t>pasaba a ayudar[la], puesto que en ese tiempo se encontraba homologando  sus</w:t>
        <w:br/>
        <w:t>títulos”.</w:t>
        <w:br/>
        <w:br/>
        <w:t>Asimismo, la Corte tiene en cuenta que si  bien  en  el  marco  del  proceso</w:t>
        <w:br/>
        <w:t>penal interno el Juez Penal, en el Auto Cabeza de Proceso dictado el  16  de</w:t>
        <w:br/>
        <w:t>agosto de 2000, ordenó: “Envi[ar] atento oficio al señor Director  de  Salud</w:t>
        <w:br/>
        <w:t>y Comisario de Salud en  el  sentido  de  que  [indicara]  si  la  [C]línica</w:t>
        <w:br/>
        <w:t>Minchala  c[ontaba]  con  los  respectivos  permisos  para  funcionar  y  si</w:t>
        <w:br/>
        <w:t>re[unía] las garantías necesarias como tal”[198],  no  se  acompañó  a  este</w:t>
        <w:br/>
        <w:t>proceso alguna  respuesta  a  dicha  petición  de  información,  aun  cuando</w:t>
        <w:br/>
        <w:t>pareciera que la misma existió,  atendido  lo  señalado  por  el  Ministerio</w:t>
        <w:br/>
        <w:t>Público en su dictamen fiscal de 29 de mayo de 2001 (supra  párr.  52).  Sin</w:t>
        <w:br/>
        <w:t>embargo,  no  consta  que  dicha  autoridad  sanitaria  haya  iniciado   una</w:t>
        <w:br/>
        <w:t>investigación administrativa sobre el particular, en virtud de lo  dispuesto</w:t>
        <w:br/>
        <w:t>en el artículo 213 del Código de Salud[199]. Asimismo, la Corte observa  que</w:t>
        <w:br/>
        <w:t>mediante escrito presentado el 7 de junio de  2001,  Melba  Peralta  Mendoza</w:t>
        <w:br/>
        <w:t>solicitó al Juez Penal  que  “proced[iera]  a  la  clausura  de  la  Clínica</w:t>
        <w:br/>
        <w:t>Minchala”[200].  En  el  expediente  no  consta  respuesta  alguna  a  dicha</w:t>
        <w:br/>
        <w:t>petición. Finalmente,  en  agosto  de  2001  se  realizó  la  diligencia  de</w:t>
        <w:br/>
        <w:t>reconocimiento del lugar de los hechos. No obstante,  las  observaciones  de</w:t>
        <w:br/>
        <w:t>la misma tampoco constan en el expediente penal que se agregó en el  proceso</w:t>
        <w:br/>
        <w:t>ante esta Corte.</w:t>
        <w:br/>
        <w:br/>
        <w:t>Sobre este particular, procede añadir que la Corte solicitó al Estado,  como</w:t>
        <w:br/>
        <w:t>prueba  para  mejor  resolver,  la  aportación  de  la   documentación   que</w:t>
        <w:br/>
        <w:t>acreditara, al momento de los hechos de este caso,  la  habilitación  de  la</w:t>
        <w:br/>
        <w:t>Clínica  Minchala  por  parte  de  la  autoridad  competente,  así  como  la</w:t>
        <w:br/>
        <w:t>realización de cualquier tipo de control en la misma[201]. Al  respecto,  el</w:t>
        <w:br/>
        <w:t>Estado aportó información relacionada con los procedimientos de  control  de</w:t>
        <w:br/>
        <w:t>las instituciones de salud implementados en Ecuador,  así  como  respecto  a</w:t>
        <w:br/>
        <w:t>otros casos de mala praxis médica; no obstante,  no  brindó  la  información</w:t>
        <w:br/>
        <w:t>solicitada[202]. Asimismo, la Corte observa  que  la  inspección  y  control</w:t>
        <w:br/>
        <w:t>estatal  de  la  Clínica  Minchala  fue  realizada   por   las   autoridades</w:t>
        <w:br/>
        <w:t>competentes únicamente años después de  haberse  constatado  los  hechos  de</w:t>
        <w:br/>
        <w:t>este caso, a raíz  de  otros  casos  particulares,  lo  que  resultó  en  la</w:t>
        <w:br/>
        <w:t>clausura de dicha clínica, acaecida en los meses de mayo y octubre  de  2002</w:t>
        <w:br/>
        <w:t>y 2007 (supra párr. 73). Sin  embargo,  según  se  desprende  de  la  prueba</w:t>
        <w:br/>
        <w:t>aportada, dichas inspecciones y posteriores sanciones no  tuvieron  relación</w:t>
        <w:br/>
        <w:t>con los hechos acaecidos en el presente caso.</w:t>
        <w:br/>
        <w:br/>
        <w:t>Conforme la Corte ha establecido, la  obligación  de  fiscalización  estatal</w:t>
        <w:br/>
        <w:t>comprende  tanto  a  servicios  prestados   por   el   Estado,   directa   o</w:t>
        <w:br/>
        <w:t>indirectamente, como a los  ofrecidos  por  particulares[203].  Abarca,  por</w:t>
        <w:br/>
        <w:t>tanto, las situaciones en las que se ha delegado el  servicio,  en  las  que</w:t>
        <w:br/>
        <w:t>los particulares brindan el mismo  por  cuenta  y  orden  del  Estado,  como</w:t>
        <w:br/>
        <w:t>también la supervisión de servicios privados  relativos  a  bienes  del  más</w:t>
        <w:br/>
        <w:t>alto interés social, cuya vigilancia también compete al poder  público[204].</w:t>
        <w:br/>
        <w:t>Una eventual atención médica en instituciones sin  la  debida  habilitación,</w:t>
        <w:br/>
        <w:t>sin estar  aptas  en  su  infraestructura  o  en  su  higiene  para  brindar</w:t>
        <w:br/>
        <w:t>prestaciones médicas, o por profesionales  que  no  cuenten  con  la  debida</w:t>
        <w:br/>
        <w:t>calificación  para  tales  actividades,  podría  conllevar  una   incidencia</w:t>
        <w:br/>
        <w:t>trascendental  en  los  derechos  a  la  vida  o   a   la   integridad   del</w:t>
        <w:br/>
        <w:t>paciente[205].</w:t>
        <w:br/>
        <w:br/>
        <w:t>En lo que atañe a la supervisión de  servicios  prestados  en  instituciones</w:t>
        <w:br/>
        <w:t>privadas, la Corte ha sostenido que:</w:t>
        <w:br/>
        <w:br/>
        <w:t xml:space="preserve">      Cuando  se  trata  de  competencias  esenciales  relacionadas  con  la</w:t>
        <w:br/>
        <w:t xml:space="preserve">      supervisión y fiscalización de la prestación de servicios  de  interés</w:t>
        <w:br/>
        <w:t xml:space="preserve">      público, como la salud, sea por entidades públicas o privadas (como es</w:t>
        <w:br/>
        <w:t xml:space="preserve">      el caso de un hospital privado), la  responsabilidad  resulta  por  la</w:t>
        <w:br/>
        <w:t xml:space="preserve">      omisión en el cumplimiento del deber de supervisar la  prestación  del</w:t>
        <w:br/>
        <w:t xml:space="preserve">      servicio para proteger el bien respectivo[206].</w:t>
        <w:br/>
        <w:br/>
        <w:br/>
        <w:t>En similar sentido, el Tribunal Europeo de Derechos  Humanos  ha  enfatizado</w:t>
        <w:br/>
        <w:t>que el Estado mantiene el deber de otorgar licencias y  ejercer  supervisión</w:t>
        <w:br/>
        <w:t>y el control sobre instituciones privadas[207].</w:t>
        <w:br/>
        <w:br/>
        <w:t>Adicionalmente, la Corte estima que la fiscalización y  supervisión  estatal</w:t>
        <w:br/>
        <w:t>debe  orientarse  a   la   finalidad   de   asegurar   los   principios   de</w:t>
        <w:br/>
        <w:t>disponibilidad, accesibilidad, aceptabilidad y calidad de  las  prestaciones</w:t>
        <w:br/>
        <w:t>médicas[208]. Respecto de la calidad del servicio, el Estado posee el  deber</w:t>
        <w:br/>
        <w:t>de regular, supervisar y fiscalizar las prestaciones de  salud,  asegurando,</w:t>
        <w:br/>
        <w:t>entre otros aspectos, que las condiciones  sanitarias  y  el  personal  sean</w:t>
        <w:br/>
        <w:t>adecuados, que estén debidamente calificados,  y  se  mantengan  aptos  para</w:t>
        <w:br/>
        <w:t>ejercer su profesión[209]. En este mismo  sentido,  el  Comité  de  Derechos</w:t>
        <w:br/>
        <w:t>Económicos Sociales y Culturales ha establecido  los  estándares  de  dichos</w:t>
        <w:br/>
        <w:t>principios en referencia a la garantía del derecho a  la  salud,  reconocido</w:t>
        <w:br/>
        <w:t>por el artículo 12 del Pacto Internacional de Derechos Económicos,  Sociales</w:t>
        <w:br/>
        <w:t>y Culturales. El Comité ha destacado,  en  cuanto  a  la  calidad,  que  los</w:t>
        <w:br/>
        <w:t>establecimientos de salud deben presentar condiciones  sanitarias  adecuadas</w:t>
        <w:br/>
        <w:t>y contar con personal médico capacitado[210].</w:t>
        <w:br/>
        <w:br/>
        <w:t>Finalmente, la Corte nota que la fiscalización y supervisión de  la  clínica</w:t>
        <w:br/>
        <w:t>privada no fue realizada con anterioridad a los hechos por  las  autoridades</w:t>
        <w:br/>
        <w:t>estatales competentes (Ministerio de Salud  Pública),  lo  cual  implicó  el</w:t>
        <w:br/>
        <w:t>incumplimiento estatal del deber de prevenir la vulneración  del  derecho  a</w:t>
        <w:br/>
        <w:t>la integridad personal de Melba Suárez Peralta. La atención médica  recibida</w:t>
        <w:br/>
        <w:t>a través de un profesional no autorizado y en una  Clínica  que  carecía  de</w:t>
        <w:br/>
        <w:t>supervisión estatal incidió en afectaciones  en  la  salud  de  la  presunta</w:t>
        <w:br/>
        <w:t>víctima. Adicionalmente, el Estado tampoco acreditó  la  realización  de  un</w:t>
        <w:br/>
        <w:t>control a dicha institución privada en forma posterior  a  los  hechos,  con</w:t>
        <w:br/>
        <w:t>motivo del conocimiento de los mismos o  derivado  del  consecuente  proceso</w:t>
        <w:br/>
        <w:t>penal iniciado y las constantes  solicitudes  de  fiscalización  y  clausura</w:t>
        <w:br/>
        <w:t>realizadas por Melba Peralta Mendoza.</w:t>
        <w:br/>
        <w:br/>
        <w:br/>
        <w:t xml:space="preserve">           Conclusión</w:t>
        <w:br/>
        <w:br/>
        <w:br/>
        <w:t>La Corte concluye que, si bien  la  regulación  ecuatoriana  en  la  materia</w:t>
        <w:br/>
        <w:t>contemplaba mecanismos de control y vigilancia de la atención médica,  dicha</w:t>
        <w:br/>
        <w:t>supervisión y fiscalización no fue efectuada en el presente caso,  tanto  en</w:t>
        <w:br/>
        <w:t>lo que refiere al control  de  las  prestaciones  brindadas  en  la  entidad</w:t>
        <w:br/>
        <w:t>estatal, Policlínico de la Comisión de Tránsito de Guayas, como  en  lo  que</w:t>
        <w:br/>
        <w:t>respecta a la institución privada, Clínica Minchala.  La  Corte  estima  que</w:t>
        <w:br/>
        <w:t>ello generó una  situación  de  riesgo,  conocida  por  el  Estado,  que  se</w:t>
        <w:br/>
        <w:t>materializó en afectaciones en la salud de Melba Suárez Peralta. Por  tanto,</w:t>
        <w:br/>
        <w:t>el Estado de Ecuador incurrió en responsabilidad internacional por la  falta</w:t>
        <w:br/>
        <w:t>de garantía y prevención del derecho  a  la  integridad  personal  de  Melba</w:t>
        <w:br/>
        <w:t>Suárez  Peralta,  en  contravención  del  artículo  5.1  de  la   Convención</w:t>
        <w:br/>
        <w:t>Americana, en conexión con el artículo 1.1 del mismo instrumento.</w:t>
        <w:br/>
        <w:br/>
        <w:br/>
        <w:t xml:space="preserve">        Vulneración a la Integridad Personal respecto de Melba Peralta</w:t>
        <w:br/>
        <w:t xml:space="preserve">        Mendoza</w:t>
        <w:br/>
        <w:br/>
        <w:br/>
        <w:t>Melba Suárez Peralta describió los padecimientos familiares a causa  de  los</w:t>
        <w:br/>
        <w:t>malestares físicos que sufría[211]. Asimismo,  el  psicólogo  Eduardo  Tigua</w:t>
        <w:br/>
        <w:t>Castro señaló en su  informe  que  “[t]oda  esta  situación  y  su  entorno,</w:t>
        <w:br/>
        <w:t>inmediato como mediato[,] ha afectado en gran manera a  [toda]  la  familia,</w:t>
        <w:br/>
        <w:t>ya que [ésta] fue  eclipsada  al  dedicar  los  mayores  esfuerzos  físicos,</w:t>
        <w:br/>
        <w:t>materiales, económicos y espirituales  para  procurar  la  sobrevivencia  de</w:t>
        <w:br/>
        <w:t>doña Melba”[212].</w:t>
        <w:br/>
        <w:br/>
        <w:t>En referencia a la vulneración del  derecho  a  la  integridad  personal  de</w:t>
        <w:br/>
        <w:t>Melba Peralta Mendoza, madre de Melba Suárez Peralta, la Corte  recuerda  lo</w:t>
        <w:br/>
        <w:t>ya señalado respecto a la determinación de los beneficiarios  de  este  caso</w:t>
        <w:br/>
        <w:t>(supra  párr.  28).  Asimismo,  la  Corte  ha   sostenido,   en   reiteradas</w:t>
        <w:br/>
        <w:t>oportunidades, que los familiares de las  víctimas  de  violaciones  de  los</w:t>
        <w:br/>
        <w:t>derechos humanos pueden ser a su vez víctimas. En este punto,  la  Corte  ha</w:t>
        <w:br/>
        <w:t>considerado violado el derecho a la integridad psíquica y moral  de  algunos</w:t>
        <w:br/>
        <w:t>familiares de las víctimas con motivo del sufrimiento  adicional  que  estos</w:t>
        <w:br/>
        <w:t>han padecido  como  producto  de  las  circunstancias  particulares  de  las</w:t>
        <w:br/>
        <w:t>violaciones  perpetradas  contra  sus  seres  queridos  y  a  causa  de  las</w:t>
        <w:br/>
        <w:t>posteriores actuaciones u omisiones de las autoridades  estatales  frente  a</w:t>
        <w:br/>
        <w:t>los hechos[213].</w:t>
        <w:br/>
        <w:br/>
        <w:t>La Corte ha entendido que en ciertos  casos  de  violaciones  graves  a  los</w:t>
        <w:br/>
        <w:t>derechos humanos es posible presumir el  daño  de  determinados  familiares,</w:t>
        <w:br/>
        <w:t>tras el sufrimiento y angustia que los hechos de dichos casos  suponen[214].</w:t>
        <w:br/>
        <w:t>Así, ha establecido que en  ciertos  casos  de  graves  violaciones,  no  es</w:t>
        <w:br/>
        <w:t>necesario demostrar el daño moral de los padres de la víctima, por  ejemplo,</w:t>
        <w:br/>
        <w:t>derivado de “la muerte cruel de sus hijos, pues es propio de  la  naturaleza</w:t>
        <w:br/>
        <w:t>humana  que  toda  persona  experimente  dolor  ante  el  suplicio   de   su</w:t>
        <w:br/>
        <w:t>hijo”[215].</w:t>
        <w:br/>
        <w:br/>
        <w:t>La Corte ha valorado las circunstancias  del  presente  caso.  Sin  embargo,</w:t>
        <w:br/>
        <w:t>entiende que, al no ser un  caso  que  supone  una  grave  violación  a  los</w:t>
        <w:br/>
        <w:t>derechos humanos en los términos de su jurisprudencia, la vulneración de  la</w:t>
        <w:br/>
        <w:t>integridad  personal  de  la  madre  de  la  víctima,  en  atención   a   su</w:t>
        <w:br/>
        <w:t>sufrimiento, debe ser comprobada[216].</w:t>
        <w:br/>
        <w:br/>
        <w:t>Al respecto, la Corte observa que la  única  prueba  en  referencia  a  este</w:t>
        <w:br/>
        <w:t>hecho describe los daños psicológicos de Melba Suárez Peralta y su  familia,</w:t>
        <w:br/>
        <w:t>en la que específicamente se incluye a su esposo y  sus  hijos.  En  lo  que</w:t>
        <w:br/>
        <w:t>refiere a Melba Peralta  Mendoza  se  señala  que:  “[fue]  la  persona  que</w:t>
        <w:br/>
        <w:t>siempre ha estado pendiente de lo que suced[ía] con la salud de  [la]  hija,</w:t>
        <w:br/>
        <w:t>además ha colaborado con l[o]s gastos de estudio de sus  nietos  y  medicina</w:t>
        <w:br/>
        <w:t>en general”[217].</w:t>
        <w:br/>
        <w:br/>
        <w:t>Por tanto, la Corte entiende que, si bien la señora  Melba  Peralta  Mendoza</w:t>
        <w:br/>
        <w:t>fue acreditada como víctima de la denegación de  justicia  en  violación  de</w:t>
        <w:br/>
        <w:t>los artículos 8  y 25 de la Convención (supra párr.  123),  en  el  presente</w:t>
        <w:br/>
        <w:t>caso no se ha probado la vulneración  a cargo del Estado  su  derecho  a  la</w:t>
        <w:br/>
        <w:t>integridad personal.</w:t>
        <w:br/>
        <w:br/>
        <w:br/>
        <w:t>X</w:t>
        <w:br/>
        <w:t>REPARACIONES</w:t>
        <w:br/>
        <w:br/>
        <w:br/>
        <w:t>(Aplicación del artículo 63.1 de la Convención Americana)</w:t>
        <w:br/>
        <w:br/>
        <w:br/>
        <w:t>Sobre la base  de  lo  dispuesto  en  el  artículo  63.1  de  la  Convención</w:t>
        <w:br/>
        <w:t>Americana[218], la Corte ha indicado que toda violación  de  una  obligación</w:t>
        <w:br/>
        <w:t>internacional que  haya  producido  daño  comporta  el  deber  de  repararlo</w:t>
        <w:br/>
        <w:t>adecuadamente y que esa disposición recoge  una  norma  consuetudinaria  que</w:t>
        <w:br/>
        <w:t>constituye uno de los principios  fundamentales  del  Derecho  Internacional</w:t>
        <w:br/>
        <w:t>contemporáneo sobre responsabilidad de un Estado[219].</w:t>
        <w:br/>
        <w:br/>
        <w:t>En consideración de las  violaciones  a  la  Convención  declaradas  en  los</w:t>
        <w:br/>
        <w:t>capítulos  anteriores,  la  Corte  procede  a  analizar   las   pretensiones</w:t>
        <w:br/>
        <w:t>presentadas por la Comisión y el representante, a la luz  de  los  criterios</w:t>
        <w:br/>
        <w:t>fijados en su jurisprudencia en relación con la naturaleza y alcance  de  la</w:t>
        <w:br/>
        <w:t>obligación de reparar, con el objeto de disponer  las  medidas  dirigidas  a</w:t>
        <w:br/>
        <w:t>reparar los daños ocasionados a las víctimas[220].</w:t>
        <w:br/>
        <w:br/>
        <w:t>Atendido que la Corte ha establecido que las  reparaciones  deben  tener  un</w:t>
        <w:br/>
        <w:t>nexo causal con los hechos del caso, las violaciones declaradas,  los  daños</w:t>
        <w:br/>
        <w:t>acreditados, así  como  las  medidas  solicitadas  para  reparar  los  daños</w:t>
        <w:br/>
        <w:t>respectivos,  ella  debe  observar  dicha  concurrencia  para   pronunciarse</w:t>
        <w:br/>
        <w:t>debidamente y conforme a derecho[221].</w:t>
        <w:br/>
        <w:br/>
        <w:t>La Corte  ha  considerado  la  necesidad  de  otorgar  diversas  medidas  de</w:t>
        <w:br/>
        <w:t>reparación, a fin de resarcir los daños de manera integral, por lo  que,  en</w:t>
        <w:br/>
        <w:t>el presente caso, además de las compensaciones pecuniarias, las  medidas  de</w:t>
        <w:br/>
        <w:t>rehabilitación, satisfacción y  garantías  de  no  repetición  pueden  tener</w:t>
        <w:br/>
        <w:t>especial  relevancia  con  motivo  de   las   afectaciones   y   los   daños</w:t>
        <w:br/>
        <w:t>ocasionados[222].</w:t>
        <w:br/>
        <w:br/>
        <w:br/>
        <w:t>Parte Lesionada</w:t>
        <w:br/>
        <w:br/>
        <w:br/>
        <w:t>La Corte reitera que se considera  parte  lesionada,  en  los  términos  del</w:t>
        <w:br/>
        <w:t>artículo 63.1 de la Convención, a quien ha  sido  declarado  víctima  de  la</w:t>
        <w:br/>
        <w:t>violación de algún derecho consagrado en la  misma[223].  Asimismo,  reitera</w:t>
        <w:br/>
        <w:t>lo expuesto en su consideración previa respecto de  las  víctimas  indicadas</w:t>
        <w:br/>
        <w:t>en el Informe de Fondo (supra párr. 28). Por lo tanto, esta Corte  considera</w:t>
        <w:br/>
        <w:t>como “parte lesionada” a las señoras  Melba  del  Carmen  Suárez  Peralta  y</w:t>
        <w:br/>
        <w:t>Melba  Peralta  Mendoza,  quienes  en  su  carácter  de  víctimas   de   las</w:t>
        <w:br/>
        <w:t>violaciones declaradas en esta Sentencia, serán  consideradas  beneficiarias</w:t>
        <w:br/>
        <w:t>de las reparaciones que la Corte ordene.</w:t>
        <w:br/>
        <w:br/>
        <w:br/>
        <w:t>Obligación de investigar los hechos e identificar, juzgar  y,  en  su  caso,</w:t>
        <w:br/>
        <w:t>sancionar a los responsables</w:t>
        <w:br/>
        <w:br/>
        <w:br/>
        <w:br/>
        <w:t xml:space="preserve">        Solicitud de investigaciones y determinación de responsabilidades</w:t>
        <w:br/>
        <w:t xml:space="preserve">        administrativas y penales</w:t>
        <w:br/>
        <w:br/>
        <w:br/>
        <w:t>Tanto la Comisión como el representante solicitaron a la  Corte  que  ordene</w:t>
        <w:br/>
        <w:t>al Estado adoptar las medidas necesarias para investigar  efectivamente  los</w:t>
        <w:br/>
        <w:t>hechos del  presente  caso  y  sancionar,  en  un  plazo  razonable,  a  los</w:t>
        <w:br/>
        <w:t>operadores de justicia cuya conducta haya resultado en  la  demora  excesiva</w:t>
        <w:br/>
        <w:t>en la tramitación del proceso penal y la consecuente falta de  acceso  a  la</w:t>
        <w:br/>
        <w:t>justicia para las víctimas.</w:t>
        <w:br/>
        <w:br/>
        <w:t>Adicionalmente, el representante indicó que la Corte  debe  “exigir  que  el</w:t>
        <w:br/>
        <w:t>Estado Ecuatoriano cumpla con las obligaciones impuestas por  los  artículos</w:t>
        <w:br/>
        <w:t>8  y  25  de  la  Convención,  procediendo  a  efectuar  una   investigación</w:t>
        <w:br/>
        <w:t>exhaustiva y un juicio expedito  e  imparcial  de  todas  las  personas  que</w:t>
        <w:br/>
        <w:t>participaron   como   autores   intelectuales   y   materiales   así    como</w:t>
        <w:br/>
        <w:t>encubridores”.</w:t>
        <w:br/>
        <w:br/>
        <w:t>Por su parte, el Estado señaló  que  “en  el  caso  de  que  la  Corte  [lo]</w:t>
        <w:br/>
        <w:t>condenara por la presunta violación de los derechos de la señora  Melba  del</w:t>
        <w:br/>
        <w:t>Carmen Suárez Peralta, será pertinente imponer al Estado  la  obligación  de</w:t>
        <w:br/>
        <w:t>esclarecer los  hechos  de  lo  ocurrido,  mas  no  disponer  la  sanción  a</w:t>
        <w:br/>
        <w:t>responsables como medida de reparación, en razón a  que  no  se  reúnen  los</w:t>
        <w:br/>
        <w:t>criterios que permitan romper el principio de seguridad jurídica que  ofrece</w:t>
        <w:br/>
        <w:t>la prescripción”. Con respecto  al  operador  de  justicia  que  tramitó  el</w:t>
        <w:br/>
        <w:t>procedimiento en sede penal, el Estado informó que éste fue destituido  como</w:t>
        <w:br/>
        <w:t>Juez.</w:t>
        <w:br/>
        <w:br/>
        <w:t>La Corte observa que en el Acuerdo de Cumplimiento suscrito por el Estado  y</w:t>
        <w:br/>
        <w:t>la  señora  Suárez  Peralta,  el  Estado  se  comprometió  a   “[p]oner   en</w:t>
        <w:br/>
        <w:t>conocimiento de la Fiscalía General del Estado los hechos y  el  Informe  de</w:t>
        <w:br/>
        <w:t>Fondo a fin de que se proceda a la investigación y respectiva sanción  penal</w:t>
        <w:br/>
        <w:t>a los operadores de justicia por [su] conducta  [y  poner]  en  conocimiento</w:t>
        <w:br/>
        <w:t>del Consejo de la Judicatura los hechos  y  el  Informe  de  Fondo,  con  la</w:t>
        <w:br/>
        <w:t>finalidad de que se investigue y sancione administrativamente”.</w:t>
        <w:br/>
        <w:br/>
        <w:t>En el capítulo VIII de la presente Sentencia, la Corte declaró la  violación</w:t>
        <w:br/>
        <w:t>por parte del Estado de los derechos previstos en los artículos 8.1  y  25.1</w:t>
        <w:br/>
        <w:t>de la Convención, con motivo de que las autoridades  estatales  no  actuaron</w:t>
        <w:br/>
        <w:t>con la debida diligencia ni con arreglo a las obligaciones concernientes  al</w:t>
        <w:br/>
        <w:t>deber  de  investigar  y  de  cumplir  con  una  tutela  judicial  efectiva.</w:t>
        <w:br/>
        <w:t>Adicionalmente,  señaló  que  el  procedimiento  penal  excedió   un   plazo</w:t>
        <w:br/>
        <w:t>razonable.</w:t>
        <w:br/>
        <w:br/>
        <w:t>Por consiguiente, la Corte  se  refiere  a  los  siguientes  temas:  a)  las</w:t>
        <w:br/>
        <w:t>investigaciones administrativas y disciplinarias, y  b)  los  procedimientos</w:t>
        <w:br/>
        <w:t>penales.</w:t>
        <w:br/>
        <w:br/>
        <w:br/>
        <w:t xml:space="preserve">           Sobre las investigaciones administrativas y disciplinarias</w:t>
        <w:br/>
        <w:br/>
        <w:br/>
        <w:t>En casos anteriores, ante determinadas violaciones, la  Corte  ha  dispuesto</w:t>
        <w:br/>
        <w:t>que  el   Estado   inicie,   según   el   caso,   acciones   disciplinarias,</w:t>
        <w:br/>
        <w:t>administrativas o  penales,  de  acuerdo  con  su  legislación  interna,  en</w:t>
        <w:br/>
        <w:t>relación con los responsables de las distintas irregularidades procesales  e</w:t>
        <w:br/>
        <w:t>investigativas[224]. En el presente caso se demostró que,  a  pesar  de  las</w:t>
        <w:br/>
        <w:t>diversas solicitudes de impulso del procedimiento por  parte  de  la  señora</w:t>
        <w:br/>
        <w:t>Peralta Mendoza, el 20 de septiembre 2005 se declaró la prescripción  de  la</w:t>
        <w:br/>
        <w:t>acción penal tramitada en referencia a los hechos del caso, en virtud de  lo</w:t>
        <w:br/>
        <w:t>cual, se solicitó la aplicación de una multa al juez de la  causa,  la  cual</w:t>
        <w:br/>
        <w:t>fue desestimada.</w:t>
        <w:br/>
        <w:br/>
        <w:t>En relación con lo anterior, la Corte tiene conocimiento  que  el  juez  que</w:t>
        <w:br/>
        <w:t>tramitó el procedimiento penal fue destituido como funcionario judicial,  no</w:t>
        <w:br/>
        <w:t>obstante, de la prueba  aportada  no  surgen  motivos  de  que  la  referida</w:t>
        <w:br/>
        <w:t>destitución se encuentre relacionada con los hechos del presente  caso[225].</w:t>
        <w:br/>
        <w:t>En  consecuencia,  especialmente  habida  cuenta  de  la  destitución  antes</w:t>
        <w:br/>
        <w:t>referida, la Corte no estima procedente ordenar una reparación  respecto  de</w:t>
        <w:br/>
        <w:t>la apertura de investigaciones administrativas y disciplinarias en  relación</w:t>
        <w:br/>
        <w:t>con los hechos del presente caso.</w:t>
        <w:br/>
        <w:br/>
        <w:br/>
        <w:t xml:space="preserve">           Sobre los procedimientos penales</w:t>
        <w:br/>
        <w:br/>
        <w:br/>
        <w:t>La Corte reitera que toda  violación  a  los  derechos  humanos  supone  una</w:t>
        <w:br/>
        <w:t>cierta gravedad por su propia naturaleza, porque implica  el  incumplimiento</w:t>
        <w:br/>
        <w:t>de determinados deberes de respeto y garantía de los derechos  y  libertades</w:t>
        <w:br/>
        <w:t>a cargo del Estado a favor de  las  personas.  Sin  embargo,  ello  no  debe</w:t>
        <w:br/>
        <w:t>confundirse con lo que a lo largo de su jurisprudencia ha  considerado  como</w:t>
        <w:br/>
        <w:t>“violaciones  graves  a  los  derechos  humanos”,  las  cuales  tienen   una</w:t>
        <w:br/>
        <w:t>connotación y consecuencias propias. Asimismo,  la  Corte  ha  indicado  que</w:t>
        <w:br/>
        <w:t>resulta inadecuado pretender que en todo  caso  que  le  sea  sometido,  por</w:t>
        <w:br/>
        <w:t>tratarse de violaciones  de  derechos  humanos,  no  procedería  aplicar  la</w:t>
        <w:br/>
        <w:t>prescripción[226].</w:t>
        <w:br/>
        <w:br/>
        <w:t>La Corte ya ha señalado que la prescripción en materia  penal  determina  la</w:t>
        <w:br/>
        <w:t>extinción de la pretensión punitiva por el  transcurso  del  tiempo  y  que,</w:t>
        <w:br/>
        <w:t>generalmente,  limita  el  poder  punitivo  del  Estado  para  perseguir  la</w:t>
        <w:br/>
        <w:t>conducta  ilícita  y  sancionar  a  sus  autores[227].  De  acuerdo  con  la</w:t>
        <w:br/>
        <w:t>jurisprudencia   constante   y   uniforme   del   Tribunal,    en    ciertas</w:t>
        <w:br/>
        <w:t>circunstancias,   el   Derecho   Internacional   considera   inadmisible   e</w:t>
        <w:br/>
        <w:t>inaplicable la prescripción a fin de mantener vigente en el tiempo el  poder</w:t>
        <w:br/>
        <w:t>punitivo  del  Estado  sobre  conductas  cuya  gravedad  hace  necesaria  su</w:t>
        <w:br/>
        <w:t>represión  para  evitar  que  vuelvan  a  ser  cometidas,  tales   como   la</w:t>
        <w:br/>
        <w:t>desaparición   forzada   de   personas,   la   ejecución   extrajudicial   y</w:t>
        <w:br/>
        <w:t>tortura[228].</w:t>
        <w:br/>
        <w:br/>
        <w:t>En este sentido, la Corte considera que en el presente caso no se  presentan</w:t>
        <w:br/>
        <w:t>los supuestos necesarios  para  emplear  alguna  de  las  excepciones  a  la</w:t>
        <w:br/>
        <w:t>aplicación de la prescripción.  En vista de lo  anterior,  la  Corte  estima</w:t>
        <w:br/>
        <w:t>que  no  resulta  procedente  ordenar  al  Estado  una  reapertura  de   las</w:t>
        <w:br/>
        <w:t>investigaciones penales sobre hechos relacionados con la  operación  que  le</w:t>
        <w:br/>
        <w:t>fue practicada a la señora Melba Suárez Peralta en julio del año 2000.</w:t>
        <w:br/>
        <w:br/>
        <w:br/>
        <w:t>Medidas de rehabilitación, satisfacción y garantías de no repetición</w:t>
        <w:br/>
        <w:br/>
        <w:br/>
        <w:t>La  jurisprudencia  internacional,  y  en  particular  de   la   Corte,   ha</w:t>
        <w:br/>
        <w:t>establecido reiteradamente que la Sentencia  puede  constituir  per  se  una</w:t>
        <w:br/>
        <w:t>forma de reparación[229]. No obstante, considerando las  circunstancias  del</w:t>
        <w:br/>
        <w:t>caso y las afectaciones a las víctimas derivadas de las  violaciones  de  la</w:t>
        <w:br/>
        <w:t>Convención Americana declaradas en su perjuicio, la Corte estima  pertinente</w:t>
        <w:br/>
        <w:t>determinar las siguientes medidas de reparación.</w:t>
        <w:br/>
        <w:br/>
        <w:br/>
        <w:t xml:space="preserve">        Rehabilitación</w:t>
        <w:br/>
        <w:br/>
        <w:br/>
        <w:br/>
        <w:t xml:space="preserve">           Solicitud de asistencia médica</w:t>
        <w:br/>
        <w:br/>
        <w:br/>
        <w:t>Tanto la Comisión como el representante solicitaron a la  Corte  que  ordene</w:t>
        <w:br/>
        <w:t>al  Estado  “[a]doptar  las  medidas  necesarias  para  brindar  de   manera</w:t>
        <w:br/>
        <w:t>inmediata y gratuita, a través de sus instituciones de salud  especializadas</w:t>
        <w:br/>
        <w:t>y en el lugar de residencia de la  señora  Suárez  Peralta,  el  tratamiento</w:t>
        <w:br/>
        <w:t>médico requerido,  incluyendo  los  medicamentos  que  ella  requiera  y  en</w:t>
        <w:br/>
        <w:t>consideración con sus padecimientos”.</w:t>
        <w:br/>
        <w:br/>
        <w:t>Adicionalmente, el representante indicó que “[l]a obligación del  Estado  de</w:t>
        <w:br/>
        <w:t>otorgar prestación de servicios médicos, supone que debe hacerse  cargo  del</w:t>
        <w:br/>
        <w:t>costo de los médicos que  la  víctima  escoja  o  de  aquellos  médicos  que</w:t>
        <w:br/>
        <w:t>usualmente estaban atendiendo a la  víctima”.  Asimismo,  indicó  que  dicha</w:t>
        <w:br/>
        <w:t>reparación debe incluir “costo de los exámenes clínicos y  los  tratamientos</w:t>
        <w:br/>
        <w:t>oportunos que los médicos especializados indi[quen]”.</w:t>
        <w:br/>
        <w:br/>
        <w:t>Por su parte, el Estado indicó que “cuenta con los  servicios  necesarios  a</w:t>
        <w:br/>
        <w:t>fin de atender no sólo a la señora Melba Suárez  sino  a  cualquier  persona</w:t>
        <w:br/>
        <w:t>que necesite la prestación de  los  servicios  de  salud,  el  problema  que</w:t>
        <w:br/>
        <w:t>observa el Estado es la falta de voluntad por parte de la  demandante  quien</w:t>
        <w:br/>
        <w:t>[…] no desea ser atendida por personal capacitado del Ministerio de Salud”.</w:t>
        <w:br/>
        <w:br/>
        <w:t>La Corte observa que en el Acuerdo de Cumplimiento suscrito por el Estado  y</w:t>
        <w:br/>
        <w:t>la señora Suárez Peralta,  se  indicó  que  “[t]eniendo  en  cuenta  que  en</w:t>
        <w:br/>
        <w:t>reuniones previas, el señor Cerezo y la [b]eneficiaria manifestaron  que  no</w:t>
        <w:br/>
        <w:t>aceptar[ían] la atención médica de salud en hospitales, centros de  salud  y</w:t>
        <w:br/>
        <w:t>clínicas públicas, se acordó que el Estado pagará el monto  de  USD  $20,000</w:t>
        <w:br/>
        <w:t>por concepto de atención médica”.</w:t>
        <w:br/>
        <w:br/>
        <w:t>En el capítulo IX de la presente Sentencia, la Corte  declaró  la  violación</w:t>
        <w:br/>
        <w:t>al deber de garantía del derecho a la integridad personal  de  Melba  Suárez</w:t>
        <w:br/>
        <w:t>Peralta debido a la falta de supervisión  y  fiscalización  efectiva  de  la</w:t>
        <w:br/>
        <w:t>atención médica brindada (supra párr. 155).</w:t>
        <w:br/>
        <w:br/>
        <w:t>La Corte estima que, en el presente  caso,  la  entrega  de  una  reparación</w:t>
        <w:br/>
        <w:t>pecuniaria por concepto de atención médica en los  términos  convenidos  por</w:t>
        <w:br/>
        <w:t>las partes en el Acuerdo de Cumplimiento,  representa  una  medida  adecuada</w:t>
        <w:br/>
        <w:t>para garantizar sus obligaciones convencionales a favor de la víctima.</w:t>
        <w:br/>
        <w:br/>
        <w:t>En virtud de lo anterior, la Corte dispone la obligación a cargo del  Estado</w:t>
        <w:br/>
        <w:t>de entregar a la señora Melba del Carmen Suárez Peralta  el  referido  monto</w:t>
        <w:br/>
        <w:t>de US$ 20,000 (veinte mil dólares de los  Estados  Unidos  de  América)  por</w:t>
        <w:br/>
        <w:t>concepto de la atención y el tratamiento médico futuro que requiera.</w:t>
        <w:br/>
        <w:br/>
        <w:br/>
        <w:t xml:space="preserve">        Satisfacción</w:t>
        <w:br/>
        <w:br/>
        <w:br/>
        <w:br/>
        <w:t xml:space="preserve">           Solicitud de publicación y difusión de la Sentencia,</w:t>
        <w:br/>
        <w:t xml:space="preserve">           reconocimiento de responsabilidad internacional y disculpas</w:t>
        <w:br/>
        <w:t xml:space="preserve">           públicas</w:t>
        <w:br/>
        <w:br/>
        <w:br/>
        <w:t>El representante solicitó a la Corte que ordene al  Estado  “la  publicación</w:t>
        <w:br/>
        <w:t>de la sentencia en dos diarios de amplia  circulación  nacional,  además  de</w:t>
        <w:br/>
        <w:t>que se ordene al Estado la  publicación  de  la  sentencia  en  el  Registro</w:t>
        <w:br/>
        <w:t>Oficial del Ecuador y la elaboración y publicación de un folleto que  resuma</w:t>
        <w:br/>
        <w:t>lo decidido por la Corte”.</w:t>
        <w:br/>
        <w:br/>
        <w:t>La  Comisión  solicitó  a  la  Corte  que  ordene  al  Estado  realizar   un</w:t>
        <w:br/>
        <w:t>reconocimiento de responsabilidad internacional y  disculpas  públicas  como</w:t>
        <w:br/>
        <w:t>parte de las medidas necesarias con el fin de reparar adecuadamente a  Melba</w:t>
        <w:br/>
        <w:t>del Carmen Suárez Peralta y a su  madre,  Melba  Peralta  Mendoza,  por  las</w:t>
        <w:br/>
        <w:t>violaciones de derechos humanos determinadas en el Informe No. 75/11.</w:t>
        <w:br/>
        <w:br/>
        <w:t>El Estado solicitó a la Corte “no [acoger] las medidas  solicitadas  por  el</w:t>
        <w:br/>
        <w:t>representante de la presunta víctima puesto que las medidas de  satisfacción</w:t>
        <w:br/>
        <w:t>se encuentran cumplidas de manera cabal”. Lo anterior se fundamenta en  que,</w:t>
        <w:br/>
        <w:t>en virtud del Acuerdo de Cumplimiento firmado entre el Estado  y  la  señora</w:t>
        <w:br/>
        <w:t>Suárez Peralta, el Estado realizó el 25 de enero del  2012  una  publicación</w:t>
        <w:br/>
        <w:t>de “Disculpas Públicas” en el Diario El Universo  del  Ecuador  y  el  3  de</w:t>
        <w:br/>
        <w:t>agosto de 2012  colocó  una  “Placa  de  Disculpas  Públicas”  en  la  Corte</w:t>
        <w:br/>
        <w:t>Provincial de Justicia de Guayas.</w:t>
        <w:br/>
        <w:br/>
        <w:t>La Corte observa que con motivo del Acuerdo de Cumplimiento suscrito por  el</w:t>
        <w:br/>
        <w:t>Estado y la señora Suárez Peralta, el  Estado  realizó  una  publicación  de</w:t>
        <w:br/>
        <w:t>“Disculpas Públicas” en el Diario  El  Universo  del  Ecuador,  la  cual  se</w:t>
        <w:br/>
        <w:t>refirió a las recomendaciones del Informe 75/11  por  la  violación  de  los</w:t>
        <w:br/>
        <w:t>artículo 8.1 y 25.1 de la Convención. Asimismo, el Estado colocó una  “Placa</w:t>
        <w:br/>
        <w:t>de Disculpas Públicas” en la Corte Provincial de Justicia de Guayas.</w:t>
        <w:br/>
        <w:br/>
        <w:t>Al respecto,  la  Corte  estima  que  dichos  actos  de  disculpas  públicas</w:t>
        <w:br/>
        <w:t>resultan medidas de reparación suficientes y  adecuadas  para  remediar,  en</w:t>
        <w:br/>
        <w:t>parte,  las  violaciones  ocasionadas  a  las  víctimas  y  cumplir  con  la</w:t>
        <w:br/>
        <w:t>finalidad indicada  por  los  representantes[230].  No  obstante,  estas  no</w:t>
        <w:br/>
        <w:t>contemplan las consideraciones  expuestas  en  el  presente  Fallo.  Por  lo</w:t>
        <w:br/>
        <w:t>tanto, como lo ha hecho en otros casos[231], la Corte estima  necesario  que</w:t>
        <w:br/>
        <w:t>en un plazo de seis meses  a  partir  de  la  notificación  de  la  presente</w:t>
        <w:br/>
        <w:t>Sentencia, el Estado publique en el  Diario  Oficial  de  Ecuador,  por  una</w:t>
        <w:br/>
        <w:t>única vez, el resumen oficial de la misma, elaborado por  la  Corte  y  que,</w:t>
        <w:br/>
        <w:t>asimismo, la presente Sentencia, en su  integridad,  permanezca  disponible,</w:t>
        <w:br/>
        <w:t>por un período de un año, en un sitio web oficial adecuado de Ecuador.</w:t>
        <w:br/>
        <w:br/>
        <w:br/>
        <w:t xml:space="preserve">           Solicitud de reparación por daño al proyecto de vida</w:t>
        <w:br/>
        <w:br/>
        <w:br/>
        <w:t>El representante solicitó a la Corte que ordene al Estado “cubrir  el  costo</w:t>
        <w:br/>
        <w:t>de los años que faltan para que la [señora] Melba del Carmen Suárez  Peralta</w:t>
        <w:br/>
        <w:t>termine su carrera de abogada en la Universidad Laica  Vicente  Rocafuerte”.</w:t>
        <w:br/>
        <w:t>Por otra parte, solicitó  a  la  Corte  que  ordene  al  Estado  “garantizar</w:t>
        <w:br/>
        <w:t>mediante el otorgamiento de becas el estudio intermedio y  superior  de  los</w:t>
        <w:br/>
        <w:t>niños Gandy Alberto  Cerezo  Suárez,  Katherine  Madeline  Cerezo  Suárez  y</w:t>
        <w:br/>
        <w:t>Marilyn Melba Cerezo  Suárez.  El  reconocimiento  de  becas  para  estudios</w:t>
        <w:br/>
        <w:t>constituiría una forma de reparación, pues obrando como  restitución  de  lo</w:t>
        <w:br/>
        <w:t>que no se pudo tener, significaría para los hijos e  hijas  una  oportunidad</w:t>
        <w:br/>
        <w:t>para realizar el proyecto de vida  que  se  vio  al  decaer  [su]  situación</w:t>
        <w:br/>
        <w:t>económica”.</w:t>
        <w:br/>
        <w:br/>
        <w:t>El Estado manifestó a la Corte que “en ningún momento el  proyecto  de  vida</w:t>
        <w:br/>
        <w:t>de la señora Suárez fue limitado, [ya que ella] se retiró y perdió  el  año,</w:t>
        <w:br/>
        <w:t>[mientras que] en los primeros años de estudio, […] aprobó  los  cursos  sin</w:t>
        <w:br/>
        <w:t>ningún inconveniente”. A su vez, indicó que “la educación en el  Ecuador  es</w:t>
        <w:br/>
        <w:t>gratuita hasta el tercer nivel, es decir que la  peticionaria  y  sus  hijos</w:t>
        <w:br/>
        <w:t>tienen el derecho a la educación gratuita garantizado por  el  Estado,  esto</w:t>
        <w:br/>
        <w:t>se encuentra reconocido en el artículo 28 de la Constitución”.</w:t>
        <w:br/>
        <w:br/>
        <w:t>La Corte recuerda que para efectos del presente Fallo, únicamente  considera</w:t>
        <w:br/>
        <w:t>como “parte lesionada” a las señoras  Melba  del  Carmen  Suárez  Peralta  y</w:t>
        <w:br/>
        <w:t>Melba  Peralta  Mendoza,  quienes  en  su  carácter  de  víctimas   de   las</w:t>
        <w:br/>
        <w:t>violaciones declaradas en esta Sentencia, serán  consideradas  beneficiarias</w:t>
        <w:br/>
        <w:t>de las reparaciones que la Corte ordene (supra párr. 28). En  este  sentido,</w:t>
        <w:br/>
        <w:t>considera improcedente la solicitud del representante  en  relación  con  el</w:t>
        <w:br/>
        <w:t>otorgamiento de becas a  los  niños  Gandy  Alberto,  Katherine  Madeline  y</w:t>
        <w:br/>
        <w:t>Marilyn Melba, todos de apellidos Cerezo Suárez.</w:t>
        <w:br/>
        <w:br/>
        <w:t>Por su  parte,  como  lo  ha  establecido  en  otros  casos[232],  la  Corte</w:t>
        <w:br/>
        <w:t>considera que el “daño al proyecto de vida” implica la pérdida  o  el  grave</w:t>
        <w:br/>
        <w:t>menoscabo de oportunidades de desarrollo personal, en  forma  irreparable  o</w:t>
        <w:br/>
        <w:t>muy difícilmente  reparable.  Dicho  daño  se  deriva  de  las  limitaciones</w:t>
        <w:br/>
        <w:t>sufridas por una persona para relacionarse y gozar de su  entorno  personal,</w:t>
        <w:br/>
        <w:t>familiar o social, por lesiones graves de tipo físico,  mental,  psicológico</w:t>
        <w:br/>
        <w:t>o emocional[233].</w:t>
        <w:br/>
        <w:br/>
        <w:t>Al respecto, la Corte  ha  señalado  que  para  pronunciarse  debidamente  y</w:t>
        <w:br/>
        <w:t>conforme a derecho, las reparaciones deben tener  un  nexo  causal  con  los</w:t>
        <w:br/>
        <w:t>hechos del caso, las violaciones  declaradas,  los  daños  acreditados,  así</w:t>
        <w:br/>
        <w:t>como con las medidas solicitadas para reparar  los  daños  respectivos[234].</w:t>
        <w:br/>
        <w:t>En este sentido, resalta, con respecto al pago de la  carrera  universitaria</w:t>
        <w:br/>
        <w:t>de la señora Suárez Peralta, que ni del marco fáctico  ni  del  análisis  de</w:t>
        <w:br/>
        <w:t>los derechos que se declararon violados, se desprende alguna  situación  que</w:t>
        <w:br/>
        <w:t>permita establecer un  nexo  causal  acreditado  entre  la  pérdida  de  los</w:t>
        <w:br/>
        <w:t>estudios  realizados  por  la  señora  Suárez  Peralta  y  las   violaciones</w:t>
        <w:br/>
        <w:t>declaradas en la presente Sentencia. Teniendo  en  cuenta  lo  anterior,  la</w:t>
        <w:br/>
        <w:t>Corte considera improcedente disponer  una  medida  de  reparación  en  este</w:t>
        <w:br/>
        <w:t>sentido.</w:t>
        <w:br/>
        <w:br/>
        <w:br/>
        <w:t xml:space="preserve">        Garantías de no repetición</w:t>
        <w:br/>
        <w:br/>
        <w:br/>
        <w:t>La Corte recuerda que el Estado debe prevenir la recurrencia de  violaciones</w:t>
        <w:br/>
        <w:t>a los derechos humanos como las descritas en este caso y, por ello,  adoptar</w:t>
        <w:br/>
        <w:t>todas las medidas  legales,  administrativas  y  de  otra  índole  que  sean</w:t>
        <w:br/>
        <w:t>necesarias para  hacer  efectivo  el  ejercicio  de  los  derechos[235],  de</w:t>
        <w:br/>
        <w:t>conformidad con las obligaciones de evitar que hechos  similares  vuelvan  a</w:t>
        <w:br/>
        <w:t>ocurrir en el futuro,  en  cumplimiento  de  los  deberes  de  prevención  y</w:t>
        <w:br/>
        <w:t>garantía  de  los   derechos   humanos   reconocidos   por   la   Convención</w:t>
        <w:br/>
        <w:t>Americana[236].</w:t>
        <w:br/>
        <w:br/>
        <w:br/>
        <w:t xml:space="preserve">           Solicitud de adopción de medidas en derecho interno</w:t>
        <w:br/>
        <w:br/>
        <w:br/>
        <w:t>La Comisión solicitó a la Corte que ordene al Estado “[a]doptar las  medidas</w:t>
        <w:br/>
        <w:t>necesarias para asegurar que se regule e  implementen  efectivamente  normas</w:t>
        <w:br/>
        <w:t>relacionadas con el ejercicio de los profesionales de la salud,  conforme  a</w:t>
        <w:br/>
        <w:t>los estándares nacionales e internacionales en la materia”.</w:t>
        <w:br/>
        <w:br/>
        <w:t>El representante coincidió con lo solicitado por la Comisión  y  añadió  que</w:t>
        <w:br/>
        <w:t>el Estado ecuatoriano debe “adopt[ar] medidas legislativas  y  de  cualquier</w:t>
        <w:br/>
        <w:t>otra índole destina[das] a robustecer la responsabilidad civil  y  penal  de</w:t>
        <w:br/>
        <w:t>los [m]édicos y [s]ervidores de la [s]alud en el Ecuador”.</w:t>
        <w:br/>
        <w:br/>
        <w:t>Por su parte, el Estado sostuvo que la Ley Orgánica  de  Salud  de  Ecuador,</w:t>
        <w:br/>
        <w:t>reformada el 24 de enero de 2012, regula, entre otras  cosas,  el  ejercicio</w:t>
        <w:br/>
        <w:t>de los  profesionales  de  la  salud  y  la  responsabilidad  civil  de  los</w:t>
        <w:br/>
        <w:t>profesionales de la salud y los servicios de salud[237].  En  virtud  de  lo</w:t>
        <w:br/>
        <w:t>anterior, solicitó a  la  Corte  que  “no  se  pronuncie  respecto  a  estas</w:t>
        <w:br/>
        <w:t>solicitudes ya que como se ha comprobado actualmente  se  está  viviendo  un</w:t>
        <w:br/>
        <w:t>cambio de estructuras que generan beneficios no solamente a  la  familia  de</w:t>
        <w:br/>
        <w:t>la demandante sino a toda la  sociedad,  es  decir  que  lo  que  el  Estado</w:t>
        <w:br/>
        <w:t>pretende es lograr progresivamente cambios positivos  que  concluyan  en  lo</w:t>
        <w:br/>
        <w:t>que se conoce como el buen vivir o sumak kawsay”.</w:t>
        <w:br/>
        <w:br/>
        <w:t>La  Corte  observa  que  en  el  Acuerdo  de  Cumplimiento,  el  Estado   se</w:t>
        <w:br/>
        <w:t>comprometió a “dictar y reformar normas dirigidas a los profesionales de  la</w:t>
        <w:br/>
        <w:t>salud [y] presentar  un  proyecto  normativo  en  el  que  se  incluyan  las</w:t>
        <w:br/>
        <w:t>reformas pertinentes sobre mala práctica médica y sobre derechos  de  los  y</w:t>
        <w:br/>
        <w:t>las pacientes”.</w:t>
        <w:br/>
        <w:br/>
        <w:t>En el capítulo IX de la presente  Sentencia,  se  declaró  la  violación  al</w:t>
        <w:br/>
        <w:t>deber de garantía del derecho a  la  integridad  personal  de  Melba  Suárez</w:t>
        <w:br/>
        <w:t>Peralta a través de la supervisión y fiscalización efectiva de  la  atención</w:t>
        <w:br/>
        <w:t>médica brindada, en su  relación  con  el  artículo  1.1  de  la  Convención</w:t>
        <w:br/>
        <w:t>Americana. No obstante, también se indicó que la  normativa  del  Estado  de</w:t>
        <w:br/>
        <w:t>Ecuador al momento de  los  hechos  otorgaba  a  las  autoridades  estatales</w:t>
        <w:br/>
        <w:t>correspondientes las competencias necesarias para  realizar  el  control  de</w:t>
        <w:br/>
        <w:t>las mismas, sea en lo que refiere a la  supervisión  del  funcionamiento  de</w:t>
        <w:br/>
        <w:t>los establecimientos públicos o  privados,  como  en  la  fiscalización  del</w:t>
        <w:br/>
        <w:t>ejercicio de la profesión del médico (supra  párr.  139).  Con  base  en  lo</w:t>
        <w:br/>
        <w:t>anterior, la Corte no estima necesario ordenar una medida de  reparación  al</w:t>
        <w:br/>
        <w:t>respecto.</w:t>
        <w:br/>
        <w:br/>
        <w:br/>
        <w:t xml:space="preserve">           Solicitud de capacitación a los profesionales de la salud sobre</w:t>
        <w:br/>
        <w:t xml:space="preserve">           la responsabilidad del ejercicio profesional</w:t>
        <w:br/>
        <w:br/>
        <w:br/>
        <w:t>El representante solicitó a la Corte  ordenar  al  Estado  “adoptar  medidas</w:t>
        <w:br/>
        <w:t>urgentes para capacitar a los médicos y  personal  de  salud  de  hospitales</w:t>
        <w:br/>
        <w:t>públicos y clínicas privadas, en derechos humanos, derecho  penal,  derechos</w:t>
        <w:br/>
        <w:t>de los pacientes y la jurisprudencia de la Corte [I]nteramericana, para  que</w:t>
        <w:br/>
        <w:t>las actuaciones  de  dichos  profesionales  de  la  salud  se  ciñan  a  las</w:t>
        <w:br/>
        <w:t>obligaciones internacionales en materia de derechos humanos a que el  Estado</w:t>
        <w:br/>
        <w:t>ecuatoriano está sujeto”.</w:t>
        <w:br/>
        <w:br/>
        <w:t>La Comisión solicitó a la Corte  ordenar  al  Estado  “[a]doptar  todas  las</w:t>
        <w:br/>
        <w:t>medidas necesarias para evitar que hechos similares vuelvan a ocurrir en  el</w:t>
        <w:br/>
        <w:t>futuro, en cumplimiento de los deberes  de  prevención  y  garantía  de  los</w:t>
        <w:br/>
        <w:t>derechos reconocidos por la Convención Americana”.</w:t>
        <w:br/>
        <w:br/>
        <w:t>Por su parte, el Estado no se refirió de forma específica a esta  medida  de</w:t>
        <w:br/>
        <w:t>reparación.</w:t>
        <w:br/>
        <w:br/>
        <w:t>La  Corte  observa  que  en  el  Acuerdo  de  Cumplimiento,  el  Estado   se</w:t>
        <w:br/>
        <w:t>comprometió a “realizar capacitaciones a profesionales  de  la  salud  sobre</w:t>
        <w:br/>
        <w:t>derechos de los y las pacientes tanto en el ámbito público como  privado  de</w:t>
        <w:br/>
        <w:t>manera planificada y sostenible”.</w:t>
        <w:br/>
        <w:br/>
        <w:t>En el capítulo IX de la presente Sentencia, la Corte  declaró  la  violación</w:t>
        <w:br/>
        <w:t>al deber de garantía del derecho a la integridad personal  de  Melba  Suárez</w:t>
        <w:br/>
        <w:t>Peralta  respecto  de  la  atención  médica  brindada  y  consideró  que  la</w:t>
        <w:br/>
        <w:t>fiscalización y supervisión no fue efectuada en el presente caso,  tanto  en</w:t>
        <w:br/>
        <w:t>lo que refiere al control  de  las  prestaciones  brindadas  en  la  entidad</w:t>
        <w:br/>
        <w:t>estatal como en lo que respecta a la institución privada (supra párr. 155).</w:t>
        <w:br/>
        <w:br/>
        <w:t>La Corte recuerda que mediante  Sentencia  en  el  caso  Albán  Cornejo  Vs.</w:t>
        <w:br/>
        <w:t>Ecuador[238], ya había dispuesto como medida de reparación que “[e]l  Estado</w:t>
        <w:br/>
        <w:t>deb[ía] realizar, en un plazo razonable, un programa  para  la  formación  y</w:t>
        <w:br/>
        <w:t>capacitación a los operadores de justicia y profesionales de la salud  sobre</w:t>
        <w:br/>
        <w:t>la normativa que el Ecuador ha implementado relativa a los derechos  de  los</w:t>
        <w:br/>
        <w:t>pacientes, y a la sanción por su incumplimiento”.</w:t>
        <w:br/>
        <w:br/>
        <w:t>No obstante, la  Corte  observa  que,  como  consta  en  el  correspondiente</w:t>
        <w:br/>
        <w:t>procedimiento de supervisión de cumplimiento de sentencia, a  más  de  cinco</w:t>
        <w:br/>
        <w:t>años de decretada dicha  medida  no  ha  sido  todavía  ejecutada  en  forma</w:t>
        <w:br/>
        <w:t>completa, en virtud de lo cual, mediante  Resolución  esta  Corte  de  5  de</w:t>
        <w:br/>
        <w:t>febrero de 2013, se consideró necesario reiterar el deber del Estado de  dar</w:t>
        <w:br/>
        <w:t>cumplimiento a los programas de formación y capacitación ordenados en  dicha</w:t>
        <w:br/>
        <w:t>Sentencia[239]. En virtud de lo cual, esta Corte  reitera  dicha  obligación</w:t>
        <w:br/>
        <w:t>al Estado y no estima procedente  ordenar  una  medida  adicional  a  la  ya</w:t>
        <w:br/>
        <w:t>dispuesta en dicho  caso,  sumado  a  la  carencia  de  nexo  de  causalidad</w:t>
        <w:br/>
        <w:t>respectivo.</w:t>
        <w:br/>
        <w:br/>
        <w:br/>
        <w:t>Indemnización Compensatoria</w:t>
        <w:br/>
        <w:br/>
        <w:br/>
        <w:br/>
        <w:t xml:space="preserve">        Argumentos de la Comisión y de las partes</w:t>
        <w:br/>
        <w:br/>
        <w:br/>
        <w:t>El representante solicitó a la Corte que ordene al Estado “el  pago  de  una</w:t>
        <w:br/>
        <w:t>indemnización  compensatoria  monetaria  a  favor  de  las  víctimas  y  sus</w:t>
        <w:br/>
        <w:t>familiares por los perjuicios patrimoniales sufridos  como  consecuencia  de</w:t>
        <w:br/>
        <w:t>los hechos de la mala práctica médica, y de la búsqueda de justicia,  verdad</w:t>
        <w:br/>
        <w:t>y reparación durante todos los  años  posteriores”,  por  un  monto  de  US$</w:t>
        <w:br/>
        <w:t>750,426.57 (setecientos cincuenta mil cuatrocientos  veintiséis  dólares  de</w:t>
        <w:br/>
        <w:t>los Estados  Unidos  de  América,  con  cincuenta  y  siete  centavos)[240].</w:t>
        <w:br/>
        <w:t>Asimismo,  el   representante   solicitó   el   pago   de   US$   432,000.00</w:t>
        <w:br/>
        <w:t>(cuatrocientos treinta y dos mil dólares de los Estados Unidos  de  América)</w:t>
        <w:br/>
        <w:t>por concepto de lucro cesante.</w:t>
        <w:br/>
        <w:br/>
        <w:t>Adicionalmente, el representante solicitó a la Corte que  ordene  al  Estado</w:t>
        <w:br/>
        <w:t>por concepto de daño inmaterial[241], pagar el monto de US$ 150,000  (ciento</w:t>
        <w:br/>
        <w:t>cincuenta mil dólares de los Estados Unidos de América) a la  señora  Suárez</w:t>
        <w:br/>
        <w:t>Peralta, US$ 100,000 (cien mil dólares de los Estados Unidos de  América)  a</w:t>
        <w:br/>
        <w:t>la señora Melba Peralta Mendoza, US$ 50,000 (cincuenta mil  dólares  de  los</w:t>
        <w:br/>
        <w:t>Estados Unidos de América) al señor Dennis Cerezo  Cervantes  y  US$  20,000</w:t>
        <w:br/>
        <w:t>(veinte mil dólares de los Estados Unidos de América) para cada uno  de  sus</w:t>
        <w:br/>
        <w:t>hijos, a saber, Gandy,  Katherine  y  Marilyn,  todos  de  apellidos  Cerezo</w:t>
        <w:br/>
        <w:t>Suárez.</w:t>
        <w:br/>
        <w:br/>
        <w:t>Por su parte, el Estado indicó, con respecto  al  daño  emergente,  que  “se</w:t>
        <w:br/>
        <w:t>estipula que existe una posible afectación por daño emergente  calculada  en</w:t>
        <w:br/>
        <w:t>$ 38,654.22 (treinta y ocho mil seiscientos cincuenta y cuatro  dólares  con</w:t>
        <w:br/>
        <w:t>veinte y dos centavos), monto que equivale al 12% del valor  solicitado  por</w:t>
        <w:br/>
        <w:t>el representante”. Como consecuencia de lo anterior, el  Estado  solicitó  a</w:t>
        <w:br/>
        <w:t>la Corte que se  pronuncie  en  equidad  respecto  del  daño  material.  Sin</w:t>
        <w:br/>
        <w:t>embargo, en los alegatos finales escritos el  Estado  solicitó  a  la  Corte</w:t>
        <w:br/>
        <w:t>“[d]eclarar sin lugar las pretensiones el supuesto  por  daño  material,  en</w:t>
        <w:br/>
        <w:t>virtud de que no se [probaron] de manera válida los montos  reclamados  […].</w:t>
        <w:br/>
        <w:t>Por tanto en caso de que la Corte disponga una reparación material, esta  no</w:t>
        <w:br/>
        <w:t>debe superar los veinte mil dólares en concepto  de  lucro  cesante  y  daño</w:t>
        <w:br/>
        <w:t>emergente”.  El  Estado  también  impugnó  todo  lo  solicitado  por   lucro</w:t>
        <w:br/>
        <w:t>cesante[242].</w:t>
        <w:br/>
        <w:br/>
        <w:t>Sobre el daño inmaterial, el Estado indicó que los  montos  estipulados  por</w:t>
        <w:br/>
        <w:t>el representante son muy elevados, puesto que en el acuerdo de  cumplimiento</w:t>
        <w:br/>
        <w:t>entre las presuntas víctimas y el Ministerio de Justicia  se  subscribió  un</w:t>
        <w:br/>
        <w:t>monto correspondiente a daños materiales, inmateriales costas  y  gastos  de</w:t>
        <w:br/>
        <w:t>$300,000.00 (trescientos  mil  dólares).  Adicionalmente,  en  los  alegatos</w:t>
        <w:br/>
        <w:t>finales escritos solicitó a la Corte declarar que  el  daño  inmaterial  sea</w:t>
        <w:br/>
        <w:t>calculado en equidad de conformidad a los estándares y principios  recogidos</w:t>
        <w:br/>
        <w:t>en la jurisprudencia interamericana, que [por] ningún  caso  podrán  superar</w:t>
        <w:br/>
        <w:t>los $10,000.00 (diez mil dólares) en total para las dos víctimas.</w:t>
        <w:br/>
        <w:br/>
        <w:br/>
        <w:t xml:space="preserve">        Consideraciones de la Corte</w:t>
        <w:br/>
        <w:br/>
        <w:br/>
        <w:t>La Corte ha desarrollado en su jurisprudencia el concepto de  daño  material</w:t>
        <w:br/>
        <w:t>y ha establecido que el  mismo  supone 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caso”[243]. La Corte ha señalado que “[e]l daño inmaterial  puede</w:t>
        <w:br/>
        <w:t>comprender  tanto  los  sufrimientos  y  las  aflicciones  causados  por  la</w:t>
        <w:br/>
        <w:t>violación como el menoscabo de valores muy significativos para las  personas</w:t>
        <w:br/>
        <w:t>y cualquier alteración, de carácter no pecuniario,  en  las  condiciones  de</w:t>
        <w:br/>
        <w:t>existencia de las víctimas”[244].</w:t>
        <w:br/>
        <w:br/>
        <w:t>Al respecto, la Corte observa que, en el Acuerdo de Cumplimiento, el  Estado</w:t>
        <w:br/>
        <w:t>se comprometió a  “pagar  una  indemnización  por  concepto  de  procuración</w:t>
        <w:br/>
        <w:t>judicial, daño material y daño moral” a las señoras Melba Suárez  Peralta  y</w:t>
        <w:br/>
        <w:t>Melba Peralta Mendoza, en su calidad de beneficiarias.  Dicha  indemnización</w:t>
        <w:br/>
        <w:t>fue acordada de la siguiente manera: a) US$  250,000  (doscientos  cincuenta</w:t>
        <w:br/>
        <w:t>mil dólares de los Estados Unidos de  América)  a  la  señora  Melba  Suárez</w:t>
        <w:br/>
        <w:t>Peralta, y b) US$ 30,000 (treinta mil  dólares  de  los  Estados  Unidos  de</w:t>
        <w:br/>
        <w:t>América) a la señora Melba Peralta Mendoza.</w:t>
        <w:br/>
        <w:br/>
        <w:t>La Corte estima que el compromiso de indemnizar  a  las  víctimas,  el  cual</w:t>
        <w:br/>
        <w:t>comprende la reparación pecuniaria convenida por las partes  en  el  Acuerdo</w:t>
        <w:br/>
        <w:t>de Cumplimiento por concepto de daño material e  inmaterial,  representa  un</w:t>
        <w:br/>
        <w:t>paso  positivo  de  Ecuador  en  el   cumplimiento   de   sus   obligaciones</w:t>
        <w:br/>
        <w:t>convencionales internacionales. En virtud de lo anterior,  la  Corte  estima</w:t>
        <w:br/>
        <w:t>apropiado el monto acordado previamente por el Estado y  las  víctimas,  por</w:t>
        <w:br/>
        <w:t>lo que el Estado de Ecuador deberá indemnizar a las señoras  Suárez  Peralta</w:t>
        <w:br/>
        <w:t>por la cantidad de US$ 250,000.00 (doscientos cincuenta mil dólares  de  los</w:t>
        <w:br/>
        <w:t>Estados Unidos de  América)  y  Peralta  Mendoza  por  la  cantidad  de  US$</w:t>
        <w:br/>
        <w:t>30,000.00 (treinta mil  dólares  de  los  Estados  Unidos  de  América).  Lo</w:t>
        <w:br/>
        <w:t>anterior  corresponde  la  indemnización  tanto  por  la  violación  de  los</w:t>
        <w:br/>
        <w:t>derechos a las garantías judiciales y protección judicial (artículos 8 y  25</w:t>
        <w:br/>
        <w:t>de la Convención) de las señoras Suárez  Peralta  y  Peralta  Mendoza,  como</w:t>
        <w:br/>
        <w:t>también a la indemnización  por  la  violación  al  deber  de  garantía  del</w:t>
        <w:br/>
        <w:t>derecho a la integridad personal (artículo 5 de la Convención) de la  señora</w:t>
        <w:br/>
        <w:t>Suárez Peralta declarada en el presente Fallo. Asimismo, se  indica  que  el</w:t>
        <w:br/>
        <w:t>pago  de  la  indemnización  establecida  no  se  encuentra  sujeto   a   la</w:t>
        <w:br/>
        <w:t>presentación de ningún tipo de comprobantes de gastos respectivo.</w:t>
        <w:br/>
        <w:br/>
        <w:br/>
        <w:t>Costas y Gastos</w:t>
        <w:br/>
        <w:br/>
        <w:br/>
        <w:t>El representante solicitó a la Corte que ordene al Estado “el  reembolso  de</w:t>
        <w:br/>
        <w:t>todas las costas y los gastos en que incurrieron los representantes  legales</w:t>
        <w:br/>
        <w:t>tanto en los litigios ante las instancias  domésticas  ecuatoriana  como  al</w:t>
        <w:br/>
        <w:t>presentar  y  litigar  el   caso   ante   los   organismos   del   [S]istema</w:t>
        <w:br/>
        <w:t>[I]nteramericano”. Con motivo del  litigio  en  el  Estado  ecuatoriano,  el</w:t>
        <w:br/>
        <w:t>representante solicitó la cantidad de US$ 30,000  (treinta  mil  dólares  de</w:t>
        <w:br/>
        <w:t>los Estados Unidos de América) para el abogado José Peralta Rendón. Para  el</w:t>
        <w:br/>
        <w:t>litigio  ante  el  Sistema  Interamericano,  el  representante  solicitó  la</w:t>
        <w:br/>
        <w:t>cantidad de US$ 40,000 (cuarenta  mil  dólares  de  los  Estados  Unidos  de</w:t>
        <w:br/>
        <w:t>América) para el abogado Jorge Sosa Meza.</w:t>
        <w:br/>
        <w:br/>
        <w:t>Por su parte, el Estado manifestó que en razón  de  que  la  declaración  de</w:t>
        <w:br/>
        <w:t>impuestos ante  el  Servicio  de  Rentas  Internas  no  refleja  los  montos</w:t>
        <w:br/>
        <w:t>declarados y que tampoco es una prueba idónea para el efecto, se solicitó  a</w:t>
        <w:br/>
        <w:t>la Corte se digne fijar en equidad los valores correspondientes a  costas  y</w:t>
        <w:br/>
        <w:t>gastos, los mismos que no deberían exceder los $10,000  (diez  mil  dólares)</w:t>
        <w:br/>
        <w:t>que el Estado pagó en el Caso Vera Vera Vs. Ecuador.</w:t>
        <w:br/>
        <w:br/>
        <w:t>La Corte reitera que,  conforme  a  su  jurisprudencia[245],  las  costas  y</w:t>
        <w:br/>
        <w:t>gastos hacen parte del concepto de reparación, toda vez que las  actividades</w:t>
        <w:br/>
        <w:t>desplegadas por las víctimas con el fin de obtener justicia, tanto  a  nivel</w:t>
        <w:br/>
        <w:t>nacional como internacional, implican erogaciones que deben ser  compensadas</w:t>
        <w:br/>
        <w:t>cuando la responsabilidad internacional del  Estado  es  declarada  mediante</w:t>
        <w:br/>
        <w:t>una sentencia condenatoria.</w:t>
        <w:br/>
        <w:br/>
        <w:t>En  cuanto  al  reembolso  de  gastos,  corresponde  a  la  Corte   apreciar</w:t>
        <w:br/>
        <w:t>prudentemente su alcance, el cual comprende los gastos  generados  ante  las</w:t>
        <w:br/>
        <w:t>autoridades de la jurisdicción interna, así como los generados en  el  curso</w:t>
        <w:br/>
        <w:t>del  proceso  ante  el  Sistema  Interamericano,  teniendo  en  cuenta   las</w:t>
        <w:br/>
        <w:t>circunstancias  del  caso  concreto 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razonable.</w:t>
        <w:br/>
        <w:br/>
        <w:t>Al respecto, la Corte observa  que  no  consta  en  el  expediente  respaldo</w:t>
        <w:br/>
        <w:t>probatorio que justifique las cantidades solicitadas por los  representantes</w:t>
        <w:br/>
        <w:t>por concepto de honorarios y servicios  profesionales.  Adicionalmente,  los</w:t>
        <w:br/>
        <w:t>montos requeridos por concepto  de  honorarios  no  fueron  acompañados  con</w:t>
        <w:br/>
        <w:t>argumentación de prueba específica sobre su razonabilidad y alcance[246].</w:t>
        <w:br/>
        <w:br/>
        <w:t>Por  consiguiente,  adicionalmente  al  monto  relacionado  con   la   parte</w:t>
        <w:br/>
        <w:t>correspondiente a la procuración judicial  establecido  previamente  en  las</w:t>
        <w:br/>
        <w:t>indemnizaciones y con base en el Acuerdo de Cumplimiento, la Corte  fija  en</w:t>
        <w:br/>
        <w:t>equidad la cantidad de US$  10,000.00  (diez  mil  dólares  de  los  Estados</w:t>
        <w:br/>
        <w:t>Unidos de América) por concepto de costas y gastos durante  el  trámite  del</w:t>
        <w:br/>
        <w:t>caso ante el  Sistema  Interamericano  de  Derechos  Humanos  en  favor  del</w:t>
        <w:br/>
        <w:t>representante Jorge Sosa Meza.</w:t>
        <w:br/>
        <w:br/>
        <w:br/>
        <w:t>Reintegro de los gastos al Fondo de Asistencia Legal de Víctimas</w:t>
        <w:br/>
        <w:br/>
        <w:br/>
        <w:t>El representante solicitó el apoyo del Fondo de Asistencia de la Corte  para</w:t>
        <w:br/>
        <w:t>cubrir los gastos que se generaran,  producto  de  la  participación  en  la</w:t>
        <w:br/>
        <w:t>audiencia pública celebrada en el presente caso, de dos presuntas  víctimas,</w:t>
        <w:br/>
        <w:t>cinco familiares, cuatro peritos, cuatro testigos y dos representantes.</w:t>
        <w:br/>
        <w:br/>
        <w:t>Mediante Resoluciones del Presidente de la Corte de 20 de diciembre de  2012</w:t>
        <w:br/>
        <w:t>y 24 de enero de 2013, se autorizó el Fondo para cubrir los gastos de  viaje</w:t>
        <w:br/>
        <w:t>y estadía necesarios para que la señora Suárez Peralta compareciera ante  el</w:t>
        <w:br/>
        <w:t>Tribunal y pudiera rendir su declaración en la  audiencia  pública,  y  para</w:t>
        <w:br/>
        <w:t>cubrir los costos de rendición  y  envío  del  affidavit  del  señor  Dennis</w:t>
        <w:br/>
        <w:t>Cerezo Cervantes y de otros dos declarantes a criterio del representante.</w:t>
        <w:br/>
        <w:br/>
        <w:t>El Estado tuvo la oportunidad  de  presentar  sus  observaciones  sobre  las</w:t>
        <w:br/>
        <w:t>erogaciones realizadas en el presente caso,  las  cuales  ascendieron  a  la</w:t>
        <w:br/>
        <w:t>suma de US$ 1,436.00 (mil cuatrocientos y treinta  y  seis  dólares  de  los</w:t>
        <w:br/>
        <w:t>Estados Unidos de América). Ecuador no presentó observaciones  al  respecto.</w:t>
        <w:br/>
        <w:t>Corresponde al Tribunal, en aplicación del artículo  5  del  Reglamento  del</w:t>
        <w:br/>
        <w:t>Fondo, evaluar la procedencia de ordenar al Estado  demandado  el  reintegro</w:t>
        <w:br/>
        <w:t>al  Fondo  de  Asistencia  Legal  de  las  erogaciones  en  que  se  hubiese</w:t>
        <w:br/>
        <w:t>incurrido.</w:t>
        <w:br/>
        <w:br/>
        <w:t>En razón de las violaciones declaradas en la presente  Sentencia,  la  Corte</w:t>
        <w:br/>
        <w:t>ordena al Estado el reintegro a dicho Fondo por la cantidad de US$  1,436.00</w:t>
        <w:br/>
        <w:t>(mil cuatrocientos y treinta  y  seis  dólares  de  los  Estados  Unidos  de</w:t>
        <w:br/>
        <w:t>América) por los gastos incurridos. Este monto deberá ser reintegrado  a  la</w:t>
        <w:br/>
        <w:t>Corte Interamericana en el plazo de noventa días, contados a  partir  de  la</w:t>
        <w:br/>
        <w:t>notificación del presente Fallo.</w:t>
        <w:br/>
        <w:br/>
        <w:br/>
        <w:t>Modalidades de cumplimiento de los pagos ordenados</w:t>
        <w:br/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Sentencia directamente a las personas indicadas en la  misma,</w:t>
        <w:br/>
        <w:t>dentro del plazo de  un  año,  contado  a  partir  de  la  notificación  del</w:t>
        <w:br/>
        <w:t>presente Fallo, en los términos de los siguientes párrafos.</w:t>
        <w:br/>
        <w:br/>
        <w:t>El Estado debe cumplir sus  obligaciones  monetarias  mediante  el  pago  en</w:t>
        <w:br/>
        <w:t>dólares de los Estados Unidos de América. Si por causas  atribuibles  a  los</w:t>
        <w:br/>
        <w:t>beneficiarios de las indemnizaciones  o  a  sus  derechohabientes  no  fuese</w:t>
        <w:br/>
        <w:t>posible el pago de las cantidades determinadas dentro  del  plazo  indicado,</w:t>
        <w:br/>
        <w:t>el Estado consignará dichos montos a su favor en una  cuenta  o  certificado</w:t>
        <w:br/>
        <w:t>de depósito en una institución financiera ecuatoriana solvente,  en  dólares</w:t>
        <w:br/>
        <w:t>estadounidenses,  y  en  las  condiciones  financieras  más  favorables  que</w:t>
        <w:br/>
        <w:t>permitan la legislación  y  la  práctica  bancaria.  Si  no  se  reclama  la</w:t>
        <w:br/>
        <w:t>indemnización  correspondiente  una  vez  transcurridos   diez   años,   las</w:t>
        <w:br/>
        <w:t>cantidades serán devueltas al Estado con los intereses devengados.</w:t>
        <w:br/>
        <w:br/>
        <w:t>Las cantidades asignadas en la presente Sentencia como indemnización y  como</w:t>
        <w:br/>
        <w:t>reintegro  de  costas  y  gastos  deberán  ser  entregadas  a  las  personas</w:t>
        <w:br/>
        <w:t>indicadas en forma íntegra, conforme a lo  establecido  en  esta  Sentencia,</w:t>
        <w:br/>
        <w:t>sin reducciones derivadas de eventuales cargas fiscales.</w:t>
        <w:br/>
        <w:br/>
        <w:t>En caso de que el Estado incurriera en mora, deberá pagar un  interés  sobre</w:t>
        <w:br/>
        <w:t>la cantidad adeudada correspondiente al interés  bancario  moratorio  en  la</w:t>
        <w:br/>
        <w:t>República de Ecuador.</w:t>
        <w:br/>
        <w:br/>
        <w:br/>
        <w:t>XI</w:t>
        <w:br/>
        <w:t>PUNTOS RESOLUTIVOS</w:t>
        <w:br/>
        <w:br/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>Desestimar la excepción preliminar interpuesta por el Estado relativa a la</w:t>
        <w:br/>
        <w:t>incompetencia de la Corte para conocer situaciones relacionadas con el</w:t>
        <w:br/>
        <w:t>derecho a la integridad personal contemplado en el artículo 5.1 de la</w:t>
        <w:br/>
        <w:t>Convención Americana en los términos de los párrafos 19 a 22 de la presente</w:t>
        <w:br/>
        <w:t>Sentencia.</w:t>
        <w:br/>
        <w:br/>
        <w:t>Admitir la excepción preliminar interpuesta por el Estado relativa a la</w:t>
        <w:br/>
        <w:t>inclusión de presuntas víctimas que no fueron establecidas en el Informe de</w:t>
        <w:br/>
        <w:t>Fondo en los términos de los párrafos 26 a 28 de la presente Sentencia.</w:t>
        <w:br/>
        <w:br/>
        <w:br/>
        <w:br/>
        <w:br/>
        <w:t>DECLARA,</w:t>
        <w:br/>
        <w:br/>
        <w:br/>
        <w:t>por unanimidad, que:</w:t>
        <w:br/>
        <w:br/>
        <w:t>El Estado es responsable por la violación de los derechos  a  las  garantías</w:t>
        <w:br/>
        <w:t>judiciales y a la protección judicial, reconocidos en los  artículos  8.1  y</w:t>
        <w:br/>
        <w:t>25.1 de la Convención Americana sobre Derechos Humanos, en relación  con  el</w:t>
        <w:br/>
        <w:t>artículo 1.1 de la misma, en perjuicio de Melba del Carmen Suárez Peralta  y</w:t>
        <w:br/>
        <w:t>Melba Peralta Mendoza, en los términos de  los  párrafos  94  a  122  de  la</w:t>
        <w:br/>
        <w:t>presente Sentencia.</w:t>
        <w:br/>
        <w:br/>
        <w:t>El Estado es responsable por la violación del deber de garantía del  derecho</w:t>
        <w:br/>
        <w:t>a la integridad personal, reconocido en el artículo  5.1  de  la  Convención</w:t>
        <w:br/>
        <w:t>Americana sobre Derechos Humanos, en relación con el artículo 1.1 del  mismo</w:t>
        <w:br/>
        <w:t>instrumento, en perjuicio  de  Melba  del  Carmen  Suárez  Peralta,  en  los</w:t>
        <w:br/>
        <w:t>términos de los párrafos 134 a 154 de la presente Sentencia.</w:t>
        <w:br/>
        <w:br/>
        <w:t>El Estado no es responsable por la  violación  del  deber  de  garantía  del</w:t>
        <w:br/>
        <w:t>derecho a la integridad personal,  reconocido  en  el  artículo  5.1  de  la</w:t>
        <w:br/>
        <w:t>Convención Americana sobre Derechos Humanos, en  relación  con  el  artículo</w:t>
        <w:br/>
        <w:t>1.1 del mismo instrumento, en perjuicio de Melba  Peralta  Mendoza,  en  los</w:t>
        <w:br/>
        <w:t>términos de los párrafos 155 a 160 de la presente Sentencia.</w:t>
        <w:br/>
        <w:br/>
        <w:t>Y DISPONE</w:t>
        <w:br/>
        <w:br/>
        <w:t>por unanimidad, que:</w:t>
        <w:br/>
        <w:br/>
        <w:t>Esta Sentencia constituye per se una forma de reparación.</w:t>
        <w:br/>
        <w:br/>
        <w:t>El Estado debe realizar las publicaciones que se indican en el  párrafo  189</w:t>
        <w:br/>
        <w:t>del presente Fallo,  en  el  plazo  de  6  meses  contado  a  partir  de  la</w:t>
        <w:br/>
        <w:t>notificación de la Sentencia.</w:t>
        <w:br/>
        <w:br/>
        <w:t>El Estado debe pagar las cantidades fijadas en los párrafos 184, 214  y  220</w:t>
        <w:br/>
        <w:t>de la presente Sentencia por  concepto  de  atención  médica  futura  de  la</w:t>
        <w:br/>
        <w:t>señora Suarez Peralta,  indemnizaciones  por  daño  material  e  inmaterial,</w:t>
        <w:br/>
        <w:t>reintegro de costas y gastos en el plazo de un año, contado a partir  de  la</w:t>
        <w:br/>
        <w:t>notificación de la misma. Asimismo, el  Estado  debe  pagar  las  cantidades</w:t>
        <w:br/>
        <w:t>fijadas en el párrafo 224 de la presente Sentencia por  reintegro  al  Fondo</w:t>
        <w:br/>
        <w:t>de Asistencia Legal de Víctimas en el plazo de noventa días.</w:t>
        <w:br/>
        <w:br/>
        <w:t>El Estado debe,  dentro  del  plazo  de  un  año  contado  a  partir  de  la</w:t>
        <w:br/>
        <w:t>notificación de esta Sentencia, rendir al  Tribunal  un  informe  sobre  las</w:t>
        <w:br/>
        <w:t>medidas adoptadas para cumplir con la misma.</w:t>
        <w:br/>
        <w:br/>
        <w:t>La Corte supervisará el cumplimiento íntegro de esta Sentencia, en</w:t>
        <w:br/>
        <w:t>ejercicio de sus atribuciones y en cumplimiento de sus deberes conforme a</w:t>
        <w:br/>
        <w:t>la Convención Americana sobre Derechos Humanos, y dará por concluido el</w:t>
        <w:br/>
        <w:t>presente caso una vez que el Estado haya dado cabal cumplimiento a lo</w:t>
        <w:br/>
        <w:t>dispuesto en la misma.</w:t>
        <w:br/>
        <w:br/>
        <w:br/>
        <w:t>El Juez Alberto Pérez Pérez hizo conocer a la Corte su Voto Razonado,  y  el</w:t>
        <w:br/>
        <w:t>Juez Eduardo Ferrer Mac-Gregor Poisot  hizo  conocer  a  la  Corte  su  Voto</w:t>
        <w:br/>
        <w:t>Concurrente, los cuales acompañan esta Sentencia.</w:t>
        <w:br/>
        <w:br/>
        <w:br/>
        <w:br/>
        <w:br/>
        <w:br/>
        <w:t>Redactada en español e inglés, haciendo fe el texto en español, en San</w:t>
        <w:br/>
        <w:t>José, Costa Rica, el 21 de mayo de 2013.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E. Ventura Robles                                  Alberto Pérez</w:t>
        <w:br/>
        <w:t>Pérez</w:t>
        <w:br/>
        <w:br/>
        <w:br/>
        <w:br/>
        <w:br/>
        <w:br/>
        <w:t>Eduardo Vio Grossi                                    Roberto de Figueiredo</w:t>
        <w:br/>
        <w:t>Caldas</w:t>
        <w:br/>
        <w:br/>
        <w:br/>
        <w:br/>
        <w:br/>
        <w:br/>
        <w:br/>
        <w:t>Humberto Sierra Porto                         Eduardo Ferrer Mac-Gregor</w:t>
        <w:br/>
        <w:t>Poisot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t xml:space="preserve">                 VOTO RAZONADO DEL JUEZ ALBERTO PÉREZ PÉREZ</w:t>
        <w:br/>
        <w:t xml:space="preserve">                    EN EL CASO SUÁREZ PERALTA vs. ECUADOR</w:t>
        <w:br/>
        <w:br/>
        <w:br/>
        <w:t xml:space="preserve">        1. La finalidad del presente voto razonado es exclusivamente  dejar</w:t>
        <w:br/>
        <w:t xml:space="preserve">           en claro que las referencias al derecho a la salud contenidas en</w:t>
        <w:br/>
        <w:t xml:space="preserve">           la sentencia no significan que se esté asumiendo competencia  en</w:t>
        <w:br/>
        <w:t xml:space="preserve">           relación con ese derecho  en  particular,  o  con  los  derechos</w:t>
        <w:br/>
        <w:t xml:space="preserve">           económicos, sociales y culturales  en  general.  La  competencia</w:t>
        <w:br/>
        <w:t xml:space="preserve">           contenciosa de la Corte está fijada en  el  artículo  62  de  la</w:t>
        <w:br/>
        <w:t xml:space="preserve">           Convención Americana  y  en  el  artículo  19,  párrafo  6,  del</w:t>
        <w:br/>
        <w:t xml:space="preserve">           Protocolo de San Salvador, sin perjuicio  de  las  disposiciones</w:t>
        <w:br/>
        <w:t xml:space="preserve">           pertinentes de otras convenciones interamericanas sobre derechos</w:t>
        <w:br/>
        <w:t xml:space="preserve">           humanos.</w:t>
        <w:br/>
        <w:br/>
        <w:br/>
        <w:br/>
        <w:br/>
        <w:br/>
        <w:br/>
        <w:t xml:space="preserve">        2. Al respecto, cabe recordar lo manifestado  por  el  Juez  Sergio</w:t>
        <w:br/>
        <w:t xml:space="preserve">           García Ramírez en su voto razonado en el caso Albán Cornejo  Vs.</w:t>
        <w:br/>
        <w:t xml:space="preserve">           Ecuador, en el cual sostuvo que:</w:t>
        <w:br/>
        <w:br/>
        <w:t xml:space="preserve">   “[l]a protección de  la  salud  no  constituye,  por  ahora,  un  derecho</w:t>
        <w:br/>
        <w:t xml:space="preserve">   inmediatamente justiciable, al amparo  del  Protocolo  de  San  Salvador.</w:t>
        <w:br/>
        <w:t xml:space="preserve">   Empero, es posible –y debido– examinar el tema, como lo ha hecho la Corte</w:t>
        <w:br/>
        <w:t xml:space="preserve">   en el presente caso, desde la  perspectiva  de  la  preservación  de  los</w:t>
        <w:br/>
        <w:t xml:space="preserve">   derechos a la vida y a la integridad,  e  incluso  desde  el  ángulo  del</w:t>
        <w:br/>
        <w:t xml:space="preserve">   acceso a la justicia cuando la vulneración de aquellos  bienes  jurídicos</w:t>
        <w:br/>
        <w:t xml:space="preserve">   –entraña de los correspondientes derechos– traiga consigo una reclamación</w:t>
        <w:br/>
        <w:t xml:space="preserve">   de justicia”,</w:t>
        <w:br/>
        <w:t xml:space="preserve">    </w:t>
        <w:br/>
        <w:t>y que</w:t>
        <w:br/>
        <w:br/>
        <w:br/>
        <w:t xml:space="preserve">   “[e]n estos supuestos, como en otros, el deber estatal no se reduce a las</w:t>
        <w:br/>
        <w:t xml:space="preserve">   hipótesis en que el Estado mismo,  a  través  de  sus  propias  unidades,</w:t>
        <w:br/>
        <w:t xml:space="preserve">   órganos o funcionarios, provee servicios de salud” –esto es,  atiende  en</w:t>
        <w:br/>
        <w:t xml:space="preserve">   forma inmediata la protección de la vida y de la integridad personal–,”</w:t>
        <w:br/>
        <w:br/>
        <w:br/>
        <w:t>sino que también comprende</w:t>
        <w:br/>
        <w:br/>
        <w:br/>
        <w:t xml:space="preserve">   tanto las situaciones  en  que  se  ha  delegado  un  servicio,  que  los</w:t>
        <w:br/>
        <w:t xml:space="preserve">   particulares  brindan  por  encargo  y  cuenta  del   Estado,   como   la</w:t>
        <w:br/>
        <w:t xml:space="preserve">   indispensable supervisión de servicios privados relativos  a  bienes  del</w:t>
        <w:br/>
        <w:t xml:space="preserve">   más alto interés social, que es el caso  de  la  salud,  cuya  vigilancia</w:t>
        <w:br/>
        <w:t xml:space="preserve">   compete inexcusablemente al poder público. A la hora  de  resolver  sobre</w:t>
        <w:br/>
        <w:t xml:space="preserve">   violación de derechos humanos y responsabilidades del Estado no se  puede</w:t>
        <w:br/>
        <w:t xml:space="preserve">   perder de vista  la  naturaleza  privada  de  la  institución  y  de  los</w:t>
        <w:br/>
        <w:t xml:space="preserve">   empleados, funcionarios o profesionales que actúan en ella; pero  tampoco</w:t>
        <w:br/>
        <w:t xml:space="preserve">   la relevancia pública y/o social de la función que aquéllos  y  ésta  han</w:t>
        <w:br/>
        <w:t xml:space="preserve">   asumido, a la que no  pueden  ser  ajenos  el  interés,  el  deber  y  la</w:t>
        <w:br/>
        <w:t xml:space="preserve">   supervisión del Estado.”</w:t>
        <w:br/>
        <w:br/>
        <w:br/>
        <w:br/>
        <w:br/>
        <w:br/>
        <w:br/>
        <w:br/>
        <w:br/>
        <w:br/>
        <w:t xml:space="preserve">        3. Tal es lo que se ha hecho en la presente sentencia, en  la  cual</w:t>
        <w:br/>
        <w:t xml:space="preserve">           se concluye que se “generó una situación de riesgo, conocida por</w:t>
        <w:br/>
        <w:t xml:space="preserve">           el Estado, que se materializó en afectaciones  en  la  salud  de</w:t>
        <w:br/>
        <w:t xml:space="preserve">           Melba Suárez Peralta” y que, “[p]or tanto, el Estado de  Ecuador</w:t>
        <w:br/>
        <w:t xml:space="preserve">           incurrió  en  responsabilidad  internacional  por  la  falta  de</w:t>
        <w:br/>
        <w:t xml:space="preserve">           garantía y prevención del derecho a la  integridad  personal  de</w:t>
        <w:br/>
        <w:t xml:space="preserve">           Melba Suárez Peralta, en contravención del artículo  5.1  de  la</w:t>
        <w:br/>
        <w:t xml:space="preserve">           Convención Americana, en conexión con el artículo 1.1 del  mismo</w:t>
        <w:br/>
        <w:t xml:space="preserve">           instrumento”  (párr.  154).  Concordantemente,   en   la   parte</w:t>
        <w:br/>
        <w:t xml:space="preserve">           dispositiva se determina que “[e]l Estado es responsable por  la</w:t>
        <w:br/>
        <w:t xml:space="preserve">           violación del deber de garantía  del  derecho  a  la  integridad</w:t>
        <w:br/>
        <w:t xml:space="preserve">           personal,  reconocido  en  el  artículo  5.1  de  la  Convención</w:t>
        <w:br/>
        <w:t xml:space="preserve">           Americana sobre Derechos Humanos, en relación  con  el  artículo</w:t>
        <w:br/>
        <w:t xml:space="preserve">           1.1 del mismo instrumento, en  perjuicio  de  Melba  del  Carmen</w:t>
        <w:br/>
        <w:t xml:space="preserve">           Suárez Peralta, en los términos de los párrafos 134 a 154 de  la</w:t>
        <w:br/>
        <w:t xml:space="preserve">           presente Sentencia” (punto declarativo 4).</w:t>
        <w:br/>
        <w:br/>
        <w:br/>
        <w:br/>
        <w:br/>
        <w:br/>
        <w:br/>
        <w:br/>
        <w:br/>
        <w:br/>
        <w:t xml:space="preserve">                                                         Alberto Pérez Pérez</w:t>
        <w:br/>
        <w:br/>
        <w:t xml:space="preserve">                                                                        Juez</w:t>
        <w:br/>
        <w:br/>
        <w:br/>
        <w:br/>
        <w:br/>
        <w:br/>
        <w:br/>
        <w:br/>
        <w:br/>
        <w:br/>
        <w:br/>
        <w:br/>
        <w:br/>
        <w:br/>
        <w:t>Pablo Saavedra Alessandri</w:t>
        <w:br/>
        <w:br/>
        <w:t xml:space="preserve">        Secretario</w:t>
        <w:br/>
        <w:br/>
        <w:br/>
        <w:br/>
        <w:br/>
        <w:t xml:space="preserve">         Voto CONCURRENTE DEL JUEZ EDUARDO ferrer mac-gregor poisot</w:t>
        <w:br/>
        <w:br/>
        <w:t xml:space="preserve">        a la sentencia de la Corte Interamericana de derechos Humanos</w:t>
        <w:br/>
        <w:br/>
        <w:t xml:space="preserve">        en el caso Suárez peralta vs. Ecuador, de 21 de mayo de 2013</w:t>
        <w:br/>
        <w:br/>
        <w:br/>
        <w:br/>
        <w:br/>
        <w:br/>
        <w:t>I. PREMISA INICIAL: LA POSIBILIDAD DE HABER ABORDADO EL DERECHO A  LA  SALUD</w:t>
        <w:br/>
        <w:t>DE  MANERA  DIRECTA  Y  AUTÓNOMA  (ARTÍCULOS  26  Y  1.1  DE  LA  CONVENCIÓN</w:t>
        <w:br/>
        <w:t>AMERICANA)</w:t>
        <w:br/>
        <w:br/>
        <w:t>1.    En el presente caso, la Corte Interamericana de Derechos  Humanos  (en</w:t>
        <w:br/>
        <w:t>adelante  “Corte  IDH”  o  “Tribunal  Interamericano”)  declaró  responsable</w:t>
        <w:br/>
        <w:t>internacionalmente al Estado demandado por la violación de  los  derechos  a</w:t>
        <w:br/>
        <w:t>las garantías judiciales  y  a  la  protección  judicial  previstos  en  los</w:t>
        <w:br/>
        <w:t>artículos 8.1 y 25.1 de la Convención Americana sobre Derechos  Humanos  (en</w:t>
        <w:br/>
        <w:t>adelante “Convención Americana” o “Pacto de San José”), así  como  al  deber</w:t>
        <w:br/>
        <w:t>de garantía del derecho a la integridad personal contenido  en  el  artículo</w:t>
        <w:br/>
        <w:t>5.1, todos en relación con el artículo 1.1 del Pacto de San José.</w:t>
        <w:br/>
        <w:br/>
        <w:t>2.    Si bien concurro con el sentido del fallo asumido  por  unanimidad  de</w:t>
        <w:br/>
        <w:t>votos,  estimo  que  el  Tribunal  Interamericano  pudo  haber  abordado  la</w:t>
        <w:br/>
        <w:t>problemática teniendo en cuenta lo que  realmente  motivó  que  el  presente</w:t>
        <w:br/>
        <w:t>caso llegara al Sistema Interamericano  y  particularmente  a  su  instancia</w:t>
        <w:br/>
        <w:t>jurisdiccional, que fueron las implicaciones al “derecho a la salud”  debido</w:t>
        <w:br/>
        <w:t>a una mala praxis médica con responsabilidad  del  Estado,  que  generó  una</w:t>
        <w:br/>
        <w:t>afectación grave a la salud de una mujer de veintidós años y madre  de  tres</w:t>
        <w:br/>
        <w:t>hijos, lo que provocó distintas intervenciones quirúrgicas  y  padecimientos</w:t>
        <w:br/>
        <w:t>en detrimento de su dignidad humana.</w:t>
        <w:br/>
        <w:br/>
        <w:t>3.     Desde mi perspectiva, esta  situación  pudo  haberse  considerado  de</w:t>
        <w:br/>
        <w:t>manera explícita para que dentro de las consideraciones de la  Sentencia  de</w:t>
        <w:br/>
        <w:t>excepciones preliminares, fondo, reparaciones  y  costas  (en  adelante  “la</w:t>
        <w:br/>
        <w:t>Sentencia”)[247], se abordara la cuestión con plenitud y se  estudiaran  las</w:t>
        <w:br/>
        <w:t>implicaciones en el caso del derecho a  la  salud  de  manera  autónoma.  Lo</w:t>
        <w:br/>
        <w:t>anterior, partiendo de reconocer la competencia que otorga a  la  Corte  IDH</w:t>
        <w:br/>
        <w:t>el artículo 26 del Pacto de San José para pronunciarse sobre  el  derecho  a</w:t>
        <w:br/>
        <w:t>la salud y entendiendo la justiciabilidad directa de  dicho  derecho  social</w:t>
        <w:br/>
        <w:t>—y no sólo de manera tangencial y en conexión con otros  derechos  civiles—,</w:t>
        <w:br/>
        <w:t>lo  que  pudo,  en  su  caso,  haber  derivado  en  declarar  violado  dicho</w:t>
        <w:br/>
        <w:t>dispositivo  convencional  en  forma   autónoma,   en   relación   con   las</w:t>
        <w:br/>
        <w:t>obligaciones de respeto y garantía previstas en el artículo  1.1  del  Pacto</w:t>
        <w:br/>
        <w:t>de San José.</w:t>
        <w:br/>
        <w:br/>
        <w:t>4.    En efecto, las obligaciones generales de “respeto”  y  “garantía”  que</w:t>
        <w:br/>
        <w:t>prevé el mencionado precepto convencional —conjuntamente con  la  obligación</w:t>
        <w:br/>
        <w:t>de “adecuación” del artículo 2 de la propia Convención Americana— aplican  a</w:t>
        <w:br/>
        <w:t>todos  los  derechos,  sean  civiles,  políticos,  económicos,  sociales   y</w:t>
        <w:br/>
        <w:t>culturales, a la luz de  la  interdependencia  e  indivisibilidad  existente</w:t>
        <w:br/>
        <w:t>entre todos los derechos humanos reconocidos en el Pacto de San  José;  esta</w:t>
        <w:br/>
        <w:t>“interdependencia  e  indivisibilidad”  fue  expresamente   reconocida   con</w:t>
        <w:br/>
        <w:t>particular intensidad respecto al derecho a la salud  en  la  Sentencia  que</w:t>
        <w:br/>
        <w:t>motiva  el  presente  voto  razonado[248],  lo  que  implica  una  serie  de</w:t>
        <w:br/>
        <w:t>consecuencias trascendentales, entre las que se  encuentra  el  aceptar  que</w:t>
        <w:br/>
        <w:t>los  derechos  humanos  no  tienen  jerarquía   entre   sí,   pudiendo   ser</w:t>
        <w:br/>
        <w:t>justiciables de manera directa los derechos civiles y  políticos,  como  los</w:t>
        <w:br/>
        <w:t>derechos económicos, sociales y culturales.</w:t>
        <w:br/>
        <w:br/>
        <w:t>5.    Partiendo de la premisa de que el Tribunal Interamericano tiene  plena</w:t>
        <w:br/>
        <w:t>competencia para analizar violaciones de todos los derechos  reconocidos  en</w:t>
        <w:br/>
        <w:t>la Convención Americana incluyendo los relativos al artículo 26[249],  entre</w:t>
        <w:br/>
        <w:t>los cuales se encuentra el derecho al Desarrollo Progresivo de los  Derechos</w:t>
        <w:br/>
        <w:t>Económicos, Sociales y Culturales, que  comprende  el  derecho  a  la  salud</w:t>
        <w:br/>
        <w:t>—como  se  reconoce  en  la  Sentencia   que   motiva   el   presente   voto</w:t>
        <w:br/>
        <w:t>razonado[250]—,  considero  que  en  el  presente  caso  se  debió  analizar</w:t>
        <w:br/>
        <w:t>directamente este derecho social,  debido  a  la  competencia  que  entiendo</w:t>
        <w:br/>
        <w:t>tiene esta Corte IDH para pronunciarse sobre  una  posible  violación  a  la</w:t>
        <w:br/>
        <w:t>garantía de los derechos económicos, sociales  y  culturales,  especialmente</w:t>
        <w:br/>
        <w:t>del derecho a la salud.</w:t>
        <w:br/>
        <w:br/>
        <w:t>6.    En efecto, la competencia de la Corte IDH para conocer del  derecho  a</w:t>
        <w:br/>
        <w:t>la  salud  se  encuentra  directamente  en  el   artículo   26   (Desarrollo</w:t>
        <w:br/>
        <w:t>Progresivo)[251]  del  Pacto  de  San  José  (a  través  de  distintas  vías</w:t>
        <w:br/>
        <w:t>interpretativas (infra párrs. 33-72), en  relación  con  los  artículos  1.1</w:t>
        <w:br/>
        <w:t>(Obligación  de  Respetar  los  Derechos)[252]  y  2   (Deber   de   Adoptar</w:t>
        <w:br/>
        <w:t>Disposiciones de Derecho Interno)[253], así como del artículo 29 (Normas  de</w:t>
        <w:br/>
        <w:t>Interpretación)[254]   de   la   propia   Convención   Americana.    Además,</w:t>
        <w:br/>
        <w:t>considerando los artículos 34.i)[255]  y  45  h)[256]  de  la  Carta  de  la</w:t>
        <w:br/>
        <w:t>Organización  de  los  Estados  Americanos,  el  artículo  XI[257]   de   la</w:t>
        <w:br/>
        <w:t>Declaración Americana de los Derechos y Deberes del Hombre,  y  el  artículo</w:t>
        <w:br/>
        <w:t>25.1[258] de la Declaración Universal de Derechos Humanos (los  dos  últimos</w:t>
        <w:br/>
        <w:t>instrumentos de conformidad con lo previsto en  el  artículo  29.d[259]  del</w:t>
        <w:br/>
        <w:t>Pacto de San José), así como otros instrumentos  y  fuentes  internacionales</w:t>
        <w:br/>
        <w:t>que le otorgan contenido, definición y alcances al derecho a la salud  —como</w:t>
        <w:br/>
        <w:t>lo  ha  hecho  la  Corte  IDH   respecto   de   los   derechos   civiles   y</w:t>
        <w:br/>
        <w:t>políticos—[260], como lo son los artículos 10[261] del  Protocolo  Adicional</w:t>
        <w:br/>
        <w:t>a la Convención Americana sobre Derechos Económicos, Sociales y  Culturales,</w:t>
        <w:br/>
        <w:t>17 y 33.2 de la Carta Social de las Américas[262], 12.1 y  12.2.d)[263]  del</w:t>
        <w:br/>
        <w:t>Pacto  Internacional  de  Derechos  Económicos,   Sociales   y   Culturales,</w:t>
        <w:br/>
        <w:t>12.1[264] de la Convención sobre la  Eliminación  de  Todas  las  Formas  de</w:t>
        <w:br/>
        <w:t>Discriminación contra la Mujer,  24[265] y 25[266] de  la  Convención  sobre</w:t>
        <w:br/>
        <w:t>los  Derechos  del   Niño,   entre   otros   instrumentos[267]   y   fuentes</w:t>
        <w:br/>
        <w:t>internacionales[268] —incluso nacionales vía el artículo  29.b)[269]  de  la</w:t>
        <w:br/>
        <w:t>Convención Americana[270]—. Y lo anterior sin que sea obstáculo el  artículo</w:t>
        <w:br/>
        <w:t>19.6[271]  del  Protocolo  de  San  Salvador,  que   refiere   sólo   a   la</w:t>
        <w:br/>
        <w:t>justiciabilidad de algunos derechos sindicales y de educación, toda vez  que</w:t>
        <w:br/>
        <w:t>es el propio artículo 26 de la  Convención  Americana  el  que  otorga  esta</w:t>
        <w:br/>
        <w:t>posibilidad, como veremos más adelante.</w:t>
        <w:br/>
        <w:br/>
        <w:t>7.    Evidentemente,  esta  posición  demanda  un  mayor  escrutinio  en  la</w:t>
        <w:br/>
        <w:t>interpretación normativa interamericana en  su  conjunto  y  particularmente</w:t>
        <w:br/>
        <w:t>del artículo 26 del Pacto de San José, que prevé “la plena  efectividad”  de</w:t>
        <w:br/>
        <w:t>los derechos económicos, sociales y culturales, sin  que  los  elementos  de</w:t>
        <w:br/>
        <w:t>“progresividad” y de “recursos  disponibles”  a  que  alude  este  precepto,</w:t>
        <w:br/>
        <w:t>puedan configurarse como condicionantes normativos para  la  justiciabilidad</w:t>
        <w:br/>
        <w:t>de dichos  derechos,  sino  en  todo  caso  constituyen  aspectos  sobre  su</w:t>
        <w:br/>
        <w:t>implementación de conformidad con las particularidades de  cada  Estado.  De</w:t>
        <w:br/>
        <w:t>hecho, tal como se señaló en el caso Acevedo Buendía,  pueden  surgir  casos</w:t>
        <w:br/>
        <w:t>donde el control judicial se concentre en alegadas medidas regresivas  o  en</w:t>
        <w:br/>
        <w:t>indebido manejo de los recursos  disponibles  (es  decir,  control  judicial</w:t>
        <w:br/>
        <w:t>respecto al avance progresivo).</w:t>
        <w:br/>
        <w:br/>
        <w:t>8.     Además,  esta  exigencia  argumentativa   requiere   una   visión   e</w:t>
        <w:br/>
        <w:t>interpretación evolutiva, acorde con los  tiempos  actuales,  lo  que  exige</w:t>
        <w:br/>
        <w:t>considerar los avances del derecho comparado  —especialmente  de  las  altas</w:t>
        <w:br/>
        <w:t>jurisdicciones nacionales de los Estados Partes, incluso de la tendencia  en</w:t>
        <w:br/>
        <w:t>otros países del mundo—, así como una interpretación que analice  el  corpus</w:t>
        <w:br/>
        <w:t>juris interamericano  en  su  conjunto,  especialmente  la  relación  de  la</w:t>
        <w:br/>
        <w:t>Convención Americana y el Protocolo de San Salvador.</w:t>
        <w:br/>
        <w:br/>
        <w:t>9.    Es por ello que  en  términos  del  artículo  66.2  de  la  Convención</w:t>
        <w:br/>
        <w:t>Americana[272] y en atención de lo deliberado y debatido con mis  apreciados</w:t>
        <w:br/>
        <w:t>colegas, me veo en la  necesidad  de  agregar  a  la  Sentencia  mi  opinión</w:t>
        <w:br/>
        <w:t>individual concurrente sobre algunas de las  importantes  implicaciones  que</w:t>
        <w:br/>
        <w:t>el presente asunto tiene en relación directa y autónoma con el derecho a  la</w:t>
        <w:br/>
        <w:t>salud en casos de mala praxis médica; temática  sobre  la  cual  versan  los</w:t>
        <w:br/>
        <w:t>hechos del caso y que en definitivamente gravitó  en  el  fondo  del  asunto</w:t>
        <w:br/>
        <w:t>para  declarar  la  responsabilidad  internacional  del  Estado   concernido</w:t>
        <w:br/>
        <w:t>respecto de otros derechos civiles del propio Pacto de San José.</w:t>
        <w:br/>
        <w:br/>
        <w:t>10.   La intención del presente voto razonado  es  invitar  a  la  reflexión</w:t>
        <w:br/>
        <w:t>sobre  la  necesaria  evolución  que  en  mi  concepto  debe  darse  en   la</w:t>
        <w:br/>
        <w:t>jurisprudencia  interamericana  hacia  la  eficacia  normativa   plena   del</w:t>
        <w:br/>
        <w:t>artículo 26 del Pacto de San José y  así  otorgar  transparencia  y   tutela</w:t>
        <w:br/>
        <w:t>real a los derechos económicos, sociales y culturales, lo que exige  aceptar</w:t>
        <w:br/>
        <w:t>su justiciabilidad directa y, de ser el caso —como sucede con  los  derechos</w:t>
        <w:br/>
        <w:t>civiles y políticos—, llegar eventualmente a declarar la violación  autónoma</w:t>
        <w:br/>
        <w:t>de estos derechos, en relación con las obligaciones generales  previstas  en</w:t>
        <w:br/>
        <w:t>los artículos 1 y 2 de la Convención  Americana  cuando  las  circunstancias</w:t>
        <w:br/>
        <w:t>del caso concreto así lo exijan.</w:t>
        <w:br/>
        <w:br/>
        <w:t>11.   En efecto, sin negar los avances alcanzados en la  protección  de  los</w:t>
        <w:br/>
        <w:t>derechos económicos, sociales  y  culturales  por  la  vía  indirecta  y  en</w:t>
        <w:br/>
        <w:t>conexión con otros derechos civiles y políticos —que ha sido  la  reconocida</w:t>
        <w:br/>
        <w:t>práctica de este Tribunal Interamericano—; en mi opinión, este  proceder  no</w:t>
        <w:br/>
        <w:t>otorga una eficacia y efectividad plena de esos derechos,  desnaturaliza  su</w:t>
        <w:br/>
        <w:t>esencia, no abona al esclarecimiento de las obligaciones estatales sobre  la</w:t>
        <w:br/>
        <w:t>materia y, en definitiva, provoca traslapes entre derechos, lo que  lleva  a</w:t>
        <w:br/>
        <w:t>confusiones innecesarias en los tiempos actuales de  clara  tendencia  hacia</w:t>
        <w:br/>
        <w:t>el reconocimiento y eficacia normativa de todos los derechos conforme a  los</w:t>
        <w:br/>
        <w:t>evidentes avances que se advierten en los ámbitos nacional y en  el  derecho</w:t>
        <w:br/>
        <w:t>internacional de los derechos humanos.</w:t>
        <w:br/>
        <w:br/>
        <w:t>12.   Teniendo en cuenta estas  premisas  iniciales,  considero  oportuno  a</w:t>
        <w:br/>
        <w:t>continuación abordar (i) la  justiciabilidad  de  los  derechos  económicos,</w:t>
        <w:br/>
        <w:t>sociales y culturales, entre ellos el derecho a la salud,  a  partir  de  la</w:t>
        <w:br/>
        <w:t>interdependencia e indivisibilidad con  los  derechos  civiles  y  políticos</w:t>
        <w:br/>
        <w:t>(párrafos 13-32); (ii) las vías interpretativas  del  artículo  26  para  la</w:t>
        <w:br/>
        <w:t>justiciabilidad directa de los derechos económicos,  sociales  y  culturales</w:t>
        <w:br/>
        <w:t>(párrafos 33-87); (iii) el principio iura novit curia y  la  justiciabilidad</w:t>
        <w:br/>
        <w:t>directa del derecho a la salud en el presente caso (párrafos 88-96); y  (iv)</w:t>
        <w:br/>
        <w:t>algunas consideraciones a manera de conclusión (párrafos 97-108).</w:t>
        <w:br/>
        <w:br/>
        <w:t>II. LA JUSTICIABILIDAD DE LOS DERECHOS ECONÓMICOS,  SOCIALES  Y  CULTURALES,</w:t>
        <w:br/>
        <w:t>ENTRE ELLOS EL DERECHO A  LA  SALUD,  A  PARTIR  DE  LA  INTERDEPENDENCIA  E</w:t>
        <w:br/>
        <w:t>INDIVISIBILIDAD CON LOS DERECHOS CIVILES Y POLITICOS</w:t>
        <w:br/>
        <w:br/>
        <w:t xml:space="preserve"> A) Precedentes y estado del debate</w:t>
        <w:br/>
        <w:br/>
        <w:t>13.   La Corte IDH ha tenido  la  oportunidad  de  pronunciarse  previamente</w:t>
        <w:br/>
        <w:t>sobre algunas de las implicaciones de la protección del derecho a la  salud.</w:t>
        <w:br/>
        <w:t xml:space="preserve"> En algunos casos en conexión con  los  derechos  a  la  vida  o  integridad</w:t>
        <w:br/>
        <w:t>personal[273]; en  otros  dentro  del  concepto  de  “vida  digna”[274];  en</w:t>
        <w:br/>
        <w:t>algunos mas con  motivo  de  la  atención  médica  prestada  en  centros  de</w:t>
        <w:br/>
        <w:t>reclusión o  instituciones  similares[275];  incluso,  en  otros  casos,  en</w:t>
        <w:br/>
        <w:t>relación con los derechos sexuales o reproductivos[276].</w:t>
        <w:br/>
        <w:br/>
        <w:t>14.   En muy pocos casos ha entrado  al  análisis  sobre  los  alcances  del</w:t>
        <w:br/>
        <w:t>artículo  26  de  la  Convención  Americana,  limitándose   en   general   a</w:t>
        <w:br/>
        <w:t>interpretar ciertas porciones normativas de dicho  dispositivo  convencional</w:t>
        <w:br/>
        <w:t>en relación con los derechos económicos, sociales y culturales.   En  ningún</w:t>
        <w:br/>
        <w:t>caso ha declarado de  manera  directa  y  autónoma  la  violación  de  dicho</w:t>
        <w:br/>
        <w:t>precepto[277].</w:t>
        <w:br/>
        <w:br/>
        <w:t>B) La interdependencia e indivisibilidad  de  todos  los  derechos  como  un</w:t>
        <w:br/>
        <w:t>elemento esencial  para  otorgar  justiciabilidad  directa  a  los  derechos</w:t>
        <w:br/>
        <w:t>económicos, sociales y culturales</w:t>
        <w:br/>
        <w:br/>
        <w:br/>
        <w:br/>
        <w:t>15.   La posibilidad de que este Tribunal Interamericano se pronuncie  sobre</w:t>
        <w:br/>
        <w:t>el derecho a la salud deriva, en primer término, de la  “interdependencia  e</w:t>
        <w:br/>
        <w:t>indivisibilidad” existente  entre  los  derechos  civiles  y  políticos  con</w:t>
        <w:br/>
        <w:t>respecto de los económicos, sociales y culturales.[278]  En  efecto,  en  la</w:t>
        <w:br/>
        <w:t>Sentencia que motiva el presente voto  razonado,  expresamente  se  reconoce</w:t>
        <w:br/>
        <w:t>ese carácter, ya  que  deben  ser  entendidos  integralmente  como  derechos</w:t>
        <w:br/>
        <w:t>humanos, sin jerarquía  entre  sí  y  exigibles  en  todos  los  casos  ante</w:t>
        <w:br/>
        <w:t>aquellas autoridades que resulten competentes para ello[279].</w:t>
        <w:br/>
        <w:br/>
        <w:br/>
        <w:br/>
        <w:t>16.    Lo  anterior  lo  consideramos  de  la  mayor  importancia  para   el</w:t>
        <w:br/>
        <w:t>desarrollo evolutivo y justiciable de los derechos  económicos,  sociales  y</w:t>
        <w:br/>
        <w:t>culturales. El Tribunal Interamericano parte de un precedente del  año  2009</w:t>
        <w:br/>
        <w:t>—resuelto por la anterior integración de la Corte IDH— en el  que  ya  había</w:t>
        <w:br/>
        <w:t>reconocido la “interdependencia” de los  derechos  humanos.  En  efecto,  en</w:t>
        <w:br/>
        <w:t>aquella ocasión la Corte IDH expresó[280]:</w:t>
        <w:br/>
        <w:br/>
        <w:br/>
        <w:br/>
        <w:t>101.  En  este  sentido,  la  Corte   considera   pertinente   recordar   la</w:t>
        <w:br/>
        <w:t>interdependencia existente entre los derechos  civiles  y  políticos  y  los</w:t>
        <w:br/>
        <w:t>económicos,  sociales  y   culturales,   ya   que   deben   ser   entendidos</w:t>
        <w:br/>
        <w:t>integralmente como derechos humanos, sin jerarquía entre sí y  exigibles  en</w:t>
        <w:br/>
        <w:t>todos los casos ante aquellas  autoridades  que  resulten  competentes  para</w:t>
        <w:br/>
        <w:t>ello.</w:t>
        <w:br/>
        <w:br/>
        <w:br/>
        <w:br/>
        <w:t>17.   Además de establecer “la interdependencia” en  dicho  caso  entre  los</w:t>
        <w:br/>
        <w:t>derechos humanos, el Tribunal Interamericano hizo  suyo  el  pronunciamiento</w:t>
        <w:br/>
        <w:t>de la Corte Europea de Derechos Humanos  sobre  extensiones  interpretativas</w:t>
        <w:br/>
        <w:t>hacia la tutela  de  los  derechos  sociales  y  económicos.  En  esa  misma</w:t>
        <w:br/>
        <w:t>ocasión, expresó[281]:</w:t>
        <w:br/>
        <w:br/>
        <w:br/>
        <w:br/>
        <w:t>Al respecto, resulta oportuno citar la jurisprudencia de  la  Corte  Europea</w:t>
        <w:br/>
        <w:t>de Derechos Humanos que, en el caso Airey señaló que:</w:t>
        <w:br/>
        <w:br/>
        <w:br/>
        <w:br/>
        <w:t xml:space="preserve">         El Tribunal no ignora que la progresiva realización de los derechos</w:t>
        <w:br/>
        <w:t xml:space="preserve">         sociales y económicos depende de la situación  de  cada  Estado,  y</w:t>
        <w:br/>
        <w:t xml:space="preserve">         sobre todo de su situación económica. Por otro  lado,  el  Convenio</w:t>
        <w:br/>
        <w:t xml:space="preserve">         [Europeo] debe interpretarse  a  la  luz  de  las  condiciones  del</w:t>
        <w:br/>
        <w:t xml:space="preserve">         presente […] y ha sido diseñado para salvaguardar al  individuo  de</w:t>
        <w:br/>
        <w:t xml:space="preserve">         manera real y efectiva respecto de los derechos protegidos por este</w:t>
        <w:br/>
        <w:t xml:space="preserve">         Convenio […].  Si bien el Convenio  recoge  derechos  esencialmente</w:t>
        <w:br/>
        <w:t xml:space="preserve">         civiles y políticos, gran parte de ellos  tienen  implicaciones  de</w:t>
        <w:br/>
        <w:t xml:space="preserve">         naturaleza económica y social. Por eso el Tribunal estima, como  lo</w:t>
        <w:br/>
        <w:t xml:space="preserve">         hace la Comisión, que  el  hecho  de  que  una  interpretación  del</w:t>
        <w:br/>
        <w:t xml:space="preserve">         Convenio pueda extenderse a la esfera de los  derechos  sociales  y</w:t>
        <w:br/>
        <w:t xml:space="preserve">         económicos no es factor decisivo en contra de dicha interpretación,</w:t>
        <w:br/>
        <w:t xml:space="preserve">         ya que no existe una separación tajante entre esa esfera y el campo</w:t>
        <w:br/>
        <w:t xml:space="preserve">         cubierto por el Convenio.[282]</w:t>
        <w:br/>
        <w:br/>
        <w:br/>
        <w:br/>
        <w:t>18.   Lo importante de esta consideración sobre la interdependencia  de  los</w:t>
        <w:br/>
        <w:t>derechos civiles y políticos en relación  con  los  económicos,  sociales  y</w:t>
        <w:br/>
        <w:t>culturales, realizada por la Corte IDH en el Caso Acevedo  Buendía  y  otros</w:t>
        <w:br/>
        <w:t>Vs. Perú, radica en que dicho pronunciamiento se  efectúa  al  estudiar  los</w:t>
        <w:br/>
        <w:t>alcances  interpretativos  del  artículo  26  de  la  Convención  Americana,</w:t>
        <w:br/>
        <w:t>respecto de un derecho (seguridad social) no  reconocido  expresamente  como</w:t>
        <w:br/>
        <w:t>justiciable en el artículo 19.6 del Protocolo de San  Salvador[283].  Previo</w:t>
        <w:br/>
        <w:t>al  análisis  de  fondo,  el  Tribunal  Interamericano  expresamente   había</w:t>
        <w:br/>
        <w:t>desestimado  la  excepción  preliminar  de  falta  de  competencia   ratione</w:t>
        <w:br/>
        <w:t>materiae opuesta por el Estado demandado[284]:</w:t>
        <w:br/>
        <w:br/>
        <w:br/>
        <w:br/>
        <w:t xml:space="preserve">      […] el Estado alegó que el derecho a la seguridad social  queda  fuera</w:t>
        <w:br/>
        <w:t xml:space="preserve">      del alcance de la competencia de la Corte en razón de la  materia,  ya</w:t>
        <w:br/>
        <w:t xml:space="preserve">      que éste no está contemplado en la Convención Americana ni es  uno  de</w:t>
        <w:br/>
        <w:t xml:space="preserve">      los dos derechos (derechos sindicales y derecho a  la  educación)  que</w:t>
        <w:br/>
        <w:t xml:space="preserve">      excepcionalmente serían justiciables ante el  Sistema  Interamericano,</w:t>
        <w:br/>
        <w:t xml:space="preserve">      de conformidad con lo señalado en el artículo 19.6  del  Protocolo  de</w:t>
        <w:br/>
        <w:t xml:space="preserve">      San Salvador.</w:t>
        <w:br/>
        <w:br/>
        <w:br/>
        <w:br/>
        <w:t>19.   La Corte IDH, sin hacer mención al  Protocolo  de  San  Salvador  para</w:t>
        <w:br/>
        <w:t>determinar si tenía competencia sobre el mismo[285], al estimar que  no  era</w:t>
        <w:br/>
        <w:t>necesario toda vez que no se alegó violación  directa  a  dicho  instrumento</w:t>
        <w:br/>
        <w:t>internacional, desestimó la excepción preliminar del Estado, al  considerar,</w:t>
        <w:br/>
        <w:t>por  una   parte,   que   como   cualquier   otro   órgano   con   funciones</w:t>
        <w:br/>
        <w:t>jurisdiccionales, el Tribunal Interamericano tiene el poder inherente a  sus</w:t>
        <w:br/>
        <w:t>atribuciones de determinar el alcance de su propia competencia   (compétence</w:t>
        <w:br/>
        <w:t>de la compétence); y, por otra parte,  que “la Corte debe  tener  en  cuenta</w:t>
        <w:br/>
        <w:t>que los instrumentos de reconocimiento de  la  cláusula  facultativa  de  la</w:t>
        <w:br/>
        <w:t>jurisdicción obligatoria (artículo 62.1  de  la  Convención)  presuponen  la</w:t>
        <w:br/>
        <w:t>admisión, por los Estados que la  presentan,  del  derecho  de  la  Corte  a</w:t>
        <w:br/>
        <w:t>resolver cualquier controversia relativa a  su  jurisdicción[286].   Además,</w:t>
        <w:br/>
        <w:t>el Tribunal ha señalado anteriormente que los términos amplios en  que  está</w:t>
        <w:br/>
        <w:t>redactada la Convención indican que la Corte ejerce una  jurisdicción  plena</w:t>
        <w:br/>
        <w:t>sobre todos sus artículos y disposiciones”[287].</w:t>
        <w:br/>
        <w:br/>
        <w:br/>
        <w:br/>
        <w:t>20.   En este importante precedente, la Corte  IDH  desestimó  la  excepción</w:t>
        <w:br/>
        <w:t>del Estado demandado que expresamente alegaba  que  carecía  de  competencia</w:t>
        <w:br/>
        <w:t>dicho  órgano  jurisdiccional  para  pronunciarse  sobre   un   derecho   no</w:t>
        <w:br/>
        <w:t>justiciable  en  términos  del  artículo  19.6[288]  del  Protocolo  de  San</w:t>
        <w:br/>
        <w:t>Salvador.  Es  decir,  el  Tribunal  Interamericano  al   desestimar   dicha</w:t>
        <w:br/>
        <w:t>excepción  preliminar  y  estudiar  el  fondo  del  asunto,   consideró   su</w:t>
        <w:br/>
        <w:t>competencia para conocer y resolver  (incluso  poder  declarar  violado)  el</w:t>
        <w:br/>
        <w:t>artículo 26 del Pacto de San  José.  No  obstante,  en  el  caso  particular</w:t>
        <w:br/>
        <w:t>estimó que no resultaba infracción a dicho precepto  convencional[289].   Al</w:t>
        <w:br/>
        <w:t>estudiar el fondo del asunto,  la  Corte  IDH  consideró  que  los  derechos</w:t>
        <w:br/>
        <w:t>económicos, sociales y culturales a que se  refiere  el  artículo  26  están</w:t>
        <w:br/>
        <w:t>sujetos a las obligaciones generales contenidas en los artículos 1.1 y 2  de</w:t>
        <w:br/>
        <w:t>la Convención Americana, como lo están  los  derechos  civiles  y  políticos</w:t>
        <w:br/>
        <w:t>previstos en los artículos 3 a 25[290].</w:t>
        <w:br/>
        <w:br/>
        <w:br/>
        <w:br/>
        <w:t>21.   La competencia de la Corte IDH para pronunciarse  sobre  los  derechos</w:t>
        <w:br/>
        <w:t>económicos, sociales y culturales, en términos del contenido  normativo  del</w:t>
        <w:br/>
        <w:t>artículo  26  del  Pacto  de  San  José,  se  advierte   también   con   las</w:t>
        <w:br/>
        <w:t>consideraciones expresadas en el voto  concurrente  del  antiguo  presidente</w:t>
        <w:br/>
        <w:t>del Tribunal Interamericano  Sergio  García  Ramírez,  en  el  Caso  Acevedo</w:t>
        <w:br/>
        <w:t>Buendía y Otros Vs. Perú de 2009, que de alguna manera explica  lo  resuelto</w:t>
        <w:br/>
        <w:t>por dicho órgano jurisdiccional[291].</w:t>
        <w:br/>
        <w:br/>
        <w:br/>
        <w:br/>
        <w:t>22.   Así, en su voto concurrente el ex  juez  interamericano  reconoce  que</w:t>
        <w:br/>
        <w:t>“ha sido muy limitada” hasta ese momento el tratamiento dado a los  derechos</w:t>
        <w:br/>
        <w:t>económicos, sociales y culturales, y que el Tribunal Interamericano  en  ese</w:t>
        <w:br/>
        <w:t>caso “ha avanzado”  en  la  temática  de  esos  derechos  al  “reafirmar  su</w:t>
        <w:br/>
        <w:t>competencia —que debe quedar bien establecida— para pronunciarse en torno  a</w:t>
        <w:br/>
        <w:t>posibles incumplimientos del artículo 26” de la  Convención  Americana.  Por</w:t>
        <w:br/>
        <w:t>ello el Tribunal Interamericano “entiende que es reclamable  o  exigible  la</w:t>
        <w:br/>
        <w:t>observancia del artículo 26”.</w:t>
        <w:br/>
        <w:br/>
        <w:t>23.   En este  sentido,  el  Tribunal  Interamericano  en  el  Caso  Acevedo</w:t>
        <w:br/>
        <w:t>Buendía  expresamente  hizo  referencia  a  la  “interdependencia”  de   los</w:t>
        <w:br/>
        <w:t>derechos para entrar al estudio  de  los  derechos  económicos,  sociales  y</w:t>
        <w:br/>
        <w:t>culturales a que se refiere el artículo 26 del Pacto de San  José[292].  Sin</w:t>
        <w:br/>
        <w:t>embargo, estimo que junto con la interdependencia es necesario enfatizar  el</w:t>
        <w:br/>
        <w:t>carácter  “indivisible”  de  los  derechos  humanos,  como  expresamente  lo</w:t>
        <w:br/>
        <w:t>establece en la Sentencia a que se refiere el  presente  voto  razonado,  al</w:t>
        <w:br/>
        <w:t>considerar ambos conceptos: “interdependencia e indivisibilidad”[293].</w:t>
        <w:br/>
        <w:br/>
        <w:t>24.    De  acuerdo  con  la  interdependencia  —dependencia  recíproca—,  el</w:t>
        <w:br/>
        <w:t>disfrute de unos derechos depende de la realización de otros,  mientras  que</w:t>
        <w:br/>
        <w:t>la indivisibilidad niega cualquier separación,  categorización  o  jerarquía</w:t>
        <w:br/>
        <w:t>entre derechos para efectos de su respeto, protección y  garantía.  Incluso,</w:t>
        <w:br/>
        <w:t>algunos jueces de anteriores integraciones de la Corte IDH se  han  referido</w:t>
        <w:br/>
        <w:t>a la “independencia e indivisibilidad” de los derechos humanos[294].</w:t>
        <w:br/>
        <w:br/>
        <w:t>25.   En ese sentido, considero que la “interdependencia e  indivisibilidad”</w:t>
        <w:br/>
        <w:t>debe tratarse como un binomio inseparable, tal  y  como  se  señala  en  los</w:t>
        <w:br/>
        <w:t>principales instrumentos de  derechos  humanos[295].  Esto  con  el  fin  de</w:t>
        <w:br/>
        <w:t>enfrentar el reto de su  interpretación  e  implementación  como  una  tarea</w:t>
        <w:br/>
        <w:t>holística, que nos obliga a no perder de vista las implicaciones que  tienen</w:t>
        <w:br/>
        <w:t>el respeto, protección y garantía de los derechos civiles y políticos  sobre</w:t>
        <w:br/>
        <w:t>los derechos económicos, sociales y culturales y viceversa.  La  aplicación,</w:t>
        <w:br/>
        <w:t>promoción y  protección de los derechos económicos,  sociales  y  culturales</w:t>
        <w:br/>
        <w:t>exige la misma atención y urgente consideración que los derechos  civiles  y</w:t>
        <w:br/>
        <w:t>políticos[296].</w:t>
        <w:br/>
        <w:br/>
        <w:t>26.   El Tribunal Interamericano tuvo en el  caso  que  motiva  el  presente</w:t>
        <w:br/>
        <w:t>voto razonado una oportunidad para  desarrollar  en  su  jurisprudencia  los</w:t>
        <w:br/>
        <w:t>alcances que tienen los conceptos de interdependencia e  indivisibilidad  de</w:t>
        <w:br/>
        <w:t>los derechos humanos, al resultar herramientas muy  útiles  para  lograr  la</w:t>
        <w:br/>
        <w:t>justiciabilidad  “directa”  de   los   derechos   económicos,   sociales   y</w:t>
        <w:br/>
        <w:t>culturales, particularmente el “derecho a la  salud”,  y  otorgar  su  plena</w:t>
        <w:br/>
        <w:t>realización y efectividad.</w:t>
        <w:br/>
        <w:br/>
        <w:t>27.   Desde mi perspectiva,  estos  alcances  implican:  a)  establecer  una</w:t>
        <w:br/>
        <w:t>relación fuerte y de igual importancia entre derechos civiles y políticos  y</w:t>
        <w:br/>
        <w:t>los derechos económicos, sociales y culturales;  b)  obligar  a  interpretar</w:t>
        <w:br/>
        <w:t>todos los derechos de manera conjunta  —que  en  algunos  ocasiones  arrojan</w:t>
        <w:br/>
        <w:t>contenidos traslapados o superpuestos— y a  valorar  las  implicaciones  que</w:t>
        <w:br/>
        <w:t>tiene el respeto, protección y garantía de unos derechos  sobre  otros  para</w:t>
        <w:br/>
        <w:t>su implementación efectiva; c) otorgar una visión autónoma  a  los  derechos</w:t>
        <w:br/>
        <w:t>económicos, sociales y culturales, conforme a su esencia  y  características</w:t>
        <w:br/>
        <w:t>propias; d) reconocer que pueden ser violados de  manera  autónoma,  lo  que</w:t>
        <w:br/>
        <w:t>podría conducir —como  sucede  con  los  derechos  civiles  y  políticos—  a</w:t>
        <w:br/>
        <w:t>declarar violado  el  deber  de  garantía  de  los  derechos  derivados  del</w:t>
        <w:br/>
        <w:t>artículo 26 del  Pacto  de  San  José,  en  relación  con  las  obligaciones</w:t>
        <w:br/>
        <w:t>generales previstas en los artículos 1 y 2 de la  Convención  Americana;  e)</w:t>
        <w:br/>
        <w:t>precisar las obligaciones que  deben  cumplir  los  Estados  en  materia  de</w:t>
        <w:br/>
        <w:t>derechos económicos, sociales y culturales; f) permitir  una  interpretación</w:t>
        <w:br/>
        <w:t>evolutiva  del  corpus  juris  interamericano  y  de   manera   sistemática,</w:t>
        <w:br/>
        <w:t>especialmente para advertir los alcances del artículo 26  de  la  Convención</w:t>
        <w:br/>
        <w:t>con respecto al Protocolo de San Salvador; y g) proporcionar  un  fundamento</w:t>
        <w:br/>
        <w:t>más para  utilizar  otros  instrumentos  e  interpretaciones  de  organismos</w:t>
        <w:br/>
        <w:t>internacionales relativas a los derechos económicos, sociales  y  culturales</w:t>
        <w:br/>
        <w:t>con el fin de darles contenido.</w:t>
        <w:br/>
        <w:br/>
        <w:t>C) Los alcances de la interdependencia e indivisibilidad del  derecho  a  la</w:t>
        <w:br/>
        <w:t>salud en el presente caso</w:t>
        <w:br/>
        <w:br/>
        <w:t>28.   Ahora bien, en  la  Sentencia  a  que  se  refiere  el  presente  voto</w:t>
        <w:br/>
        <w:t>razonado,  el  Tribunal   Interamericano   particularmente   relacionó   los</w:t>
        <w:br/>
        <w:t>conceptos de interdependencia e indivisibilidad para  definir  los  alcances</w:t>
        <w:br/>
        <w:t>del derecho a la salud, al estudiar la violación al deber  de  garantía  del</w:t>
        <w:br/>
        <w:t>derecho a la integridad personal (artículos 5.1 en relación con el  1.1  del</w:t>
        <w:br/>
        <w:t>Pacto de San José)[297],  en  el  que  se  concluye  “que  que  si  bien  la</w:t>
        <w:br/>
        <w:t>regulación ecuatoriana en la materia contemplaba mecanismos  de  control  de</w:t>
        <w:br/>
        <w:t>la atención médica, dicha supervisión y fiscalización no  fue  efectuada  en</w:t>
        <w:br/>
        <w:t>el presente caso, tanto en lo que refiere al  control  de  las  prestaciones</w:t>
        <w:br/>
        <w:t>brindadas en la entidad estatal, ‘Policlínico de  la  Comisión  de  Tránsito</w:t>
        <w:br/>
        <w:t>del Guayas’, como en lo que  respecta  a  la  institución  privada,  Clínica</w:t>
        <w:br/>
        <w:t>Minchala. La Corte estima que ello generó una situación de riesgo,  conocida</w:t>
        <w:br/>
        <w:t>por el Estado, que se materializó en  afectaciones  en  la  salud  de  Melba</w:t>
        <w:br/>
        <w:t>Suárez Peralta”[298].  Asimismo, la Corte IDH sostuvo que “la  fiscalización</w:t>
        <w:br/>
        <w:t>y supervisión estatal  debe  orientarse  a  la  finalidad  de  asegurar  los</w:t>
        <w:br/>
        <w:t>principios de disponibilidad, accesibilidad, aceptabilidad y calidad de  las</w:t>
        <w:br/>
        <w:t>prestaciones médicas”, para lo cual destacó que “en  cuanto  a  la  calidad,</w:t>
        <w:br/>
        <w:t>[…] los establecimientos de salud  deben  presentar  condiciones  sanitarias</w:t>
        <w:br/>
        <w:t>adecuadas y contar con personal médico capacitado”[299].</w:t>
        <w:br/>
        <w:br/>
        <w:t>29.   Expresamente, la Corte IDH en dicho análisis  se  refirió  a  diversos</w:t>
        <w:br/>
        <w:t>instrumentos, resoluciones y fuentes internacionales que  regulan  o  tienen</w:t>
        <w:br/>
        <w:t>implicaciones directas con la protección del derecho a la salud:</w:t>
        <w:br/>
        <w:br/>
        <w:br/>
        <w:br/>
        <w:t xml:space="preserve">       (i)  Artículo  26  de  la   Convención   Americana   sobre   Derechos</w:t>
        <w:br/>
        <w:t>Humanos[300];</w:t>
        <w:br/>
        <w:br/>
        <w:br/>
        <w:br/>
        <w:t xml:space="preserve">      (ii) Artículo 10 del Protocolo Adicional  a  la  Convención  Americana</w:t>
        <w:br/>
        <w:t>sobre Derechos  Humanos  en  materia  de  Derechos  Económicos,  Sociales  y</w:t>
        <w:br/>
        <w:t>Culturales, ratificado por Ecuador el 25 de marzo  de  1993,  que  establece</w:t>
        <w:br/>
        <w:t>que toda persona tiene derecho a la salud, entendida como  el  disfrute  del</w:t>
        <w:br/>
        <w:t>más alto nivel de bienestar físico, mental y social, e indica que  la  salud</w:t>
        <w:br/>
        <w:t>es un bien público[301].</w:t>
        <w:br/>
        <w:br/>
        <w:br/>
        <w:br/>
        <w:t xml:space="preserve">      (iii) Artículo XI de  la  Declaración  Americana  de  los  Derechos  y</w:t>
        <w:br/>
        <w:t>Deberes del Hombre, que señala que toda persona tiene el derecho “a  que  su</w:t>
        <w:br/>
        <w:t>salud sea preservada por medidas sanitarias y sociales, relativas a  […]  la</w:t>
        <w:br/>
        <w:t>asistencia médica, correspondientes  al  nivel  que  permitan  los  recursos</w:t>
        <w:br/>
        <w:t>públicos y los de la comunidad”[302];</w:t>
        <w:br/>
        <w:br/>
        <w:br/>
        <w:br/>
        <w:t xml:space="preserve">      (iv) Artículo 45 de  la  Carta  de  la  Organización  de  los  Estados</w:t>
        <w:br/>
        <w:t>Americanos, al  referirse  a  que  se  requiere  que  los  Estados  Miembros</w:t>
        <w:br/>
        <w:t>“dedi[quen] sus máximos esfuerzos [… para el] [d]esarrollo de  una  política</w:t>
        <w:br/>
        <w:t>eficiente de seguridad social”[303];</w:t>
        <w:br/>
        <w:br/>
        <w:br/>
        <w:br/>
        <w:t xml:space="preserve">      (v) Artículo 12 del Pacto Internacional de  los  Derechos  Económicos,</w:t>
        <w:br/>
        <w:t>Sociales y Culturales[304].</w:t>
        <w:br/>
        <w:br/>
        <w:br/>
        <w:br/>
        <w:t xml:space="preserve">      (vi) Carta Social de las Américas de junio de 2012,  aprobada  por  la</w:t>
        <w:br/>
        <w:t>Asamblea General de  la  Organización  de  Estados  Americanos,  en  la  que</w:t>
        <w:br/>
        <w:t>enfatizó en la calidad  de  los  establecimientos,  bienes  y  servicios  de</w:t>
        <w:br/>
        <w:t>salud, lo cual requiere la presencia  de  personal  médico  capacitado,  así</w:t>
        <w:br/>
        <w:t>como de condiciones sanitarias adecuadas[305];</w:t>
        <w:br/>
        <w:br/>
        <w:br/>
        <w:br/>
        <w:t xml:space="preserve">      (vii)  Indicadores de Progreso para Medición de Derechos  Contemplados</w:t>
        <w:br/>
        <w:t>en el Protocolo de San Salvador[306].</w:t>
        <w:br/>
        <w:br/>
        <w:br/>
        <w:br/>
        <w:t xml:space="preserve">       (viii)  Observación  General  número  14  del  Comité   de   Derechos</w:t>
        <w:br/>
        <w:t>Económicos, Sociales y Culturales de Naciones Unidas, sobre “El  derecho  al</w:t>
        <w:br/>
        <w:t>disfrute del más alto nivel posible de salud (artículo 12)” [307];</w:t>
        <w:br/>
        <w:br/>
        <w:br/>
        <w:br/>
        <w:t xml:space="preserve">      (ix) Observación General número 9 del Comité de  Derechos  Económicos,</w:t>
        <w:br/>
        <w:t>Sociales y Culturales de Naciones Unidas, sobre “La aplicación  interna  del</w:t>
        <w:br/>
        <w:t>Pacto”[308].</w:t>
        <w:br/>
        <w:br/>
        <w:br/>
        <w:br/>
        <w:t xml:space="preserve">      (x) Observación General número 3 del Comité  de  Derechos  Económicos,</w:t>
        <w:br/>
        <w:t>Sociales  y  Culturales  de  Naciones  Unidas,  sobre  “La  índole  de   las</w:t>
        <w:br/>
        <w:t>obligaciones  de  los  Estados  Partes   (párrafo  1  del  Artículo  2   del</w:t>
        <w:br/>
        <w:t>Pacto)”[309].</w:t>
        <w:br/>
        <w:br/>
        <w:br/>
        <w:br/>
        <w:t>30.   De igual forma, cuando en la Sentencia se estudia la violación de  los</w:t>
        <w:br/>
        <w:t>derechos a las garantías judiciales y a la protección judicial previstos  en</w:t>
        <w:br/>
        <w:t>los artículos 8.1 y 25.1 de la Convención Americana,  en  relación  con  las</w:t>
        <w:br/>
        <w:t>obligaciones de respeto y garantía del artículo 1.1 de la  misma,  la  Corte</w:t>
        <w:br/>
        <w:t>IDH  determinó  que  existieron  falencias,  retrasos  y  omisiones  en   el</w:t>
        <w:br/>
        <w:t>procedimiento de  la  investigación  penal,  por  lo  que  “las  autoridades</w:t>
        <w:br/>
        <w:t>estatales no actuaron  con  la  debida  diligencia  ni  con  arreglo  a  las</w:t>
        <w:br/>
        <w:t>obligaciones de investigar y de cumplir con  una  tutela  judicial  efectiva</w:t>
        <w:br/>
        <w:t>dentro de un plazo razonable, en función de garantizar  a  la  señora  Melba</w:t>
        <w:br/>
        <w:t>Suárez Peralta, de una reparación que podría, además, beneficiar  su  acceso</w:t>
        <w:br/>
        <w:t>a tratamiento médico necesario para su problema  de  salud”[310]  (subrayado</w:t>
        <w:br/>
        <w:t>añadido).</w:t>
        <w:br/>
        <w:br/>
        <w:br/>
        <w:br/>
        <w:t>31.   Estimo que con todas estas  bases  del  corpus  juris  en  materia  de</w:t>
        <w:br/>
        <w:t>protección  al  derecho  a  la  salud  —en  el  ámbito   de   los   Sistemas</w:t>
        <w:br/>
        <w:t>Interamericano y Universal—, mencionadas y utilizadas en  la  Sentencia  que</w:t>
        <w:br/>
        <w:t>motiva el presente voto  razonado,  incluso  acudiendo  a  resoluciones  muy</w:t>
        <w:br/>
        <w:t>relevantes del Comité de Derechos Económicos, Sociales y Culturales  de  las</w:t>
        <w:br/>
        <w:t>Naciones Unidas, así como de otras fuentes internacionales  recientes,  como</w:t>
        <w:br/>
        <w:t>la Carta Social de las Américas, adoptada en junio de 2012 por  la  Asamblea</w:t>
        <w:br/>
        <w:t>General de la OEA, la Corte IDH pudo haber abordado este derecho  social  de</w:t>
        <w:br/>
        <w:t>manera autónoma, en relación  con  las  obligación  de  garantía  a  que  se</w:t>
        <w:br/>
        <w:t>refiere el artículo 1.1 del Pacto de San José.</w:t>
        <w:br/>
        <w:br/>
        <w:br/>
        <w:br/>
        <w:t>32.   Lo anterior es así, porque, por un lado, se reconoció expresamente  en</w:t>
        <w:br/>
        <w:t>la Sentencia la interdependencia e indivisibilidad de los derechos y  la  no</w:t>
        <w:br/>
        <w:t>jerarquización entre ellos, y, por otro, se utilizó la Carta de la OEA y  la</w:t>
        <w:br/>
        <w:t>Declaración  Americana  de  los  Derechos  y  Deberes  del  Hombre,  incluso</w:t>
        <w:br/>
        <w:t>derivando el derecho a la salud de aquel  instrumento  en  relación  con  lo</w:t>
        <w:br/>
        <w:t>previsto en el artículo 26 de la Convención Americana[311]. Además  se  hizo</w:t>
        <w:br/>
        <w:t>referencia al artículo 10 del Protocolo  de  San  Salvador,  lo  que  estimo</w:t>
        <w:br/>
        <w:t>hubiera sido una oportunidad para realizar una  interpretación  evolutiva  y</w:t>
        <w:br/>
        <w:t>sistemática  sobre  este  precepto  y  el  artículo  26  de  la   Convención</w:t>
        <w:br/>
        <w:t>Americana,  a  la  luz  de  otros  dispositivos  convencionales,  como   los</w:t>
        <w:br/>
        <w:t>artículos 29 del Pacto de San José y los artículos 4 y  19.6  del  Protocolo</w:t>
        <w:br/>
        <w:t>de San Salvador, entre otros.</w:t>
        <w:br/>
        <w:br/>
        <w:br/>
        <w:br/>
        <w:t>III.  LAS VÍAS INTERPRETATIVAS DEL ARTÍCULO 26 DE  LA  CONVENCIÓN  AMERICANA</w:t>
        <w:br/>
        <w:t>PARA LA JUSTICIABILIDAD DIRECTA  DE  LOS  DERECHOS  ECONÓMICOS,  SOCIALES  Y</w:t>
        <w:br/>
        <w:t>CULTURALES</w:t>
        <w:br/>
        <w:br/>
        <w:br/>
        <w:br/>
        <w:t>33.   Además de la interdependencia e indivisibilidad  entre  los  derechos,</w:t>
        <w:br/>
        <w:t>expresamente reconocida en la Sentencia y cuyas  implicaciones  quedaron  de</w:t>
        <w:br/>
        <w:t>manifiesto en el  epígrafe  anterior,  la  justiciabilidad  directa  de  los</w:t>
        <w:br/>
        <w:t>derechos económicos, sociales y culturales, deriva de la  propia  Convención</w:t>
        <w:br/>
        <w:t>Americana, instrumento que representa el corazón del Sistema  Interamericano</w:t>
        <w:br/>
        <w:t>y constituye el principal objeto de “aplicación  e  interpretación”[312]  de</w:t>
        <w:br/>
        <w:t>la  Corte  IDH,  teniendo  competencia  “para   conocer   de   los   asuntos</w:t>
        <w:br/>
        <w:t>relacionados con el cumplimiento  de  los  compromisos  contraídos  por  los</w:t>
        <w:br/>
        <w:t>Estados Partes”[313] del Pacto de San José.</w:t>
        <w:br/>
        <w:br/>
        <w:t>34.   Al  pensar  sobre  las  implicaciones  del  derecho  a  la  salud,  es</w:t>
        <w:br/>
        <w:t>necesaria una revaluación interpretativa del Artículo 26  de  la  Convención</w:t>
        <w:br/>
        <w:t>Americana, única norma de dicho Pacto que se refiere “a los derechos que  se</w:t>
        <w:br/>
        <w:t>derivan de las normas económicas, sociales  y  sobre  educación,  ciencia  y</w:t>
        <w:br/>
        <w:t>cultura,  contenidas  en  la  Carta  de  la  Organización  de  los   Estados</w:t>
        <w:br/>
        <w:t>Americana, reformada por el Protocolo de Buenos Aires”, partiendo de que  el</w:t>
        <w:br/>
        <w:t>Tribunal Interamericano  ejerce  una  jurisdicción  plena  sobre  todos  sus</w:t>
        <w:br/>
        <w:t>artículos y disposiciones, entre los cuales se encuentra  dicha  disposición</w:t>
        <w:br/>
        <w:t>convencional.</w:t>
        <w:br/>
        <w:br/>
        <w:t>35.   Además, el artículo 26 está dentro de  la  Parte  I  (Deberes  de  los</w:t>
        <w:br/>
        <w:t>Estados y Derechos Protegidos) de la Convención Americana y, por  lo  tanto,</w:t>
        <w:br/>
        <w:t>le es aplicable las obligaciones generales de los Estados previstas  en  los</w:t>
        <w:br/>
        <w:t>artículos 1.1 y 2 del  mismo  Pacto,  como  fue  reconocido  por  el  propio</w:t>
        <w:br/>
        <w:t>Tribunal Interamericano en el Caso Acevedo Buendía  Vs.  Perú[314].  Existe,</w:t>
        <w:br/>
        <w:t>sin embargo, una aparente tensión interpretativa con los alcances que  deben</w:t>
        <w:br/>
        <w:t>darse al artículo 26 del Pacto de San José en relación con el artículo  19.6</w:t>
        <w:br/>
        <w:t>del Protocolo de San Salvador que limita la justiciabilidad de los  derechos</w:t>
        <w:br/>
        <w:t>económicos, sociales y culturales a sólo a ciertos derechos.</w:t>
        <w:br/>
        <w:br/>
        <w:t>A) La aparente tensión entre el Pacto de San José  y  el  Protocolo  de  San</w:t>
        <w:br/>
        <w:t>Salvador</w:t>
        <w:br/>
        <w:br/>
        <w:t>36.   Desde mi perspectiva, se requiere  un  desarrollo  interpretativo  del</w:t>
        <w:br/>
        <w:t>Artículo 26 del Pacto de San José en la jurisprudencia de la Corte  IDH  que</w:t>
        <w:br/>
        <w:t>podría representar nuevos derroteros para la  efectividad  de  los  derechos</w:t>
        <w:br/>
        <w:t>económicos, sociales y culturales, tanto en  sus  dimensiones  individual  y</w:t>
        <w:br/>
        <w:t>colectiva. Y podría configurarse un nuevo contenido en el  futuro  a  través</w:t>
        <w:br/>
        <w:t>de interpretaciones evolutivas que refuercen el carácter interdependiente  e</w:t>
        <w:br/>
        <w:t>indivisible de los derechos humanos.</w:t>
        <w:br/>
        <w:br/>
        <w:t>37.   En ese sentido, considero oportuno el llamado que la  muy  distinguida</w:t>
        <w:br/>
        <w:t>jueza Margarette May Macaulay —de la anterior integración de la  Corte  IDH—</w:t>
        <w:br/>
        <w:t>realizara en su voto concurrente hace  unos  meses,  en  el  Caso  Furlan  y</w:t>
        <w:br/>
        <w:t>Familiares Vs. Argentina[315], dirigido a actualizar  el  sentido  normativo</w:t>
        <w:br/>
        <w:t>de dicho precepto convencional. La ex jueza señaló que el Protocolo  de  San</w:t>
        <w:br/>
        <w:t>Salvador “no establece ninguna disposición cuya intención fuera  limitar  el</w:t>
        <w:br/>
        <w:t>alcance de la Convención Americana”[316]. Asimismo, indicó que[317]:</w:t>
        <w:br/>
        <w:br/>
        <w:t xml:space="preserve">      […] al interpretar la Convención [y el Protocolo de San Salvador],  se</w:t>
        <w:br/>
        <w:t xml:space="preserve">      debe  realizar  una  interpretación  sistemática  de  ambos  tratados,</w:t>
        <w:br/>
        <w:t xml:space="preserve">      tomando en cuenta su propósito. Además, la Convención de  Viena  exige</w:t>
        <w:br/>
        <w:t xml:space="preserve">      una interpretación de buena fe de los términos del artículo 26, tal  y</w:t>
        <w:br/>
        <w:t xml:space="preserve">      como se  realizó  anteriormente  para  determinar  el  alcance  de  la</w:t>
        <w:br/>
        <w:t xml:space="preserve">      remisión textual que se llevó a  cabo  sobre  el  artículo  mencionado</w:t>
        <w:br/>
        <w:t xml:space="preserve">      anteriormente en relación a la Carta de la OEA y su relación  con  los</w:t>
        <w:br/>
        <w:t xml:space="preserve">      artículos 1.1 y 2 de la Convención. Esta interpretación  de  buena  fe</w:t>
        <w:br/>
        <w:t xml:space="preserve">      requiere  del  reconocimiento  de  que  la  Convención  Americana   no</w:t>
        <w:br/>
        <w:t xml:space="preserve">      establece distinciones al señalar que su jurisdicción cubre todos  los</w:t>
        <w:br/>
        <w:t xml:space="preserve">      derechos establecidos entre los artículos 3 y  26  de  la  Convención.</w:t>
        <w:br/>
        <w:t xml:space="preserve">      Además, el artículo 4 del Protocolo  de  San  Salvador  establece  que</w:t>
        <w:br/>
        <w:t xml:space="preserve">      ningún derecho reconocido o vigente en un Estado puede ser restringido</w:t>
        <w:br/>
        <w:t xml:space="preserve">      o infringido en virtud de los  instrumentos  internacionales,  con  la</w:t>
        <w:br/>
        <w:t xml:space="preserve">      excusa de que el Protocolo mencionado anteriormente no lo  reconoce  o</w:t>
        <w:br/>
        <w:t xml:space="preserve">      lo reconoce a un menor  grado.  Finalmente,  la  Convención  de  Viena</w:t>
        <w:br/>
        <w:t xml:space="preserve">      declara que una interpretación no  debería  derivar  en  un  resultado</w:t>
        <w:br/>
        <w:t xml:space="preserve">      manifiestamente absurdo o irracional. En este sentido,  la  conclusión</w:t>
        <w:br/>
        <w:t xml:space="preserve">      que el Protocolo de San Salvador limita el alcance de  la  Convención,</w:t>
        <w:br/>
        <w:t xml:space="preserve">      derivaría en la absurda consideración de que la  Convención  Americana</w:t>
        <w:br/>
        <w:t xml:space="preserve">      podría tener ciertos efectos entre los Estados Partes del Protocolo de</w:t>
        <w:br/>
        <w:t xml:space="preserve">      San Salvador, y a la vez tener otro efecto distinto para  los  Estados</w:t>
        <w:br/>
        <w:t xml:space="preserve">      que no son partes en dicho Protocolo[318].</w:t>
        <w:br/>
        <w:br/>
        <w:t>38.   La jueza Macaulay precisó que correspondía a la Corte  IDH  actualizar</w:t>
        <w:br/>
        <w:t>el sentido normativo del Artículo 26 en los siguientes términos[319]:</w:t>
        <w:br/>
        <w:br/>
        <w:t xml:space="preserve">      […] lo que importa no es la intención subjetiva de  los  delegados  de</w:t>
        <w:br/>
        <w:t xml:space="preserve">      los Estados en el momento de la Conferencia de San José o  durante  la</w:t>
        <w:br/>
        <w:t xml:space="preserve">      discusión del Protocolo de San Salvador, sino la intención  objetivada</w:t>
        <w:br/>
        <w:t xml:space="preserve">      del texto de la Convención Americana, tomando en cuenta que  el  deber</w:t>
        <w:br/>
        <w:t xml:space="preserve">      del intérprete es actualizar  el  sentido  normativo  del  instrumento</w:t>
        <w:br/>
        <w:t xml:space="preserve">      internacional. Además, usando una interpretación histórica, basada  en</w:t>
        <w:br/>
        <w:t xml:space="preserve">      la intención hipotética que se habría tenido respecto a la  Convención</w:t>
        <w:br/>
        <w:t xml:space="preserve">      Americana por parte de los delegados que adoptaron el Protocolo de San</w:t>
        <w:br/>
        <w:t xml:space="preserve">      Salvador no se puede desacreditar  el  contenido  explícito  de  dicha</w:t>
        <w:br/>
        <w:t xml:space="preserve">      Convención Americana.</w:t>
        <w:br/>
        <w:br/>
        <w:t>39.    Además  de  lo  expresado,  pueden  considerarse  algunos  argumentos</w:t>
        <w:br/>
        <w:t>adicionales a  esta  interpretación  de  la  relación  entre  la  Convención</w:t>
        <w:br/>
        <w:t>Americana y el Protocolo de San Salvador, relativo a la  competencia  de  la</w:t>
        <w:br/>
        <w:t>Corte para conocer de violaciones directas a derechos  económicos,  sociales</w:t>
        <w:br/>
        <w:t>y culturales a la luz del Artículo 26 del Pacto de San José.</w:t>
        <w:br/>
        <w:br/>
        <w:t>40.   En primer lugar, resulta indispensable partir  de  la  importancia  de</w:t>
        <w:br/>
        <w:t>tener en cuenta la interpretación literal del  Artículo  26  respecto  a  la</w:t>
        <w:br/>
        <w:t>competencia establecida para proteger todos los derechos establecidos en  el</w:t>
        <w:br/>
        <w:t>Pacto de San José, lo que incluyen los derechos previstos en  los  artículos</w:t>
        <w:br/>
        <w:t>3 a 26 (Capítulos  II:  “Derechos  Civiles  y  Políticos,  y  Capítulo  III:</w:t>
        <w:br/>
        <w:t>“Derechos Económicos, Sociales y Culturales”). Como ya lo referí,  la  Corte</w:t>
        <w:br/>
        <w:t>IDH así lo ha reconocido de manera  expresa  en  la  sentencia  en  el  caso</w:t>
        <w:br/>
        <w:t>Acevedo Buendía y otros Vs. Perú[320]:</w:t>
        <w:br/>
        <w:br/>
        <w:t xml:space="preserve">      100.   Asimismo, resulta pertinente observar que si bien  el  artículo</w:t>
        <w:br/>
        <w:t xml:space="preserve">      26 se  encuentra  en  el  capítulo  III  de  la  Convención,  titulado</w:t>
        <w:br/>
        <w:t xml:space="preserve">      “Derechos Económicos, Sociales y Culturales”, se ubica, también, en la</w:t>
        <w:br/>
        <w:t xml:space="preserve">      Parte I de dicho instrumento,  titulado  “Deberes  de  los  Estados  y</w:t>
        <w:br/>
        <w:t xml:space="preserve">      Derechos Protegidos” y, por  ende,  está  sujeto  a  las  obligaciones</w:t>
        <w:br/>
        <w:t xml:space="preserve">      generales contenidas en los artículos 1.1 y 2 señalados en el capítulo</w:t>
        <w:br/>
        <w:t xml:space="preserve">      I (titulado “Enumeración de Deberes”), así como lo están los artículos</w:t>
        <w:br/>
        <w:t xml:space="preserve">      3 al 25 señalados en el capítulo  II  (titulado  “Derechos  Civiles  y</w:t>
        <w:br/>
        <w:t xml:space="preserve">      Políticos”).</w:t>
        <w:br/>
        <w:br/>
        <w:t>41.   Esta interpretación de  la  Corte  IDH,  adoptada  por  unanimidad  de</w:t>
        <w:br/>
        <w:t>votos[321],  constituye un precedente fundamental  para  la  justiciabilidad</w:t>
        <w:br/>
        <w:t>directa de los derechos económicos, sociales y culturales, al  expresar  que</w:t>
        <w:br/>
        <w:t>frente a los derechos derivables del artículo  26  es  posible  aplicar  las</w:t>
        <w:br/>
        <w:t>obligaciones generales de respeto, garantía y adecuación contenidos  en  los</w:t>
        <w:br/>
        <w:t>artículos 1.1 y 2 de la Convención Americana.  Dado  que  en  este  caso  la</w:t>
        <w:br/>
        <w:t>Corte IDH no se pronunció sobre estos alcances interpretativos  en  relación</w:t>
        <w:br/>
        <w:t>con el Protocolo Adicional a la Convención Americana sobre Derechos  Humanos</w:t>
        <w:br/>
        <w:t>en Materia de Derechos Económicos,  Sociales  y  Culturales,  considero  que</w:t>
        <w:br/>
        <w:t>hubiera sido una ocasión importante aludir a ello en la Sentencia a  que  se</w:t>
        <w:br/>
        <w:t>refiere el presente voto  razonado,  puesto  que  —expresamente  para  darle</w:t>
        <w:br/>
        <w:t>contenido al derecho a la salud— se utiliza el Protocolo  de  San  Salvador,</w:t>
        <w:br/>
        <w:t>la Carta de la  OEA,  la  Declaración  Americana  e  incluso  se  invoca  el</w:t>
        <w:br/>
        <w:t>artículo 26 de la Convención Americana (véase supra párr. 29)[322].</w:t>
        <w:br/>
        <w:br/>
        <w:t>42.   Ahora bien, en ningún  precepto  del  Protocolo  de  San  Salvador  se</w:t>
        <w:br/>
        <w:t>realiza referencia alguna sobre los alcances de las  obligaciones  generales</w:t>
        <w:br/>
        <w:t>a que se refieren los artículos 1.1 y 2 de la Convención  Americana.  Si  el</w:t>
        <w:br/>
        <w:t>Pacto de San José no está siendo modificado expresamente, la  interpretación</w:t>
        <w:br/>
        <w:t>que corresponde debe ser la menos restringida respecto a  sus  alcances.  En</w:t>
        <w:br/>
        <w:t>este aspecto, es importante  resaltar  que  la  misma  Convención  Americana</w:t>
        <w:br/>
        <w:t>dispone  un  procedimiento  específico  para  su  modificación[323].  Si  el</w:t>
        <w:br/>
        <w:t>Protocolo de Salvador pretendía derogar o modificar el alcance del  artículo</w:t>
        <w:br/>
        <w:t>26, ello debió haberse establecido en forma expresa e inequívoca.  La  clara</w:t>
        <w:br/>
        <w:t>redacción del artículo 19.6 del  Protocolo  no  permite  inferir  conclusión</w:t>
        <w:br/>
        <w:t>alguna respecto a la literalidad de la relación  del  artículo  26  con  los</w:t>
        <w:br/>
        <w:t>artículos 1.1 y 2 de la Convención Americana, tal y como  ha  reconocido  la</w:t>
        <w:br/>
        <w:t>Corte IDH[324].</w:t>
        <w:br/>
        <w:br/>
        <w:t>43.   Sobre  la  interpretación  del  artículo  26  y  su  relación  con  el</w:t>
        <w:br/>
        <w:t>Protocolo de San Salvador se han generado diversas  posiciones[325].  En  mi</w:t>
        <w:br/>
        <w:t>opinión, lo que corresponde es aplicar el principio  de  interpretación  más</w:t>
        <w:br/>
        <w:t>favorable no sólo en relación con  aspectos  sustantivos  de  la  Convención</w:t>
        <w:br/>
        <w:t>sino también en  aspectos  procesales  relacionados  con  la  atribución  de</w:t>
        <w:br/>
        <w:t>competencia, siempre y cuando exista un conflicto interpretativo concreto  y</w:t>
        <w:br/>
        <w:t>genuino. Si el Protocolo de San Salvador expresamente hubiera  señalado  que</w:t>
        <w:br/>
        <w:t>debía entenderse que el artículo 26 ya  no  tenía  vigencia,  no  podría  el</w:t>
        <w:br/>
        <w:t>intérprete llegar a una conclusión en contrario. Sin embargo, ninguna  norma</w:t>
        <w:br/>
        <w:t>del Protocolo se refiere a disminuir o limitar el alcance de  la  Convención</w:t>
        <w:br/>
        <w:t>Americana.</w:t>
        <w:br/>
        <w:br/>
        <w:t>44.   Por el contrario, una de las normas  del  Protocolo  señala  que  este</w:t>
        <w:br/>
        <w:t>instrumento  no  debe  ser  interpretado  para  desconocer  otros   derechos</w:t>
        <w:br/>
        <w:t>vigentes en los Estados Parte, lo cual incluye los derechos que  se  derivan</w:t>
        <w:br/>
        <w:t>del artículo 26 en el marco de la Convención  Americana[326].  Asimismo,  en</w:t>
        <w:br/>
        <w:t>términos del artículo 29.b) de la Convención Americana, no puede  realizarse</w:t>
        <w:br/>
        <w:t>una interpretación restrictiva de los derechos[327].</w:t>
        <w:br/>
        <w:br/>
        <w:t>45.   Corresponde entonces resolver este —aparente—  problema  a  partir  de</w:t>
        <w:br/>
        <w:t>una interpretación  sistemática,  teleológica,  evolutiva  y  que  tenga  en</w:t>
        <w:br/>
        <w:t>cuenta la interpretación más favorable para  impulsar  la  mejor  protección</w:t>
        <w:br/>
        <w:t>del ser humano y el objeto y fin del artículo 26 de la Convención  Americana</w:t>
        <w:br/>
        <w:t>respecto  a  la  necesidad  de   garantizar   efectivamente   los   derechos</w:t>
        <w:br/>
        <w:t>económicos,  sociales  y  culturales.   En   un   conflicto   interpretativo</w:t>
        <w:br/>
        <w:t>corresponde otorgar prevalencia a  una  interpretación  sistemática  de  las</w:t>
        <w:br/>
        <w:t>normas relevantes.</w:t>
        <w:br/>
        <w:br/>
        <w:t>46.   En este sentido, la Corte IDH ha señalado en otras  oportunidades[328]</w:t>
        <w:br/>
        <w:t>que  los  tratados  de  derechos  humanos  son  instrumentos   vivos,   cuya</w:t>
        <w:br/>
        <w:t>interpretación tiene que  acompañar  la  evolución  de  los  tiempos  y  las</w:t>
        <w:br/>
        <w:t>condiciones de  vida  actuales.  Asimismo,  también  ha  sostenido  que  esa</w:t>
        <w:br/>
        <w:t>interpretación  evolutiva  es  consecuente  con  las  reglas  generales   de</w:t>
        <w:br/>
        <w:t>interpretación establecidas en el artículo 29 de  la  Convención  Americana,</w:t>
        <w:br/>
        <w:t>así como en la Convención de Viena sobre el Derecho  de  los  Tratados[329].</w:t>
        <w:br/>
        <w:t>Al efectuar una interpretación evolutiva la Corte le  ha  otorgado  especial</w:t>
        <w:br/>
        <w:t>relevancia al derecho comparado, razón por la cual  ha  utilizado  normativa</w:t>
        <w:br/>
        <w:t>nacional[330] o jurisprudencia de tribunales  internos[331]  a  la  hora  de</w:t>
        <w:br/>
        <w:t>analizar controversias específicas en los casos contenciosos.</w:t>
        <w:br/>
        <w:br/>
        <w:t>47.   Es claro que la Corte IDH no puede declarar la violación  del  derecho</w:t>
        <w:br/>
        <w:t>a la salud en el  marco  del  Protocolo  de  San  Salvador,  porque  así  se</w:t>
        <w:br/>
        <w:t>advierte de la literalidad del artículo 19.6 del  mismo.   Sin  embargo,  es</w:t>
        <w:br/>
        <w:t>posible entender entonces al Protocolo de  San  Salvador  como  uno  de  los</w:t>
        <w:br/>
        <w:t>referentes interpretativos sobre el alcance  del  derecho  a  la  salud  que</w:t>
        <w:br/>
        <w:t>protege el artículo 26 de la Convención Americana. El  Protocolo  Adicional,</w:t>
        <w:br/>
        <w:t>a la luz del corpus juris de derechos humanos, ilustra  sobre  el  contenido</w:t>
        <w:br/>
        <w:t>que deben tener las obligaciones de  respeto  y  garantía  respecto  a  este</w:t>
        <w:br/>
        <w:t>derecho. Es decir, el Protocolo de San Salvador orienta sobre la  aplicación</w:t>
        <w:br/>
        <w:t>que  corresponde  del  artículo  26  en  conjunto   con   las   obligaciones</w:t>
        <w:br/>
        <w:t>establecidas en los artículos 1.1 y 2 del Pacto de San José.</w:t>
        <w:br/>
        <w:br/>
        <w:t>48.    La posibilidad de utilizar el Protocolo de San Salvador para  definir</w:t>
        <w:br/>
        <w:t>los alcances de la protección  del  derecho  a  la  salud  contenido  en  el</w:t>
        <w:br/>
        <w:t>artículo  26  de  la  Convención  Americana   no   sería   extraña   en   la</w:t>
        <w:br/>
        <w:t>jurisprudencia de la Corte IDH, como tampoco lo es la utilización  de  otras</w:t>
        <w:br/>
        <w:t>fuentes internacionales o  los  Indicadores  de  Progreso  de  la  OEA  para</w:t>
        <w:br/>
        <w:t>medición de derechos contemplados  en  el  mismo  Protocolo,  para  precisar</w:t>
        <w:br/>
        <w:t>diferentes obligaciones del Estado en la materia. En efecto, este  ejercicio</w:t>
        <w:br/>
        <w:t>lo hizo la Corte IDH en el Caso  Instituto  de  Reeducación  del  Menor  Vs.</w:t>
        <w:br/>
        <w:t>Paraguay, en el que expresamente manifestó que para  fijar  el  contenido  y</w:t>
        <w:br/>
        <w:t>alcances del artículo 19 del Pacto de San José, tomaría en consideración  la</w:t>
        <w:br/>
        <w:t>Convención sobre los Derechos del Niño y el Protocolo de  San  Salvador,  en</w:t>
        <w:br/>
        <w:t>tanto  dichos  instrumentos  internacionales  forman   parte   de   un   muy</w:t>
        <w:br/>
        <w:t>comprensivo corpus iuris internacional de protección de los niños[332].</w:t>
        <w:br/>
        <w:br/>
        <w:t>49.   De igual forma, en el Caso de la Comunidad Yakye Axa Vs. Paraguay,  al</w:t>
        <w:br/>
        <w:t>analizar  si  el  Estado  generó  las   condiciones   que   agudizaron   las</w:t>
        <w:br/>
        <w:t>dificultades de acceso a una vida digna de los miembros de  la  Comunidad  y</w:t>
        <w:br/>
        <w:t>si, en ese contexto, adoptó las medidas positivas apropiadas, la Corte  optó</w:t>
        <w:br/>
        <w:t>por interpretar el artículo 4 de  la  Convención  Americana  a  la  luz  del</w:t>
        <w:br/>
        <w:t>corpus iuris internacional sobre la protección especial  que  requieren  los</w:t>
        <w:br/>
        <w:t>miembros de las comunidad indígenas. Entre otros, mencionó los artículos  26</w:t>
        <w:br/>
        <w:t>del mismo Pacto de San José,  así  como  los  artículos  10  (derecho  a  la</w:t>
        <w:br/>
        <w:t>salud),  11  (derecho  a  un  medio  ambiente  sano),  12  (derecho   a   la</w:t>
        <w:br/>
        <w:t>alimentación), 13 (derecho a la educación), y 14 (derecho a  los  beneficios</w:t>
        <w:br/>
        <w:t>de la cultura) del Protocolo de San Salvador  (DESC),  y  las  disposiciones</w:t>
        <w:br/>
        <w:t>pertinentes del Convenio No. 169 de la OIT.  La  Corte  también  observó  lo</w:t>
        <w:br/>
        <w:t>dispuesto por el Comité de Derechos Económicos,  Sociales  y  Culturales  de</w:t>
        <w:br/>
        <w:t>las Naciones Unidas en su Observación General No. 14[333].</w:t>
        <w:br/>
        <w:br/>
        <w:t>50.   Otro ejemplo lo constituye el Caso Xákmok Kásek Vs.  Paraguay,  en  el</w:t>
        <w:br/>
        <w:t>que la Corte IDH inclusive profundizó en el análisis para determinar que  la</w:t>
        <w:br/>
        <w:t>asistencia estatal brindada por el Estado en materia de acceso y calidad  de</w:t>
        <w:br/>
        <w:t>agua, alimentación, servicios de salud y educación no había sido  suficiente</w:t>
        <w:br/>
        <w:t>para  superar  las  condiciones  de  especial  vulnerabilidad  en   que   se</w:t>
        <w:br/>
        <w:t>encontraba la Comunidad. Para su determinación, el  Tribunal  Interamericano</w:t>
        <w:br/>
        <w:t>evaluó dichas prestación en aparatados específicos a cada rubro,  a  la  luz</w:t>
        <w:br/>
        <w:t>de los principales estándares internacionales en la materia  y  las  medidas</w:t>
        <w:br/>
        <w:t>adoptadas por el Estado, utilizando las Observaciones Generales  del  Comité</w:t>
        <w:br/>
        <w:t>de Derechos Económicos, Sociales y Culturales de la ONU[334].</w:t>
        <w:br/>
        <w:br/>
        <w:t>51.   Asimismo, en el Caso  del  Pueblo  Indígena  Kichwa  de  Sarayaku  Vs.</w:t>
        <w:br/>
        <w:t>Ecuador la Corte interpretó  el  derecho  a  la  consulta  previa,  libre  e</w:t>
        <w:br/>
        <w:t>informada  de  las  comunidades  y  pueblos  indígenas  y  tribales  en   el</w:t>
        <w:br/>
        <w:t>reconocimiento los derechos  a  la  cultura  propia  o  identidad  cultural,</w:t>
        <w:br/>
        <w:t>reconocidos en el Convenio 169 de la OIT. Por lo que la  falta  de  consulta</w:t>
        <w:br/>
        <w:t>en el caso específico generó  la  violación  “del  derecho  a  la  propiedad</w:t>
        <w:br/>
        <w:t>comunal del Pueblo Sarayaku, reconocido en el artículo 21 de la  Convención,</w:t>
        <w:br/>
        <w:t>en relación con el derecho a la identidad cultural, en los términos  de  los</w:t>
        <w:br/>
        <w:t>artículos 1.1 y 2 de aquel tratado”[335].</w:t>
        <w:br/>
        <w:br/>
        <w:t>52.   En el Caso Chitay Nech Vs. Guatemala,  la  Corte  IDH  estableció  que</w:t>
        <w:br/>
        <w:t>dentro de la obligación general de los Estados de  promover  y  proteger  la</w:t>
        <w:br/>
        <w:t>diversidad cultural de los indígenas se desprende la obligación especial  de</w:t>
        <w:br/>
        <w:t>garantizar el derecho a la vida cultural de los  niños  indígenas,  para  lo</w:t>
        <w:br/>
        <w:t>cual interpretó el artículo 30 de la Convención sobre los Derechos del  Niño</w:t>
        <w:br/>
        <w:t>y observaciones de su Comité, que dota de contenido al  artículo  19  de  la</w:t>
        <w:br/>
        <w:t>Convención Americana, y determinó que para el desarrollo pleno  y  armonioso</w:t>
        <w:br/>
        <w:t>de su personalidad, los niños indígenas,  de  acuerdo  con  su  cosmovisión,</w:t>
        <w:br/>
        <w:t>preferiblemente requieren formarse y crecer dentro de su entorno  natural  y</w:t>
        <w:br/>
        <w:t>cultural, ya que poseen una identidad distintiva  que  los  vincula  con  su</w:t>
        <w:br/>
        <w:t>tierra, cultura, religión, e idioma[336].</w:t>
        <w:br/>
        <w:br/>
        <w:t>53.   En el Caso de  la  Masacre  de  las  Dos  Erres  Vs.  Guatemala,  para</w:t>
        <w:br/>
        <w:t>analizar la responsabilidad del Estado respecto de los  derechos  al  nombre</w:t>
        <w:br/>
        <w:t>(artículo 18), a la familia (artículo 17) y del niño  (artículo  19,  de  la</w:t>
        <w:br/>
        <w:t>CADH), la  Corte  consideró  que  el  derecho  de  toda  persona  a  recibir</w:t>
        <w:br/>
        <w:t>protección contra injerencias arbitrarias o ilegales  en  su  familia  forma</w:t>
        <w:br/>
        <w:t>parte, implícitamente, del derecho a la protección a la familia y del  niño.</w:t>
        <w:br/>
        <w:t>Lo anterior se fundamentó en el  reconocimiento  expreso  existente  en  los</w:t>
        <w:br/>
        <w:t>artículos 12.1 de la Declaración Universal de  Derechos  Humanos,  V  de  la</w:t>
        <w:br/>
        <w:t>Declaración Americana de  Derechos  y  Deberes  del  Hombre,  17  del  Pacto</w:t>
        <w:br/>
        <w:t>Internacional de  Derechos  Civiles  y  Políticos,  11.2  de  la  Convención</w:t>
        <w:br/>
        <w:t>Americana sobre Derechos Humanos, 8 de la Convención Europea sobre  Derechos</w:t>
        <w:br/>
        <w:t>Humanos, 4.3 del Protocolo II de los Convenios de Ginebra de  12  de  agosto</w:t>
        <w:br/>
        <w:t>de 1949 (en adelante “Protocolo II”) y  la  Convención  sobre  los  Derechos</w:t>
        <w:br/>
        <w:t>del Niño[337].</w:t>
        <w:br/>
        <w:br/>
        <w:t>54.    En  similar  sentido,  en  el  Caso  Gelman  Vs.  Uruguay,  la  Corte</w:t>
        <w:br/>
        <w:t>desarrolló el denominado derecho a la identidad (el  cual  no  se  encuentra</w:t>
        <w:br/>
        <w:t>expresamente contemplado en la Convención Americana) sobre  la  base  de  lo</w:t>
        <w:br/>
        <w:t>dispuesto en el artículo 8 de la Convención sobre  Derechos  del  Niño,  que</w:t>
        <w:br/>
        <w:t>establece  que  tal  derecho  comprende,  entre  otros,  el  derecho  a   la</w:t>
        <w:br/>
        <w:t>nacionalidad, al nombre y a las relaciones de familia. De  esta  forma,  las</w:t>
        <w:br/>
        <w:t>alegadas violaciones a los derechos reconocidos por  los  artículos  3,  17,</w:t>
        <w:br/>
        <w:t>18, 19 y 20 de la Convención fueron interpretadas de acuerdo con  el  corpus</w:t>
        <w:br/>
        <w:t>iuris del derecho de la niñez, en especial con los artículos 7,  8,  9,  11,</w:t>
        <w:br/>
        <w:t>16 y 18 de la Convención sobre los Derechos del Niño[338].</w:t>
        <w:br/>
        <w:br/>
        <w:t>55.    Por otra parte, en el Caso Masacres de El Mozote y  lugares  aledaños</w:t>
        <w:br/>
        <w:t>Vs. El Salvador, la Corte complementó su jurisprudencia en relación  con  el</w:t>
        <w:br/>
        <w:t>derecho a  la  propiedad  privada  contemplado  en  el  artículo  21  de  la</w:t>
        <w:br/>
        <w:t>Convención al referirse a los artículos 13 y 14 del Protocolo  II  adicional</w:t>
        <w:br/>
        <w:t>a los Convenios de Ginebra de 1949 relativo a la protección de las  víctimas</w:t>
        <w:br/>
        <w:t>de los conflictos armados sin  carácter  internacional  de  8  de  junio  de</w:t>
        <w:br/>
        <w:t>1977[339].  Posteriormente,  en  el  Caso  Masacre  de  Santo  Domingo   Vs.</w:t>
        <w:br/>
        <w:t>Colombia,  el  Tribunal  interpretó  los  alcances  del  mismo  artículo  21</w:t>
        <w:br/>
        <w:t>utilizando tratados distintos a la Convención Americana. De esta  forma,  se</w:t>
        <w:br/>
        <w:t>refirió a la Norma 7 de Derecho Internacional  Humanitario  Consuetudinario,</w:t>
        <w:br/>
        <w:t>relativa a  la  distinción  entre  bienes  de  carácter  civil  y  objetivos</w:t>
        <w:br/>
        <w:t>militares y el artículo  4.2.g  del  Protocolo  II,  respecto  del  acto  de</w:t>
        <w:br/>
        <w:t>pillaje[340], para llenar de contenido el derecho  a  la  propiedad  privada</w:t>
        <w:br/>
        <w:t>previsto en el artículo 21 de la Convención Americana.</w:t>
        <w:br/>
        <w:br/>
        <w:t>56.    Como se  puede  apreciar  de  estos  ejemplos  de  la  jurisprudencia</w:t>
        <w:br/>
        <w:t>interamericana, ha sido una práctica reiterada  de  la  Corte  IDH  utilizar</w:t>
        <w:br/>
        <w:t>distintos instrumentos y fuentes internacionales más allá del Pacto  de  San</w:t>
        <w:br/>
        <w:t>José para definir los contenidos e  incluso  ampliar  los  alcances  de  los</w:t>
        <w:br/>
        <w:t>derechos previstos en la Convención Americana y  precisar  las  obligaciones</w:t>
        <w:br/>
        <w:t>de los Estados[341], en tanto dichos instrumentos y fuentes  internacionales</w:t>
        <w:br/>
        <w:t>forman parte  de  un  muy  comprensivo  corpus  iuris  internacional  en  la</w:t>
        <w:br/>
        <w:t>materia, utilizando, también el Protocolo de San  Salvador.  La  posibilidad</w:t>
        <w:br/>
        <w:t>de utilizar el Protocolo de San Salvador para darle contenido y  alcances  a</w:t>
        <w:br/>
        <w:t>los derechos económicos, sociales y culturales derivados del artículo 26  de</w:t>
        <w:br/>
        <w:t>la  Convención  Americana,  en  relación  con  las  obligaciones   generales</w:t>
        <w:br/>
        <w:t>previstas en los artículos 1 y 2 de  la  misma  es  viable  conforme  lo  ha</w:t>
        <w:br/>
        <w:t>venido realizando el Tribunal  Interamericana  para  dotar  de  contenido  a</w:t>
        <w:br/>
        <w:t>muchos derechos  convencionales  utilizando  distintos  tratados  y  fuentes</w:t>
        <w:br/>
        <w:t>distintos del Pacto de San José. De ahí que  también  podría  utilizarse  el</w:t>
        <w:br/>
        <w:t>Protocolo de San Salvador, junto  con  otros  instrumentos  internacionales,</w:t>
        <w:br/>
        <w:t>para establecer el contenido y alcances del derecho a la salud  que  protege</w:t>
        <w:br/>
        <w:t>el artículo 26 de la Convención Americana.</w:t>
        <w:br/>
        <w:br/>
        <w:t>B) Los artículos 26 y 29 de la Convención Americana a la luz  del  principio</w:t>
        <w:br/>
        <w:t>pro persona</w:t>
        <w:br/>
        <w:br/>
        <w:t>57.   Hasta el momento, la Corte IDH  ha  utilizado  diversos  aspectos  del</w:t>
        <w:br/>
        <w:t>corpus juris sobre el derecho a la salud para fundamentar  su  argumentación</w:t>
        <w:br/>
        <w:t>sobre el alcance  del  derecho  a  la  vida  o  a  la  integridad  personal,</w:t>
        <w:br/>
        <w:t>utilizando el concepto de vida digna u otro tipo de análisis basados  en  la</w:t>
        <w:br/>
        <w:t>conexidad de la salud con estos derechos civiles  (véase  supra  párr.  13).</w:t>
        <w:br/>
        <w:t>Esta estrategia argumentativa  es  valiosa  y  ha  permitido  un  importante</w:t>
        <w:br/>
        <w:t>avance de  la  jurisprudencia  interamericana.  Sin  embargo,  el  principal</w:t>
        <w:br/>
        <w:t>problema  de  esta  técnica  argumentativa  es  que  impide  un  análisis  a</w:t>
        <w:br/>
        <w:t>profundidad sobre el alcance de  las  obligaciones  de  respeto  y  garantía</w:t>
        <w:br/>
        <w:t>frente al derecho a la salud, como sucedió en la  Sentencia  que  motiva  el</w:t>
        <w:br/>
        <w:t>presente  voto  razonado.  Asimismo,  existen  algunos  componentes  de  los</w:t>
        <w:br/>
        <w:t>derechos sociales que no pueden ser reconducidos a  estándares  de  derechos</w:t>
        <w:br/>
        <w:t>civiles y políticos[342]. Como se ha puesto de relieve, “podría perderse  la</w:t>
        <w:br/>
        <w:t>especificidad  tanto  de  derechos  civiles  y  políticos  (que  empiezan  a</w:t>
        <w:br/>
        <w:t>abarcarlo todo) como de derechos  sociales  (que  no  logran  proyectar  sus</w:t>
        <w:br/>
        <w:t>especificidades)”[343].</w:t>
        <w:br/>
        <w:br/>
        <w:t>58.   Atendiendo a que la Corte IDH en su  jurisprudencia  evolutiva  ya  ha</w:t>
        <w:br/>
        <w:t>aceptado explícitamente la justiciabilidad  del  artículo  26  (véase  supra</w:t>
        <w:br/>
        <w:t>párrs. 18-22)[344], en mi opinión, ahora el Tribunal Interamericano  tendría</w:t>
        <w:br/>
        <w:t>que resolver varios aspectos de este precepto convencional  que  plantea  la</w:t>
        <w:br/>
        <w:t>difícil tarea de definir en el futuro tres cuestiones  distintas,  referidas</w:t>
        <w:br/>
        <w:t>a i) qué derechos protege, ii) qué tipo de  obligaciones  derivan  de  tales</w:t>
        <w:br/>
        <w:t>derechos, y iii) qué implicaciones  tiene  el  principio  de  progresividad.</w:t>
        <w:br/>
        <w:t>Evidentemente  no  se  pretende  resolver  estas  cuestiones   ni   siquiera</w:t>
        <w:br/>
        <w:t>mínimamente en el presente voto individual. Simplemente es mi  deseo  sentar</w:t>
        <w:br/>
        <w:t>algunas bases que  pudieran  servir  a  manera  de  reflexión  para  futuros</w:t>
        <w:br/>
        <w:t>desarrollos jurisprudenciales de este Tribunal Interamericano.</w:t>
        <w:br/>
        <w:br/>
        <w:t>59.   En relación con los derechos protegidos  por  el  artículo  26  de  la</w:t>
        <w:br/>
        <w:t>Convención Americana existen distintas posturas. Algunos estiman  que  dicho</w:t>
        <w:br/>
        <w:t>precepto  constituye  una  mera  norma  programática,  sin  ningún  tipo  de</w:t>
        <w:br/>
        <w:t>efectividad por sí  misma.  Esta  concepción  no  la  consideramos  adecuada</w:t>
        <w:br/>
        <w:t>conforme al espíritu mismo de la propia Convención, que se inspira en la  no</w:t>
        <w:br/>
        <w:t>jerarquía de los derechos, como efectivamente se desprende de  su  Preámbulo</w:t>
        <w:br/>
        <w:t>y en la necesidad del efecto útil que deben tener todas sus disposiciones.</w:t>
        <w:br/>
        <w:br/>
        <w:t>60.   Además, dicho  argumento  sería  un  evidente  retroceso  al  carácter</w:t>
        <w:br/>
        <w:t>progresivo que  el  propio  artículo  26  expresamente  establece  para  los</w:t>
        <w:br/>
        <w:t>Estados y que necesariamente también aplica para la propia Corte  IDH,  toda</w:t>
        <w:br/>
        <w:t>vez que la jurisprudencia interamericana ya ha reconocido la posibilidad  de</w:t>
        <w:br/>
        <w:t>pronunciarse sobre los contenidos de dicho precepto conforme lo indicado  en</w:t>
        <w:br/>
        <w:t>el párrafo anterior y además ha reconocido la plena vigencia  de  todas  las</w:t>
        <w:br/>
        <w:t>disposiciones del Pacto de San  Jose,  precisamente  al  resolver  sobre  el</w:t>
        <w:br/>
        <w:t>alegato  del  Estado  relativo  a  la  incompetencia  por  ratione  materiae</w:t>
        <w:br/>
        <w:t>respecto del artículo 26 del Pacto de San José[345]:</w:t>
        <w:br/>
        <w:br/>
        <w:t xml:space="preserve">      […]  la  Corte  debe  tener  en  cuenta  que   los   instrumentos   de</w:t>
        <w:br/>
        <w:t xml:space="preserve">      reconocimiento  de  la  cláusula  facultativa   de   la   jurisdicción</w:t>
        <w:br/>
        <w:t xml:space="preserve">      obligatoria (artículo 62.1 de la Convención) presuponen  la  admisión,</w:t>
        <w:br/>
        <w:t xml:space="preserve">      por los Estados que la presentan, del derecho de la Corte  a  resolver</w:t>
        <w:br/>
        <w:t xml:space="preserve">      cualquier controversia relativa a su  jurisdicción[346].   Además,  el</w:t>
        <w:br/>
        <w:t xml:space="preserve">      Tribunal ha señalado anteriormente que los  términos  amplios  en  que</w:t>
        <w:br/>
        <w:t xml:space="preserve">      está  redactada  la  Convención  indican  que  la  Corte  ejerce   una</w:t>
        <w:br/>
        <w:t xml:space="preserve">      jurisdicción plena sobre todos  sus  artículos  y  disposiciones[347].</w:t>
        <w:br/>
        <w:t xml:space="preserve">      (subrayado añadido)</w:t>
        <w:br/>
        <w:br/>
        <w:t>61.    Otra postura interpretativa del  artículo  26  se  dirige  a  otorgar</w:t>
        <w:br/>
        <w:t>plena efectividad a los derechos económicos,  sociales  y  culturales.  Esta</w:t>
        <w:br/>
        <w:t>corriente es la que desde hace tiempo, un importante sector de  la  doctrina</w:t>
        <w:br/>
        <w:t>defiende,  para  otorgarle   un   carácter   normativo   a   este   precepto</w:t>
        <w:br/>
        <w:t>convencional, como la Corte IDH dio en el Caso Acevedo Buendía Vs.  Perú  en</w:t>
        <w:br/>
        <w:t>2009, constituyendo un paso firme hacia  esa  dirección,  dejando  atrás  el</w:t>
        <w:br/>
        <w:t>precedente del Caso Cinco Pensionistas Vs. Perú de 2005[348].</w:t>
        <w:br/>
        <w:br/>
        <w:t>62.   Para algunos, los  derechos  protegidos  por  el  artículo  26  de  la</w:t>
        <w:br/>
        <w:t>Convención Americana son los que derivan de las normas económicas,  sociales</w:t>
        <w:br/>
        <w:t>y sobre educación, ciencia y culturas contenidas en la Carta de la OEA,  sin</w:t>
        <w:br/>
        <w:t>que  sea  posible  remitirse  a  la  Declaración  Americana[349].  Una   vez</w:t>
        <w:br/>
        <w:t>determinado que un derecho se encuentra implícito en  la  Carta  y,  por  lo</w:t>
        <w:br/>
        <w:t>tanto, comprendido en el  artículo  26,  puede  entonces  interpretarse  con</w:t>
        <w:br/>
        <w:t>ayuda de la Declaración Americana  u  otros  tratados  de  derechos  humanos</w:t>
        <w:br/>
        <w:t>vigentes en el Estado respectivo[350]. Por otro lado,  se  sostiene  también</w:t>
        <w:br/>
        <w:t>que aunado al principio pro persona, para saber qué derechos  se  desprenden</w:t>
        <w:br/>
        <w:t>de los objetivos establecidos en la Carta de la OEA, hay que acudir a  otros</w:t>
        <w:br/>
        <w:t>instrumentos  internacionales,  como  la   Declaración   Americana,   textos</w:t>
        <w:br/>
        <w:t>constitucionales y al trabajo desarrollado por  órganos  internacionales  de</w:t>
        <w:br/>
        <w:t>supervisión[351].</w:t>
        <w:br/>
        <w:br/>
        <w:t>63.   Sobre la posible integración de la Carta de la OEA con la Declaración</w:t>
        <w:br/>
        <w:t>Americana de los Derechos y Deberes del Hombre, es pertinente tener en</w:t>
        <w:br/>
        <w:t>cuenta la Opinión Consultiva OC-10/89 “Interpretación de la Declaración</w:t>
        <w:br/>
        <w:t>Americana de los Derechos y Deberes del Hombre en el marco del artículo 64</w:t>
        <w:br/>
        <w:t>de la Convención Americana sobre Derechos Humanos”, del 14 de julio de</w:t>
        <w:br/>
        <w:t>1989, en especial, sus párrafos 43 y 45:</w:t>
        <w:br/>
        <w:br/>
        <w:t xml:space="preserve">      43. Puede considerarse entonces que, a manera de interpretación</w:t>
        <w:br/>
        <w:t xml:space="preserve">      autorizada, los Estados Miembros han entendido que la Declaración</w:t>
        <w:br/>
        <w:t xml:space="preserve">      contiene y define aquellos derechos humanos esenciales a los que la</w:t>
        <w:br/>
        <w:t xml:space="preserve">      Carta se refiere, de manera que no se puede interpretar y aplicar la</w:t>
        <w:br/>
        <w:t xml:space="preserve">      Carta de la Organización en materia de derechos humanos, sin integrar</w:t>
        <w:br/>
        <w:t xml:space="preserve">      las normas pertinentes de ella con las correspondientes disposiciones</w:t>
        <w:br/>
        <w:t xml:space="preserve">      de la Declaración, como resulta de la práctica seguida por los órganos</w:t>
        <w:br/>
        <w:t xml:space="preserve">      de la OEA.</w:t>
        <w:br/>
        <w:br/>
        <w:t xml:space="preserve">      (…(</w:t>
        <w:br/>
        <w:br/>
        <w:t xml:space="preserve">      45. Para los Estados Miembros de la Organización, la Declaración es el</w:t>
        <w:br/>
        <w:t xml:space="preserve">      texto que determina cuáles son los derechos humanos a que se refiere</w:t>
        <w:br/>
        <w:t xml:space="preserve">      la Carta. De otra parte, los artículos 1.2.b) y 20 del Estatuto de la</w:t>
        <w:br/>
        <w:t xml:space="preserve">      Comisión definen, igualmente, la competencia de la misma respecto de</w:t>
        <w:br/>
        <w:t xml:space="preserve">      los derechos humanos enunciados en la Declaración. Es decir, para</w:t>
        <w:br/>
        <w:t xml:space="preserve">      estos Estados la Declaración Americana constituye, en lo pertinente y</w:t>
        <w:br/>
        <w:t xml:space="preserve">      en relación con la Carta de la Organización, una fuente de</w:t>
        <w:br/>
        <w:t xml:space="preserve">      obligaciones internacionales.</w:t>
        <w:br/>
        <w:br/>
        <w:t>64.   Estimo que otra posible vía interpretativa, en la línea de  la  última</w:t>
        <w:br/>
        <w:t>postura referida, sería la de considerar la vinculación de los artículos  26</w:t>
        <w:br/>
        <w:t>y 29 del Pacto de San José en relación con  el  principio  pro  persona.  En</w:t>
        <w:br/>
        <w:t>efecto,  atendiendo  a  las  normas  previstas  en  el  artículo  29  de  la</w:t>
        <w:br/>
        <w:t>Convención  Americana,  ninguna  disposición  de  la  Convención  puede  ser</w:t>
        <w:br/>
        <w:t>interpretada en el sentido de limitar  el  goce  y  ejercicio  de  cualquier</w:t>
        <w:br/>
        <w:t>derecho o libertad que pueda estar reconocido de acuerdo con  las  leyes  de</w:t>
        <w:br/>
        <w:t>cualquiera de los Estados Parte o de acuerdo con otra convención en que  sea</w:t>
        <w:br/>
        <w:t>parte uno de dichos Estados, o bien de  excluir  o  limitar  el  efecto  que</w:t>
        <w:br/>
        <w:t>puedan producir la Declaración Americana de Derechos y Deberes del Hombre  y</w:t>
        <w:br/>
        <w:t>otros  actos  internacionales  de  la  misma  naturaleza  (como  lo  es   la</w:t>
        <w:br/>
        <w:t>Declaración Universal de los Derechos del Hombre) que prevé,  al  igual  que</w:t>
        <w:br/>
        <w:t>la Declaración Americana, derechos sociales sin distinción de  los  derechos</w:t>
        <w:br/>
        <w:t>civiles y políticos.</w:t>
        <w:br/>
        <w:br/>
        <w:t>65.    Estas normas de interpretación previstas en  el  artículo  29  de  la</w:t>
        <w:br/>
        <w:t>Convención Americana también deben ser motivo de interpretación.  Si  leemos</w:t>
        <w:br/>
        <w:t>estos criterios conforme al principio pro  persona,  la  interpretación  del</w:t>
        <w:br/>
        <w:t>artículo 26 no sólo no debe limitar el goce  y  ejercicio  de  los  derechos</w:t>
        <w:br/>
        <w:t>previstos en las leyes de los Estados parte, entre las cuales  se  encuentra</w:t>
        <w:br/>
        <w:t>la constitución nacional de los Estados, o los derechos previstos  en  otras</w:t>
        <w:br/>
        <w:t>convenciones, sino que esas  leyes  y  convenciones  deben  utilizarse  para</w:t>
        <w:br/>
        <w:t>asegurar el mayor nivel de protección. Así, para saber qué derechos  derivan</w:t>
        <w:br/>
        <w:t>de las normas económicas, sociales y sobre  educación,  ciencia  y  cultura,</w:t>
        <w:br/>
        <w:t>contenidas en la Carta de  la  OEA  (en  términos  de  lo  dispuesto  en  el</w:t>
        <w:br/>
        <w:t>Artículo 26 de la Convención Americana),  además  de  atender  a  su  texto,</w:t>
        <w:br/>
        <w:t>podría  acudirse  a  las   leyes   nacionales   y   a   otros   instrumentos</w:t>
        <w:br/>
        <w:t>internacionales,  incluida  la  Declaración   Americana[352].   En   similar</w:t>
        <w:br/>
        <w:t>sentido, el artículo 25 de la Convención Americana establece  el  derecho  a</w:t>
        <w:br/>
        <w:t>un recurso efectivo, que  ampare  “contra  actos  que  violen  sus  derechos</w:t>
        <w:br/>
        <w:t>fundamentales  reconocidos  por  la  constitución,  la  ley  o  la  presente</w:t>
        <w:br/>
        <w:t>Convención […]”[353].</w:t>
        <w:br/>
        <w:br/>
        <w:t>66.   En otras palabras, una posible vía para interpretar el artículo 26  de</w:t>
        <w:br/>
        <w:t>la  Convención  Americana  conduciría  a  que  no  es  suficiente  con   una</w:t>
        <w:br/>
        <w:t>interpretación literal de dicho precepto, como tampoco bastan los  criterios</w:t>
        <w:br/>
        <w:t>previstos en el artículo 29 del Pacto de  San  José,  sino  que,  en  primer</w:t>
        <w:br/>
        <w:t>término, este último numeral debe ser  interpretado  conforme  al  principio</w:t>
        <w:br/>
        <w:t>pro persona.  Una  vez  realizado  lo  anterior,  es  posible  entender  que</w:t>
        <w:br/>
        <w:t>conforme al referido  artículo  29,  los  derechos  económicos,  sociales  y</w:t>
        <w:br/>
        <w:t>culturales previstos en otras leyes, incluyendo las  constituciones  de  los</w:t>
        <w:br/>
        <w:t>Estados parte, así como los derechos previstos en otras convenciones de  las</w:t>
        <w:br/>
        <w:t>que el Estado es parte y la Declaración  Americana[354],  se  incorporan  al</w:t>
        <w:br/>
        <w:t>artículo 26 para interpretarlo y desarrollarlo.</w:t>
        <w:br/>
        <w:br/>
        <w:t>67.   La propia Corte IDH ha utilizado  en  algunas  ocasiones,  para  darle</w:t>
        <w:br/>
        <w:t>mayor contenido y contexto a los derechos civiles, las  leyes  fundamentales</w:t>
        <w:br/>
        <w:t>nacionales   y   diversos   instrumentos   internacionales    mediante    la</w:t>
        <w:br/>
        <w:t>interpretación del artículo 29.b)  de  la  Convención  Americana.  Así,  por</w:t>
        <w:br/>
        <w:t>ejemplo, se utilizó el  artículo  44  de  la  Constitución  Política  de  la</w:t>
        <w:br/>
        <w:t>República de Colombia (derechos fundamentales de los  niños),  conjuntamente</w:t>
        <w:br/>
        <w:t>con diversos instrumentos internacionales y la Convención Americana,  en  el</w:t>
        <w:br/>
        <w:t>Caso de la “Masacre de Mapiripán” Vs. Colombia[355]:</w:t>
        <w:br/>
        <w:br/>
        <w:t xml:space="preserve">      153. El contenido y alcances del artículo 19 de la Convención</w:t>
        <w:br/>
        <w:t xml:space="preserve">      Americana deben ser precisados, en casos como el presente, tomando en</w:t>
        <w:br/>
        <w:t xml:space="preserve">      consideración las disposiciones pertinentes de la Convención sobre los</w:t>
        <w:br/>
        <w:t xml:space="preserve">      Derechos del Niño[356], en particular de sus artículos 6, 37, 38 y 39,</w:t>
        <w:br/>
        <w:t xml:space="preserve">      y del Protocolo II a los Convenios de Ginebra, ya que estos</w:t>
        <w:br/>
        <w:t xml:space="preserve">      instrumentos y la Convención Americana forman parte de un muy</w:t>
        <w:br/>
        <w:t xml:space="preserve">      comprensivo corpus juris internacional de protección de los niños que</w:t>
        <w:br/>
        <w:t xml:space="preserve">      los Estados deben respetar[357]. Aunado a lo anterior, en aplicación</w:t>
        <w:br/>
        <w:t xml:space="preserve">      del artículo 29 de la Convención, es considerable lo dispuesto en el</w:t>
        <w:br/>
        <w:t xml:space="preserve">      artículo 44 de la Constitución Política de la República de</w:t>
        <w:br/>
        <w:t xml:space="preserve">      Colombia[358].</w:t>
        <w:br/>
        <w:br/>
        <w:br/>
        <w:br/>
        <w:t>68.   Como lo hemos señalado en  otra  ocasión,  el  principio  pro  persona</w:t>
        <w:br/>
        <w:t>implica, inter alia,  efectuar  la  interpretación  más  favorable  para  el</w:t>
        <w:br/>
        <w:t>efectivo goce y ejercicio de los derechos  y  libertades  fundamentales,  lo</w:t>
        <w:br/>
        <w:t>que impide, además, que se utilicen otros instrumentos internacionales  para</w:t>
        <w:br/>
        <w:t>restringir los derechos de la Convención Americana[359].  La  Corte  IDH  ha</w:t>
        <w:br/>
        <w:t>señalado[360]:</w:t>
        <w:br/>
        <w:br/>
        <w:t xml:space="preserve">      51.   A propósito de la comparación entre la  Convención  Americana  y</w:t>
        <w:br/>
        <w:t xml:space="preserve">      los otros tratados mencionados, la Corte no puede eludir un comentario</w:t>
        <w:br/>
        <w:t xml:space="preserve">      acerca de un criterio de interpretación sugerido por Costa Rica en  la</w:t>
        <w:br/>
        <w:t xml:space="preserve">      audiencia del 8 de noviembre de 1985. Según ese  planteamiento  en  la</w:t>
        <w:br/>
        <w:t xml:space="preserve">      hipótesis de que un derecho recogido en la Convención Americana  fuera</w:t>
        <w:br/>
        <w:t xml:space="preserve">      regulado de modo más restrictivo  en  otro  instrumento  internacional</w:t>
        <w:br/>
        <w:t xml:space="preserve">      referente a los derechos humanos, la interpretación de  la  Convención</w:t>
        <w:br/>
        <w:t xml:space="preserve">      Americana debería hacerse tomando en cuenta esas mayores  limitaciones</w:t>
        <w:br/>
        <w:t xml:space="preserve">      porque:</w:t>
        <w:br/>
        <w:br/>
        <w:br/>
        <w:t xml:space="preserve">         De lo contrario tendríamos que aceptar  que  lo  que  es  lícito  y</w:t>
        <w:br/>
        <w:t xml:space="preserve">         permisible en el ámbito universal, constituiría una violación en el</w:t>
        <w:br/>
        <w:t xml:space="preserve">         continente americano, lo que parece  evidentemente  una  afirmación</w:t>
        <w:br/>
        <w:t xml:space="preserve">         errónea. Más bien  pensamos  que  en  cuanto  a  interpretación  de</w:t>
        <w:br/>
        <w:t xml:space="preserve">         tratados, puede sentarse el  criterio  de  que  las  reglas  de  un</w:t>
        <w:br/>
        <w:t xml:space="preserve">         tratado o  convención  deben  interpretarse  en  relación  con  las</w:t>
        <w:br/>
        <w:t xml:space="preserve">         disposiciones que aparezcan en otros tratados que versen  sobre  la</w:t>
        <w:br/>
        <w:t xml:space="preserve">         misma materia. También puede  definirse  el  criterio  de  que  las</w:t>
        <w:br/>
        <w:t xml:space="preserve">         normas de un tratado regional, deben interpretarse a la luz  de  la</w:t>
        <w:br/>
        <w:t xml:space="preserve">         doctrina y disposiciones de los instrumentos de carácter universal.</w:t>
        <w:br/>
        <w:t xml:space="preserve">         (Subrayado añadido).</w:t>
        <w:br/>
        <w:br/>
        <w:br/>
        <w:t xml:space="preserve">    En verdad, frecuentemente es útil, como  acaba  de  hacerlo  la  Corte,</w:t>
        <w:br/>
        <w:t xml:space="preserve">    comparar la Convención Americana con lo dispuesto en otros instrumentos</w:t>
        <w:br/>
        <w:t xml:space="preserve">    internacionales como medio para poner de relieve aspectos  particulares</w:t>
        <w:br/>
        <w:t xml:space="preserve">    de la regulación de un determinado derecho, pero tal método  no  podría</w:t>
        <w:br/>
        <w:t xml:space="preserve">    emplearse nunca para incorporar a la Convención criterios  restrictivos</w:t>
        <w:br/>
        <w:t xml:space="preserve">    que no se desprendan directamente  de  su  texto,  por  más  que  estén</w:t>
        <w:br/>
        <w:t xml:space="preserve">    presentes en cualquier otro tratado internacional[361].</w:t>
        <w:br/>
        <w:br/>
        <w:br/>
        <w:t xml:space="preserve">    52.    La anterior conclusión se deduce claramente del artículo  29  de</w:t>
        <w:br/>
        <w:t xml:space="preserve">    la Convención, que contiene las normas de interpretación, cuyo  literal</w:t>
        <w:br/>
        <w:t xml:space="preserve">    b)  indica  que  ninguna  disposición  de  la  Convención,  puede   ser</w:t>
        <w:br/>
        <w:t xml:space="preserve">    interpretada en el sentido de:</w:t>
        <w:br/>
        <w:br/>
        <w:br/>
        <w:t xml:space="preserve">         limitar el goce y ejercicio de cualquier  derecho  o  libertad  que</w:t>
        <w:br/>
        <w:t xml:space="preserve">         pueda estar reconocido de acuerdo con las leyes  de  cualquiera  de</w:t>
        <w:br/>
        <w:t xml:space="preserve">         los Estados Partes o de acuerdo con  otra  convención  en  que  sea</w:t>
        <w:br/>
        <w:t xml:space="preserve">         parte uno de dichos Estados.</w:t>
        <w:br/>
        <w:br/>
        <w:br/>
        <w:t xml:space="preserve">      En consecuencia, si a una misma situación son aplicables la Convención</w:t>
        <w:br/>
        <w:t xml:space="preserve">      Americana y otro tratado internacional, debe prevalecer la  norma  más</w:t>
        <w:br/>
        <w:t xml:space="preserve">      favorable a la persona humana. Si la propia Convención  establece  que</w:t>
        <w:br/>
        <w:t xml:space="preserve">      sus regulaciones no tienen efecto restrictivo sobre otros instrumentos</w:t>
        <w:br/>
        <w:t xml:space="preserve">      internacionales, menos aún podrán traerse restricciones  presentes  en</w:t>
        <w:br/>
        <w:t xml:space="preserve">      esos otros instrumentos, pero no en la  Convención,  para  limitar  el</w:t>
        <w:br/>
        <w:t xml:space="preserve">      ejercicio de los derechos y libertades que ésta reconoce.</w:t>
        <w:br/>
        <w:br/>
        <w:br/>
        <w:t>69.   En todo caso, sea cual sea la  vía  interpretativa  que  le  demos  al</w:t>
        <w:br/>
        <w:t>artículo 26 de la Convención Americana, existen, como se ha visto,  diversas</w:t>
        <w:br/>
        <w:t>líneas  interpretativas  y  argumentativas  válidas  y  razonables  que  nos</w:t>
        <w:br/>
        <w:t>conducen a  otorgar  justiciabilidad  directa  a  los  derechos  económicos,</w:t>
        <w:br/>
        <w:t>sociales y culturales, que eventualmente la Corte  IDH  podría  realizar  en</w:t>
        <w:br/>
        <w:t>futuras ocasiones. Partiendo del supuesto, se insiste, en  que  el  Tribunal</w:t>
        <w:br/>
        <w:t>Interamericano ya dio el paso de la aceptación de la justiciabilidad de  los</w:t>
        <w:br/>
        <w:t>derechos que se deriven del artículo  26  del  Pacto  de  San  José,  en  el</w:t>
        <w:br/>
        <w:t>importante precedente del Caso Acevedo Buendía Vs. Perú.</w:t>
        <w:br/>
        <w:br/>
        <w:t>70.    La segunda cuestión  es  el  tipo  de  obligaciones  que  tienen  los</w:t>
        <w:br/>
        <w:t>Estados conforme al artículo 26 de la  propia  Convención.  De  acuerdo  con</w:t>
        <w:br/>
        <w:t>dicho numeral, los Estados se  comprometen  a  “adoptar  providencias”  para</w:t>
        <w:br/>
        <w:t>lograr progresivamente la plena  efectividad  de  los  derechos  económicos,</w:t>
        <w:br/>
        <w:t>sociales y culturales “en la medida de los recursos  disponibles”.  Aquí  la</w:t>
        <w:br/>
        <w:t>cuestión es dilucidar en qué consisten esas providencias.</w:t>
        <w:br/>
        <w:br/>
        <w:t>71.   Nuevamente recurrimos al precedente del Caso Acevedo Buendía  y  otros</w:t>
        <w:br/>
        <w:t>Vs. Perú,  en  el  que  fue  abordada  la  naturaleza  de  las  obligaciones</w:t>
        <w:br/>
        <w:t>derivadas del artículo 26 del Pacto de San José, y en el que  se  trató  del</w:t>
        <w:br/>
        <w:t>incumplimiento de pago de nivelaciones pensionales, lo que  según  la  Corte</w:t>
        <w:br/>
        <w:t>IDH —en su anterior integración—,  vulneró  los  derechos  a  la  protección</w:t>
        <w:br/>
        <w:t>judicial y a la  propiedad  previstos  en  los  artículos  21  y  25  de  la</w:t>
        <w:br/>
        <w:t>Convención Americana,  no  así  del  artículo  26,  pues  para  el  Tribunal</w:t>
        <w:br/>
        <w:t>Interamericano este precepto requiere de providencias económicas y  técnicas</w:t>
        <w:br/>
        <w:t>en la medida de los recursos disponibles,  lo  que  no  era  el  caso.  Así,</w:t>
        <w:br/>
        <w:t>consideró que es una  obligación  de  naturaleza  diferente  y,  por  tanto,</w:t>
        <w:br/>
        <w:t>estimó que no se vulneró dicho dispositivo convencional[362].  Sin  embargo,</w:t>
        <w:br/>
        <w:t>la  Corte  IDH  fue  clara  al  establecer  que  “la  regresividad   resulta</w:t>
        <w:br/>
        <w:t>justiciable  cuando  de  derechos  económicos,  sociales  y  culturales   se</w:t>
        <w:br/>
        <w:t>trate”[363], lo que dejó abierta la posibilidad  en  el  futuro  de  mayores</w:t>
        <w:br/>
        <w:t>desarrollos jurisprudenciales.</w:t>
        <w:br/>
        <w:br/>
        <w:t>72.   Asimismo, no debe pasar inadvertido que la Corte IDH ha  señalado  que</w:t>
        <w:br/>
        <w:t>además de regular el desarrollo progresivo de los derechos  sociales,  a  la</w:t>
        <w:br/>
        <w:t>luz  del  artículo  26  de  la  Convención  Americana,  una   interpretación</w:t>
        <w:br/>
        <w:t>sistemática de la misma incluye aplicar a los derechos económicos,  sociales</w:t>
        <w:br/>
        <w:t>y culturales las obligaciones de respeto y garantía[364], derivadas  de  los</w:t>
        <w:br/>
        <w:t>artículos 1.1. y 2 del Pacto de San José.</w:t>
        <w:br/>
        <w:br/>
        <w:t>C) La interpretación evolutiva del artículo 26 de la Convención Americana  a</w:t>
        <w:br/>
        <w:t>la luz de la normativa constitucional  y  de  las  prácticas  de  las  altas</w:t>
        <w:br/>
        <w:t>jurisdicciones nacionales, para la justiciabilidad del derecho a la salud</w:t>
        <w:br/>
        <w:br/>
        <w:t>73.   Para profundizar en  la  justiciabilidad  directa  del  derecho  a  la</w:t>
        <w:br/>
        <w:t>salud, resulta de especial utilidad efectuar  una  interpretación  evolutiva</w:t>
        <w:br/>
        <w:t>respecto al alcance de los derechos consagrados en  el  Artículo  26  de  la</w:t>
        <w:br/>
        <w:t>Convención Americana.  Al  respecto,  la  práctica  de  diversos  tribunales</w:t>
        <w:br/>
        <w:t>nacionales  ofrece  importantes  ejemplos  de  análisis  a  partir   de   la</w:t>
        <w:br/>
        <w:t>obligación de respeto y garantía  respecto  al  derecho  a  la  salud  y  la</w:t>
        <w:br/>
        <w:t>utilización del corpus  juris  sobre  las  obligaciones  internacionales  en</w:t>
        <w:br/>
        <w:t>relación con el derecho a la salud para  impulsar  una  protección  judicial</w:t>
        <w:br/>
        <w:t>directa de este derecho.</w:t>
        <w:br/>
        <w:br/>
        <w:t>74.   Es importante precisar, por otra parte, que las  altas  jurisdicciones</w:t>
        <w:br/>
        <w:t>nacionales utilizan  su  propia  normativa  constitucional  —además  de  los</w:t>
        <w:br/>
        <w:t>instrumentos  y  fuentes  internacionales—.   En  la   actualidad   resultan</w:t>
        <w:br/>
        <w:t>innegables los avances  normativos  en  los  Estados  nacionales  sobre  los</w:t>
        <w:br/>
        <w:t>derechos sociales, en particular  sobre  el  alcance  constitucional  de  la</w:t>
        <w:br/>
        <w:t>protección del derecho a la salud (sea de manera expresa, derivada de  otros</w:t>
        <w:br/>
        <w:t>derechos o debido a su reconocimiento por  la  incorporación  constitucional</w:t>
        <w:br/>
        <w:t>de los tratados internacionales).</w:t>
        <w:br/>
        <w:br/>
        <w:t>75.    Entre  las  normas  constitucionales  de  los  Estados  parte  de  la</w:t>
        <w:br/>
        <w:t>Convención Americana que refieren  de  alguna  forma  a  la  protección  del</w:t>
        <w:br/>
        <w:t>derecho a la salud, se encuentran: Argentina (art. 42)[365],  Bolivia  (art.</w:t>
        <w:br/>
        <w:t>35)[366], Brasil (art. 196)[367], Colombia (art. 49)[368], Costa Rica  (art.</w:t>
        <w:br/>
        <w:t>46)[369], Chile (art.  19,  inciso  9)[370],   Ecuador  (art.  32)[371],  El</w:t>
        <w:br/>
        <w:t>Salvador (art.  65)[372],  Guatemala  (arts.  93  y  94)[373],  Haití  (art.</w:t>
        <w:br/>
        <w:t>19)[374], Honduras  (art.  145)[375],   México  (art.  4o.)[376],  Nicaragua</w:t>
        <w:br/>
        <w:t>(art. 59)[377], Panamá (art. 109)[378], Paraguay (art. 68)[379], Perú  (art.</w:t>
        <w:br/>
        <w:t>70.)[380], República Dominicana (art.  61)[381],  Suriname  (art.  36)[382],</w:t>
        <w:br/>
        <w:t>Uruguay (art. 44)[383], y Venezuela (art. 83)[384].</w:t>
        <w:br/>
        <w:br/>
        <w:t>76.   Estas normas han tenido efectividad en muchas ocasiones por las  altas</w:t>
        <w:br/>
        <w:t>jurisdicciones  nacionales,  incluso  a  través  de   tutela   “directa”   y</w:t>
        <w:br/>
        <w:t>utilizando tratados y diversas fuentes internacionales.</w:t>
        <w:br/>
        <w:br/>
        <w:t>77.    Al  respecto,  resulta  relevante  la   experiencia   de   la   Corte</w:t>
        <w:br/>
        <w:t>Constitucional de Colombia. El argumento “por conexidad” se utilizó en  gran</w:t>
        <w:br/>
        <w:t>medida para delimitar el contenido del  derecho  susceptible  de  protección</w:t>
        <w:br/>
        <w:t>judicial por vía de la acción de  tutela.[385]  En  la  sentencia  T-016  de</w:t>
        <w:br/>
        <w:t>2007, dicha Corte indicó que era posible superar una dogmática basada en  la</w:t>
        <w:br/>
        <w:t>conexidad y dar lugar a un análisis del derecho  a  la  salud  como  derecho</w:t>
        <w:br/>
        <w:t>fundamental directo[386]:</w:t>
        <w:br/>
        <w:br/>
        <w:t xml:space="preserve">      … Hoy se  muestra  artificioso  predicar  la  exigencia  de  conexidad</w:t>
        <w:br/>
        <w:t xml:space="preserve">      respecto de derechos fundamentales los cuales tienen todos – unos  más</w:t>
        <w:br/>
        <w:t xml:space="preserve">      que otros - una connotación prestacional innegable. Ese  requerimiento</w:t>
        <w:br/>
        <w:t xml:space="preserve">      debe entenderse en otros términos, es decir, en tanto enlace  estrecho</w:t>
        <w:br/>
        <w:t xml:space="preserve">      entre un conjunto de  circunstancias  que  se  presentan  en  el  caso</w:t>
        <w:br/>
        <w:t xml:space="preserve">      concreto y la necesidad de acudir a la acción de tutela en cuanto  vía</w:t>
        <w:br/>
        <w:t xml:space="preserve">      para hacer efectivo el  derecho  fundamental.  Así,  a  propósito  del</w:t>
        <w:br/>
        <w:t xml:space="preserve">      derecho fundamental a la salud  puede  decirse  que  respecto  de  las</w:t>
        <w:br/>
        <w:t xml:space="preserve">      prestaciones excluidas de  las  categorías  legales  y  reglamentarias</w:t>
        <w:br/>
        <w:t xml:space="preserve">      únicamente podrá acudirse al amparo por vía de  acción  de  tutela  en</w:t>
        <w:br/>
        <w:t xml:space="preserve">      aquellos eventos en los cuales  logre  demostrarse  que  la  falta  de</w:t>
        <w:br/>
        <w:t xml:space="preserve">      reconocimiento del derecho fundamental a la salud (i) significa  a  un</w:t>
        <w:br/>
        <w:t xml:space="preserve">      mismo tiempo lesionar de manera seria y directa la dignidad humana  de</w:t>
        <w:br/>
        <w:t xml:space="preserve">      la persona afectada con la vulneración del derecho; (ii) se pregona de</w:t>
        <w:br/>
        <w:t xml:space="preserve">      un sujeto de especial protección  constitucional   y/o  (iii)  implica</w:t>
        <w:br/>
        <w:t xml:space="preserve">      poner a la persona afectada en una condición  de  indefensión  por  su</w:t>
        <w:br/>
        <w:t xml:space="preserve">      falta de capacidad de pago para hacer valer ese derecho.</w:t>
        <w:br/>
        <w:br/>
        <w:br/>
        <w:t xml:space="preserve">      Lo anterior, justamente por cuanto el Estado - bajo aplicación de  los</w:t>
        <w:br/>
        <w:t xml:space="preserve">      principios de equidad, solidaridad, subsidiariedad y eficiencia  -  ha</w:t>
        <w:br/>
        <w:t xml:space="preserve">      de racionalizar la prestación satisfactoria del servicio de salud a su</w:t>
        <w:br/>
        <w:t xml:space="preserve">      cargo  o  a  cargo  de  los  particulares  que  obran  en  calidad  de</w:t>
        <w:br/>
        <w:t xml:space="preserve">      autoridades públicas, atendiendo, de modo prioritario,  a  quienes  se</w:t>
        <w:br/>
        <w:t xml:space="preserve">      encuentren  en  cualquiera  de  las  circunstancias  mencionadas   con</w:t>
        <w:br/>
        <w:t xml:space="preserve">      antelación. Al respecto, la Corte Constitucional ha expresado mediante</w:t>
        <w:br/>
        <w:t xml:space="preserve">      jurisprudencia  reiterada  que,   bajo   estas   circunstancias,   aun</w:t>
        <w:br/>
        <w:t xml:space="preserve">      tratándose de prestaciones excluidas del POS, del POSS, del  PAB,  del</w:t>
        <w:br/>
        <w:t xml:space="preserve">      PAC y de aquellas obligaciones previstas por  la  Observación  General</w:t>
        <w:br/>
        <w:t xml:space="preserve">      14, procede la tutela  como  mecanismo  para  obtener  el  amparo  del</w:t>
        <w:br/>
        <w:t xml:space="preserve">      derecho constitucional fundamental a la salud.</w:t>
        <w:br/>
        <w:br/>
        <w:t>78.   Por otra parte, es importante resaltar que todos los  derechos  tienen</w:t>
        <w:br/>
        <w:t>facetas  prestacionales  y  no  prestacionales.  Es  decir,  establecer   la</w:t>
        <w:br/>
        <w:t>característica de derechos prestacionales sólo a los  derechos  sociales  no</w:t>
        <w:br/>
        <w:t>parece ser una respuesta viable en  los  tiempos  actuales  y  pareciera  un</w:t>
        <w:br/>
        <w:t>equívoco o un “error  categorial”,  tal  como  lo  señaló  la  propia  Corte</w:t>
        <w:br/>
        <w:t>Constitucional de Colombia en la sentencia  T-760  de  2008[387].  La  Corte</w:t>
        <w:br/>
        <w:t>colombiana también ha precisado diversos alcances de la protección  judicial</w:t>
        <w:br/>
        <w:t>de  las  dimensiones   prestacionales   de   los   derechos   fundamentales,</w:t>
        <w:br/>
        <w:t>clarificando las obligaciones con efecto inmediato  y  las  obligaciones  de</w:t>
        <w:br/>
        <w:t>cumplimiento progresivo pertinentes.</w:t>
        <w:br/>
        <w:br/>
        <w:t>79.   En la referida sentencia T-760 de 2008 de la Corte  Constitucional  de</w:t>
        <w:br/>
        <w:t>Colombia, se indica que  algunas  obligaciones  asociadas  a  estas  facetas</w:t>
        <w:br/>
        <w:t>prestacionales son de cumplimiento inmediato “bien sea porque  se  trata  de</w:t>
        <w:br/>
        <w:t>una acción  simple  del  Estado,  que  no  requiere  mayores  recursos  —por</w:t>
        <w:br/>
        <w:t>ejemplo, la obligación de suministrar  la  información  de  cuáles  son  sus</w:t>
        <w:br/>
        <w:t>derechos a los pacientes, antes de ser sometidos a un  tratamiento  médico—”</w:t>
        <w:br/>
        <w:t>o “porque a pesar de la movilización de recursos que la  labor  implica,  la</w:t>
        <w:br/>
        <w:t>gravedad y urgencia del asunto demandan una acción  estatal  inmediata  (por</w:t>
        <w:br/>
        <w:t>ejemplo, la obligación de adoptar las medidas adecuadas  y  necesarias  para</w:t>
        <w:br/>
        <w:t>garantizar la atención en salud de  todo  bebé  durante  su  primer  año  de</w:t>
        <w:br/>
        <w:t>vida)”[388].</w:t>
        <w:br/>
        <w:br/>
        <w:t>80.   Otras de las obligaciones de carácter  prestacional  derivadas  de  un</w:t>
        <w:br/>
        <w:t>derecho fundamental son de cumplimiento progresivo, por  la  complejidad  de</w:t>
        <w:br/>
        <w:t>las acciones y los recursos que se requieren para  garantizar  efectivamente</w:t>
        <w:br/>
        <w:t>el goce efectivo de estas facetas de protección de un derecho. Sin  embargo,</w:t>
        <w:br/>
        <w:t>la Corte colombiana reiteró el precedente establecido en la sentencia  T-595</w:t>
        <w:br/>
        <w:t>de 2002, según el cual “el que una prestación amparada por  un  derecho  sea</w:t>
        <w:br/>
        <w:t>de carácter  programático  no  quiere  decir  que  no  sea  exigible  o  que</w:t>
        <w:br/>
        <w:t>eternamente pueda incumplirse”[389].</w:t>
        <w:br/>
        <w:br/>
        <w:t>81.    Varios  ejemplos  en  el  derecho   comparado   ilustran   sobre   la</w:t>
        <w:br/>
        <w:t>justiciabilidad directa del derecho a la salud.  Por  ejemplo,  en  el  Caso</w:t>
        <w:br/>
        <w:t>Viceconte, decidido  por  una  Cámara  Nacional  Contencioso  Administrativo</w:t>
        <w:br/>
        <w:t>Federal en Argentina[390], se solicitó a los tribunales que se  ordenara  al</w:t>
        <w:br/>
        <w:t>Gobierno la producción de una vacuna con el objeto  de  proteger  contra  la</w:t>
        <w:br/>
        <w:t>fiebre hemorrágica argentina a un importante número de argentinos. A la  luz</w:t>
        <w:br/>
        <w:t>de la incorporación en la Constitución de los tratados  internacionales  que</w:t>
        <w:br/>
        <w:t>reconocen el derecho a la salud,  el  tribunal  determinó  que  el  Gobierno</w:t>
        <w:br/>
        <w:t>había incumplido, por omisión, en su obligación de proporcionar  la  vacuna.</w:t>
        <w:br/>
        <w:t>Como el sector privado consideraba que la producción de  la  vacuna  no  era</w:t>
        <w:br/>
        <w:t>rentable, el tribunal ordenó al Estado que la produjera.  La  Cámara  ordenó</w:t>
        <w:br/>
        <w:t>la inversión en la producción de la vacuna, y requirió  el  cumplimiento  de</w:t>
        <w:br/>
        <w:t>un cronograma de inversión, ya establecido por el propio Gobierno.</w:t>
        <w:br/>
        <w:br/>
        <w:t>82.   Asimismo, la Sala Constitucional de la Corte Suprema  de  Costa  Rica,</w:t>
        <w:br/>
        <w:t>en la reciente  Sentencia  3691  de  marzo  de  2013[391],  enfrentó  graves</w:t>
        <w:br/>
        <w:t>barreras en el acceso a la  salud  debido  a  las  "listas  de  espera"  que</w:t>
        <w:br/>
        <w:t>retrasaban  la  atención  médica   de   muchos   costarricenses.   La   Sala</w:t>
        <w:br/>
        <w:t>Constitucional ordenó que se procediera  de  manera  paulatina  pero  seria,</w:t>
        <w:br/>
        <w:t>para erradicar las listas  de  espera  irrazonables  en  la  prestación  del</w:t>
        <w:br/>
        <w:t>servicio  de  salud.  Solicitó  la  realización  de  estudios  técnicos  que</w:t>
        <w:br/>
        <w:t>permitieran elaborar un plan dentro  de  los  doce  meses  siguientes  a  la</w:t>
        <w:br/>
        <w:t>notificación de la sentencia. Para la Sala Constitucional, dicho  plan  debe</w:t>
        <w:br/>
        <w:t>definir los plazos de espera razonables por patología o  nivel  de  urgencia</w:t>
        <w:br/>
        <w:t>así como los criterios objetivos para precisar la inclusión y  ubicación  de</w:t>
        <w:br/>
        <w:t>un paciente en las listas de espera. Asimismo, la Sala indicó que  se  debía</w:t>
        <w:br/>
        <w:t>fijar un cronograma de avance, y  las  medidas  administrativas  o  técnicas</w:t>
        <w:br/>
        <w:t>para cumplir con las metas del plan. Lo anterior para que una  vez  aprobado</w:t>
        <w:br/>
        <w:t>el plan dentro de esos doce meses, en el plazo  máximo  de  los  doce  meses</w:t>
        <w:br/>
        <w:t>siguientes a la aprobación del mismo,  las  listas  de  espera  que  existan</w:t>
        <w:br/>
        <w:t>contemplen plazos de espera razonables de acuerdo a la  especialidad  médica</w:t>
        <w:br/>
        <w:t>y el diagnóstico que corresponda.</w:t>
        <w:br/>
        <w:br/>
        <w:t>83.   Por su parte, la Corte  de  Constitucionalidad  de  Guatemala[392]  ha</w:t>
        <w:br/>
        <w:t>ordenado el servicio médico necesario que puedan requerir las  personas  con</w:t>
        <w:br/>
        <w:t>VIH/SIDA, "entendiéndose que tal obligación  implica  la  asistencia  médica</w:t>
        <w:br/>
        <w:t>necesaria (consulta  y  hospitalización  según  sea  el  caso),  tratamiento</w:t>
        <w:br/>
        <w:t>médico (suministrar los medicamentos necesarios que requieran los  pacientes</w:t>
        <w:br/>
        <w:t>referidos, debiéndose  verificar  su  calidad  sobre  la  base  de  estudios</w:t>
        <w:br/>
        <w:t>realizados por profesionales expertos en la materia) y los  demás  servicios</w:t>
        <w:br/>
        <w:t>tendientes a preservar la salud  y  la  vida  de  dichas  personas,  con  la</w:t>
        <w:br/>
        <w:t>celeridad propia que requieran las circunstancias”.</w:t>
        <w:br/>
        <w:br/>
        <w:t>84.   En esta misma línea, la Suprema Corte de  Justicia  de  la  Nación  de</w:t>
        <w:br/>
        <w:t>México,  ha  establecido  que  el  derecho  a  la  protección  de  la  salud</w:t>
        <w:br/>
        <w:t>“comprende la recepción de los medicamentos básicos para el  tratamiento  de</w:t>
        <w:br/>
        <w:t>una  enfermedad,  como  parte  integrante  del  servicio  básico  de   salud</w:t>
        <w:br/>
        <w:t>consistente en la atención médica, que en su  actividad  curativa  significa</w:t>
        <w:br/>
        <w:t>el proporcionar un tratamiento oportuno al enfermo, lo  que  incluye,  desde</w:t>
        <w:br/>
        <w:t>luego, la aplicación de los medicamentos básicos  correspondientes  conforme</w:t>
        <w:br/>
        <w:t>al cuadro básico de insumos del sector salud, sin que obste  a  lo  anterior</w:t>
        <w:br/>
        <w:t>el que los medicamentos sean recientemente descubiertos y que existan  otras</w:t>
        <w:br/>
        <w:t>enfermedades que merezcan igual  o  mayor  atención  por  parte  del  sector</w:t>
        <w:br/>
        <w:t>salud, pues éstas son cuestiones ajenas al derecho del individuo de  recibir</w:t>
        <w:br/>
        <w:t>los medicamentos básicos para el tratamiento de su  enfermedad,  como  parte</w:t>
        <w:br/>
        <w:t>integrante del derecho  a  la  protección  de  la  salud  que  se  encuentra</w:t>
        <w:br/>
        <w:t>consagrado como garantía individual, y  del  deber  de  proporcionarlos  por</w:t>
        <w:br/>
        <w:t>parte  de  las  dependencias  y  entidades   que   prestan   los   servicios</w:t>
        <w:br/>
        <w:t>respectivos”[393].  Asimismo,  ha  reconocido  el  carácter  normativo   del</w:t>
        <w:br/>
        <w:t>derecho a la salud previsto como derecho fundamental[394].</w:t>
        <w:br/>
        <w:br/>
        <w:t>85.   A nivel internacional, una gran cantidad de Estados que no  son  parte</w:t>
        <w:br/>
        <w:t>de la OEA o  que  no  han  suscrito  la  Convención  Americana  también  han</w:t>
        <w:br/>
        <w:t>establecido el derecho a la salud  por  vía  constitucional,  legislativa  o</w:t>
        <w:br/>
        <w:t>judicial. Por ejemplo, las constituciones de Sudáfrica (art. 27)[395],  Cuba</w:t>
        <w:br/>
        <w:t>(art. 50)[396], España (art. 43)[397], Filipinas  (art.  13)[398]  y  Puerto</w:t>
        <w:br/>
        <w:t>Rico (art. 2)[399]. Además, la Corte Suprema de Canadá  ha  establecido  que</w:t>
        <w:br/>
        <w:t>ciertas provisiones constitucionales incluyen el derecho  a  la  salud[400].</w:t>
        <w:br/>
        <w:t>Inglaterra, por otro lado, es un  ejemplo  de  un  Estado  que  ha  aprobado</w:t>
        <w:br/>
        <w:t>legislación progresiva sustentando el  derecho  a  la  salud  como  un  bien</w:t>
        <w:br/>
        <w:t>fundamental para el bienestar social[401].</w:t>
        <w:br/>
        <w:br/>
        <w:t>86.    Por  su  parte,  en  el  Caso  de  la  Campaña  de  Acción  para   el</w:t>
        <w:br/>
        <w:t>Tratamiento[402], la Corte Constitucional de Sudáfrica analizó  una  demanda</w:t>
        <w:br/>
        <w:t>contra la política pública impulsada para la distribución de Nevirapine,  un</w:t>
        <w:br/>
        <w:t>medicamento antirretroviral utilizado para evitar la transmisión del VIH  de</w:t>
        <w:br/>
        <w:t>madres a  hijos  al  momento  del  parto.   Dicha  corte  determinó  que  el</w:t>
        <w:br/>
        <w:t>Ministerio de Salud no estaba haciendo  todo  lo  que  podía  razonablemente</w:t>
        <w:br/>
        <w:t>hacer para impulsar la accesibilidad al medicamento. Se ordenó entonces  que</w:t>
        <w:br/>
        <w:t>se removieran las restricciones para el uso de Nevirapine en las clínicas  y</w:t>
        <w:br/>
        <w:t>hospitales públicos respecto  a  los  casos  donde  existiera  recomendación</w:t>
        <w:br/>
        <w:t>médica y se ordenó el impulso  de  un  programa  global  y  coordinado  para</w:t>
        <w:br/>
        <w:t>reconocer progresivamente el derecho de las mujeres embarazadas y sus  hijos</w:t>
        <w:br/>
        <w:t>recién nacidos a acceder a servicios  médicos  para  evitar  la  transmisión</w:t>
        <w:br/>
        <w:t>materno  infantil  del  VIH.   Al  igual  que  estos  ejemplos,  es  posible</w:t>
        <w:br/>
        <w:t>encontrar muchos otros  casos  de  protección  judicial  del  derecho  a  la</w:t>
        <w:br/>
        <w:t>salud[403].  Algunos  de  estos  asuntos  involucran  un  entendimiento  del</w:t>
        <w:br/>
        <w:t>derecho a la salud en forma autónoma, sin desconocer sus  interacciones  con</w:t>
        <w:br/>
        <w:t>el derecho a la vida y a la integridad personal.</w:t>
        <w:br/>
        <w:br/>
        <w:t>87.   Es importante resaltar que este entendimiento del derecho a  la  salud</w:t>
        <w:br/>
        <w:t>como  directamente  fundamental  en  los  Estados  nacionales,   o   de   la</w:t>
        <w:br/>
        <w:t>justiciabilidad directa del derecho a la salud en el marco de la  Convención</w:t>
        <w:br/>
        <w:t>Americana, no implica un entendimiento  del  derecho  a  la  salud  como  un</w:t>
        <w:br/>
        <w:t>derecho absoluto, como un derecho  que  no  tiene  límites  o  que  se  debe</w:t>
        <w:br/>
        <w:t>proteger en toda ocasión  que  se  invoque.  De  la  justiciabilidad  de  un</w:t>
        <w:br/>
        <w:t>derecho, civil o social,  no  se  deriva  su  protección  absoluta  en  todo</w:t>
        <w:br/>
        <w:t>litigio. Siempre, en  todo  caso,  sea  derecho  civil  o  social,  hay  que</w:t>
        <w:br/>
        <w:t>resolverlo haciendo un análisis de imputación y verificar  cómo  operan  las</w:t>
        <w:br/>
        <w:t>obligaciones de respeto y garantía respecto a cada situación  que  se  alega</w:t>
        <w:br/>
        <w:t>violatoria de un determinado derecho.</w:t>
        <w:br/>
        <w:br/>
        <w:br/>
        <w:t>IV.  EL PRINCIPIO IURA NOVIT CURIA Y LA JUSTICIABILIDAD DIRECTA DEL  DERECHO</w:t>
        <w:br/>
        <w:t>A LA SALUD EN EL PRESENTE CASO</w:t>
        <w:br/>
        <w:br/>
        <w:t>88.   En el caso que nos ocupa, la  Corte  IDH  declaró  la  responsabilidad</w:t>
        <w:br/>
        <w:t>internacional del Estado debido a: a) las falencias,  retrasos  y  omisiones</w:t>
        <w:br/>
        <w:t>en la investigación penal, que condujeron a la declaración  de  prescripción</w:t>
        <w:br/>
        <w:t>de la causa en el proceso, es  decir,  debido  a  violaciones  a  la  tutela</w:t>
        <w:br/>
        <w:t>judicial efectiva (artículos 8.1 y 25.1,  en  relación  con  el  1.1  de  la</w:t>
        <w:br/>
        <w:t>Convención Americana); y b) la falta de garantía y prevención del derecho  a</w:t>
        <w:br/>
        <w:t>la integridad personal (artículo 5, en relación  con  el  artículo  1.1  del</w:t>
        <w:br/>
        <w:t>Pacto de San José),  debido  a  la  falta  de  fiscalización  y  supervisión</w:t>
        <w:br/>
        <w:t>estatal de las clínicas (pública y privada) donde  se  atendió  una  de  las</w:t>
        <w:br/>
        <w:t>víctimas. En ambos análisis, especialmente  en  el  segundo,  se  abordó  el</w:t>
        <w:br/>
        <w:t>derecho a la salud, sin que se llegara a considerar a este derecho  como  un</w:t>
        <w:br/>
        <w:t>aspecto  esencial  en  el  presente  caso  y  sin   atender   a   su   plena</w:t>
        <w:br/>
        <w:t>justiciabilidad,  a  pesar  de  invocar  numerosos  instrumentos  y  fuentes</w:t>
        <w:br/>
        <w:t>internacionales sobre este derecho social.</w:t>
        <w:br/>
        <w:br/>
        <w:t>89.   En la Sentencia se realizó el análisis  de  diversos  aspectos  de  la</w:t>
        <w:br/>
        <w:t>protección del derecho a la salud en  conexidad  con  los  derechos  civiles</w:t>
        <w:br/>
        <w:t>declarados violados:</w:t>
        <w:br/>
        <w:br/>
        <w:t xml:space="preserve">      A)  respecto  de  la  violación  de  los  derechos  previstos  en  los</w:t>
        <w:br/>
        <w:t>artículos 8.1 y 25.1 de la Convención, en relación con el artículo  1.1.  de</w:t>
        <w:br/>
        <w:t>la misma, debido a las “falencias, retrasos y omisiones en la  investigación</w:t>
        <w:br/>
        <w:t>penal” que “demuestran que las autoridades  estatales  no  actuaron  con  la</w:t>
        <w:br/>
        <w:t>debida diligencia ni con arreglo a  las  obligaciones  de  investigar  y  de</w:t>
        <w:br/>
        <w:t>cumplir con una tutela judicial efectiva dentro de un  plazo  razonable,  en</w:t>
        <w:br/>
        <w:t>función de garantizar a la señora Melba Suárez Peralta,  de  una  reparación</w:t>
        <w:br/>
        <w:t>que podría, además, beneficiar su  acceso  a  tratamiento  médico  necesario</w:t>
        <w:br/>
        <w:t>para su problema de salud”[404] (subrayado añadido); y</w:t>
        <w:br/>
        <w:br/>
        <w:t xml:space="preserve">      B) respecto a la falta de garantía  y  prevención  del  derecho  a  la</w:t>
        <w:br/>
        <w:t>integridad personal (Artículo 5.1 en relación con  el  artículo  1.1  de  la</w:t>
        <w:br/>
        <w:t>Convención Americana) de una de las víctimas, por la falta de supervisión  y</w:t>
        <w:br/>
        <w:t>fiscalización “tanto en lo que se refiere al  control  de  las  prestaciones</w:t>
        <w:br/>
        <w:t>brindadas en la entidad estatal, “Policlínico de  la  Comisión  de  Tránsito</w:t>
        <w:br/>
        <w:t>del Guayas”, como en lo que  respecta  a  la  institución  privada,  Clínica</w:t>
        <w:br/>
        <w:t>Minchala”, por lo que el Tribunal Interamericano  “estima  que  ello  generó</w:t>
        <w:br/>
        <w:t>una situación de riesgo, conocida por  el  Estado,  que  se  materializó  en</w:t>
        <w:br/>
        <w:t>afectaciones en la salud de Melba Suárez Peralta”[405] (subrayado añadido).</w:t>
        <w:br/>
        <w:br/>
        <w:t>90.   Resulta particularmente relevante en la Sentencia el  análisis  de  la</w:t>
        <w:br/>
        <w:t>afectación del derecho a la salud de Melba  del  Carmen  Suárez  Peralta  de</w:t>
        <w:br/>
        <w:t>acuerdo a ciertos precedentes de la Corte IDH vía conexidad de derechos.  El</w:t>
        <w:br/>
        <w:t>estudio del derecho  a  la  salud  se  vio  inmerso,  especialmente,  en  la</w:t>
        <w:br/>
        <w:t>afectación del derecho a la integridad personal previsto en el art.  5.1  de</w:t>
        <w:br/>
        <w:t>la Convención Americana sobre Derechos Humanos, en relación con el  artículo</w:t>
        <w:br/>
        <w:t>1.1. del propio Pacto de San José. Así, en la Sentencia se  afirmó  que  “el</w:t>
        <w:br/>
        <w:t>derecho  a  la  integridad  personal  se  halla  directa  e   inmediatamente</w:t>
        <w:br/>
        <w:t>vinculado con la atención de la salud humana”[406]. Seguidamente  se  señaló</w:t>
        <w:br/>
        <w:t>que “la falta de atención médica adecuada puede conllevar a  la  vulneración</w:t>
        <w:br/>
        <w:t>del art. 5.1 de la Convención”[407].  A  continuación  se  precisó  que  “la</w:t>
        <w:br/>
        <w:t>protección del derecho a la integridad personal supone la regulación de  los</w:t>
        <w:br/>
        <w:t>servicios de salud en el ámbito interno, así como la implementación  de  una</w:t>
        <w:br/>
        <w:t>serie  de  mecanismos  tendientes  a  tutelar  la   efectividad   de   dicha</w:t>
        <w:br/>
        <w:t>regulación”[408].</w:t>
        <w:br/>
        <w:br/>
        <w:t>91.   Sin embargo, estimo que el derecho  a  la  salud  debió  abordarse  de</w:t>
        <w:br/>
        <w:t>manera autónoma debido a los hechos probados y a la afectación  sufrida  por</w:t>
        <w:br/>
        <w:t>una de las víctimas por la mala praxis médica con  responsabilidad  estatal.</w:t>
        <w:br/>
        <w:t>En ese sentido, al estar implicado  desde  mi  perspectiva  directamente  el</w:t>
        <w:br/>
        <w:t>derecho a la salud de una las  víctimas,  se  pudieron  haber  abordado  las</w:t>
        <w:br/>
        <w:t>implicaciones relativas con esta  afectación,  lo  cual  podría  derivar  en</w:t>
        <w:br/>
        <w:t>declarar, incluso, una violación al deber de  garantizar  el  derecho  a  la</w:t>
        <w:br/>
        <w:t>salud vía el artículo 26 de la Convención Americana.</w:t>
        <w:br/>
        <w:br/>
        <w:t>92.   El hecho de que no se hubiese reclamado la violación directa  de  este</w:t>
        <w:br/>
        <w:t>derecho social por la Comisión Interamericana ni por los  representantes  de</w:t>
        <w:br/>
        <w:t>las víctimas, no es obstáculo  para  analizar  si  existió  violación  a  la</w:t>
        <w:br/>
        <w:t>obligación de la garantía del derecho a la salud derivada  del  artículo  26</w:t>
        <w:br/>
        <w:t>de la Convención Americana, en relación  con  el  artículo  1.1  del  propio</w:t>
        <w:br/>
        <w:t>Pacto de San José[409]. La ausencia de invocación expresa  de  la  violación</w:t>
        <w:br/>
        <w:t>de un derecho o libertad, no impide que pueda ser analizado por el  Tribunal</w:t>
        <w:br/>
        <w:t>Interamericano en virtud del principio general de derecho iura  novit  curia</w:t>
        <w:br/>
        <w:t>“del cual  se  ha  valido  reiteradamente  la  jurisprudencia  internacional</w:t>
        <w:br/>
        <w:t>(entendiéndolo( en el sentido  de  que  el  juzgador  posee  la  facultad  e</w:t>
        <w:br/>
        <w:t>inclusive el deber de aplicar las disposiciones jurídica pertinentes en  una</w:t>
        <w:br/>
        <w:t>causa, aun cuando las partes no las invoquen expresamente”[410].</w:t>
        <w:br/>
        <w:br/>
        <w:t>93.   En efecto, la invocación de este principio ha  sido  una  práctica  de</w:t>
        <w:br/>
        <w:t>los tribunales internacionales[411],  como  en  efecto  ha  representado  la</w:t>
        <w:br/>
        <w:t>práctica de la Corte IDH desde su  primera  sentencia  de  fondo[412],  para</w:t>
        <w:br/>
        <w:t>conocer de  violaciones  de  derechos  no  invocados  expresamente  por  las</w:t>
        <w:br/>
        <w:t>partes. Así lo ha realizado el Tribunal Interamericano en  muchas  ocasiones</w:t>
        <w:br/>
        <w:t>respecto  de  distintos  derechos  civiles;  por  ejemplo,  respecto  a  las</w:t>
        <w:br/>
        <w:t>obligaciones generales y derechos contenido en los artículos 1.1 (respeto  y</w:t>
        <w:br/>
        <w:t>garantía)[413],  2  (adoptar  disposiciones  de  derecho  interno)[414],   3</w:t>
        <w:br/>
        <w:t>(reconocimiento  de  la  personalidad  jurídica)[415],  4  (derecho   a   la</w:t>
        <w:br/>
        <w:t>vida)[416],  5 (integridad personal)[417],  7  (libertad  personal)[418],  9</w:t>
        <w:br/>
        <w:t>(principio   de   legalidad)[419],   8   (garantías   judiciales)[420],   11</w:t>
        <w:br/>
        <w:t>(protección de  la  honra  y  de  la  dignidad)[421]  y  22  (circulación  y</w:t>
        <w:br/>
        <w:t>residencia)[422], entre otros.</w:t>
        <w:br/>
        <w:br/>
        <w:t>94.   No existe razón  para  no  conocer  de  la  posible  violación  de  la</w:t>
        <w:br/>
        <w:t>garantía de un derecho social, derivado del artículo 26 en relación  con  el</w:t>
        <w:br/>
        <w:t>artículo 1.1 del Pacto de San José, a pesar  de  no  invocarse  expresamente</w:t>
        <w:br/>
        <w:t>por una de las partes. Es  deber  del  Tribunal  Interamericano  aplicar  el</w:t>
        <w:br/>
        <w:t>principio iura novit curia —como  se  evidencia  del  párrafo  anterior  que</w:t>
        <w:br/>
        <w:t>constituye  una  práctica  del  Tribunal  Interamericano  respecto  de   los</w:t>
        <w:br/>
        <w:t>derechos civiles—, si atendiendo al marco fáctico del caso y de  los  hechos</w:t>
        <w:br/>
        <w:t>probados, se advierten implicaciones claras al  derecho  a  la  salud,  como</w:t>
        <w:br/>
        <w:t>sucede en el presente caso, que se origina por la afectación a la  salud  de</w:t>
        <w:br/>
        <w:t>una de las víctimas por una mala praxis médica con responsabilidad  estatal.</w:t>
        <w:br/>
        <w:t xml:space="preserve"> Además, del Informe de Fondo de  la  Comisión  Interamericana  se  advierte</w:t>
        <w:br/>
        <w:t>invocado  este  derecho  social[423],  al  igual  que  en  el   Escrito   de</w:t>
        <w:br/>
        <w:t>Argumentaciones, Solicitudes y Pruebas a cargo de los representantes de  las</w:t>
        <w:br/>
        <w:t>víctimas[424], y  existen también  referencias  precisas  al  derecho  a  la</w:t>
        <w:br/>
        <w:t>salud en el escrito de contestación del  Estado[425],  habiendo  las  partes</w:t>
        <w:br/>
        <w:t>tenido plena oportunidad de referirse a los hechos en el presente caso.</w:t>
        <w:br/>
        <w:br/>
        <w:t>95.   En todo caso, las implicaciones al derecho a la salud  se  evidencian,</w:t>
        <w:br/>
        <w:t>además,  al  invocarse  y  utilizarse  múltiples  instrumentos   y   fuentes</w:t>
        <w:br/>
        <w:t>internacionales en la Sentencia sobre este  derecho  social,  como  son  los</w:t>
        <w:br/>
        <w:t>artículos XI de la Declaración Americana  de  los  Derechos  y  Deberes  del</w:t>
        <w:br/>
        <w:t>Hombre, 10 del Protocolo de San Salvador, 12 del Pacto Internacional de  los</w:t>
        <w:br/>
        <w:t>Derechos Económicos, Sociales y  Culturales;  incluso  se  invoca  la  Carta</w:t>
        <w:br/>
        <w:t>Social de las Américas de junio de 2012 y las Observaciones Generales  3,  9</w:t>
        <w:br/>
        <w:t>y 14 del Comité de Derechos Económicos, Sociales y Culturales, además de  la</w:t>
        <w:br/>
        <w:t>Carta de la OEA y expresamente  la  derivación  del  “derecho  a  la  salud”</w:t>
        <w:br/>
        <w:t>respecto del artículo 26 de la Convención Americana (véase supra  párrs.  28</w:t>
        <w:br/>
        <w:t>a 32)[426].</w:t>
        <w:br/>
        <w:br/>
        <w:t>96.   De ahí  que  resulta  válido  que  este  Tribunal  Interamericano,  en</w:t>
        <w:br/>
        <w:t>aplicación del principio iura novit curia y atendiendo al marco fáctico  del</w:t>
        <w:br/>
        <w:t>caso, pudiera entrar al análisis autónomo  y  directo  de  la  garantía  del</w:t>
        <w:br/>
        <w:t>derecho a la salud —y no sólo en conexidad  con  los  derechos  civiles  que</w:t>
        <w:br/>
        <w:t>declaró violados—, en  el  entendido  de  que  el  derecho  a  la  salud  se</w:t>
        <w:br/>
        <w:t>encuentra entre los derechos económicos, sociales y culturales  justiciables</w:t>
        <w:br/>
        <w:t>que se derivan del artículo 26 de la Convención Americana, en  relación  con</w:t>
        <w:br/>
        <w:t>las obligaciones generales del artículo 1.1 del propio Pacto  de  San  José,</w:t>
        <w:br/>
        <w:t>como quedó analizado con anterioridad.</w:t>
        <w:br/>
        <w:br/>
        <w:t>V. A MANERA DE CONCLUSIÓN: HACIA LA JUSTICIABILIDAD PLENA  DE  LOS  DERECHOS</w:t>
        <w:br/>
        <w:t>ECONÓMICOS, SOCIALES Y CULTURALES EN EL SISTEMA INTERAMERICANO</w:t>
        <w:br/>
        <w:br/>
        <w:t>97.   A más de tres décadas de entrar en vigor la  Convención  Americana  se</w:t>
        <w:br/>
        <w:t>sigue debatiendo  sobre  la  naturaleza  y  los  alcances  de  los  derechos</w:t>
        <w:br/>
        <w:t>económicos, sociales y culturales a que se refiere  el  único  precepto  que</w:t>
        <w:br/>
        <w:t>contiene su Capítulo III: el artículo  26.  A  mi  entender,  este  precepto</w:t>
        <w:br/>
        <w:t>convencional exige ser interpretado a la  luz  de  los  tiempos  actuales  y</w:t>
        <w:br/>
        <w:t>conforme a los evidentes avances del derecho internacional de  los  derechos</w:t>
        <w:br/>
        <w:t>humanos, así como del derecho  constitucional  en  la  materia.  En  efecto,</w:t>
        <w:br/>
        <w:t>sobre el  primero,  basta  señalar  que  unos  días  antes  de  dictarse  la</w:t>
        <w:br/>
        <w:t>Sentencia a que se refiere el presente voto  razonado,  entró  en  vigor  el</w:t>
        <w:br/>
        <w:t>Protocolo Facultativo del Pacto Internacional de  los  Derechos  Económicos,</w:t>
        <w:br/>
        <w:t>Sociales y Culturales[427], que representa  una  real  y  potencial  ventana</w:t>
        <w:br/>
        <w:t>hacia la  justiciabilidad  de  estos  derechos  en  el  ámbito  del  Sistema</w:t>
        <w:br/>
        <w:t>Universal.</w:t>
        <w:br/>
        <w:br/>
        <w:t>98.   Por otra parte,  resultan  innegables  los  avances  de  los  derechos</w:t>
        <w:br/>
        <w:t>sociales en el ámbito interno de los Estados parte del Pacto  de  San  José.</w:t>
        <w:br/>
        <w:t>La necesaria interpretación evolutiva  del  artículo  26  de  la  Convención</w:t>
        <w:br/>
        <w:t>Americana debe también derivarse del pleno reconocimiento constitucional  de</w:t>
        <w:br/>
        <w:t>la protección del derecho a la salud, como derecho social, en muchas de  las</w:t>
        <w:br/>
        <w:t>constituciones a manera de tendencia  regional;  tendencia  que  también  se</w:t>
        <w:br/>
        <w:t>aprecia en  la   evolución  jurisprudencial  que  han  realizado  las  altas</w:t>
        <w:br/>
        <w:t>jurisdicciones nacionales, al otorgar efectividad a este derecho social,  en</w:t>
        <w:br/>
        <w:t>algunas ocasiones incluso de manera directa y no sólo en  conexión  con  los</w:t>
        <w:br/>
        <w:t>derechos civiles y políticos.</w:t>
        <w:br/>
        <w:br/>
        <w:t>99.    En  el  presente  voto  individual  he  tratado   de   defender   una</w:t>
        <w:br/>
        <w:t>interpretación que intenta otorgar primacía al valor normativo del  artículo</w:t>
        <w:br/>
        <w:t>26 de la Convención Americana. Se ha dicho —con  cierta  razón—  que  no  es</w:t>
        <w:br/>
        <w:t>buena idea que  el  Tribunal  Interamericano  ignore  el  Protocolo  de  San</w:t>
        <w:br/>
        <w:t>Salvador[428], tampoco lo es menoscabar el artículo  26  del  Pacto  de  San</w:t>
        <w:br/>
        <w:t>José.  Debe asumirse la interpretación a la luz de ambos instrumentos.  Bajo</w:t>
        <w:br/>
        <w:t>ese entendido el Protocolo Adicional no puede restar valor  normativo  a  la</w:t>
        <w:br/>
        <w:t>Convención Americana si expresamente no se planteó  tal  objetivo  en  aquel</w:t>
        <w:br/>
        <w:t>instrumento  respecto  de  las  obligaciones  erga  omnes  que  prevén   los</w:t>
        <w:br/>
        <w:t>artículos 1 y 2 de  la  Convención  Americana,  obligaciones  generales  que</w:t>
        <w:br/>
        <w:t>aplican para todos los  derechos,  incluso  para  los  derechos  económicos,</w:t>
        <w:br/>
        <w:t>sociales y culturales,  como  expresamente  lo  ha  reconocido  el  Tribunal</w:t>
        <w:br/>
        <w:t>Interamericano[429].</w:t>
        <w:br/>
        <w:br/>
        <w:t>100.  La interpretación evolutiva a la que  se  ha  hecho  referencia  busca</w:t>
        <w:br/>
        <w:t>otorgar eficacia real a la protección  interamericana  en  la  materia,  que</w:t>
        <w:br/>
        <w:t>luego  de  veinticinco  años  de  adopción  del  Protocolo  Adicional  a  la</w:t>
        <w:br/>
        <w:t>Convención  Americana  sobre  Derechos  Humanos  en  Materia   de   Derechos</w:t>
        <w:br/>
        <w:t>Económicos, Sociales y Culturales, y a casi tres lustros de  su  entrada  en</w:t>
        <w:br/>
        <w:t>vigor, resulta mínima su efectividad,  requiriendo  una  interpretación  más</w:t>
        <w:br/>
        <w:t>dirigida  a  establecer  el  mayor  efecto  útil  posible   a   las   normas</w:t>
        <w:br/>
        <w:t>interamericanas en su conjunto, como lo ha  venido  realizando  el  Tribunal</w:t>
        <w:br/>
        <w:t>Interamericano respecto de los derechos civiles y políticos.</w:t>
        <w:br/>
        <w:br/>
        <w:t>101.   Resulta de la esencia del derecho a la salud su interdependencia  con</w:t>
        <w:br/>
        <w:t>el derecho a la vida  y  el  derecho  a  la  integridad  personal;  ello  no</w:t>
        <w:br/>
        <w:t>justifica, sin embargo,  negar  la  autonomía  sobre  el  alcance  de  aquel</w:t>
        <w:br/>
        <w:t>derecho social, a partir del artículo  26  de  la  Convención  Americana  en</w:t>
        <w:br/>
        <w:t>relación con las  obligaciones  de  respeto  y  garantía  contenidos  en  el</w:t>
        <w:br/>
        <w:t>artículo 1.1 del propio Pacto, que exige interpretar el Pacto de San José  a</w:t>
        <w:br/>
        <w:t>la luz del corpus iuris en materia de derecho a la salud —como en efecto  se</w:t>
        <w:br/>
        <w:t>hace en el Caso Suárez Peralta que motiva el presente voto razonado,  aunque</w:t>
        <w:br/>
        <w:t>se le denomina integridad personal, limitando significativamente por la  vía</w:t>
        <w:br/>
        <w:t>de la conexidad los alcances reales del derecho a la salud—.</w:t>
        <w:br/>
        <w:br/>
        <w:t>102.  Lo que involucra esta visión de  justiciabilidad  directa  es  que  la</w:t>
        <w:br/>
        <w:t>metodología para imputar responsabilidad  internacional  se  circunscribe  a</w:t>
        <w:br/>
        <w:t>las obligaciones respecto al derecho a la salud. Ello implica  la  necesidad</w:t>
        <w:br/>
        <w:t>de  una  argumentación  más  específica  en  torno  a  la  razonabilidad   y</w:t>
        <w:br/>
        <w:t>proporcionalidad de cierto tipo de medidas  de  política  pública.  Dado  lo</w:t>
        <w:br/>
        <w:t>delicado de una valoración en tal sentido, las decisiones de  la  Corte  IDH</w:t>
        <w:br/>
        <w:t>adquieren más transparencia y fortaleza si el análisis se hace  directamente</w:t>
        <w:br/>
        <w:t>desde esta vía respecto a obligaciones en torno al derecho  a  la  salud  en</w:t>
        <w:br/>
        <w:t>lugar de respecto  al  ámbito  más  relacionado  con  las  consecuencias  de</w:t>
        <w:br/>
        <w:t>ciertas afectaciones respecto a la integridad personal, esto es, por la  vía</w:t>
        <w:br/>
        <w:t>indirecta o por conexidad con los derechos civiles. En este  mismo  sentido,</w:t>
        <w:br/>
        <w:t>las reparaciones que tradicionalmente otorga  la  Corte,  y  que  en  muchos</w:t>
        <w:br/>
        <w:t>casos impactan en prestaciones relacionadas con el derecho a la salud,  como</w:t>
        <w:br/>
        <w:t>las medidas de rehabilitación o satisfacción,  pueden adquirir un  verdadero</w:t>
        <w:br/>
        <w:t>nexo de causalidad entre el derecho violado y la medida dispuesta con  todos</w:t>
        <w:br/>
        <w:t>sus alcances[430]. A su  vez,  hablar  de  justiciabilidad  directa  implica</w:t>
        <w:br/>
        <w:t>transformar la metodología a partir de la cual se valora el cumplimiento  de</w:t>
        <w:br/>
        <w:t>las obligaciones de respeto y  garantía  (artículo  1.1  del  Pacto  de  San</w:t>
        <w:br/>
        <w:t>José), que ciertamente es distinto respecto  al  derecho  a  la  vida  y  el</w:t>
        <w:br/>
        <w:t>derecho a la integridad personal, que respecto  al  derecho  a  la  salud  y</w:t>
        <w:br/>
        <w:t>otros derechos sociales, económicos y culturales.</w:t>
        <w:br/>
        <w:br/>
        <w:t>103.  La ciudadanía  social  ha  avanzado  significativamente  en  el  mundo</w:t>
        <w:br/>
        <w:t>entero  y,  por  supuesto,  en  los  países  del  continente  americano.  La</w:t>
        <w:br/>
        <w:t>justiciabilidad “directa” de los derechos económicos, sociales y  culturales</w:t>
        <w:br/>
        <w:t>constituye no sólo una opción interpretativa y  argumentativa  viable  a  la</w:t>
        <w:br/>
        <w:t>luz  del  actual  corpus  juris  interamericano;  representa   también   una</w:t>
        <w:br/>
        <w:t>obligación  de  la  Corte  IDH,  como  órgano  jurisdiccional  del   Sistema</w:t>
        <w:br/>
        <w:t>Interamericano, avanzar hacia esa dirección sobre  la  justicia  social,  al</w:t>
        <w:br/>
        <w:t>tener competencia sobre todas las disposiciones del Pacto de  San  José.  La</w:t>
        <w:br/>
        <w:t>garantía efectiva de los derechos económicos, sociales y culturales  es  una</w:t>
        <w:br/>
        <w:t>alternativa que abriría nuevos derroteros en  aras  de  la  transparencia  y</w:t>
        <w:br/>
        <w:t>realización plena de los derechos, sin artilugios y  de  manera  frontal,  y</w:t>
        <w:br/>
        <w:t>así reconocer lo que desde hace tiempo viene  realizando  la  Corte  IDH  de</w:t>
        <w:br/>
        <w:t>manera indirecta o en conexión con los derechos civiles y políticos.</w:t>
        <w:br/>
        <w:br/>
        <w:t>104.  En definitiva, se trata de  reconocer  lo  que  de  facto  realiza  el</w:t>
        <w:br/>
        <w:t>Tribunal Interamericano y las altas jurisdicciones nacionales de los  países</w:t>
        <w:br/>
        <w:t>de la región, teniendo en  cuenta  el  corpus  juris  en  derechos  sociales</w:t>
        <w:br/>
        <w:t>nacional, interamericano y universal, lo que además constituiría  una  mayor</w:t>
        <w:br/>
        <w:t>y  efectiva  protección  de  los  derechos   sociales   fundamentales,   con</w:t>
        <w:br/>
        <w:t>obligaciones más claras hacia los Estados parte. Todo ello  va  en  sintonía</w:t>
        <w:br/>
        <w:t>con los signos actuales de eficacia plena de los derechos  humanos  (en  los</w:t>
        <w:br/>
        <w:t>ámbitos nacional e  internacional),  sin  distingo  o  categorización  entre</w:t>
        <w:br/>
        <w:t>ellos,  particularmente  importante  en  la  región  latinoamericana   donde</w:t>
        <w:br/>
        <w:t>lamentablemente  persisten  altos   índices   de   desigualdad,   permanecen</w:t>
        <w:br/>
        <w:t>porcentajes significativos de la población en la pobreza  e  incluso  en  la</w:t>
        <w:br/>
        <w:t>indigencia, y existen múltiples  formas  de  discriminación  hacia  los  más</w:t>
        <w:br/>
        <w:t>vulnerables.</w:t>
        <w:br/>
        <w:br/>
        <w:t>105.   El Tribunal Interamericano no  puede  quedar  al  margen  del  debate</w:t>
        <w:br/>
        <w:t>contemporáneo sobre los derechos sociales fundamentales[431] —que tienen  un</w:t>
        <w:br/>
        <w:t>largo camino andado en la historia de  los  derechos  humanos—,  y  que  son</w:t>
        <w:br/>
        <w:t>motivo de continua transformación para su plena  realización  y  efectividad</w:t>
        <w:br/>
        <w:t>en las democracias constitucionales de nuestros días.</w:t>
        <w:br/>
        <w:br/>
        <w:t>106.  Ante este escenario de dinamismo en la materia en el  ámbito  nacional</w:t>
        <w:br/>
        <w:t>y el Sistema Universal, es previsible que la Comisión Interamericana  o  las</w:t>
        <w:br/>
        <w:t>presuntas víctimas o sus representantes, invoquen en  el  futuro  con  mayor</w:t>
        <w:br/>
        <w:t>intensidad  eventuales  vulneraciones  a  las  garantías  de  los   derechos</w:t>
        <w:br/>
        <w:t>económicos,  sociales  y  culturales  derivados  del  artículo  26   de   la</w:t>
        <w:br/>
        <w:t>Convención Americana, en relación con las obligaciones  generales  previstas</w:t>
        <w:br/>
        <w:t>en los artículos 1 y 2 del propio Pacto  de  San  José.  Especialmente,  las</w:t>
        <w:br/>
        <w:t>presuntas víctimas  pueden  invocar  dichas  vulneraciones  por  sus  nuevas</w:t>
        <w:br/>
        <w:t>facultades en el acceso directo que  ahora  tienen  ante  la  Corte  IDH,  a</w:t>
        <w:br/>
        <w:t>partir del nuevo Reglamento de este  órgano  jurisdiccional,  vigente  desde</w:t>
        <w:br/>
        <w:t>2010.</w:t>
        <w:br/>
        <w:br/>
        <w:t>107.  Como nuevo integrante del  Tribunal  Interamericano  no  es  mi  deseo</w:t>
        <w:br/>
        <w:t>introducir debates estériles  en  el  seno  del  Sistema  Interamericano  y,</w:t>
        <w:br/>
        <w:t>particularmente, en su órgano de protección  de  naturaleza  jurisdiccional;</w:t>
        <w:br/>
        <w:t>simplemente pretendo llamar a la reflexión —por ser mi profunda  convicción—</w:t>
        <w:br/>
        <w:t>sobre la legítima posibilidad interpretativa y  argumentativa  para  otorgar</w:t>
        <w:br/>
        <w:t>vía el artículo 26 del Pacto de San José efectividad directa a los  derechos</w:t>
        <w:br/>
        <w:t>económicos, sociales y culturales, especialmente en el caso  concreto  sobre</w:t>
        <w:br/>
        <w:t>el derecho a la salud. La posibilidad está latente para  avanzar  hacia  una</w:t>
        <w:br/>
        <w:t>nueva etapa en la  jurisprudencia  interamericana,  lo  cual  no  representa</w:t>
        <w:br/>
        <w:t>ninguna novedad si atendemos a que, por un lado, la Comisión  Interamericana</w:t>
        <w:br/>
        <w:t>así lo ha entendido en varias oportunidades y, por  otro,  la  propia  Corte</w:t>
        <w:br/>
        <w:t>IDH ha reconocido explícitamente la justiciabilidad del artículo  26  de  la</w:t>
        <w:br/>
        <w:t>Convención Americana en 2009[432].</w:t>
        <w:br/>
        <w:br/>
        <w:t>108.  En conclusión, a más de veinticinco años de continua evolución  de  la</w:t>
        <w:br/>
        <w:t>jurisprudencia interamericana resulta legítimo —y razonable  por  el  camino</w:t>
        <w:br/>
        <w:t>de la hermenéutica y la argumentación convencional— otorgar pleno  contenido</w:t>
        <w:br/>
        <w:t>normativo  al  artículo  26  del  Pacto  de  San  José,  en  consonancia   y</w:t>
        <w:br/>
        <w:t>congruencia con el corpus juris  interamericano  en  su  integralidad.  Este</w:t>
        <w:br/>
        <w:t>sendero  permitiría  interpretaciones  dinámicas  a  la  altura  de  nuestro</w:t>
        <w:br/>
        <w:t>tiempo, que podrían conducir hacia una efectividad plena,  real,  directa  y</w:t>
        <w:br/>
        <w:t>transparente de todos los derechos,  sean  civiles,  políticos,  económicos,</w:t>
        <w:br/>
        <w:t>sociales y culturales, sin jerarquía y categorizaciones  que  menoscaben  su</w:t>
        <w:br/>
        <w:t>realización, como se desprende del Preámbulo  de  la  Convención  Americana,</w:t>
        <w:br/>
        <w:t>cuyo espíritu e ideal permea al Sistema Interamericano en su conjunto.</w:t>
        <w:br/>
        <w:br/>
        <w:br/>
        <w:br/>
        <w:br/>
        <w:br/>
        <w:br/>
        <w:br/>
        <w:br/>
        <w:br/>
        <w:t xml:space="preserve">                      Eduardo Ferrer Mac-Gregor Poisot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[1]   Reglamento de la Corte aprobado  en  su  LXXXV  Período  Ordinario  de</w:t>
        <w:br/>
        <w:t>Sesiones celebrado del 16 al 28 de noviembre de 2009.</w:t>
        <w:br/>
        <w:t>[2]   En dicho informe, la Comisión declaró admisible la petición en</w:t>
        <w:br/>
        <w:t>relación con la presunta violación de los artículos 5.1, 8.1 y 25.1 de la</w:t>
        <w:br/>
        <w:t>Convención, en relación con el artículo 1.1 de dicho tratado. Cfr. Informe</w:t>
        <w:br/>
        <w:t>de Admisibilidad No. 85/08, Caso 12.683, Melba del Carmen Suárez Peralta,</w:t>
        <w:br/>
        <w:t>Ecuador, 30 de octubre de 2008 (expediente de trámite ante la Comisión,</w:t>
        <w:br/>
        <w:t>folios 432 a 444). De igual forma, el 26 de febrero de 2009 la Comisión</w:t>
        <w:br/>
        <w:t>remitió a las partes una fe de errata respecto del Informe No. 85/08, la</w:t>
        <w:br/>
        <w:t>cual excluyó mención a la admisibilidad del artículo 5.1 de la Convención.</w:t>
        <w:br/>
        <w:t>[3]   Informe de Fondo No 75/11, Caso 12.683, Melba del Carmen Suárez</w:t>
        <w:br/>
        <w:t>Peralta, Ecuador, 20 de julio de 2011 (expediente de fondo, folios 8 a 38).</w:t>
        <w:br/>
        <w:t>[4]   Cfr. Caso Suárez Peralta Vs. Ecuador. Resolución del Presidente de la</w:t>
        <w:br/>
        <w:t>Corte Interamericana de Derechos Humanos de  14 de septiembre de 2012.</w:t>
        <w:br/>
        <w:t>Disponible en: http://www.corteidh.or.cr/docs/asuntos/suarez_fv_12.pdf.</w:t>
        <w:br/>
        <w:t>[5]   Cfr. Caso Suárez Peralta Vs. Ecuador. Resolución del Presidente de la</w:t>
        <w:br/>
        <w:t>Corte Interamericana de 20 de diciembre de 2012, supra.</w:t>
        <w:br/>
        <w:t>[6]   Cfr. Caso Suárez Peralta Vs. Ecuador. Resolución del Presidente de la</w:t>
        <w:br/>
        <w:t>Corte Interamericana de Derechos Humanos de  24 de enero de 2013.</w:t>
        <w:br/>
        <w:t>Disponible en: http://www.corteidh.or.cr/docs/asuntos/suarez_24_01_13.pdf.</w:t>
        <w:br/>
        <w:t>[7]   A esta audiencia comparecieron: a) por la Comisión Interamericana:</w:t>
        <w:br/>
        <w:t>Elizabeth Abi-Mershed, Jorge H. Meza Flores, y Silvia Serrano Guzmán; b)</w:t>
        <w:br/>
        <w:t>por los representantes de las presuntas víctimas: Jorge Sosa Meza y José</w:t>
        <w:br/>
        <w:t>Peralta, y c) por el Estado de Ecuador: Carlos Espín y Daniela Ulloa.</w:t>
        <w:br/>
        <w:t>[8]   Cfr. Caso Las Palmeras Vs. Colombia. Excepciones Preliminares.</w:t>
        <w:br/>
        <w:t>Sentencia de 4 de febrero de 2000. Serie C No. 67, párr. 34, y Caso Artavia</w:t>
        <w:br/>
        <w:t>Murillo y otros ("Fecundación in vitro") Vs. Costa Rica. Excepciones</w:t>
        <w:br/>
        <w:t>Preliminares, Fondo, Reparaciones y Costas. Sentencia de 28 noviembre de</w:t>
        <w:br/>
        <w:t>2012. Serie C No. 257, párr. 40.</w:t>
        <w:br/>
        <w:t>[9]   Cfr. Caso Suárez Peralta Vs. Ecuador. Resolución del Presidente de la</w:t>
        <w:br/>
        <w:t>Corte de 20 de diciembre de 2012, supra.</w:t>
        <w:br/>
        <w:t>[10]  Cfr. Caso “Cinco Pensionistas” Vs. Perú. Fondo, Reparaciones y</w:t>
        <w:br/>
        <w:t>Costas. Sentencia de 28 de febrero de 2003. Serie C No. 98, párr. 155, y</w:t>
        <w:br/>
        <w:t>Caso Artavia Murillo y otros ("Fecundación in vitro"), supra, párr. 42.</w:t>
        <w:br/>
        <w:t>[11]  Cfr. Caso “Cinco Pensionistas”, supra, párr. 153 y,  Caso  Fornerón  e</w:t>
        <w:br/>
        <w:t>Hija Vs. Argentina. Fondo, Reparaciones y Costas. Sentencia de 27  de  abril</w:t>
        <w:br/>
        <w:t>de 2012. Serie C No. 242, párr. 17.</w:t>
        <w:br/>
        <w:t>[12]  Cfr. Caso Mohamed Vs. Argentina. Excepción Preliminar, Fondo,</w:t>
        <w:br/>
        <w:t>Reparaciones y Costas. Sentencia de 23 noviembre de 2012. Serie C No. 255,</w:t>
        <w:br/>
        <w:t>párr. 25.</w:t>
        <w:br/>
        <w:t>[13]  Cfr. Informe de Fondo No 75/11, Caso 12.683, Melba del Carmen Suárez</w:t>
        <w:br/>
        <w:t>Peralta, Ecuador, 20 de julio de 2011 (expediente de fondo, folios 16, 17 y</w:t>
        <w:br/>
        <w:t>23).</w:t>
        <w:br/>
        <w:t>[14]   Cfr.  Caso  de  las  Masacres  de  Ituango  Vs.  Colombia.  Excepción</w:t>
        <w:br/>
        <w:t>Preliminar, Fondo, Reparaciones y Costas. Sentencia de 1 de julio  de  2006.</w:t>
        <w:br/>
        <w:t>Serie C No. 148, párr. 98, y Caso  Nadege  Dorzema  y  otros  Vs.  República</w:t>
        <w:br/>
        <w:t>Dominicana. Fondo, Reparaciones y Costas. Sentencia  de  24  de  octubre  de</w:t>
        <w:br/>
        <w:t>2012. Serie C No. 251, párr. 29..</w:t>
        <w:br/>
        <w:t>[15]        Cfr. Caso de las Masacres de Ituango, supra, párr.  98,  y  Caso</w:t>
        <w:br/>
        <w:t>García y Familiares Vs. Guatemala. Fondo, Reparaciones y  Costas.  Sentencia</w:t>
        <w:br/>
        <w:t>de 29 de noviembre de 2012. Serie C No. 258, párr. 34.</w:t>
        <w:br/>
        <w:t>[16]  Caso Nadege Dorzema y otros Vs. República Dominicana, supra, párr.</w:t>
        <w:br/>
        <w:t>29, y Caso García y Familiares, supra, párr. 34.</w:t>
        <w:br/>
        <w:t>[17]        Cfr. Caso de la “Panel Blanca” (Paniagua Morales  y  otros)  Vs.</w:t>
        <w:br/>
        <w:t>Guatemala. Fondo. Sentencia de 8 de marzo de 1998. Serie C  No.  37,  párrs.</w:t>
        <w:br/>
        <w:t>69 al 76,  y  Caso  Masacre  de  Santo  Domingo  Vs.  Colombia.  Excepciones</w:t>
        <w:br/>
        <w:t>Preliminares, Fondo y Reparaciones. Sentencia de 30 de  noviembre  de  2012.</w:t>
        <w:br/>
        <w:t>Serie C No. 259, párr. 41.</w:t>
        <w:br/>
        <w:t>[18]        Cfr. Caso de la  “Panel  Blanca”  (Paniagua  Morales  y  otros),</w:t>
        <w:br/>
        <w:t>supra, párr. 76, y Caso Masacre de Santo Domingo, supra, párr. 41.</w:t>
        <w:br/>
        <w:t>[19]        Cfr. Caso Velásquez Rodríguez Vs. Honduras. Fondo. Sentencia de</w:t>
        <w:br/>
        <w:t>29 de julio de 1988. Serie C No. 4, párr. 140, y Caso Masacre de Santo</w:t>
        <w:br/>
        <w:t>Domingo, supra, párr. 43.</w:t>
        <w:br/>
        <w:t>[20]        Cfr. Caso Velásquez Rodríguez, Fondo, supra, párr. 146, y Caso</w:t>
        <w:br/>
        <w:t>Masacre de Santo Domingo, supra, párr. 44.</w:t>
        <w:br/>
        <w:t>[21]  Cfr. Caso Suárez Peralta Vs. Ecuador. Resolución del Presidente de la</w:t>
        <w:br/>
        <w:t>Corte de 20 de diciembre de 2012, supra.</w:t>
        <w:br/>
        <w:t>[22]  Caso Suárez Peralta Vs. Ecuador. Resolución del Presidente de la</w:t>
        <w:br/>
        <w:t>Corte de 20 de diciembre de 2012, supra, Considerandos 10 y 14.</w:t>
        <w:br/>
        <w:t>[23]  Cfr. Caso Loayza Tamayo Vs. Perú. Fondo. Sentencia de 17 de</w:t>
        <w:br/>
        <w:t>septiembre de 1997. Serie C No. 33, párr. 43, y Caso García y Familiares,</w:t>
        <w:br/>
        <w:t>supra, párr. 46.</w:t>
        <w:br/>
        <w:t>[24]  Cfr. Declaración jurada rendida por Dennis Edgar Cerezo Cervantes de</w:t>
        <w:br/>
        <w:t>8 de febrero de 2013 (expediente de fondo, folio 734); declaración rendida</w:t>
        <w:br/>
        <w:t>por Melba Suárez Peralta en Audiencia Pública celebrada en este caso de 11</w:t>
        <w:br/>
        <w:t>de febrero de 2013 y cédula de identidad de Melba del Carmen Suarez Peralta</w:t>
        <w:br/>
        <w:t>(expediente de anexos al escrito de solicitudes y argumentos, folio 1164).</w:t>
        <w:br/>
        <w:t>[25]  Cfr. Documentación agregada en la declaración jurada de Luis Humberto</w:t>
        <w:br/>
        <w:t>Córdova Ramos (expediente de fondo, folio 592). De conformidad con la Ley</w:t>
        <w:br/>
        <w:t>de Derechos y Amparo del Paciente, en su artículo 1 señala que los</w:t>
        <w:br/>
        <w:t>“Policlínicos” son considerados Centros de Salud, que pertenecen al sistema</w:t>
        <w:br/>
        <w:t>de servicios de salud pública o privada establecidos conforme a la ley para</w:t>
        <w:br/>
        <w:t>prestar a las personas atención de salud integral de tipo ambulatorio y de</w:t>
        <w:br/>
        <w:t>internamiento. (expediente de anexos al escrito de contestación, folios</w:t>
        <w:br/>
        <w:t>2388 a 2391). Asimismo, según el artículo 98 de la Ley de Personal del</w:t>
        <w:br/>
        <w:t>Cuerpo de Vigilancia de la Comisión de Tránsito de la Provincia de Guayas,</w:t>
        <w:br/>
        <w:t>“Los miembros del Cuerpo de Vigilancia en servicio activo, así como los</w:t>
        <w:br/>
        <w:t>familiares, gozarán de la asistencia médica, de laboratorio y rayos x, de</w:t>
        <w:br/>
        <w:t>los establecimientos de la Comisión de Tránsito de Guayas, de acuerdo al</w:t>
        <w:br/>
        <w:t>reglamento pertinente”.</w:t>
        <w:br/>
        <w:t>[26]  Cfr. Historia Clínica de Melba Suárez Peralta emitida por el</w:t>
        <w:br/>
        <w:t>Policlínico de la Comisión de Tránsito de Guayas número 11794 (expediente</w:t>
        <w:br/>
        <w:t>de anexos a los alegatos finales, folios 2995); Historia Clínica de Melba</w:t>
        <w:br/>
        <w:t>del Carmen Suárez Peralta emitida por la Clínica Minchala, número 975</w:t>
        <w:br/>
        <w:t>(expediente de anexos al informe de fondo, folio 112), declaración</w:t>
        <w:br/>
        <w:t>testimonial rendida por Wilson Benjamín Minchala Pichu el 19 de octubre de</w:t>
        <w:br/>
        <w:t>2001 (expediente de anexos al informe de fondo, folios 105 y 106), y</w:t>
        <w:br/>
        <w:t>declaración testimonial rendida por Jenny Bohórquez de 13 de noviembre de</w:t>
        <w:br/>
        <w:t>2001 (expediente de anexos al informe de fondo, folios 130 a 134).</w:t>
        <w:br/>
        <w:t>[27]  Cfr. Historia Clínica de Melba Suárez Peralta emitida por el</w:t>
        <w:br/>
        <w:t>Policlínico de la Comisión de Tránsito de Guayas número 11794 (expediente</w:t>
        <w:br/>
        <w:t>de anexos a los alegatos finales, folio 2995).</w:t>
        <w:br/>
        <w:t>[28]  Cfr. Declaración testimonial rendida por la señora Jenny Bohórquez de</w:t>
        <w:br/>
        <w:t>13 de noviembre de 2001 (expediente de anexos al informe de fondo, folio</w:t>
        <w:br/>
        <w:t>130).</w:t>
        <w:br/>
        <w:t>[29]  Cfr. Declaración testimonial rendida por Melba Suárez Peralta de 6 de</w:t>
        <w:br/>
        <w:t>septiembre de 2000 (expediente de anexos al informe de fondo, folio 16).</w:t>
        <w:br/>
        <w:t>[30]  Cfr. Historia Clínica de María del Carmen Suárez Peralta emitida por</w:t>
        <w:br/>
        <w:t>la Clínica Minchala (expediente de anexos al informe de fondo, folios 109 a</w:t>
        <w:br/>
        <w:t>120)</w:t>
        <w:br/>
        <w:t>[31]  El motivo de la intervención fue “dolor en fosa ilíaca derecha</w:t>
        <w:br/>
        <w:t>acompañado de hipertermia, vómitos y dificultad para la marcha”,</w:t>
        <w:br/>
        <w:t>habiéndosele descripto como “paciente que refiere que en el día de ayer</w:t>
        <w:br/>
        <w:t>consultó con dolor en epigastrio y que en horas de la tarde se le irradió a</w:t>
        <w:br/>
        <w:t>la fosa ilíaca derecha, acompañado de hipertermia, vómitos y dificultad</w:t>
        <w:br/>
        <w:t>para la marcha, […] se hizo intenso en el día de hoy por lo que se decide</w:t>
        <w:br/>
        <w:t>su ingreso para intervenirla quirúrgicamente”. Cfr.  Historia Clínica de</w:t>
        <w:br/>
        <w:t>María del Carmen Suárez Peralta emitida por Clínica Minchala número 975</w:t>
        <w:br/>
        <w:t>(expediente de anexos al informe de fondo, folio 112); declaración</w:t>
        <w:br/>
        <w:t>testimonial rendida por la señora Jenny Bohórquez de 13 de noviembre de</w:t>
        <w:br/>
        <w:t>2001 (expediente de anexos al informe de fondo, folio 130), y declaración</w:t>
        <w:br/>
        <w:t>rendida por Melba Suárez Peralta en Audiencia Pública celebrada en este</w:t>
        <w:br/>
        <w:t>caso el 11 de febrero de 2013.</w:t>
        <w:br/>
        <w:t>[32]  Cfr. Declaración rendida por Melba Suárez Peralta en Audiencia</w:t>
        <w:br/>
        <w:t>Pública celebrada en este caso el 11 de febrero de 2013.</w:t>
        <w:br/>
        <w:t>[33]  Cfr. Declaración testimonial de Héctor Luis Taranto de 12 de</w:t>
        <w:br/>
        <w:t>noviembre de 2001 (expediente de anexos al informe de fondo, folio 21).</w:t>
        <w:br/>
        <w:t>[34]  Cfr. Protocolo de Operación del Hospital Luis Vernaza (expediente de</w:t>
        <w:br/>
        <w:t>anexos al informe de fondo, folio 19), y declaración testimonial de Héctor</w:t>
        <w:br/>
        <w:t>Luis Taranto de 12 de noviembre de 2001 (expediente de anexos al informe de</w:t>
        <w:br/>
        <w:t>fondo, folio 21).</w:t>
        <w:br/>
        <w:t>[35]  Cfr. Certificado del Houston Memorial Clinic Medihouston de 5 de</w:t>
        <w:br/>
        <w:t>febrero de 2009, (expediente de anexos al informe de fondo, folio 214), y</w:t>
        <w:br/>
        <w:t>declaración jurada de Melba del Carmen Suárez Peralta de 5 de abril de 2012</w:t>
        <w:br/>
        <w:t>(expediente de anexos al escrito de solicitudes y argumentos, folio 1723).</w:t>
        <w:br/>
        <w:t>[36]  Certificados de la Clínica de Especialidades Moreno (expediente de</w:t>
        <w:br/>
        <w:t>anexos al informe de fondo, folios 225 y 226).</w:t>
        <w:br/>
        <w:t>[37]  Cfr. Certificados Médicos del Centro Médico Familiar (CE.ME.FA)</w:t>
        <w:br/>
        <w:t>(expediente de anexos al informe de fondo, folios 216 a 219).</w:t>
        <w:br/>
        <w:t>[38]  Cfr. Recetas Médicas de la Clínica Kennedy (expediente de anexos al</w:t>
        <w:br/>
        <w:t>informe de fondo, folios 221 y 222).</w:t>
        <w:br/>
        <w:t>[39]  Cfr. Certificados de la Clínica de Especialidades Moreno (expediente</w:t>
        <w:br/>
        <w:t>de anexos al informe de fondo, folios 225 y 226).</w:t>
        <w:br/>
        <w:t>[40]  Cfr. Certificados Médicos del Centro Médico Familiar (CE.ME.FA)</w:t>
        <w:br/>
        <w:t>(expediente de anexos al informe de fondo, folios 216 a 219).</w:t>
        <w:br/>
        <w:t>[41]  Cfr. Certificado Médico de Clínica Punto Médico Familiar (expediente</w:t>
        <w:br/>
        <w:t>de anexos al informe de fondo, folio 241).</w:t>
        <w:br/>
        <w:t>[42]  Cfr. Documentación de Clínica Punto Médico Familiar (expediente de</w:t>
        <w:br/>
        <w:t>anexos al informe de fondo, folio 231).</w:t>
        <w:br/>
        <w:t>[43]  Documentación de Clínica Punto Médico Familiar (expediente de anexos</w:t>
        <w:br/>
        <w:t>al informe de fondo, folio 230).</w:t>
        <w:br/>
        <w:t>[44]  Cfr. Documentación Hospital San Francisco (expediente de anexos al</w:t>
        <w:br/>
        <w:t>informe de fondo, folio 250).</w:t>
        <w:br/>
        <w:t>[45]  Cfr. Documentación Hospital San Francisco (expediente de anexos al</w:t>
        <w:br/>
        <w:t>informe de fondo, folio 249).</w:t>
        <w:br/>
        <w:t>[46]  Cfr. Documentación que agregada a la declaración jurada de Melba del</w:t>
        <w:br/>
        <w:t>Carmen Suárez Peralta de 5 de abril de 2012 (expediente de anexos al</w:t>
        <w:br/>
        <w:t>escrito de solicitudes y argumentos, folios 1794 y 1802).</w:t>
        <w:br/>
        <w:t>[47]  Cfr. Hoja de Epicrisis. Clínica Alcívar, (expediente de anexos al</w:t>
        <w:br/>
        <w:t>informe de fondo, folio 276).</w:t>
        <w:br/>
        <w:t>[48]  Documentación que agregada a la declaración jurada de Melba del</w:t>
        <w:br/>
        <w:t>Carmen Suárez Peralta de 5 de abril de 2012 (expediente de anexos al</w:t>
        <w:br/>
        <w:t>escrito de solicitudes y argumentos, folio 1763).</w:t>
        <w:br/>
        <w:t>[49]  Cfr. Declaración jurada de Melba del Carmen Suárez Peralta rendida el</w:t>
        <w:br/>
        <w:t>5 de abril de 2012 (expediente de anexos al escrito de solicitudes y</w:t>
        <w:br/>
        <w:t>argumentos, folio 1811).</w:t>
        <w:br/>
        <w:t>[50]  Cfr. Certificado médico de 22 de abril de 2012 (expediente de anexos</w:t>
        <w:br/>
        <w:t>al escrito de solicitudes y argumentos, folio 1653), y respuesta al Oficio</w:t>
        <w:br/>
        <w:t>por parte del Ministerio de Salud de Guayas (expediente de anexos al</w:t>
        <w:br/>
        <w:t>escrito de contestación, folio 2258).</w:t>
        <w:br/>
        <w:t>[51]  Cfr. Declaración jurada rendida por Melba del Carmen Suárez Peralta</w:t>
        <w:br/>
        <w:t>el 20 de abril de 2012 (expediente de anexos al escrito de solicitudes y</w:t>
        <w:br/>
        <w:t>argumentos, folios 1711 a 1720); declaración jurada rendida por Luis Azanza</w:t>
        <w:br/>
        <w:t>Azanza el 5 de abril de 2012 (expediente de anexos al escrito de</w:t>
        <w:br/>
        <w:t>solicitudes y argumentos, folios 1813 a 1820); declaración jurada rendida</w:t>
        <w:br/>
        <w:t>por Stalin Xavier Intriago Burgos el 5 de abril de 2012 (expediente de</w:t>
        <w:br/>
        <w:t>anexos al escrito de solicitudes y argumentos, folios 1821 a 1826), y</w:t>
        <w:br/>
        <w:t>declaración jurada rendida por Melba del Carmen Suárez Peralta el 5 de</w:t>
        <w:br/>
        <w:t>abril de 2012 (expediente de anexos al escrito de solicitudes y argumentos,</w:t>
        <w:br/>
        <w:t>folios 1865 a 1874).</w:t>
        <w:br/>
        <w:t>[52]  Cfr. Declaración jurada rendida por Melba del Carmen Suárez Peralta</w:t>
        <w:br/>
        <w:t>de 5 de abril de 2012 (expediente de anexos al escrito de solicitudes y</w:t>
        <w:br/>
        <w:t>argumentos, folios 1833 a 1849).</w:t>
        <w:br/>
        <w:t>[53]  Cfr. Declaración jurada rendida por Melba del Carmen Suárez Peralta</w:t>
        <w:br/>
        <w:t>de 30 de marzo de 2012 (expediente de anexos al escrito de solicitudes y</w:t>
        <w:br/>
        <w:t>argumentos, folio 1892).</w:t>
        <w:br/>
        <w:t>[54]  Cfr. Declaración rendida por Melba del Carmen Suárez Peralta en</w:t>
        <w:br/>
        <w:t>Audiencia Pública celebrada en este caso de 11 de febrero de 2013.</w:t>
        <w:br/>
        <w:t>[55]  Acusación particular presentada por Melba Peralta Mendoza el 2 de</w:t>
        <w:br/>
        <w:t>agosto de 2000 (expediente de anexos al informe de fondo, folios 6 y 7).</w:t>
        <w:br/>
        <w:t>[56]  Cfr. Auto Cabeza del Proceso de 16 de agosto de 2000 (expediente de</w:t>
        <w:br/>
        <w:t>anexos al informe de fondo, folios 26 a 28). En dicha providencia se</w:t>
        <w:br/>
        <w:t>ordenaron las siguientes diligencias: “PRIMERO.- Recéptese el testimonio</w:t>
        <w:br/>
        <w:t>instructivo de la agraviada […], SEGUNDO.- Recéptese el testimonio</w:t>
        <w:br/>
        <w:t>indagatorio del sindicado […], TERCERO.- Practíquese el reconocimiento del</w:t>
        <w:br/>
        <w:t>lugar de los hechos […] que se realizará el día 23 de agosto de 2000 a</w:t>
        <w:br/>
        <w:t>partir de las 11H00, CUARTO.- [Pídanse] copias […] de la Historia clínica</w:t>
        <w:br/>
        <w:t>No 891938 de la paciente Melba Suárez Peralta, QUINTO.- [Pídase] el</w:t>
        <w:br/>
        <w:t>movimiento migratorio con la que llegó al País el Dr. Emilio Guerrero</w:t>
        <w:br/>
        <w:t>Gutiérrez, SEXTO.- [Pídase a la] Clínica Minchala […] la historia clínica</w:t>
        <w:br/>
        <w:t>de la paciente Melba del Carmen Peralta (sic), SEPTIMO.- [Comuníquese a]</w:t>
        <w:br/>
        <w:t>Migración de la Policía Nacional haciéndole conocer del particular, OCTAVO.-</w:t>
        <w:br/>
        <w:t xml:space="preserve"> [Pídase] al Sub-Director del Trabajo […] copia de la Autorización Laboral</w:t>
        <w:br/>
        <w:t>y del carné ocupacional que lo faculta para que pueda trabajar legalmente</w:t>
        <w:br/>
        <w:t>en el País, NOVENO.- [Comuníquese a] la Policía Judicial de Guayas, para</w:t>
        <w:br/>
        <w:t>que […] realicen las investigaciones pertinentes [y al] Director de Saud y</w:t>
        <w:br/>
        <w:t>Comisario de salud en el sentido de que si la clínica cuenta con los</w:t>
        <w:br/>
        <w:t>respectivos permisos para funcionar y si reúne las garantías necesarias</w:t>
        <w:br/>
        <w:t>como tal, DECIMO.- Recéptense los testimonios propios de todas las personas</w:t>
        <w:br/>
        <w:t>que tengan conocimiento del presente ilícito que se investiga”.</w:t>
        <w:br/>
        <w:t>[57]  Cfr. Escritos presentados por Melba Peralta Mendoza los días 7, 14 y</w:t>
        <w:br/>
        <w:t>28 de agosto de 2000 (expediente de anexos al informe de fondo, folios 30 a</w:t>
        <w:br/>
        <w:t>34). El 28 de agosto de 2000 Melba Peralta Mendoza solicitó se practique:</w:t>
        <w:br/>
        <w:t>a) examen médico legal a Melba Suárez Peralta; b) que la Comisión del</w:t>
        <w:br/>
        <w:t>Tránsito de Guayas informe si Emilio Guerrero “tiene contrato con la</w:t>
        <w:br/>
        <w:t>Institución”, y c) se fije nueva fecha para el reconocimiento del lugar de</w:t>
        <w:br/>
        <w:t>los hechos.</w:t>
        <w:br/>
        <w:t>[58]  Cfr. Oficios emitidos por el Juez Primero de lo Penal de Guayas</w:t>
        <w:br/>
        <w:t>(expediente de anexos al informe de fondo, folios 36 a 41).</w:t>
        <w:br/>
        <w:t>[59]  Cfr. Respuesta al Oficio No. 075-SERH-MIG-2000 de 1º de septiembre de</w:t>
        <w:br/>
        <w:t>2000 (expediente de anexos al informe de fondo, folio 51).</w:t>
        <w:br/>
        <w:t>[60]  Cfr. Declaración testimonial rendida por Jenny Bohórquez de 13 de</w:t>
        <w:br/>
        <w:t>noviembre de 2001 (expediente de anexos al informe de fondo, folio 130).</w:t>
        <w:br/>
        <w:t>[61]  Certificado emitido el 9 de agosto de 2012 por el Coordinador del</w:t>
        <w:br/>
        <w:t>Proceso de Control y Vigilancia Sanitaria Provincial (expediente de anexos</w:t>
        <w:br/>
        <w:t>a los alegatos finales, folios 2967 y 2968). Por su parte, en relación a</w:t>
        <w:br/>
        <w:t>este hecho, el Estado en audiencia ante la Corte aportó un certificado</w:t>
        <w:br/>
        <w:t>emitido por la Subsecretaría Nacional de Vigilancia de la Salud Pública el</w:t>
        <w:br/>
        <w:t>8 de febrero de 2013 que refiere a que, a esta fecha, Emilio Guerrero se</w:t>
        <w:br/>
        <w:t>encontraba registrado en la ex Subsecretaría de Salud Costa Insular. Cfr.</w:t>
        <w:br/>
        <w:t>Respuesta emitida por el Ministerio de Salud Pública el 8 de febrero de</w:t>
        <w:br/>
        <w:t>2013 (expediente de fondo, folio 759).</w:t>
        <w:br/>
        <w:t>[62]  Cfr. Declaración testimonial rendida por Melba del Carmen Suárez</w:t>
        <w:br/>
        <w:t>Peralta de 6 de septiembre de 2000 (expediente de anexos al informe de</w:t>
        <w:br/>
        <w:t>fondo, folios 16 y 17).</w:t>
        <w:br/>
        <w:t>[63]  Cfr. Informe No. 5783 de la Jefatura Provincial de la Policía</w:t>
        <w:br/>
        <w:t>Judicial de Guayas, Servicio Médico Legal, de 7 de septiembre de 2000</w:t>
        <w:br/>
        <w:t>(expediente de anexos al informe de fondo, folio 24).</w:t>
        <w:br/>
        <w:t>[64]  Cfr. Escritos presentados por Melba Peralta los días 18 y 20 de</w:t>
        <w:br/>
        <w:t>septiembre, 16 de octubre y 14 de noviembre de 2000 (expediente de anexos</w:t>
        <w:br/>
        <w:t>al informe de fondo, folios 53 a 59).</w:t>
        <w:br/>
        <w:t>[65]  Providencia del Juzgado Segundo de lo Penal de Guayas de 22 de marzo</w:t>
        <w:br/>
        <w:t>de 2001 (expediente de anexos al informe de fondo, folio 61).</w:t>
        <w:br/>
        <w:t>[66]  Cfr. Acusación formal presentada por Melba Peralta el 29 de mayo de</w:t>
        <w:br/>
        <w:t>2001 (expediente de anexos al informe de fondo, folios 65 y 66), y Dictamen</w:t>
        <w:br/>
        <w:t>Acusatorio presentado por el Fiscal Primero en lo Penal de Guayas el 29 de</w:t>
        <w:br/>
        <w:t>mayo de 2001 (expediente de anexos al informe de fondo, folios 68 y 69).</w:t>
        <w:br/>
        <w:t>[67]  Acusación formal presentada por Melba Peralta el 29 de mayo de 2001</w:t>
        <w:br/>
        <w:t>(expediente de anexos al informe de fondo, folio 66).</w:t>
        <w:br/>
        <w:t>[68]  Escrito presentado por Melba Peralta el 7 de junio de 2001</w:t>
        <w:br/>
        <w:t>(expediente de anexos al informe de fondo, folio 71).</w:t>
        <w:br/>
        <w:t>[69]  Escrito presentado por Melba Peralta el 7 de junio de 2001</w:t>
        <w:br/>
        <w:t>(expediente de anexos al informe de fondo, folio 71).</w:t>
        <w:br/>
        <w:t>[70]  Cfr. Providencia del Juez Primero en lo Penal de Guayas del 14 de</w:t>
        <w:br/>
        <w:t>agosto de 2001 (expediente de anexos al informe de fondo, folio 73).</w:t>
        <w:br/>
        <w:t>[71]  Cfr. Escritos presentados por Wilson Minchala el 23 y 29 de agosto de</w:t>
        <w:br/>
        <w:t>2001  (expediente de anexos al informe de fondo, folios 76 a 81).</w:t>
        <w:br/>
        <w:t>[72]  Cfr. Escrito presentado por Emilio Guerrero el 29 de agosto de 2001</w:t>
        <w:br/>
        <w:t>(expediente de anexos al informe de fondo, folios 85 y 86).</w:t>
        <w:br/>
        <w:t>[73]  Cfr. Escrito presentado por Wilson Minchala el 19 de septiembre de</w:t>
        <w:br/>
        <w:t>2001 (expediente de anexos al informe de fondo, folio 99).</w:t>
        <w:br/>
        <w:t>[74]  Escrito presentado por Melba Peralta el 13 de septiembre de 2001</w:t>
        <w:br/>
        <w:t>(expediente de anexos al informe de fondo, folio 90).</w:t>
        <w:br/>
        <w:t>[75]  Cfr. Providencia del Juez en lo Penal de Primer Turno del 19 de</w:t>
        <w:br/>
        <w:t>septiembre de 2001 (expediente de anexos al informe de fondo, folio 92).</w:t>
        <w:br/>
        <w:t>[76]  Cfr. Acusación Particular de Melba Peralta presentada el 25 de</w:t>
        <w:br/>
        <w:t>septiembre de 2001 (expediente de anexos al informe de fondo, folios 94 y</w:t>
        <w:br/>
        <w:t>95).</w:t>
        <w:br/>
        <w:t>[77]  Cfr. Solicitud del Fiscal Primero de lo Penal de Guayas presentada en</w:t>
        <w:br/>
        <w:t>octubre de 2001 (expediente de anexos al informe de fondo, folio 101).</w:t>
        <w:br/>
        <w:t>[78]  Cfr. Providencia del Juez Primero en lo Penal de Guayas dictada el 11</w:t>
        <w:br/>
        <w:t>de octubre de 2001 (expediente de anexos al informe de fondo, folio 97).</w:t>
        <w:br/>
        <w:t>[79]  Declaración testimonial de Wilson Benjamín Minchala Pichu de 19 de</w:t>
        <w:br/>
        <w:t>octubre de 2001 (expediente de anexos al informe de fondo, folio 106).</w:t>
        <w:br/>
        <w:t>[80]  Cfr. Escrito presentado por Melba Peralta el 18 de octubre de 2001</w:t>
        <w:br/>
        <w:t>(expediente de anexos al informe de fondo, folio 103).</w:t>
        <w:br/>
        <w:t>[81]  Cfr. Escrito presentado por Emilio Guerrero el 24 de octubre de 2001</w:t>
        <w:br/>
        <w:t>(expediente de anexos al informe de fondo, folio 122).</w:t>
        <w:br/>
        <w:t>[82]  Cfr. Citación dictada por el Juez Primero en lo Penal de Guayas el 31</w:t>
        <w:br/>
        <w:t>de octubre de 2001 (expediente de anexos al informe de fondo, folio 126).</w:t>
        <w:br/>
        <w:t>[83]  Cfr. Escrito presentado por Emilio Guerrero el 12 de noviembre de</w:t>
        <w:br/>
        <w:t>2001 (expediente de anexos al informe de fondo, folio 128).</w:t>
        <w:br/>
        <w:t>[84]  Cfr. Declaración testimonial rendida por Héctor Luis Tarando de 12 de</w:t>
        <w:br/>
        <w:t>noviembre de 2001 (expediente de anexos al informe de fondo, folio 21).</w:t>
        <w:br/>
        <w:t>[85]  Declaración testimonial rendida por Bohórquez de 13 de noviembre de</w:t>
        <w:br/>
        <w:t>2001 (expediente de anexos al informe de fondo, folio 130).</w:t>
        <w:br/>
        <w:t>[86]  Cfr. Escrito presentado por Melba Peralta el 13 de noviembre de 2001</w:t>
        <w:br/>
        <w:t>(expediente de anexos al informe de fondo, folios 136 a 138).</w:t>
        <w:br/>
        <w:t>[87]  Providencia del Juez Primero en lo Penal de Guayas del 27 de</w:t>
        <w:br/>
        <w:t>noviembre de 2001 (expediente de anexos al informe de fondo, folio 142).</w:t>
        <w:br/>
        <w:t>[88]  Cfr. Escritos presentados por Emilio Guerrero el 28 y 30 de noviembre</w:t>
        <w:br/>
        <w:t>de 2001 (expediente de anexos al informe de fondo, folios 148 y 154).</w:t>
        <w:br/>
        <w:t>[89]  Cfr. Acusación Particular presentada por Melba Peralta Mendoza el 29</w:t>
        <w:br/>
        <w:t>de noviembre de 2001 (expediente de anexos al informe de fondo, folio 150).</w:t>
        <w:br/>
        <w:t>[90]  Escrito del Agente Fiscal Primero de lo Penal de Guayas el 13 de mayo</w:t>
        <w:br/>
        <w:t>de 2002 (expediente de anexos al informe de fondo, folios 156 y 157).</w:t>
        <w:br/>
        <w:t>[91]  Escrito presentado por Melba Peralta el 3 de junio de 2002</w:t>
        <w:br/>
        <w:t>(expediente de anexos al informe de fondo, folios 159 y 160).</w:t>
        <w:br/>
        <w:t>[92]  Escrito presentado por Emilio Guerrero el 6 de junio de 2002</w:t>
        <w:br/>
        <w:t>(expediente de anexos al informe de fondo, folio 162).</w:t>
        <w:br/>
        <w:t>[93]  Providencia del Juez Primero en lo Penal de Guayas del 17 de febrero</w:t>
        <w:br/>
        <w:t>de 2003 (expediente de anexos al informe de fondo, folios 164 a 166).</w:t>
        <w:br/>
        <w:t>[94]  El artículo 466 del Código Penal, de 22 de enero de 1971,  vigente  al</w:t>
        <w:br/>
        <w:t>momento de los hechos, establecía que: “Si los golpes o heridas han  causado</w:t>
        <w:br/>
        <w:t>una enfermedad o incapacidad para el trabajo personal, que pase  de  noventa</w:t>
        <w:br/>
        <w:t>días, o una incapacidad permanente para los trabajos a  que  hasta  entonces</w:t>
        <w:br/>
        <w:t>se había dedicado habitualmente el ofendido, o una enfermedad  grave,  o  la</w:t>
        <w:br/>
        <w:t>pérdida de un órgano no principal, las penas serán de prisión de uno a  tres</w:t>
        <w:br/>
        <w:t>años y multa de dieciséis a setenta y siete dólares de  los  Estados  Unidos</w:t>
        <w:br/>
        <w:t>de Norte América. En caso de concurrir  alguna  de  las  circunstancias  del</w:t>
        <w:br/>
        <w:t>Art. 450, las penas serán de prisión de dos a cinco años y multa de  treinta</w:t>
        <w:br/>
        <w:t>y un a ciento veinte  y  cinco  dólares  de  los  Estados  Unidos  de  Norte</w:t>
        <w:br/>
        <w:t>América”.</w:t>
        <w:br/>
        <w:t>[95]  Código de Procedimiento Penal de 1983 (expediente de anexos a la</w:t>
        <w:br/>
        <w:t>contestación, folio 2722). Este artículo  establecía que: “Si al tiempo de</w:t>
        <w:br/>
        <w:t>dictar el auto de apertura del plenario el sindicado estuviere prófugo, el</w:t>
        <w:br/>
        <w:t>Juez, después de dictado dicho auto, ordenará la suspensión de la etapa de</w:t>
        <w:br/>
        <w:t>plenario hasta que el encausado sea aprehendido o se presente</w:t>
        <w:br/>
        <w:t>voluntariamente. Mientras el sindicado estuviera prófugo no se ejecutoriará</w:t>
        <w:br/>
        <w:t>el auto de apertura del plenario, auto que se le notificará personalmente</w:t>
        <w:br/>
        <w:t>en cuanto se presentare o fuere aprehendido”.</w:t>
        <w:br/>
        <w:t>[96]  Código de Procedimiento Penal de 1983, (expediente de anexos al</w:t>
        <w:br/>
        <w:t>escrito de contestacion, folio 2720). Este artículo establecía que: “Si el</w:t>
        <w:br/>
        <w:t>Juez considera que no se ha comprobado suficientemente la existencia del</w:t>
        <w:br/>
        <w:t>delito, o habiéndose probado su existencia no se hubiera identificado a los</w:t>
        <w:br/>
        <w:t>culpables, o no hubiese prueba suficiente de la participación del indicado,</w:t>
        <w:br/>
        <w:t>dictará auto de sobreseimiento provisional del proceso y del sindicado,</w:t>
        <w:br/>
        <w:t>declarando que, por el momento, no puede perseguirse la sustanciación de la</w:t>
        <w:br/>
        <w:t>causa”.</w:t>
        <w:br/>
        <w:t>[97]  Cfr. Escrito presentado por Emilio Guerrero el 24 de febrero de 2003</w:t>
        <w:br/>
        <w:t>(expediente de anexos al informe de fondo, folio 168).</w:t>
        <w:br/>
        <w:t>[98]  Cfr. Providencia del Juez Primero en lo Penal de Guayas del 26 de</w:t>
        <w:br/>
        <w:t>febrero de 2003 (expediente de anexos al informe de fondo, folio 170).</w:t>
        <w:br/>
        <w:t>[99]  Cfr. Providencia de la Tercera Sala Penal de la Corte Superior de</w:t>
        <w:br/>
        <w:t>Justicia (expediente de anexos al informe de fondo, folios 172 a 174).</w:t>
        <w:br/>
        <w:t>[100]       Cfr. Escritos presentados por Emilio Guerrero el día 17 de</w:t>
        <w:br/>
        <w:t>septiembre de 2004 (expediente de anexos al informe de fondo, folios 176 y</w:t>
        <w:br/>
        <w:t>177).</w:t>
        <w:br/>
        <w:t>[101]       Cfr. Providencia del Juez Primero en lo Penal de Guayas</w:t>
        <w:br/>
        <w:t>(expediente de anexos al informe de fondo, folio 179).</w:t>
        <w:br/>
        <w:t>[102]       Cfr. Escrito presentado por Emilio Guerrero el 22 de septiembre</w:t>
        <w:br/>
        <w:t>de 2004 (expediente de anexos al informe de fondo, folio 181).</w:t>
        <w:br/>
        <w:t>[103]       Escrito presentado por Melba Peralta el 23 de septiembre de</w:t>
        <w:br/>
        <w:t>2004 (expediente de anexos al informe de fondo, folio 186).</w:t>
        <w:br/>
        <w:t>[104]       Cfr. Escrito presentado por Emilio Guerrero el 24 de septiembre</w:t>
        <w:br/>
        <w:t>de 2004 (expediente de anexos al informe de fondo, folio 188).</w:t>
        <w:br/>
        <w:t>[105]       Escrito Presentado por Melba Peralta el 28 de junio de 2005</w:t>
        <w:br/>
        <w:t>(expediente de anexos al informe de fondo, folio 190).</w:t>
        <w:br/>
        <w:t>[106]       Cfr. Oficio emitido por el Juez Primero en lo Penal de Guayas</w:t>
        <w:br/>
        <w:t>el 30 de junio de 2005 (expediente de anexos al informe de fondo, folio</w:t>
        <w:br/>
        <w:t>192).</w:t>
        <w:br/>
        <w:t>[107]       Cfr. Providencia del Primer Tribunal Penal de Guayas del 5 de</w:t>
        <w:br/>
        <w:t>julio de 2005 (expediente de anexos al informe de fondo, folio 194).</w:t>
        <w:br/>
        <w:t>[108]       Cfr. Providencia del Juez Primero en lo Penal de Guayas del 28</w:t>
        <w:br/>
        <w:t>de julio de 2005 (expediente de anexos al informe de fondo, folio 196).</w:t>
        <w:br/>
        <w:t>[109]       Cfr. Escritos presentados por Melba Peralta los días 23 de</w:t>
        <w:br/>
        <w:t>agosto, 5 y 17 de septiembre de 2005 (expediente de anexos al informe de</w:t>
        <w:br/>
        <w:t>fondo, folios 198 a 202).</w:t>
        <w:br/>
        <w:t>[110]       Cfr. Escrito presentado por Emilio Guerrero el 8 de septiembre</w:t>
        <w:br/>
        <w:t>de 2005 (expediente de anexos al informe de fondo, folio 204).</w:t>
        <w:br/>
        <w:t>El artículo 101 del Código Penal vigente al momento de los hechos disponía:</w:t>
        <w:br/>
        <w:t>“Toda acción penal prescribe en el tiempo y con las condiciones que la Ley</w:t>
        <w:br/>
        <w:t>señala. En el ejercicio del derecho que la prescripción establece, se</w:t>
        <w:br/>
        <w:t>observarán las reglas que siguen:</w:t>
        <w:br/>
        <w:t>Tanto en los delitos de acción pública como en los delitos de acción</w:t>
        <w:br/>
        <w:t>privada se distinguirá ante todo si, cometido el delito, se ha iniciado o</w:t>
        <w:br/>
        <w:t>no enjuiciamiento. [los] delitos reprimidos con reclusión, cuyo ejercicio</w:t>
        <w:br/>
        <w:t>de acción es pública, de no haber enjuiciamiento, la acción para</w:t>
        <w:br/>
        <w:t>perseguirlos prescribirá en diez años; tratándose de delitos reprimidos con</w:t>
        <w:br/>
        <w:t>reclusión mayor especial, la acción para proseguirlos prescribirá en quince</w:t>
        <w:br/>
        <w:t>años. Tratándose de delitos reprimidos con prisión, la acción para</w:t>
        <w:br/>
        <w:t>perseguirlos prescribirá en cinco años. El tiempo se contará a partir de la</w:t>
        <w:br/>
        <w:t>fecha en que la infracción fue perpetrada.</w:t>
        <w:br/>
        <w:t>En los mismos delitos de acción pública, de haber enjuiciamiento iniciado</w:t>
        <w:br/>
        <w:t>antes de que aquellos plazos se cumplan, la acción para continuar la causa</w:t>
        <w:br/>
        <w:t>prescribirá en los mismos plazos, contados desde la fecha del auto cabeza</w:t>
        <w:br/>
        <w:t>de proceso […]”.</w:t>
        <w:br/>
        <w:t>[111]       Cfr. Providencia del Primer Tribunal Penal de Guayas de 20 de</w:t>
        <w:br/>
        <w:t>septiembre de 2005 (expediente de anexos al informe de fondo, folios 206 y</w:t>
        <w:br/>
        <w:t>207).</w:t>
        <w:br/>
        <w:t>[112]       Cfr. Escrito presentado por Melba Peralta el 22 de septiembre</w:t>
        <w:br/>
        <w:t>de 2005 (expediente de anexos al informe de fondo, folio 209).</w:t>
        <w:br/>
        <w:t>[113]       Providencia del Primer Tribunal Penal de Guayas (Auto 136/2005)</w:t>
        <w:br/>
        <w:t>de 10 de noviembre de 2005 (expediente de anexos al informe de fondo, folio</w:t>
        <w:br/>
        <w:t>211).</w:t>
        <w:br/>
        <w:t>[114]       El 30 de abril de 2007 el Juez Penal actuante en el proceso fue</w:t>
        <w:br/>
        <w:t>suspendido en el ejercicio de sus funciones por treinta días, y el 18 de</w:t>
        <w:br/>
        <w:t>septiembre de 2007 y 29 de julio de 2008 fue sancionado con multa. El 4 de</w:t>
        <w:br/>
        <w:t>septiembre de 2011 recibió una amonestación, y el 7 de febrero de 2012 se</w:t>
        <w:br/>
        <w:t>resolvió su destitución, resolución que quedó firme el 16 de mayo del mismo</w:t>
        <w:br/>
        <w:t>año. Cfr. Resumen ejecutivo de memorando no. DNA J-2012-1761 (expediente de</w:t>
        <w:br/>
        <w:t>anexos a la contestación del Estado, folio 2243).</w:t>
        <w:br/>
        <w:t>[115]       Nota de prensa aparecida en el diario “El Universo” el 8 de</w:t>
        <w:br/>
        <w:t>mayo de 2002, titulada “Dos clínicas clausuradas por el Ministerio de</w:t>
        <w:br/>
        <w:t>Salud” (expediente de anexos al informe de fondo, folio 9).</w:t>
        <w:br/>
        <w:t>[116]       Nota de prensa aparecida en el diario “El Universo” el 14 de</w:t>
        <w:br/>
        <w:t>octubre de 2007, titulada “Más muertes por atención médica fallida”</w:t>
        <w:br/>
        <w:t>(expediente de anexos al informe de fondo, folio 12).</w:t>
        <w:br/>
        <w:t>[117]       Acuerdo de Cumplimiento de 8 de septiembre de 2011 (expediente</w:t>
        <w:br/>
        <w:t>de anexos al escrito de contestación, folio 2946).</w:t>
        <w:br/>
        <w:t>[118]       Cronograma de Ejecución. Acuerdo de Solución Amistosa</w:t>
        <w:br/>
        <w:t>(expediente de trámite ante la Comisión, folio 849).</w:t>
        <w:br/>
        <w:t>[119]       Cabe señalar que en el Acuerdo no se especificó ninguna</w:t>
        <w:br/>
        <w:t>condición de comprobación para que dicho pago fuera ejecutado.</w:t>
        <w:br/>
        <w:t>[120]       Escritos de los representantes (expediente de trámite ante la</w:t>
        <w:br/>
        <w:t>Comisión, folios 856 a 865, y 837 a 849) y oficio No. 06982 de la</w:t>
        <w:br/>
        <w:t>Procuraduría General del Estado de 25 de septiembre de 2011 (expediente de</w:t>
        <w:br/>
        <w:t>trámite ante la Comisión,  folio 841).</w:t>
        <w:br/>
        <w:t>[121]       Oficio No. 04124 de la Procuraduría General del Estado de 10 de</w:t>
        <w:br/>
        <w:t>octubre de 2011 (expediente de trámite ante la Comisión, folios 837 a 849).</w:t>
        <w:br/>
        <w:t>[122]       Comunicación de la Comisión Interamericana de 24 de octubre de</w:t>
        <w:br/>
        <w:t>2011 (expediente de trámite ante la Comisión, folios 826 a 828).</w:t>
        <w:br/>
        <w:t>[123]       Nota 4-2 - 91 /12 del Ministerio de Relaciones Exteriores,</w:t>
        <w:br/>
        <w:t>Comercio e Integración de Ecuador de 25 de enero de 2012 (expediente de</w:t>
        <w:br/>
        <w:t>trámite ante la Comisión, folios 1624 a 1637).</w:t>
        <w:br/>
        <w:t>[124]       Expediente de trámite ante la Comisión, supra, folio 1632.</w:t>
        <w:br/>
        <w:t>[125]       Expediente de trámite ante la Comisión, supra, folio 1630, y</w:t>
        <w:br/>
        <w:t>Fotografía de la Placa de disculpas públicas (expediente de anexos al</w:t>
        <w:br/>
        <w:t>escrito de contestación, folio 2439 y 2341).</w:t>
        <w:br/>
        <w:t>[126]       Fotografías de la colocación de la placa (expediente de anexos</w:t>
        <w:br/>
        <w:t>al escrito de contestación, folios 2338 – 2341).</w:t>
        <w:br/>
        <w:t>[127]       “Si el demandado comunicare a la  Corte  su  aceptación  de  los</w:t>
        <w:br/>
        <w:t>hechos o su allanamiento total o parcial a las  pretensiones que constan  en</w:t>
        <w:br/>
        <w:t>el sometimiento del caso o en el escrito de las  presuntas  víctimas  o  sus</w:t>
        <w:br/>
        <w:t>representantes, la Corte, oído el parecer de los demás intervinientes en  el</w:t>
        <w:br/>
        <w:t>proceso, resolverá, en el momento procesal oportuno, sobre su procedencia  y</w:t>
        <w:br/>
        <w:t>sus efectos jurídicos”.</w:t>
        <w:br/>
        <w:br/>
        <w:t>[128]       Caso Bulacio Vs. Argentina. Fondo, Reparaciones y Costas.</w:t>
        <w:br/>
        <w:t>Sentencia de 18 de Septiembre de 2003. Serie C No. 100, párr. 115, y Caso</w:t>
        <w:br/>
        <w:t>Myrna Mack Chang Vs. Guatemala. Fondo, Reparaciones y Costas. Sentencia de</w:t>
        <w:br/>
        <w:t>25 de noviembre de 2003. Serie C No. 101, párr. 210.</w:t>
        <w:br/>
        <w:t>[129]       Caso Myrna Mack Chang, supra, párr. 211, y Caso De la Masacre</w:t>
        <w:br/>
        <w:t>de las Dos Erres, supra, párr. 120 y 255.</w:t>
        <w:br/>
        <w:t>[130]       Al respecto, el artículo 239 del Código de Procedimiento Penal</w:t>
        <w:br/>
        <w:t>establecía que una vez recibida la contestación del encausado, el juez</w:t>
        <w:br/>
        <w:t>procedería a dictar auto de sobreseimiento o de apertura al plenario, según</w:t>
        <w:br/>
        <w:t>el caso.</w:t>
        <w:br/>
        <w:t>[131]       Al respecto, el artículo 350 del Código de Procedimiento Penal</w:t>
        <w:br/>
        <w:t>establecía que dicho recurso debería ser juzgado en un plazo de 15 días.</w:t>
        <w:br/>
        <w:t>[132]       Al respecto, el artículo 359 del Código de Procedimiento Penal</w:t>
        <w:br/>
        <w:t>establecía que una vez ejecutoriado el fallo, el proceso se remitiría a la</w:t>
        <w:br/>
        <w:t>instancia inferior para su inmediato cumplimiento.</w:t>
        <w:br/>
        <w:t>[133]       La Corte nota que Melba Peralta Mendoza presentó diversos</w:t>
        <w:br/>
        <w:t>escritos de impulso procesal, por los cuales solicitó sucesivamente la</w:t>
        <w:br/>
        <w:t>tramitación de las diligencias pertinentes, la conclusión del sumario y el</w:t>
        <w:br/>
        <w:t>llamamiento a plenario, según correspondía (expediente de anexos al informe</w:t>
        <w:br/>
        <w:t>de fondo, folios 209 a 212).</w:t>
        <w:br/>
        <w:t>[134]       Cfr. Código de Procedimiento Penal del Ecuador (1983),</w:t>
        <w:br/>
        <w:t>artículos 21, 23 y 169 (expediente de anexos a escrito de contestación,</w:t>
        <w:br/>
        <w:t>folios del 2687 al 2751). Caso Ximenes Lópes Vs. Brasil. Sentencia de 4 de</w:t>
        <w:br/>
        <w:t>julio de 2006. Serie C No. 149, párr. 199, y Caso Albán Cornejo. Fondo,</w:t>
        <w:br/>
        <w:t>Reparaciones y Costas. Sentencia de 22 de noviembre de 2007. Serie C No.</w:t>
        <w:br/>
        <w:t>171, párr. 108.</w:t>
        <w:br/>
        <w:t>[135]       Cfr. Laudon Vs. Alemania. No. 14635/03. Sección quinta.</w:t>
        <w:br/>
        <w:t>Sentencia de 26 de abril de 2007, párr. 72; Orzel Vs. Polonia. No.</w:t>
        <w:br/>
        <w:t>74816/01. Sección cuarta. Sentencia de 25 de junio de 2003, párr. 55, y</w:t>
        <w:br/>
        <w:t>Inversen Vs. Dinamarca. No. 5989/03. Sección quita. Sentencia de 28 de</w:t>
        <w:br/>
        <w:t>diciembre de 2006, párr. 70.</w:t>
        <w:br/>
        <w:t>[136]       Cfr. Laudon Vs. Alemania, supra, párr. 72.</w:t>
        <w:br/>
        <w:t>[137]       Declaración pericial rendida por Laura Pautassi durante la</w:t>
        <w:br/>
        <w:t>Audiencia Pública.</w:t>
        <w:br/>
        <w:t>[138]       Caso Ximenes Lopes, supra, párr. 204.</w:t>
        <w:br/>
        <w:t>[139]        Código  de  Procedimiento  Penal  de  Ecuador  (1983),   supra,</w:t>
        <w:br/>
        <w:t>artículo 17:  Las  sentencias  ejecutoriadas  en  los  procesos  civiles  no</w:t>
        <w:br/>
        <w:t>producen el efecto de cosa juzgada en lo penal excepto las que  decidan  las</w:t>
        <w:br/>
        <w:t>cuestiones prejudiciales indicadas en el artículo anterior.  Las  sentencias</w:t>
        <w:br/>
        <w:t>ejecutoriadas en los procesos penales producen el efecto de cosa juzgada  en</w:t>
        <w:br/>
        <w:t>lo concerniente al ejercicio de la acción civil, solo  cuando  declaran  que</w:t>
        <w:br/>
        <w:t>no existe la infracción; o, cuando existiendo, declaran que el procesado  no</w:t>
        <w:br/>
        <w:t>es culpable de la misma. Por tanto, no  podrá  demandarse  la  indemnización</w:t>
        <w:br/>
        <w:t>civil mientras no exista una sentencia penal condenatoria firme que  declare</w:t>
        <w:br/>
        <w:t>a una persona responsable penalmente de la infracción.</w:t>
        <w:br/>
        <w:t>[140]       Constitución Política de la República del Ecuador (1998).</w:t>
        <w:br/>
        <w:t>Artículo. 24 “Para asegurar el debido proceso deberán observarse las</w:t>
        <w:br/>
        <w:t>siguientes garantías básicas, sin menoscabo de otras que establezcan la</w:t>
        <w:br/>
        <w:t>Constitución, los instrumentos internacionales, las leyes o la</w:t>
        <w:br/>
        <w:t>jurisprudencia: […] 13. Las resoluciones de los poderes públicos que</w:t>
        <w:br/>
        <w:t>afecten a las personas, deberán ser motivadas. No habrá tal motivación si</w:t>
        <w:br/>
        <w:t>en la resolución no se enunciaren normas o principios jurídicos en que se</w:t>
        <w:br/>
        <w:t>haya fundado, y si no se explicare la pertinencia de su aplicación a los</w:t>
        <w:br/>
        <w:t>antecedentes de hecho. Al resolver la impugnación de una sanción, no se</w:t>
        <w:br/>
        <w:t>podrá empeorar la situación del recurrente.” (expediente de anexos al</w:t>
        <w:br/>
        <w:t>escrito de contestación, folios del 2180 al 2240).</w:t>
        <w:br/>
        <w:t>[141]       Cfr. Caso Chaparro Álvarez y Lapo Íñiguez Vs. Ecuador.</w:t>
        <w:br/>
        <w:t>Excepciones Preliminares, Fondo Reparaciones y Costas. Sentencia de 21 de</w:t>
        <w:br/>
        <w:t>noviembre de 2007. Serie C No. 170, párr. 107 y Caso López Mendoza Vs.</w:t>
        <w:br/>
        <w:t>Venezuela. Fondo Reparaciones y Costas. Sentencia de 1 de septiembre de</w:t>
        <w:br/>
        <w:t>2011. Serie C No. 233, párr. 141.</w:t>
        <w:br/>
        <w:t>[142]       Código de Procedimiento Penal, 1983. El artículo 348 establecía</w:t>
        <w:br/>
        <w:t>que: “Procede recurso de apelación cuando alguna de las partes lo</w:t>
        <w:br/>
        <w:t>interpusiere respecto de las siguientes providencias: […]3.- De los autos</w:t>
        <w:br/>
        <w:t>de inhibición y de prescripción que ponen fin al proceso” (expediente de</w:t>
        <w:br/>
        <w:t>anexos al escrito de contestación, folios 2687 a 2751).</w:t>
        <w:br/>
        <w:t>[143]       Código de Procedimiento Penal, (1983), supra. El artículo 453</w:t>
        <w:br/>
        <w:t>establecía que: “Todo proceso penal se sustanciará conforme al</w:t>
        <w:br/>
        <w:t>procedimiento establecido en este Código, salvo las excepciones legales. En</w:t>
        <w:br/>
        <w:t>lo que no determine de una manera especial el presente Código, se observará</w:t>
        <w:br/>
        <w:t>lo prescrito en el Código de Procedimiento Civil, como Ley supletoria”.</w:t>
        <w:br/>
        <w:t>Código de Procedimiento Civil, 1987 (disponible en:</w:t>
        <w:br/>
        <w:t>http://www.ceda.org.ec). El artículo 871 del Código del Procedimiento Civil</w:t>
        <w:br/>
        <w:t>vigente al momento de los hechos establecía que: “Un  juez,  sea  de</w:t>
        <w:br/>
        <w:t>tribunal o de juzgado, puede ser recusado por cualquiera  de las  partes,</w:t>
        <w:br/>
        <w:t>y  debe  separarse  del conocimiento de la causa, por alguno de los motivos</w:t>
        <w:br/>
        <w:t>siguientes: […] 10.- No  sustanciar el proceso en el triple del tiempo</w:t>
        <w:br/>
        <w:t>señalado por la Ley”.</w:t>
        <w:br/>
        <w:t>[144]       Cfr. Código Penal de Ecuador (1971), artículo 114. La</w:t>
        <w:br/>
        <w:t>prescripción puede declararse a petición de parte, o de oficio,</w:t>
        <w:br/>
        <w:t>necesariamente, al reunirse las condiciones exigidas en este Código. (Sin</w:t>
        <w:br/>
        <w:t>referencia)</w:t>
        <w:br/>
        <w:t>[145]       Cfr. Código de Procedimiento Penal (1983), supra, artículo 348.</w:t>
        <w:br/>
        <w:t>[146]       Código Penal de Ecuador (1971). Artículo 108. Tanto la</w:t>
        <w:br/>
        <w:t>prescripción de la acción como la de la pena se interrumpen por el hecho de</w:t>
        <w:br/>
        <w:t>cometer el reo otra infracción que merezca igual o mayor pena, antes de</w:t>
        <w:br/>
        <w:t>vencerse el tiempo para la prescripción.</w:t>
        <w:br/>
        <w:t>[147]       Código de Procedimiento Penal, (1983), supra. Artículo 398:</w:t>
        <w:br/>
        <w:t>“Los jueces de lo penal elevarán en consulta obligatoriamente, los autos de</w:t>
        <w:br/>
        <w:t>sobreseimiento a la Corte Superior respectiva. Los autos en que se declare</w:t>
        <w:br/>
        <w:t>la prescripción de la acción penal pública también se elevarán en consulta,</w:t>
        <w:br/>
        <w:t>tanto por los tribunales penales como por los jueces de lo penal. […]”.</w:t>
        <w:br/>
        <w:t>[148]       Cfr. Corte Nacional de Justicia de Ecuador. Resoluciones No. 06-</w:t>
        <w:br/>
        <w:t>2009 de 13 de enero de 2009, y 20-2009 de 21 de enero de 2009, disponible</w:t>
        <w:br/>
        <w:t>en http://www.cortenacional.gob.ec (escrito de observaciones finales de la</w:t>
        <w:br/>
        <w:t>Comisión, folio 796).</w:t>
        <w:br/>
        <w:t>[149]       Cfr. Corte Nacional de Justicia de Ecuador. Resolución No. 19-</w:t>
        <w:br/>
        <w:t>2009 de 15 de enero de 2009, visible en http://www.cortenacional.gob.ec</w:t>
        <w:br/>
        <w:t>(escrito de observaciones finales de la Comisión, folio 796).</w:t>
        <w:br/>
        <w:t>[150]       Cfr. Ex Corte Suprema de Justicia. Gaceta Judicial,</w:t>
        <w:br/>
        <w:t>Prescripción de La Acción Penal, 26 de agosto de 1949 (escrito de alegatos</w:t>
        <w:br/>
        <w:t>finales del Estado, folio 880).</w:t>
        <w:br/>
        <w:t>[151]       Cfr. Código Penal de Ecuador (1971), Artículo 108.</w:t>
        <w:br/>
        <w:t>[152]       Código de Procedimiento Penal (1983). El artículo 14 establecía</w:t>
        <w:br/>
        <w:t>que: “La acción penal es de carácter público. En general, se ejercerá de</w:t>
        <w:br/>
        <w:t>oficio, pudiendo admitirse la acusación particular”. El artículo 23</w:t>
        <w:br/>
        <w:t>disponía que “[s]erá necesaria la intervención del Ministerio Público en</w:t>
        <w:br/>
        <w:t>todos los procesos penales que, por la comisión de un delito, se iniciaren</w:t>
        <w:br/>
        <w:t>en los correspondientes tribunales y juzgados, aun cuando en dichos</w:t>
        <w:br/>
        <w:t>procesos actúe un acusador particular, siempre que tal infracción deba</w:t>
        <w:br/>
        <w:t>perseguirse de oficio”. El artículo 24 establecía que: “El Ministerio</w:t>
        <w:br/>
        <w:t>Público no podrá renunciar a la obligación de ejercer la acción penal o de</w:t>
        <w:br/>
        <w:t>perseguir la acción punitiva exhibida dentro del proceso penal, salvo que</w:t>
        <w:br/>
        <w:t>encuentre causas que justifiquen su renuncia”. El artículo 428 establecía</w:t>
        <w:br/>
        <w:t>que “[m]ediante acusación particular, los jueces penales juzgarán</w:t>
        <w:br/>
        <w:t>únicamente” algunos delitos, dentro de los cuales no figura ningún delito</w:t>
        <w:br/>
        <w:t>relacionado con lesiones o la mala praxis médica. El artículo 460 disponía</w:t>
        <w:br/>
        <w:t>que “Cuando el proceso suba al Superior, por recurso o por consulta, se</w:t>
        <w:br/>
        <w:t>pondrá en conocimiento del Ministerio Público para que emita su dictamen</w:t>
        <w:br/>
        <w:t>sobre lo principal y se pronuncie, de haber lugar, sobre las multas que</w:t>
        <w:br/>
        <w:t>deben imponerse por omisiones o retardos en la sustanciación del proceso.</w:t>
        <w:br/>
        <w:t>La omisión de este deber hará pecuniariamente responsable al Ministro</w:t>
        <w:br/>
        <w:t>Fiscal por las multas no cobradas”.</w:t>
        <w:br/>
        <w:t>[153]       Cfr. Caso Albán Cornejo y otros, supra, párr. 92.</w:t>
        <w:br/>
        <w:t>[154]       Caso Apitz Barbera y otros (“Corte Primera de lo Contencioso</w:t>
        <w:br/>
        <w:t>Administrativo”) Vs. Venezuela. Excepción Preliminar, Fondo, Reparaciones y</w:t>
        <w:br/>
        <w:t>Costas. Sentencia de 5 de agosto de 2008. Serie C No. 182, párr. 64.</w:t>
        <w:br/>
        <w:t>[155]       Cfr. Caso Velásquez Rodríguez, supra, párr. 64, y Caso García y</w:t>
        <w:br/>
        <w:t>Familiares Vs. Guatemala,  supra, párr. 142.</w:t>
        <w:br/>
        <w:t>[156]       No obstante, al momento de emitir el Informe de Admisibilidad</w:t>
        <w:br/>
        <w:t>número 85/08 del 30 de octubre de 2008, mediante nota de secretaría de 7 de</w:t>
        <w:br/>
        <w:t>enero de 2009, la Comisión notificó el Informe de Admisibilidad en el que</w:t>
        <w:br/>
        <w:t>incluyó la posible responsabilidad por “la presunta violación de su deber</w:t>
        <w:br/>
        <w:t>de prevenir la vulneración de la integridad personal derivada de su deber</w:t>
        <w:br/>
        <w:t>de regular y fiscalizar la atención médica de salud como deberes especiales</w:t>
        <w:br/>
        <w:t>derivados de su obligación de garantizar los derechos consagrados en el</w:t>
        <w:br/>
        <w:t>artículo 5.1 de la Convención Americana en relación con el artículo 1.1 del</w:t>
        <w:br/>
        <w:t>mismo Tratado”. Posteriormente, mediante nota de Secretaría de 26 de</w:t>
        <w:br/>
        <w:t>febrero de 2009, la Comisión informó que correspondía “hacer referencia a</w:t>
        <w:br/>
        <w:t>un error material involuntario que figura[ba] en el informe sobre</w:t>
        <w:br/>
        <w:t>Admisibilidad No. 85/09 que le fuera remitido el 8 de enero de 2009. La</w:t>
        <w:br/>
        <w:t>errata se enc[ontraba] en los párrafos 3, 48, 49 y decisión 1 del informe</w:t>
        <w:br/>
        <w:t>enviado, la cual [fue] debidamente corregida en el informe No. 85/08 que se</w:t>
        <w:br/>
        <w:t>adjunt[ó] a la presente”. Por esta razón, dicho informe excluyó referencia</w:t>
        <w:br/>
        <w:t>alguna a la posible violación del artículo 5 de la Convención.</w:t>
        <w:br/>
        <w:t>[157]       La vulneración al derecho a la integridad personal (artículo 5</w:t>
        <w:br/>
        <w:t>de la Convención) no fue alegada en el procedimiento ante la Comisión.</w:t>
        <w:br/>
        <w:t>[158]       Cfr. Caso de la “Masacre de Mapiripán” Vs. Colombia. Sentencia</w:t>
        <w:br/>
        <w:t>de 15 de septiembre de 2005. Serie C No. 134, párr. 111, y Caso Ximenes</w:t>
        <w:br/>
        <w:t>Lopes, supra, párrs. 85 y 86. En ese mismo sentido, Condición Jurídica y</w:t>
        <w:br/>
        <w:t>Derechos de los Migrantes Indocumentados. Opinión Consultiva OC-18/03 de 17</w:t>
        <w:br/>
        <w:t>de septiembre de 2003. Serie A No. 18, párr. 140.</w:t>
        <w:br/>
        <w:t>[159]       Cfr. Caso Velásquez Rodríguez, Fondo, supra, párrs. 165 y 166,</w:t>
        <w:br/>
        <w:t>y Caso Masacre de Santo Domingo, supra, párr. 188.</w:t>
        <w:br/>
        <w:t>[160]       Caso González y otras (“Campo Algodonero”) Vs. México.</w:t>
        <w:br/>
        <w:t>Excepción Preliminar, Fondo, Reparaciones y Costas. Sentencia de 16 de</w:t>
        <w:br/>
        <w:t>noviembre de 2009. Serie C No. 205, párr. 243.</w:t>
        <w:br/>
        <w:t>[161]       Cfr.  Caso Ximenes Lopes, supra, párr. 99.</w:t>
        <w:br/>
        <w:t>[162]       Cfr. Caso Juan Humberto Sánchez Vs. Honduras. Excepción</w:t>
        <w:br/>
        <w:t>Preliminar, Fondo, Reparaciones y Costas. Sentencia de 7 de junio de 2003.</w:t>
        <w:br/>
        <w:t>Serie C No. 99, párr. 127 y 132, y  Caso Ximenes Lopes, supra, párr. 148.</w:t>
        <w:br/>
        <w:t>[163]       Caso de la “Masacre de Mapiripán”, supra, párr. 111, y Caso</w:t>
        <w:br/>
        <w:t>Ximenes Lopes, supra, párr. 85 y 86;  En ese mismo sentido, cfr. Condición</w:t>
        <w:br/>
        <w:t>Jurídica y Derechos de los Migrantes Indocumentados. Opinión Consultiva OC-</w:t>
        <w:br/>
        <w:t>18/03, supra, párr. 140.</w:t>
        <w:br/>
        <w:t>[164]       Cfr. Caso de la Masacre de Pueblo Bello Vs Colombia. Sentencia</w:t>
        <w:br/>
        <w:t>de 31 de enero de 2006. Serie C No. 140, párr. 123, y Caso González y otras</w:t>
        <w:br/>
        <w:t>(“Campo Algodonero”), supra, párr. 280.</w:t>
        <w:br/>
        <w:t>[165]       Cfr. Caso Albán Cornejo y otros, supra, párr. 117, y Caso Vera</w:t>
        <w:br/>
        <w:t>Vera y otra Vs. Ecuador. Excepción Preliminar, Fondo, Reparaciones y</w:t>
        <w:br/>
        <w:t>Costas. Sentencia de 19 de mayo de 2011. Serie C No. 226, párr. 43.</w:t>
        <w:br/>
        <w:t>[166]       Cfr. Caso Tibi Vs. Ecuador. Excepciones Preliminares, Fondos,</w:t>
        <w:br/>
        <w:t>Reparaciones y Costas. Sentencia de 7 de septiembre de 2004. Serie C No.</w:t>
        <w:br/>
        <w:t>114, párr. 157, y Caso Vera Vera y otra, supra, párr. 44.</w:t>
        <w:br/>
        <w:t>[167]       Cfr. Caso Ximenes Lopes, supra, párr. 89 y 90, y Caso Albán</w:t>
        <w:br/>
        <w:t>Cornejo y otros, supra, párr. 121; Véase también: Caso Lazar Vs. Rumania,</w:t>
        <w:br/>
        <w:t>No. 32146/05. Sección Tercera. Sentencia de 16 de mayo de 2010, párr. 66;</w:t>
        <w:br/>
        <w:t>Caso Z Vs. Polonia, No. 46132/08. Sección Cuarta. Sentencia de 13 de</w:t>
        <w:br/>
        <w:t>noviembre de 2012, párr. 76, y Naciones Unidas, Consejo Económico y Social,</w:t>
        <w:br/>
        <w:t>Comité de Derechos Económicos, Sociales y Culturales. Observación General</w:t>
        <w:br/>
        <w:t>Número 14, E/C.12/2000/4, 11 de agosto de 2000, párr. 12, 33, 35, 36 y 51.</w:t>
        <w:br/>
        <w:t>[168]       Caso Acevedo Buendía y otros (“Cesantes y Jubilados de la</w:t>
        <w:br/>
        <w:t>Contraloría”) Vs. Perú. Excepción Preliminar, Fondo, Reparaciones y Costas.</w:t>
        <w:br/>
        <w:t>Sentencia de 1 de julio de 2009 Serie C No. 198, párr. 101. En el mismo</w:t>
        <w:br/>
        <w:t>sentido: cfr. Naciones Unidas, Consejo Económico y Social, Comité de</w:t>
        <w:br/>
        <w:t>Derechos Económicos, Sociales y Culturales. Observación General Número 9,</w:t>
        <w:br/>
        <w:t>supra, párr. 10. Véase también: Caso Airey Vs. Irlanda, No. 6289/73.</w:t>
        <w:br/>
        <w:t>Sentencia de 9 de octubre de 1979, párr. 26 y Caso Sidabras and Dziautas</w:t>
        <w:br/>
        <w:t>Vs. Lituania, Nos. 55480/00 y 59330/00. Sección Segunda. Sentencia de 27 de</w:t>
        <w:br/>
        <w:t>julio de 2004, párr. 47. En el Caso Airey Vs. Irlanda el Tribunal Europeo</w:t>
        <w:br/>
        <w:t>señaló: “Si bien el Convenio recoge derechos esencialmente civiles y</w:t>
        <w:br/>
        <w:t>políticos, gran parte de ellos tienen implicaciones de naturaleza económica</w:t>
        <w:br/>
        <w:t>y social. Por eso, el Tribunal estima, como lo hace la Comisión, que el</w:t>
        <w:br/>
        <w:t>hecho de que una interpretación del Convenio pueda extenderse a la esfera</w:t>
        <w:br/>
        <w:t>de los derechos sociales y económicos no es factor decisivo en contra de</w:t>
        <w:br/>
        <w:t>dicha interpretación, ya que no existe una separación tajante entre esa</w:t>
        <w:br/>
        <w:t>esfera y el campo cubierto por el Convenio”.</w:t>
        <w:br/>
        <w:t>[169]       El artículo 26 de la Convención Americana (Pacto de San José)</w:t>
        <w:br/>
        <w:t>refiere al desarrollo progresivo “de los derechos que se derivan de las</w:t>
        <w:br/>
        <w:t>normas económicas [y] sociales […], contendidas en la Carta de la [OEA] […]</w:t>
        <w:br/>
        <w:t>en la medida de los recursos disponibles, por vía legislativa u otros</w:t>
        <w:br/>
        <w:t>medios apropiados”. Contenido en dicha referencia se encuentra el derecho a</w:t>
        <w:br/>
        <w:t>la salud.  Cfr. Observación General Numero 3.  La índole de las</w:t>
        <w:br/>
        <w:t>obligaciones de los Estados Partes.  Párrafo 2: “si bien la plena</w:t>
        <w:br/>
        <w:t>realización de los derechos pertinentes puede lograrse de manera paulatina,</w:t>
        <w:br/>
        <w:t>las medidas tendentes a lograr este objetivo deben adoptarse dentro de un</w:t>
        <w:br/>
        <w:t>plazo razonablemente breve tras la entrada en vigor del Pacto para los</w:t>
        <w:br/>
        <w:t>Estados interesados. Tales medidas deben ser deliberadas, concretas y</w:t>
        <w:br/>
        <w:t>orientadas lo más claramente posible hacia la satisfacción de las</w:t>
        <w:br/>
        <w:t>obligaciones reconocidas en el Pacto”. Párrafo 5: “Entre las medidas que</w:t>
        <w:br/>
        <w:t>cabría considerar apropiadas, además de las legislativas, está la de</w:t>
        <w:br/>
        <w:t>ofrecer recursos judiciales en lo que respecta a derechos que, de acuerdo</w:t>
        <w:br/>
        <w:t>con el sistema jurídico  nacional, puedan considerarse justiciables. El</w:t>
        <w:br/>
        <w:t>Comité observa, por ejemplo, que el disfrute de los derechos reconocidos,</w:t>
        <w:br/>
        <w:t>sin discriminación, se fomentará a menudo de manera apropiada, en  parte</w:t>
        <w:br/>
        <w:t>mediante la provisión de recursos judiciales y otros recursos efectivos”.</w:t>
        <w:br/>
        <w:t>[170]       1. Toda persona tiene derecho a la salud, entendida como el</w:t>
        <w:br/>
        <w:t>disfrute del más alto nivel de bienestar físico, mental y social. 2. Con el</w:t>
        <w:br/>
        <w:t>fin de hacer efectivo el derecho a la salud los Estados partes se</w:t>
        <w:br/>
        <w:t>comprometen a reconocer la salud como un bien público y particularmente a</w:t>
        <w:br/>
        <w:t>adoptar las siguientes medidas para garantizar este derecho: a. la atención</w:t>
        <w:br/>
        <w:t>primaria de la salud, entendiendo como tal la asistencia sanitaria esencial</w:t>
        <w:br/>
        <w:t>puesta al alcance de todos los individuos y familiares de la comunidad; [y]</w:t>
        <w:br/>
        <w:t>b. la extensión de los beneficios de los servicios de salud a todos los</w:t>
        <w:br/>
        <w:t>individuos sujetos a la jurisdicción del Estado.</w:t>
        <w:br/>
        <w:t>[171]       Cfr. Caso Albán Cornejo y otros, supra, párr. 117, y Caso Vera</w:t>
        <w:br/>
        <w:t>Vera y otra, supra, párr. 43.</w:t>
        <w:br/>
        <w:t>[172]       Cfr. OEA, Indicadores de Progreso para Medición de Derechos</w:t>
        <w:br/>
        <w:t>Contemplados en el Protocolo de San Salvador, OEA/Ser.L/XXV.2.1, Doc 2/11</w:t>
        <w:br/>
        <w:t>rev.2, 16 de diciembre de 2011, párrs. 66 y 67. En este documento se</w:t>
        <w:br/>
        <w:t>establece que: “El Protocolo hace referencia a la satisfacción de derecho</w:t>
        <w:br/>
        <w:t>en un contexto de desarrollo de un sistema de salud, que por básico que</w:t>
        <w:br/>
        <w:t>sea, debe garantizar el acceso al sistema de Atención Primaria en Salud</w:t>
        <w:br/>
        <w:t>(APS) y el desarrollo progresivo y continuo de un sistema de cobertura para</w:t>
        <w:br/>
        <w:t>toda la población del país […] además de aceptables desde el punto de vista</w:t>
        <w:br/>
        <w:t>cultural, los establecimientos, bienes y servicios de salud deberán ser</w:t>
        <w:br/>
        <w:t>también apropiados desde el punto de vista científico y médico y ser de</w:t>
        <w:br/>
        <w:t>buena calidad. Ello requiere, entre otras cosas, personal médico</w:t>
        <w:br/>
        <w:t>capacitado, medicamentos y equipo hospitalario científicamente aprobados y</w:t>
        <w:br/>
        <w:t>en buen estado, agua limpia potable y condiciones sanitarias adecuadas”.</w:t>
        <w:br/>
        <w:t>Asimismo, dentro de los indicadores referidos se incluyen: “Existencia de</w:t>
        <w:br/>
        <w:t>instancias administrativas para radicar denuncias en materia de</w:t>
        <w:br/>
        <w:t>incumplimiento de obligaciones vinculadas al derecho a la salud.</w:t>
        <w:br/>
        <w:t>Competencias de los Ministerios o de las Superintendencias para recibir</w:t>
        <w:br/>
        <w:t>quejas de los usuarios del sistema de salud. Políticas de capacitación de</w:t>
        <w:br/>
        <w:t>jueces y abogados en materia de derecho a la salud”. En este mismo sentido,</w:t>
        <w:br/>
        <w:t>cfr. Naciones Unidas, Consejo Económico y Social, Comité de Derechos</w:t>
        <w:br/>
        <w:t>Económicos, Sociales y Culturales. Observación General Número 9,</w:t>
        <w:br/>
        <w:t>E/C.12/1998/24, 3 de diciembre de 1998, párr. 10. Véase también OEA., Carta</w:t>
        <w:br/>
        <w:t>Social de las Américas, aprobada por la Asamblea General de la OEA el 4 de</w:t>
        <w:br/>
        <w:t>junio de 2012, AG/doc.5242/12 rev. 2.</w:t>
        <w:br/>
        <w:t>[173]       Cfr. Caso Ximenes Lopes, supra, párrs. 89 y 99.</w:t>
        <w:br/>
        <w:t>[174]       Caso Ximenes Lopes, supra, párr. 99.</w:t>
        <w:br/>
        <w:t>[175]       Naciones Unidas, Consejo Económico y Social, Comité de Derechos</w:t>
        <w:br/>
        <w:t>Económicos, Sociales y Culturales. Observación General Número 14,</w:t>
        <w:br/>
        <w:t>E/C.12/2000/4, 11 de agosto de 2000, párrs. 35 y 51. Dicho documento</w:t>
        <w:br/>
        <w:t>establece que: “[l]as obligaciones de proteger incluyen […] adoptar leyes u</w:t>
        <w:br/>
        <w:t>otras medidas para velar por […] [la] calidad de los servicios de atención</w:t>
        <w:br/>
        <w:t>de la salud […] y asegurar que los facultativos y otros profesionales de la</w:t>
        <w:br/>
        <w:t>salud reúnan las condiciones necesarias de educación, experiencia y</w:t>
        <w:br/>
        <w:t>deontología”.“   Las violaciones de las obligaciones de proteger dimanan</w:t>
        <w:br/>
        <w:t>del hecho de que un Estado no adopte las medidas necesarias para proteger,</w:t>
        <w:br/>
        <w:t>dentro de su jurisdicción, a las personas contra las violaciones del</w:t>
        <w:br/>
        <w:t>derecho a la salud por terceros”, se incluyen como ejemplo de las mismas</w:t>
        <w:br/>
        <w:t>las “omisiones tales como la no regulación de las actividades de</w:t>
        <w:br/>
        <w:t>particulares, grupos o empresas con objeto de impedir que esos</w:t>
        <w:br/>
        <w:t>particulares, grupos o empresas violen el derecho a la salud de los demás”.</w:t>
        <w:br/>
        <w:br/>
        <w:t>[176]       El Tribunal Europeo de Derechos Humanos ha señalado que:</w:t>
        <w:br/>
        <w:t>“[entre] las disposiciones fundamentales de la Convención [se exige a los</w:t>
        <w:br/>
        <w:t>Estados] la obligación […] de [adoptar] las medidas necesarias para</w:t>
        <w:br/>
        <w:t>proteger la vida de las personas bajo su jurisdicción […]. Estos principios</w:t>
        <w:br/>
        <w:t>también se aplican en el ámbito de la salud pública, en donde las</w:t>
        <w:br/>
        <w:t>obligaciones positivas […] implican el establecimiento, por parte del</w:t>
        <w:br/>
        <w:t>Estado, de un marco de entidades reguladas, sean públicas o privadas,</w:t>
        <w:br/>
        <w:t>adoptando las medidas requeridas para proteger la vida de sus pacientes.“</w:t>
        <w:br/>
        <w:t>Véase además Caso Lazar, supra, párr. 66; Caso Z Vs. Polonia, supra, párr.</w:t>
        <w:br/>
        <w:t>76, Caso Calvelli y Ciglio Vs. Italia. No. 32967/96. Sentencia de 17 de</w:t>
        <w:br/>
        <w:t>enero de 2002, párr. 49, Caso Byrzykowski Vs. Polonia. No 11562/05. Sección</w:t>
        <w:br/>
        <w:t>Cuarta. Sentencia de 27 de junio de 2006, párr. 104, y Caso Silih Vs.</w:t>
        <w:br/>
        <w:t>Eslovenia. No. 71463/014. Sentencia de 9 de abril de 2009, párr. 192.</w:t>
        <w:br/>
        <w:t>[177]       Cfr. Caso Z Vs. Polonia, supra, párr. 76, TEDH. Caso Calvelli y</w:t>
        <w:br/>
        <w:t>Ciglio Vs. Italia, supra, párr. 49, y Caso Byrzykowski Vs. Polonia, supra,</w:t>
        <w:br/>
        <w:t>párr. 104. Cfr., mutatis mutandi, Caso Erikson Vs. Italia. No 37900/97.</w:t>
        <w:br/>
        <w:t>Sección Primera. Sentencia de 26 de octubre de 1999; Caso Powell Vs. Reino</w:t>
        <w:br/>
        <w:t>Unido. No 45305/99. Sección Tercera. Sentencia de 4 de marzo de 2000, y</w:t>
        <w:br/>
        <w:t>Caso Silih Vs. Eslovenia. No. 71463/014. Sentencia de 9 de abril de 2009,</w:t>
        <w:br/>
        <w:t>párr. 192</w:t>
        <w:br/>
        <w:t>[178]       Esta normativa referente a garantizar y fiscalizar los</w:t>
        <w:br/>
        <w:t>servicios de salud fue analizada por esta Corte en el Caso Albán Cornejo y</w:t>
        <w:br/>
        <w:t>otros, supra, párrs. 123 y 132.</w:t>
        <w:br/>
        <w:t>[179]       Constitución Política de la República del Ecuador, 1998</w:t>
        <w:br/>
        <w:t>(expediente de anexos al escrito de contestación, folio 2190).</w:t>
        <w:br/>
        <w:t>[180]       Código de Salud, 1971 (expediente de anexos al escrito de</w:t>
        <w:br/>
        <w:t>contestación, folio 2411).</w:t>
        <w:br/>
        <w:t>[181]       El artículo 174 del Código de Salud, 1971 establecía que:</w:t>
        <w:br/>
        <w:t>“[p]ara el ejercicio de las profesiones de médico cirujano […] se requiere</w:t>
        <w:br/>
        <w:t>haber obtenido el título académico otorgado o revalidado por las</w:t>
        <w:br/>
        <w:t>universidades, los institutos técnicos superiores u otros centros de</w:t>
        <w:br/>
        <w:t>formación debidamente autorizados [;] Dichos títulos deb[ían] ser</w:t>
        <w:br/>
        <w:t>registrados en el Consejo Nacional de Educación Superior CONESUP, en el</w:t>
        <w:br/>
        <w:t>Registro Nacional de Profesiones Médicas del Ministerio de Salud Pública y</w:t>
        <w:br/>
        <w:t>en la Dirección Provincial de Salud de la circunscripción geográfica donde</w:t>
        <w:br/>
        <w:t>se vaya a ejercer la profesión”, supra, folio 2411).</w:t>
        <w:br/>
        <w:t>[182]       Código de Salud, 1971, supra, folios 2412, 2415 y 2416. El</w:t>
        <w:br/>
        <w:t>procedimiento sancionatorio estaba previsto en los artículos 213 a 230 el</w:t>
        <w:br/>
        <w:t>cual comenzaba con una denuncia y se llevaba a cabo ante el Comisario de</w:t>
        <w:br/>
        <w:t>Salud, quien emitía una resolución apelable ante el Ministerio de Salud</w:t>
        <w:br/>
        <w:t>Pública. .</w:t>
        <w:br/>
        <w:t>[183]       Ley de la Federación Médica Ecuatoriana (expediente de anexos a</w:t>
        <w:br/>
        <w:t>los alegatos finales, folios 3032 a 3043).</w:t>
        <w:br/>
        <w:t>[184]       El artículo 15 del Código de Ética Médica disponía que: “El</w:t>
        <w:br/>
        <w:t>Médico no hará ninguna intervención quirúrgica sin previa autorización del</w:t>
        <w:br/>
        <w:t>enfermo, y si éste no pudiera darla recurrirá a su representante o a un</w:t>
        <w:br/>
        <w:t>miembro de la familia, salvo que esté de por medio la vida del paciente a</w:t>
        <w:br/>
        <w:t>corto plazo. En todos los casos de autorización incluirá el tipo de</w:t>
        <w:br/>
        <w:t>intervención, los riesgos y las posibles complicaciones”. (expediente de</w:t>
        <w:br/>
        <w:t>anexos a los alegatos finales, folios 3019 a 3030)</w:t>
        <w:br/>
        <w:t>[185]       El  artículo 1º de la Ley de Derechos y Amparo del Paciente,</w:t>
        <w:br/>
        <w:t>señala que los “Policlínicos” son considerados Centros de Salud</w:t>
        <w:br/>
        <w:t>establecidos conforme a la ley y que por consiguiente pertenecen al sistema</w:t>
        <w:br/>
        <w:t>de servicios de salud pública o privada (expediente de anexos al escrito de</w:t>
        <w:br/>
        <w:t>contestación, folios 2388 a 2391).</w:t>
        <w:br/>
        <w:t>[186]       Cfr. Alegatos del Estado (expediente de fondo, folios 877 y</w:t>
        <w:br/>
        <w:t>878), e Información proporcionada por la Defensoría del Pueblo (expediente</w:t>
        <w:br/>
        <w:t>de anexos a los alegatos finales, folios 3207 a 3216).</w:t>
        <w:br/>
        <w:t>[187]       El artículo 32 de la Constitución de la República de Ecuador de</w:t>
        <w:br/>
        <w:t>2008, establece que: “La salud es un derecho que garantiza el Estado […].</w:t>
        <w:br/>
        <w:t>El Estado garantizará este derecho mediante políticas económicas, sociales,</w:t>
        <w:br/>
        <w:t>culturales, educativas y ambientales; y el acceso permanente, oportuno y</w:t>
        <w:br/>
        <w:t>sin exclusión a programas, acciones y servicios de promoción y atención</w:t>
        <w:br/>
        <w:t>integral de salud […]. La prestación de servicios de salud se regirá por</w:t>
        <w:br/>
        <w:t>los principios de equidad, universalidad, solidaridad, interculturalidad,</w:t>
        <w:br/>
        <w:t>calidad, eficiencia [y] eficacia, […]”. Asimismo, el artículo 363 dispone</w:t>
        <w:br/>
        <w:t>que “[e]l Estado [es] responsable de [f]ormular políticas públicas que</w:t>
        <w:br/>
        <w:t>garanticen la promoción, prevención, curación, rehabilitación y atención</w:t>
        <w:br/>
        <w:t>integral en salud”., (expediente de anexos al escrito de contestación,</w:t>
        <w:br/>
        <w:t>folios 2060 y 2154).</w:t>
        <w:br/>
        <w:t>[188]       Ley Orgánica de Salud (expediente de anexos al escrito de</w:t>
        <w:br/>
        <w:t>contestación, folio 2342). Esta norma establece, en parte, lo siguiente:</w:t>
        <w:br/>
        <w:t xml:space="preserve">  i.  Respecto al control de las prestaciones médicas, en su artículo 4:</w:t>
        <w:br/>
        <w:t xml:space="preserve">  “[l]a autoridad sanitaria nacional es el Ministerio de Salud Pública,</w:t>
        <w:br/>
        <w:t xml:space="preserve">  entidad a la que corresponde el ejercicio de las funciones de rectoría en</w:t>
        <w:br/>
        <w:t xml:space="preserve">  salud; así como la responsabilidad de la aplicación, control y vigilancia</w:t>
        <w:br/>
        <w:t xml:space="preserve">  del cumplimiento de [esa] Ley”. Asimismo, el artículo 6 dispone que:</w:t>
        <w:br/>
        <w:t xml:space="preserve">  “[e]s responsabilidad del Ministerio de Salud Pública: […] [r]egular,</w:t>
        <w:br/>
        <w:t xml:space="preserve">  vigilar, controlar y autorizar el funcionamiento de los establecimientos</w:t>
        <w:br/>
        <w:t xml:space="preserve">  y servicios de salud, públicos y privados, con y sin fines de lucro, y de</w:t>
        <w:br/>
        <w:t xml:space="preserve">  los demás sujetos a control sanitario”, dichas obligaciones también se</w:t>
        <w:br/>
        <w:t xml:space="preserve">  establecen en los artículos 180 y 181;</w:t>
        <w:br/>
        <w:t xml:space="preserve">  iii.     En lo referente a los derechos de los usuarios, el artículo 7</w:t>
        <w:br/>
        <w:t xml:space="preserve">  reconoce y regula diversos derechos de los pacientes. Asimismo,  el</w:t>
        <w:br/>
        <w:t xml:space="preserve">  artículo 9 establece que: “[c]orresponde al Estado garantizar el derecho</w:t>
        <w:br/>
        <w:t xml:space="preserve">  a la salud de las personas, para lo cual tiene, entre otras, las</w:t>
        <w:br/>
        <w:t xml:space="preserve">  siguientes responsabilidades: […] [i]mpulsar la participación de la</w:t>
        <w:br/>
        <w:t xml:space="preserve">  sociedad en el cuidado de la salud individual y colectiva; y establecer</w:t>
        <w:br/>
        <w:t xml:space="preserve">  mecanismos de veeduría y rendición de cuentas en las instituciones</w:t>
        <w:br/>
        <w:t xml:space="preserve">  públicas y privadas involucradas”;</w:t>
        <w:br/>
        <w:t xml:space="preserve">  vi. En cuanto a la regulación del ejercicio de la profesión médica, el</w:t>
        <w:br/>
        <w:t xml:space="preserve">  artículo 194 establece que: “[p]ara ejercer como profesional de salud, se</w:t>
        <w:br/>
        <w:t xml:space="preserve">  requiere haber obtenido título universitario de tercer nivel, conferido</w:t>
        <w:br/>
        <w:t xml:space="preserve">  por una de las universidades establecidas y reconocidas legalmente en el</w:t>
        <w:br/>
        <w:t xml:space="preserve">  país, o por una del exterior, revalidado y refrendado. En uno y otro caso</w:t>
        <w:br/>
        <w:t xml:space="preserve">  debe estar registrado ante el Consejo Nacional de Enseñanza Superior</w:t>
        <w:br/>
        <w:t xml:space="preserve">  Universitaria Privada (CONESUP) y por la autoridad sanitaria nacional”.</w:t>
        <w:br/>
        <w:t xml:space="preserve">  En adición, el artículo 199 otorga competencias a la autoridad sanitaria</w:t>
        <w:br/>
        <w:t xml:space="preserve">  nacional a los efectos investigar y sancionar la práctica ilegal de la</w:t>
        <w:br/>
        <w:t xml:space="preserve">  medicina.</w:t>
        <w:br/>
        <w:t>[189]       Cfr. Informe de las labores de la Defensoría del Pueblo del año</w:t>
        <w:br/>
        <w:t>2009, y el Primer Informe de las condiciones de las áreas de neonatología</w:t>
        <w:br/>
        <w:t>en Hospitales Públicos del Ecuador, 22 de marzo de 2011. En ese mismo</w:t>
        <w:br/>
        <w:t>sentido, cfr. Información proporcionada por la Defensoría del Pueblo</w:t>
        <w:br/>
        <w:t>(expediente de anexos a los alegatos finales, folios 3207 a 3216); y</w:t>
        <w:br/>
        <w:t>alegatos finales de los representantes (expediente de fondo, folios 800 a</w:t>
        <w:br/>
        <w:t>810).</w:t>
        <w:br/>
        <w:t>[190]       El artículo 174 del Código de Salud dispone que “[p]ara el</w:t>
        <w:br/>
        <w:t>ejercicio de las profesiones de médico cirujano […] se requiere haber</w:t>
        <w:br/>
        <w:t>obtenido el título académico otorgado o revalidado por las universidades,</w:t>
        <w:br/>
        <w:t>los institutos técnicos superiores u otros centros de formación debidamente</w:t>
        <w:br/>
        <w:t>autorizados. Dichos títulos deb[ían] ser registrados en el Consejo Nacional</w:t>
        <w:br/>
        <w:t>de Educación Superior CONESUP, en el Registro Nacional de Profesiones</w:t>
        <w:br/>
        <w:t>Médicas del Ministerio de Salud Pública y en la Dirección Provincial de</w:t>
        <w:br/>
        <w:t>Salud de la circunscripción geográfica donde se vaya a ejercer la</w:t>
        <w:br/>
        <w:t>profesión” (expediente de anexos a la contestación, folio 2411)</w:t>
        <w:br/>
        <w:t>[191]       Respuesta emitida por el Ministerio de Salud Pública el 8 de</w:t>
        <w:br/>
        <w:t>febrero de 2013 (expediente de fondo, folio 759). La Corte nota que este</w:t>
        <w:br/>
        <w:t>Certificado contiene únicamente firma electrónica.</w:t>
        <w:br/>
        <w:t>[192]       Pregunta de los Jueces Roberto Figueiredo Caldas y Manuel</w:t>
        <w:br/>
        <w:t>Ventura Robles en la Audiencia Pública celebrada en este caso; y solicitud</w:t>
        <w:br/>
        <w:t>de prueba para mejor resolver (expediente de fondo, folios 771 a 775).</w:t>
        <w:br/>
        <w:t>[193]        Asimismo, la Corte observa que al momento de los hechos se</w:t>
        <w:br/>
        <w:t>encontraba en vigencia el Convenio de Cooperación Científico Técnica en</w:t>
        <w:br/>
        <w:t>materia de Salud entre el Ministerio de Salud Pública de la República del</w:t>
        <w:br/>
        <w:t>Ecuador y el Ministerio de Salud Pública de la República de Cuba, de 22 de</w:t>
        <w:br/>
        <w:t>septiembre de 1999 (expediente de anexos a los alegatos finales, folio</w:t>
        <w:br/>
        <w:t>3162).</w:t>
        <w:br/>
        <w:t>[194]       Cfr. Caso Ximenes Lopes, supra, párrs. 95 y 96, 138 y 139, y</w:t>
        <w:br/>
        <w:t>141.</w:t>
        <w:br/>
        <w:t>[195]       Caso Ximenes Lopes, supra, párr. 95.</w:t>
        <w:br/>
        <w:t>[196]       Caso Ximenes Lopes, supra, párr. 96.</w:t>
        <w:br/>
        <w:t>[197]       Wilson Minchala testificó que: “alquil[ó] el Quirófano de la</w:t>
        <w:br/>
        <w:t>Clínica Minchala de la cual [es] su Director Propietario, a la Dra. Jenny</w:t>
        <w:br/>
        <w:t>Bohórquez, por tratarse de una cirugía de emergencia (apendicitis), como</w:t>
        <w:br/>
        <w:t>consta en la Historia Clínica No 975, por lo que nunca examin[ó] ni</w:t>
        <w:br/>
        <w:t>cono[ció] a la paciente en mención por lo que no [era] paciente [suya] y</w:t>
        <w:br/>
        <w:t>como consta en autos, la paciente fue examinada en consulta externa del</w:t>
        <w:br/>
        <w:t>Policlínico de la Comisión de Tránsito de Guayas”[198]. Por otra parte,</w:t>
        <w:br/>
        <w:t>también declaró que los médicos Emilio Guerrero y Jenny Bohórquez convivían</w:t>
        <w:br/>
        <w:t>en el mismo domicilio, y que “descono[cía] si est[aba] autorizado  o no de</w:t>
        <w:br/>
        <w:t>ejercer la profesión de médico en nuestro país, pero en la Clínica de [su]</w:t>
        <w:br/>
        <w:t>propiedad, no consta[ba] como cirujano principal para realizar cirugía”.</w:t>
        <w:br/>
        <w:t>Testimonio indagatorio de Wilson Minchala de 19 de octubre de 2001, supra.</w:t>
        <w:br/>
        <w:t>[199]       Testimonio de Jenny Bohórquez de 13 de noviembre de 2001,</w:t>
        <w:br/>
        <w:t>supra.</w:t>
        <w:br/>
        <w:t>[200]       Auto Cabeza del Proceso de 13 de agosto de 2000 (expediente de</w:t>
        <w:br/>
        <w:t>anexos al informe de fondo, folios 26 a 28).</w:t>
        <w:br/>
        <w:t>[201]       El artículo 213 del Código de Salud, 1971, establece que.-</w:t>
        <w:br/>
        <w:t>Recibido un parte, informe o denuncia del que pueda desprenderse que se ha</w:t>
        <w:br/>
        <w:t>cometido alguna infracción penada por este Código, el Comisario de Salud</w:t>
        <w:br/>
        <w:t>dictará un auto inicial que contendrá […]” (expediente de anexos al escrito</w:t>
        <w:br/>
        <w:t>de contestación, folio 2415).</w:t>
        <w:br/>
        <w:t>[202]       Escrito presentado por Melba Peralta el 7 de junio de 2001</w:t>
        <w:br/>
        <w:t>(expediente de anexos al informe de fondo, folio 71).</w:t>
        <w:br/>
        <w:t>[203]       Cfr. Solicitud de prueba para mejor resolver, supra, folios 771</w:t>
        <w:br/>
        <w:t>a 776.</w:t>
        <w:br/>
        <w:t>[204]       Cfr. Oficio MSP-DGS-2013-00418, Información proporcionada por</w:t>
        <w:br/>
        <w:t>el Ministerio de Salud (expediente de anexos a los alegatos finales, folios</w:t>
        <w:br/>
        <w:t>3182 a 3205).</w:t>
        <w:br/>
        <w:t>[205]       Cfr. Caso Ximenes Lopes, supra, párr. 141.</w:t>
        <w:br/>
        <w:t>[206]       Cfr. Caso Albán Cornejo y otros, supra, párr. 119.</w:t>
        <w:br/>
        <w:t>[207]       Cfr. Naciones Unidas, Consejo Económico y Social, Comité de</w:t>
        <w:br/>
        <w:t>Derechos Económicos, Sociales y Culturales. Observación General Número 14,</w:t>
        <w:br/>
        <w:t>supra, párrs. 12 y 35.</w:t>
        <w:br/>
        <w:t>[208]       Caso Albán Cornejo y otros, supra, párr. 119.</w:t>
        <w:br/>
        <w:t>[209]       Cfr. TEDH. Caso Storck Vs. Alemania, No. 61603/00. Sección</w:t>
        <w:br/>
        <w:t>Tercera. Sentencia de 16 de junio de 2005, párr. 103. En dicho caso, el</w:t>
        <w:br/>
        <w:t>Tribunal Europeo estableció que: “El Estado tiene la obligación de asegurar</w:t>
        <w:br/>
        <w:t>a sus ciudadanos su derecho a la integridad física, bajo el artículo 8 de</w:t>
        <w:br/>
        <w:t>la Convención [Europea de Derechos Humanos]. Con esa finalidad, existen</w:t>
        <w:br/>
        <w:t>hospitales administrados por el Estado, que coexisten con hospitales</w:t>
        <w:br/>
        <w:t>privados. El Estado no puede absolverse completamente de su responsabilidad</w:t>
        <w:br/>
        <w:t>al delegar sus obligaciones en esa esfera a individuos u organismos</w:t>
        <w:br/>
        <w:t>privados. […][E]l Estado mant[iene] el deber de ejercer la supervisión y el</w:t>
        <w:br/>
        <w:t>control sobre instituciones […]  privadas. Tales instituciones, […]</w:t>
        <w:br/>
        <w:t>necesitan no sólo una licencia, sino también una supervisión competente y</w:t>
        <w:br/>
        <w:t>frecuente, para averiguar si el confinamiento y el tratamiento médico están</w:t>
        <w:br/>
        <w:t>justificados.”</w:t>
        <w:br/>
        <w:t>[210]       Cfr. Naciones Unidas, Consejo  Económico  y  Social,  Comité  de</w:t>
        <w:br/>
        <w:t>Derechos Económicos, Sociales y Culturales. Observación General  Número  14,</w:t>
        <w:br/>
        <w:t>supra, párr. 12. A este respecto, dicho Comité señaló que:</w:t>
        <w:br/>
        <w:t xml:space="preserve">   El derecho a la salud en todas sus formas y a todos los  niveles  abarca</w:t>
        <w:br/>
        <w:t xml:space="preserve">   los siguientes elementos esenciales e interrelacionados, cuya aplicación</w:t>
        <w:br/>
        <w:t xml:space="preserve">   dependerá de las condiciones prevalecientes  en  un  determinado  Estado</w:t>
        <w:br/>
        <w:t xml:space="preserve">   Parte:</w:t>
        <w:br/>
        <w:t xml:space="preserve">   a) Disponibilidad.  Cada  Estado  Parte  deberá  contar  con  un  número</w:t>
        <w:br/>
        <w:t xml:space="preserve">   suficiente de establecimientos, bienes y servicios públicos de  salud  y</w:t>
        <w:br/>
        <w:t xml:space="preserve">   centros de atención de la salud, así como de programas [E]sos  servicios</w:t>
        <w:br/>
        <w:t xml:space="preserve">   incluirán los factores determinantes básicos  de  la  salud,  como  agua</w:t>
        <w:br/>
        <w:t xml:space="preserve">   limpia potable y condiciones sanitarias adecuadas, hospitales,  clínicas</w:t>
        <w:br/>
        <w:t xml:space="preserve">   y demás establecimientos relacionados con la salud,  personal  médico  y</w:t>
        <w:br/>
        <w:t xml:space="preserve">   profesional capacitado […];</w:t>
        <w:br/>
        <w:t xml:space="preserve">   b) Accesibilidad. Los establecimientos,  bienes  y  servicios  de  salud</w:t>
        <w:br/>
        <w:t xml:space="preserve">   deben ser accesibles a todos, sin discriminación alguna,  dentro  de  la</w:t>
        <w:br/>
        <w:t xml:space="preserve">   jurisdicción del Estado Parte;</w:t>
        <w:br/>
        <w:t xml:space="preserve">   c) Aceptabilidad. Todos los  establecimientos,  bienes  y  servicios  de</w:t>
        <w:br/>
        <w:t xml:space="preserve">   salud deberán  ser  respetuosos  de  la  ética  médica  y  culturalmente</w:t>
        <w:br/>
        <w:t xml:space="preserve">   apropiados,  […]  y  deberán   estar   concebidos   para   respetar   la</w:t>
        <w:br/>
        <w:t xml:space="preserve">   confidencialidad y mejorar el estado de salud de las personas de que  se</w:t>
        <w:br/>
        <w:t xml:space="preserve">   trate;</w:t>
        <w:br/>
        <w:t xml:space="preserve">   d) Calidad. Además de aceptables desde el punto de vista  cultural,  los</w:t>
        <w:br/>
        <w:t xml:space="preserve">   establecimientos, bienes  y  servicios  de  salud  deberán  ser  también</w:t>
        <w:br/>
        <w:t xml:space="preserve">   apropiados desde el punto de vista científico y médico y  ser  de  buena</w:t>
        <w:br/>
        <w:t xml:space="preserve">   calidad. Ello requiere, entre otras cosas, personal  médico  capacitado,</w:t>
        <w:br/>
        <w:t xml:space="preserve">   medicamentos y equipo hospitalario científicamente aprobados y  en  buen</w:t>
        <w:br/>
        <w:t xml:space="preserve">   estado, agua limpia potable y condiciones sanitarias adecuadas.</w:t>
        <w:br/>
        <w:t>[211]       Cfr. Caso Ximenes Lopes, supra, párr. 99. Ver también; Naciones</w:t>
        <w:br/>
        <w:t>Unidas, Consejo Económico y Social, Comité de Derechos Económicos, Sociales</w:t>
        <w:br/>
        <w:t>y Culturales. Observación General Número 14, supra, párrs. 12, 33, 35, 36 y</w:t>
        <w:br/>
        <w:t>51.</w:t>
        <w:br/>
        <w:t>[212]       Naciones Unidas, Consejo Económico y Social, Comité de  Derechos</w:t>
        <w:br/>
        <w:t>Económicos, Sociales y Culturales. Observación  General  Número  14,  supra,</w:t>
        <w:br/>
        <w:t>párr. 12.</w:t>
        <w:br/>
        <w:t>[213]       En su declaración rendida durante la audiencia pública el 11 de</w:t>
        <w:br/>
        <w:t>febrero de 2013, la señora Melba Suárez Peralta afirmó que: “[su]s niños</w:t>
        <w:br/>
        <w:t>estaba[n] pequeños, […]desde que [ha] padecido hasta ahora […] no les</w:t>
        <w:br/>
        <w:t>pued[e] atender, […] [sus] niños han padecido mucho […]. [Su] esposo […] ha</w:t>
        <w:br/>
        <w:t>padecido con [ella] a cada rato”.</w:t>
        <w:br/>
        <w:t>[214]       Informe del señor Eduardo Tigua Castro (expediente de anexos al</w:t>
        <w:br/>
        <w:t>escrito de solicitudes, argumentos y pruebas, folios 1964 a 1966).  La</w:t>
        <w:br/>
        <w:t>Corte observa que no se aportaron las declaraciones del testigo Eduardo</w:t>
        <w:br/>
        <w:t>Tigua Castro rendidas ante fedatario público (affidavit), las cuales fueron</w:t>
        <w:br/>
        <w:t>ofrecidas por el representante de las presuntas víctimas y solicitadas</w:t>
        <w:br/>
        <w:t>mediante Resolución del Presidente de 20 de diciembre de 2012, supra.</w:t>
        <w:br/>
        <w:t>[215]       Cfr. Caso de la “Masacre de Mapiripan”, supra, párrs. 144 y</w:t>
        <w:br/>
        <w:t>146, y Caso de la Masacre de Pueblo Bello, supra, párr. 154.</w:t>
        <w:br/>
        <w:t>[216]       Cfr. Caso Blake Vs. Guatemala. Fondo. Sentencia de 24 de enero</w:t>
        <w:br/>
        <w:t>de 1998. Serie C No. 36, párr. 114, y Caso García y Familiares, supra,</w:t>
        <w:br/>
        <w:t>párr. 161.</w:t>
        <w:br/>
        <w:t>[217]       Caso Aloeboetoe y otros Vs. Suriname. Reparaciones y Costas.</w:t>
        <w:br/>
        <w:t>Sentencia de 10 de septiembre de 1993. Serie C No. 15, párr. 76.</w:t>
        <w:br/>
        <w:t>[218]       Cfr. Caso Ximenes Lópes, supra, párrs. 156 a 163, y Caso Vera</w:t>
        <w:br/>
        <w:t>Vera y otra, supra, párrs. 100 a 105.</w:t>
        <w:br/>
        <w:t>[219]       Informe del señor Eduardo Tigua Castro (expediente de anexos al</w:t>
        <w:br/>
        <w:t>escrito de solicitudes, argumentos y pruebas, folios 1964 a 1966).</w:t>
        <w:br/>
        <w:t>[220] El artículo 63.1 de la Convención dispone que “[c]uando decida que</w:t>
        <w:br/>
        <w:t>hubo violación de un derecho o libertad protegidos en [la] Convención, la</w:t>
        <w:br/>
        <w:t>Corte dispondrá que se garantice al lesionado en el goce de su derecho o</w:t>
        <w:br/>
        <w:t>libertad conculcados. Dispondrá asimismo, si ello fuera procedente, que se</w:t>
        <w:br/>
        <w:t>reparen las consecuencias de la medida o situación que ha configurado la</w:t>
        <w:br/>
        <w:t>vulneración de esos derechos y el pago de una justa indemnización a la</w:t>
        <w:br/>
        <w:t>parte lesionada”.</w:t>
        <w:br/>
        <w:t>[221]       Cfr. Caso Velásquez Rodríguez, Reparaciones y Costas. Sentencia</w:t>
        <w:br/>
        <w:t>de 21 de julio de 1989. Serie C No. 7, párr. 25, y Caso Masacre de Santo</w:t>
        <w:br/>
        <w:t>Domingo, supra, párr. 290.</w:t>
        <w:br/>
        <w:t>[222]       Cfr. Caso Velásquez Rodríguez, Reparaciones, y Costas, supra,</w:t>
        <w:br/>
        <w:t>párrs. 25 a 27, y Caso García y Familiares, supra, párr. 191.</w:t>
        <w:br/>
        <w:t>[223]       Caso Ticona Estrada Vs. Bolivia. Fondo, Reparaciones y Costas.</w:t>
        <w:br/>
        <w:t>Sentencia de 27 de noviembre de 2008. Serie C No. 191, párr. 110, y Caso</w:t>
        <w:br/>
        <w:t>Masacre de Santo Domingo, supra, párr. 291.</w:t>
        <w:br/>
        <w:t>[224] Cfr. Caso de la “Masacre de Mapiripán”, supra, párr. 294, y Caso</w:t>
        <w:br/>
        <w:t>Masacre de Santo Domingo, supra, párr. 292.</w:t>
        <w:br/>
        <w:t>[225]       Cfr. Caso Bayarri Vs. Argentina. Excepción Preliminar, Fondo,</w:t>
        <w:br/>
        <w:t>Reparaciones y Costas. Sentencia de 30 de octubre de 2008. Serie C No. 187,</w:t>
        <w:br/>
        <w:t>párr. 126, y Caso Nadege Dorzema, supra, párr. 244.</w:t>
        <w:br/>
        <w:t>[226]       Cfr. Caso De la Masacre de las Dos Erres, supra, párr. 233, y</w:t>
        <w:br/>
        <w:t>Caso Masacres de El Mozote y lugares aledaños Vs. El Salvador. Fondo,</w:t>
        <w:br/>
        <w:t>Reparaciones y Costas. Sentencia de 25 de octubre de 2012 Serie C No. 252,</w:t>
        <w:br/>
        <w:t>párr. 325.</w:t>
        <w:br/>
        <w:t>[227]       Informe respecto al proceso administrativo seguido contra el ex</w:t>
        <w:br/>
        <w:t>juez (expediente de anexos al escrito de contestación, folios 2241 a 2251).</w:t>
        <w:br/>
        <w:t>[228]       Cfr. Caso Vera Vera y otra, supra, párrs. 117 y 118 y Caso</w:t>
        <w:br/>
        <w:t>Vélez Restrepo y Familiares Vs. Colombia. Excepciones Preliminares, Fondo</w:t>
        <w:br/>
        <w:t>Reparaciones y Costas. Sentencia de 3 de septiembre de 2012. Serie  C No.</w:t>
        <w:br/>
        <w:t>248, párr. 282.</w:t>
        <w:br/>
        <w:t>[229]       Cfr. Caso Albán Cornejo y otros, supra, párr. 111, y Caso Vélez</w:t>
        <w:br/>
        <w:t>Restrepo y Familiares, supra, párr. 283.</w:t>
        <w:br/>
        <w:t>[230]       Cfr. Caso Barrios Altos Vs. Perú. Fondo. Sentencia de 14 de</w:t>
        <w:br/>
        <w:t>marzo de 2001. Serie C No. 75, párr. 41 y Caso Vélez Restrepo y Familiares</w:t>
        <w:br/>
        <w:t>Vs. Colombia, supra, párr. 283.</w:t>
        <w:br/>
        <w:t>[231]       Cfr. Caso El Amparo Vs. Venezuela. Reparaciones y Costas.</w:t>
        <w:br/>
        <w:t>Sentencia de 14 de septiembre de 1996. Serie C No. 28, párr. 35, y Caso</w:t>
        <w:br/>
        <w:t>Masacre de Santo Domingo, supra, párr. 323.</w:t>
        <w:br/>
        <w:t>[232]       Cfr. Caso Fontevecchia y D’Amico Vs. Argentina. Fondo,</w:t>
        <w:br/>
        <w:t>Reparaciones y Costas. Sentencia de 29 de noviembre de 2011. Serie C No.</w:t>
        <w:br/>
        <w:t>238, párr. 110.</w:t>
        <w:br/>
        <w:t>[233]       Cfr. Caso Cantoral Benavides Vs. Perú. Reparaciones y Costas.</w:t>
        <w:br/>
        <w:t>Sentencia de 3 de diciembre de 2001. Serie C No. 88, párr. 79, y Caso</w:t>
        <w:br/>
        <w:t>Masacres de Río Negro Vs. Guatemala. Excepción Preliminar, fondo,</w:t>
        <w:br/>
        <w:t>Reparaciones y Costas. Sentencia de 4 de septiembre de 2012. Serie C No.</w:t>
        <w:br/>
        <w:t>250, párr. 287.</w:t>
        <w:br/>
        <w:t>[234] Cfr. Caso Loayza Tamayo Vs. Perú. Reparaciones y Costas. Sentencia de</w:t>
        <w:br/>
        <w:t>27 de noviembre de 1998. Serie C No. 42, párr. 150, y Caso Furlan y</w:t>
        <w:br/>
        <w:t>Familiares Vs. Argentina. Excepciones Preliminares, Fondo, Reparaciones y</w:t>
        <w:br/>
        <w:t>Costas. Sentencia de 31 de agosto de 2012 Serie C No. 246, párr. 285.</w:t>
        <w:br/>
        <w:t>[235]       Cfr. Caso Furlan y Familiares, supra, párr. 285.</w:t>
        <w:br/>
        <w:t>[236]       Cfr. Caso Ticona Estrada y otros, supra, y Caso Fontevecchia y</w:t>
        <w:br/>
        <w:t>D’Amico, supra, párr. 99.</w:t>
        <w:br/>
        <w:t>[237]       Cfr. Caso Velásquez Rodríguez, Reparaciones y Costas, supra,</w:t>
        <w:br/>
        <w:t>párr. 166, y Caso Pueblo Indígena Kichwa de Sarayaku Vs. Ecuador. Fondo y</w:t>
        <w:br/>
        <w:t>Reparaciones. Sentencia de 27 de junio de 2012. Serie C No. 245, párr. 221.</w:t>
        <w:br/>
        <w:t>[238]       Cfr. Caso Velásquez Rodríguez, Reparaciones y Costas, supra,</w:t>
        <w:br/>
        <w:t>párr. 166, y Caso Artavia Murillo y otros (Fertilización in vitro), párr.</w:t>
        <w:br/>
        <w:t>334.</w:t>
        <w:br/>
        <w:t>[239]       El Estado señaló las siguientes normas: Art. 191.- La  autoridad</w:t>
        <w:br/>
        <w:t>sanitaria nacional implementará  procesos  de  regulación  y  control,  para</w:t>
        <w:br/>
        <w:t>evitar que las prácticas de las medicinas tradicionales atenten a  la  salud</w:t>
        <w:br/>
        <w:t>de las personas; Art. 192.- Los integrantes del Sistema  Nacional  de  Salud</w:t>
        <w:br/>
        <w:t>respetarán y promoverán el desarrollo de las medicinas  alternativas  en  el</w:t>
        <w:br/>
        <w:t>marco de la atención integral de salud.  Las  medicinas  alternativas  deben</w:t>
        <w:br/>
        <w:t>ser ejercidas por profesionales  de  la  salud  con  títulos  reconocidos  y</w:t>
        <w:br/>
        <w:t>certificados por el  CONESUP  y  registrados  ante  la  autoridad  sanitaria</w:t>
        <w:br/>
        <w:t>nacional. Las terapias alternativas requieren para su ejercicio, el  permiso</w:t>
        <w:br/>
        <w:t>emitido por  la  autoridad  sanitaria  nacional;  Art.  196.-  La  autoridad</w:t>
        <w:br/>
        <w:t>sanitaria nacional analizará los  distintos  aspectos  relacionados  con  la</w:t>
        <w:br/>
        <w:t>formación de recursos humanos en salud, teniendo en cuenta  las  necesidades</w:t>
        <w:br/>
        <w:t>nacionales y locales, con la finalidad de promover entre  las  instituciones</w:t>
        <w:br/>
        <w:t>formadoras de recursos humanos en salud, reformas en los planes y  programas</w:t>
        <w:br/>
        <w:t>de  formación  y  capacitación;  Art.  20  l.-  Es  responsabilidad  de  los</w:t>
        <w:br/>
        <w:t>profesionales  de  salud,  brindar  atención  de  calidad,  con  calidez   y</w:t>
        <w:br/>
        <w:t>eficacia, en el ámbito de sus  competencias,  buscando  el  mayor  beneficio</w:t>
        <w:br/>
        <w:t>para la salud de sus pacientes y de la población,  respetando  los  derechos</w:t>
        <w:br/>
        <w:t>humanos y los principios bioéticos. Es su deber exigir  condiciones  básicas</w:t>
        <w:br/>
        <w:t>para el cumplimiento de lo señalado en  el  inciso  precedente.  Art.  202.-</w:t>
        <w:br/>
        <w:t>Constituye infracción en el ejercicio de  las  profesiones  de  salud,  todo</w:t>
        <w:br/>
        <w:t>acto individual e intransferible, no justificado,  que  genere  daño  en  el</w:t>
        <w:br/>
        <w:t>paciente y sea resultado de: a) Inobservancia  en  el  cumplimiento  de  las</w:t>
        <w:br/>
        <w:t>normas; b) Impericia en la actuación del profesional de la salud  con  falta</w:t>
        <w:br/>
        <w:t>total o parcial de conocimientos técnicos o experiencia; c)  Imprudencia  en</w:t>
        <w:br/>
        <w:t>la actuación  del  profesional  de  la  salud  con  omisión  del  cuidado  o</w:t>
        <w:br/>
        <w:t>diligencia exigible; y, d) Negligencia, en la actuación del  profesional  de</w:t>
        <w:br/>
        <w:t>la salud con omisión o demora injustificada en  su  obligación  profesional;</w:t>
        <w:br/>
        <w:t>Art. 203.- Los servicios de salud serán corresponsables  civilmente  de  las</w:t>
        <w:br/>
        <w:t>actuaciones de los profesionales de la salud que laboran en ellos.</w:t>
        <w:br/>
        <w:t>[240]       Caso Albán Cornejo y otros, supra, párr. 7.</w:t>
        <w:br/>
        <w:t>[241]       Caso Albán Cornejo y otros Vs. Ecuador. Supervisión de</w:t>
        <w:br/>
        <w:t>Cumplimiento de Sentencia. Resolución de la Corte Interamericana de</w:t>
        <w:br/>
        <w:t>Derechos Humanos de 5 de febrero de 2013, párr. 19.</w:t>
        <w:br/>
        <w:t>[242]       El representante desglosó los gastos por daño material de la</w:t>
        <w:br/>
        <w:t>siguiente forma: “1) Hospitalización por apendicitis- Clínica Minchala</w:t>
        <w:br/>
        <w:t>$2.000,00; 2) Hospitalización por mala práctica médica- Hospital Luis</w:t>
        <w:br/>
        <w:t>Vernaza $50.000,00; 3) Operación de corrección de heridas-Medi Houston</w:t>
        <w:br/>
        <w:t>Medica l Center $20.000,00; 4) Tratamiento-CEMEFA $300,00; 5) Tratamiento</w:t>
        <w:br/>
        <w:t>continuo-CEMEFA $80,00; 6) Internada de emergencia-Clínica KENNEDY $150,00;</w:t>
        <w:br/>
        <w:t>7) Atendida de emergencia-Clínica MORENO $120,00; 8) Internada de</w:t>
        <w:br/>
        <w:t>emergencia – PUNTO MÉDICO FAMILIAR $586,19; 9) Atendida de emergencia –</w:t>
        <w:br/>
        <w:t>PUNTO MÉDICO FAMILIAR $118,48; 10) Hospitalización – Clínica SAN FRANCISCO</w:t>
        <w:br/>
        <w:t>$630,89; 11) Hospitalizada en la clínica SAN FRANCISCO $527,27; 12)</w:t>
        <w:br/>
        <w:t>Ingresada de emergencia en la clínica san francisco noviembre /2008</w:t>
        <w:br/>
        <w:t>$180,00; 13) Hospitalizada de emergencia 2 ocasiones clínica Alcívar</w:t>
        <w:br/>
        <w:t>$8.045,08; 14) Operación realizada de adherencia en clínica Alcívar</w:t>
        <w:br/>
        <w:t>$7.345,50; 15) Limpieza de adherencias en clínica Alcívar $1.500,00; 16)</w:t>
        <w:br/>
        <w:t>Préstamo al Sr. Luis Azanza Azanza $11.800,00; 17) Préstamo al Sr. Stalin</w:t>
        <w:br/>
        <w:t>Intriago burgos $8.000,00; 18) Préstamo al Luis Humberto Córdova Ramos</w:t>
        <w:br/>
        <w:t>$8.500,00; 19) Venta de casa Melba Suárez Peralta $28.000,00; 20) Venta de</w:t>
        <w:br/>
        <w:t>Jeep Hyundai Tucson 2005 $20.990,00; 21) Venta de vehículo placa GNX-577</w:t>
        <w:br/>
        <w:t>$12.810,00; 22) Venta de vehículo placa GPB-969 $12.810,00; 23) Prestamos a</w:t>
        <w:br/>
        <w:t>la Caja de cesantía de Cuerpos Vigilantes de la CTE $20.902,04; 24)</w:t>
        <w:br/>
        <w:t>Prestamos a Banco Cooperativa Nacional $18.340,00; 25) Prestamos a COOPCCP</w:t>
        <w:br/>
        <w:t>Cooperativa Financiera $14.000,00; 26) Prestamos a Banco Solidario</w:t>
        <w:br/>
        <w:t>$4.005,61; 27) Prestamos a Cooperativa de Ahorro y crédito de la CTE</w:t>
        <w:br/>
        <w:t>$6.540,00; 28) Alquiler de inmueble del año 2009/2010/2011 $12.040,00; 29)</w:t>
        <w:br/>
        <w:t>Deuda de Instituciones Financieras Master Card $1.413,14; 30) Deuda de</w:t>
        <w:br/>
        <w:t>Instituciones Financieras Dinners Club del Ecuador $6.086,09; 31) Deuda de</w:t>
        <w:br/>
        <w:t>Instituciones Financieras Banco de Pichincha $923,12; 32) Deuda de</w:t>
        <w:br/>
        <w:t>Instituciones Financieras Banco de Guayaquil $2.410,16; 33) Deuda de</w:t>
        <w:br/>
        <w:t>Instituciones Financieras Hospital Clínica Alcívar $273,00, y 34) Gastos</w:t>
        <w:br/>
        <w:t>generales de tratamiento de queratocono del niño Gandy Cerezo $20.000,00”.</w:t>
        <w:br/>
        <w:t>[243] El representante señaló que, en el presente caso, el daño inmaterial</w:t>
        <w:br/>
        <w:t>debe ser analizado en función de las siguientes circunstancias: a) la</w:t>
        <w:br/>
        <w:t>operación realizada a la señora Suárez Peralta en julio del año 2000; b)</w:t>
        <w:br/>
        <w:t>las secuelas postoperatorias permanentes debido a las adherencias que</w:t>
        <w:br/>
        <w:t>continuamente se forman en el intestino de la señora Suárez Peralta; c) el</w:t>
        <w:br/>
        <w:t>dolor físico y la aflicción producto de las operaciones subsiguientes y la</w:t>
        <w:br/>
        <w:t>rehabilitación; d) la angustia y ansiedad producto de la cesación de las</w:t>
        <w:br/>
        <w:t>actividades laborales de la señora Suárez Peralta, y e) las afectaciones</w:t>
        <w:br/>
        <w:t>sufridas por sus familiares.</w:t>
        <w:br/>
        <w:t>[244] Al respecto, el Estado manifestó que “la empresa que supuestamente</w:t>
        <w:br/>
        <w:t>poseía la señora Melba Suárez dedicada al alquiler de vehículos denominada</w:t>
        <w:br/>
        <w:t>"Melba Suárez” […] no se encuentra registrada como compañía en el Registro</w:t>
        <w:br/>
        <w:t>Mercantil del Cantón Duran ni en la ciudad de Guayaquil, y tampoco existe</w:t>
        <w:br/>
        <w:t>como compañía registrada en la Superintendencia de Compañías, es decir esta</w:t>
        <w:br/>
        <w:t>compañía nunca existió ni existe”. Adicionalmente, indicó que “los</w:t>
        <w:br/>
        <w:t>contribuyentes Melba del Carmen Suárez Peralta y el señor Dennis Edgar</w:t>
        <w:br/>
        <w:t>Cerezo Cervantes no han presentado declaración alguna del impuesto a la</w:t>
        <w:br/>
        <w:t>renta, es decir que los supuestos ingresos de la señora Suárez nunca fueron</w:t>
        <w:br/>
        <w:t>registrados por las autoridades tributarias ecuatorianas [y] en</w:t>
        <w:br/>
        <w:t>consecuencia carecen de sustento alguno”. Por consiguiente, el Estado</w:t>
        <w:br/>
        <w:t>“impugn[ó] todo lo solicitado por lucro cesante”.</w:t>
        <w:br/>
        <w:t>[245]       Caso Bámaca Velásquez Vs. Guatemala. Reparaciones y Costas.</w:t>
        <w:br/>
        <w:t>Sentencia de 22 de febrero de 2002. Serie C No. 91, párr. 43, y Caso</w:t>
        <w:br/>
        <w:t>Artavia Murillo y otros ("Fecundación in vitro"), supra, párr. 349.</w:t>
        <w:br/>
        <w:t>[246]       Cfr. Caso de los Niños de la Calle (Villagrán morales y otros)</w:t>
        <w:br/>
        <w:t>Vs. Guatemala.  Reparaciones y Costas. Sentencia de 26 de mayo de 2001.</w:t>
        <w:br/>
        <w:t>Serie C No. 77, párr. 84, y Caso García y Familiares, supra, párr. 224.</w:t>
        <w:br/>
        <w:t>[247]            Cfr. Caso Garrido y Baigorria Vs. Argentina. Reparaciones</w:t>
        <w:br/>
        <w:t>y Costas. Sentencia de 27 de agosto de 1998. Serie C No. 39, párr. 39, y</w:t>
        <w:br/>
        <w:t>Caso Masacre Santo Domingo, supra, párr. 342.</w:t>
        <w:br/>
        <w:t>[248]       Cfr. Caso Chitay Nech y otros Vs. Guatemala. Excepciones</w:t>
        <w:br/>
        <w:t>Preliminares, Fondo, Reparaciones y Costas. Sentencia de 25 de mayo de</w:t>
        <w:br/>
        <w:t>2010. Serie C No. 212, párr. 287 y Caso Artavia Murillo y otros</w:t>
        <w:br/>
        <w:t>("Fecundación in vitro"), supra, párr. 372.</w:t>
        <w:br/>
        <w:t>[249]       Caso Suárez Peralta Vs. Ecuador. Excepciones Preliminares,</w:t>
        <w:br/>
        <w:t>Fondo, Reparaciones y Costas. Sentencia de 21 de mayo de 2013.</w:t>
        <w:br/>
        <w:br/>
        <w:t>[250]       Véase el párrafo 131 de la Sentencia, que textualmente señala</w:t>
        <w:br/>
        <w:t>que: “la Corte también considera pertinente recordar la interdependencia e</w:t>
        <w:br/>
        <w:t>indivisibilidad existente entre los derechos civiles y políticos y los</w:t>
        <w:br/>
        <w:t>económicos sociales y culturales, ya que deben ser entendidos integralmente</w:t>
        <w:br/>
        <w:t>como derechos humanos, sin jerarquía entre sí y exigibles en todos los</w:t>
        <w:br/>
        <w:t>casos ante aquellas autoridades que resulten competentes para ello”; lo</w:t>
        <w:br/>
        <w:t>anterior, siguiendo el precedente del Tribunal Interamericano en el Caso</w:t>
        <w:br/>
        <w:t>Acevedo Buendía y otros  (“Cesantes y Jubilados de la Contraloría”) Vs.</w:t>
        <w:br/>
        <w:t>Perú. Excepción Preliminar, Fondo, Reparaciones y Costas. Sentencia de 1 de</w:t>
        <w:br/>
        <w:t>julio de 2009 Serie C No. 198,  párr. 101.</w:t>
        <w:br/>
        <w:br/>
        <w:t>[251]       Cfr. Caso Acevedo Buendía y otros (“Cesantes y Jubilados de la</w:t>
        <w:br/>
        <w:t>Contraloría”), supra, párr. 16: “el Tribunal ha señalado anteriormente que</w:t>
        <w:br/>
        <w:t>los términos amplios en que está redactada la Convención indican que la</w:t>
        <w:br/>
        <w:t>Corte ejerce una jurisdicción plena sobre todos sus artículos y</w:t>
        <w:br/>
        <w:t>disposiciones”, y así decide entrar al fondo del asunto al desestimar la</w:t>
        <w:br/>
        <w:t>excepción preliminar planteada por el Estado, precisamente sobre la</w:t>
        <w:br/>
        <w:t>supuesta incompetencia de la Corte IDH respecto del artículo 26 de la</w:t>
        <w:br/>
        <w:t>Convención Americana.</w:t>
        <w:br/>
        <w:br/>
        <w:t>[252]       Cfr. el párr. 131 de la Sentencia, que hace referencia a la</w:t>
        <w:br/>
        <w:t>Carta de la OEA y en nota 192 establece: “El artículo 26 de la Convención</w:t>
        <w:br/>
        <w:t>Americana (Pacto de San José) refiere al desarrollo progresivo ‘de los</w:t>
        <w:br/>
        <w:t>derechos que se derivan de las normas económicas [y] sociales […],</w:t>
        <w:br/>
        <w:t>contendidas en la Carta de la [OEA] […] en la medida de los recursos</w:t>
        <w:br/>
        <w:t>disponibles, por vía legislativa u otros medios apropiados’. Contenido en</w:t>
        <w:br/>
        <w:t>dicha referencia se encuentra el derecho a la salud” (subrayado añadido).</w:t>
        <w:br/>
        <w:br/>
        <w:t>[253]       “Artículo 26. Desarrollo progresivo. Los Estados Partes se</w:t>
        <w:br/>
        <w:t>comprometen a adoptar providencias , tanto a nivel interno como mediante la</w:t>
        <w:br/>
        <w:t>cooperación internacional , especialmente económica y técnica, para lograr</w:t>
        <w:br/>
        <w:t>progresivamente la plena efectividad de los derechos que se derivan de las</w:t>
        <w:br/>
        <w:t>normas económicas, sociales y sobre educación, ciencia y cultura,</w:t>
        <w:br/>
        <w:t>contenidas en la Carta de la Organización de los Estados Americanos,</w:t>
        <w:br/>
        <w:t>reformada por el Protocolo de Buenos Aires, en la medida de los recursos</w:t>
        <w:br/>
        <w:t>disponibles, por vía legislativa u otros medios apropiados”.</w:t>
        <w:br/>
        <w:br/>
        <w:t>[254]       “Artículo 1. Obligación de Respetar los Derechos. Los Estados</w:t>
        <w:br/>
        <w:t>Partes en esta Convención se comprometen a respetar los derechos y</w:t>
        <w:br/>
        <w:t>libertades reconocidos en ella y a garantizar su libre y pleno ejercicio a</w:t>
        <w:br/>
        <w:t>toda persona que esté sujeta a su jurisdicción, sin discriminación alguna</w:t>
        <w:br/>
        <w:t>por motivos de raza, color, sexo, idioma, religión, opiniones políticas o</w:t>
        <w:br/>
        <w:t>de cualquier otra índole, origen nacional o social, posición económica,</w:t>
        <w:br/>
        <w:t>nacimiento o cualquier otra condición social”.</w:t>
        <w:br/>
        <w:br/>
        <w:t>[255]       “Artículo 2. Deber de Adoptar Disposiciones de Derecho Interno.</w:t>
        <w:br/>
        <w:t>Si el ejercicio de los derechos y libertades mencionados en el artículo 1</w:t>
        <w:br/>
        <w:t>no estuviere ya garantizado por disposiciones legislativas o de otro</w:t>
        <w:br/>
        <w:t>carácter, los Estados Partes se comprometen a adoptar, con arreglo a sus</w:t>
        <w:br/>
        <w:t>procedimientos constitucionales y a las disposiciones de esta Convención,</w:t>
        <w:br/>
        <w:t>las medidas legislativas o de otro carácter que fueren necesarias para</w:t>
        <w:br/>
        <w:t>hacer efectivos tales derechos y libertades”.</w:t>
        <w:br/>
        <w:br/>
        <w:t>[256]       Convención Americana: “Artículo 29. Normas de Interpretación.</w:t>
        <w:br/>
        <w:t>Ninguna disposición de la presente Convención puede ser interpretada en el</w:t>
        <w:br/>
        <w:t>sentido de: a) permitir a alguno de los Estados Partes, grupo o persona,</w:t>
        <w:br/>
        <w:t>suprimir el goce y ejercicio de los derechos y libertades reconocidos en la</w:t>
        <w:br/>
        <w:t>Convención o limitarlos en mayor medida que la prevista en ella; b) limitar</w:t>
        <w:br/>
        <w:t>el goce y ejercicio de cualquier derecho o libertad que pueda estar</w:t>
        <w:br/>
        <w:t>reconocido de acuerdo con las leyes de cualquiera de los Estados Partes o</w:t>
        <w:br/>
        <w:t>de acuerdo con otra convención en que sea parte uno de dichos Estados; c)</w:t>
        <w:br/>
        <w:t>excluir otros derechos y garantías que son inherentes al ser humano o que</w:t>
        <w:br/>
        <w:t>se derivan de la forma democrática representativa de gobierno, y d) excluir</w:t>
        <w:br/>
        <w:t>o limitar el efecto que puedan producir la Declaración Americana de</w:t>
        <w:br/>
        <w:t>Derechos y Deberes del Hombre y otros actos internacionales de la misma</w:t>
        <w:br/>
        <w:t>naturaleza”.</w:t>
        <w:br/>
        <w:br/>
        <w:t>[257]       El artículo 34. i) de la Carta de la OEA establece entre los</w:t>
        <w:br/>
        <w:t>“objetivos básicos del desarrollo integral” la “defensa del potencial</w:t>
        <w:br/>
        <w:t>humano mediante la extensión y aplicación de los modernos conocimientos de</w:t>
        <w:br/>
        <w:t>la ciencia médica” (subrayado añadido).</w:t>
        <w:br/>
        <w:br/>
        <w:t>[258]       El artículo 45 de la Carta de la OEA señala: “Los Estados</w:t>
        <w:br/>
        <w:t>miembros (…( convienen en dedicar sus máximos esfuerzos a la aplicación de</w:t>
        <w:br/>
        <w:t>los siguientes principios y mecanismos: h) Desarrollo de una política</w:t>
        <w:br/>
        <w:t>eficiente de seguridad social”. En la Sentencia se utiliza este precepto en</w:t>
        <w:br/>
        <w:t>relación con el artículo 26 para derivar el derecho a la salud, véase el</w:t>
        <w:br/>
        <w:t>párr. 131 y la nota 176 de la Sentencia a que se refiere el presente voto</w:t>
        <w:br/>
        <w:t>razonado; si bien parece más relacionado sobre la temática el artículo 34.</w:t>
        <w:br/>
        <w:t>i) de la propia Carta de la OEA.</w:t>
        <w:br/>
        <w:br/>
        <w:t>[259]       Convención Americana: “Artículo XI. Toda persona tiene derecho</w:t>
        <w:br/>
        <w:t>a que su salud sea preservada por medidas sanitarias y sociales, relativas</w:t>
        <w:br/>
        <w:t>a la alimentación, el vestido, la vivienda y la asistencia médica,</w:t>
        <w:br/>
        <w:t>correspondientes al nivel que permitan los recursos públicos y los de la</w:t>
        <w:br/>
        <w:t>comunidad” (subrayado añadido).</w:t>
        <w:br/>
        <w:br/>
        <w:t>[260]       Convención Americana: “Artículo 25.1. Toda persona tiene</w:t>
        <w:br/>
        <w:t>derecho a un nivel de vida adecuado que le asegure, así como a su familia,</w:t>
        <w:br/>
        <w:t>la salud y el bienestar, y en especial la alimentación, el vestido, la</w:t>
        <w:br/>
        <w:t>vivienda, la asistencia médica y los servicios sociales necesarios…”.</w:t>
        <w:br/>
        <w:br/>
        <w:t>[261]       Expresamente se refiere a que no se puede limitar el efecto que</w:t>
        <w:br/>
        <w:t>puede producir la “Declaración Americana” y “otros actos internacionales de</w:t>
        <w:br/>
        <w:t>la misma naturaleza”.</w:t>
        <w:br/>
        <w:br/>
        <w:t>[262]       Por ejemplo, en el Caso de la “Masacre de Mapiripán” Vs.</w:t>
        <w:br/>
        <w:t>Colombia. Sentencia de 15 de septiembre de 2005. Serie C No. 134, párr.</w:t>
        <w:br/>
        <w:t>153, se estableció: “El contenido y alcances del artículo 19 de la</w:t>
        <w:br/>
        <w:t>Convención Americana deben ser precisados, en casos como el presente,</w:t>
        <w:br/>
        <w:t>tomando en consideración las disposiciones pertinentes de la Convención</w:t>
        <w:br/>
        <w:t>sobre los Derechos del Niño, en particular de sus artículos 6, 37, 38 y 39,</w:t>
        <w:br/>
        <w:t>y del Protocolo II a los Convenios de Ginebra, ya que estos instrumentos y</w:t>
        <w:br/>
        <w:t>la Convención Americana forman parte de un muy comprensivo corpus juris</w:t>
        <w:br/>
        <w:t>internacional de protección de los niños que los Estados deben respetar”.</w:t>
        <w:br/>
        <w:br/>
        <w:t xml:space="preserve">      Otro ejemplo es el Caso de la Comunidad Mayagna (Sumo) Awas Tingni</w:t>
        <w:br/>
        <w:t>Vs. Nicaragua. Fondo, Reparaciones y Costas. Sentencia de 31 de agosto de</w:t>
        <w:br/>
        <w:t>2001, Serie C No. 79, párrs. 147 y 148, este último señala: “Mediante una</w:t>
        <w:br/>
        <w:t>interpretación evolutiva de los instrumentos internacionales de protección</w:t>
        <w:br/>
        <w:t>de derechos humanos, tomando en cuenta las normas de interpretación</w:t>
        <w:br/>
        <w:t>aplicables y, de conformidad con el artículo 29.b de la Convención -que</w:t>
        <w:br/>
        <w:t>prohíbe una interpretación restrictiva de los derechos- , esta Corte</w:t>
        <w:br/>
        <w:t>considera que el artículo 21 de la Convención protege el derecho a la</w:t>
        <w:br/>
        <w:t>propiedad en un sentido que comprende, entre otros, los derechos de los</w:t>
        <w:br/>
        <w:t>miembros de las comunidades indígenas en el marco de la propiedad comunal,</w:t>
        <w:br/>
        <w:t>la cual también está reconocida en la Constitución Política de Nicaragua”.</w:t>
        <w:br/>
        <w:br/>
        <w:t xml:space="preserve">      De igual forma, en el Caso Gelman Vs. Uruguay. Fondo y Reparaciones.</w:t>
        <w:br/>
        <w:t>Sentencia de 24 de febrero de 2011, Serie C No.221, párr. 121, la Corte IDH</w:t>
        <w:br/>
        <w:t>estableció que: “María Macarena Gelman tenía derecho a medidas especiales</w:t>
        <w:br/>
        <w:t>de protección […] [por lo que] las alegadas violaciones a los derechos</w:t>
        <w:br/>
        <w:t>reconocidos en los artículos 3, 17, 18 y 20 de la Convención deben</w:t>
        <w:br/>
        <w:t>interpretarse a la luz del corpus juris de los derechos de la niñez y, en</w:t>
        <w:br/>
        <w:t>particular según las circunstancias especiales del caso, armónicamente con</w:t>
        <w:br/>
        <w:t>las demás normas que les atañen, en especial con los artículos 7, 8, 9, 11,</w:t>
        <w:br/>
        <w:t>16, y 18 de la Convención sobre los Derechos del Niño”.</w:t>
        <w:br/>
        <w:br/>
        <w:t>[263]       Protocolo adicional a la Convención sobre Derechos Humanos en</w:t>
        <w:br/>
        <w:t>materia de derechos económicos, sociales y culturales: “Artículo 10.</w:t>
        <w:br/>
        <w:t>Derecho a la Salud. 1. Toda persona tiene derecho a la salud, entendida</w:t>
        <w:br/>
        <w:t>como el disfrute del más alto nivel de bienestar físico, mental y social.</w:t>
        <w:br/>
        <w:t>2. Con el fin de hacer efectivo el derecho a la salud los Estados partes se</w:t>
        <w:br/>
        <w:t>comprometen a reconocer la salud como un bien público y particularmente a</w:t>
        <w:br/>
        <w:t>adoptar las siguientes medidas para garantizar este derecho: a. la atención</w:t>
        <w:br/>
        <w:t>primaria de la salud, entendiendo como tal la asistencia sanitaria esencial</w:t>
        <w:br/>
        <w:t>puesta al alcance de todos los individuos y familiares de la comunidad; b.</w:t>
        <w:br/>
        <w:t>la extensión de los beneficios de los servicios de salud a todos los</w:t>
        <w:br/>
        <w:t>individuos sujetos a la jurisdicción del Estado; c. la total inmunización</w:t>
        <w:br/>
        <w:t>contra las principales enfermedades infecciosas; d. la prevención y el</w:t>
        <w:br/>
        <w:t>tratamiento de las enfermedades endémicas, profesionales y de otra índole;</w:t>
        <w:br/>
        <w:t>e. la educación de la población sobre la prevención y tratamiento de los</w:t>
        <w:br/>
        <w:t>problemas de salud, y f. la satisfacción de las necesidades de salud de los</w:t>
        <w:br/>
        <w:t>grupos de más algo riesgo y que por sus condiciones de pobreza sean más</w:t>
        <w:br/>
        <w:t>vulnerables”.</w:t>
        <w:br/>
        <w:br/>
        <w:t>[264]        Carta Social de las Américas, aprobada por la Asamblea General</w:t>
        <w:br/>
        <w:t>de la OEA el 4 de junio de 2012, en Cochabamba, Bolivia.</w:t>
        <w:br/>
        <w:br/>
        <w:t xml:space="preserve">      “Capítulo III, Artículo 6. Los Estados Miembros reafirman que el goce</w:t>
        <w:br/>
        <w:t>del grado máximo de salud que se puede lograr es uno de los derechos</w:t>
        <w:br/>
        <w:t>fundamentales de todo ser humano sin discriminación y reconocen que la</w:t>
        <w:br/>
        <w:t>salud es una condición fundamental para la inclusión y cohesión social, el</w:t>
        <w:br/>
        <w:t>desarrollo integral y el crecimiento económico con equidad. En este</w:t>
        <w:br/>
        <w:t>contexto, los Estados Miembros reafirman su responsabilidad y compromiso de</w:t>
        <w:br/>
        <w:t>mejorar la disponibilidad, el acceso y la calidad de los servicios de</w:t>
        <w:br/>
        <w:t>atención de la salud. Los Estados están comprometidos con estos esfuerzos</w:t>
        <w:br/>
        <w:t>nacionales en materia de salud de acuerdo con los principios promovidos por</w:t>
        <w:br/>
        <w:t>la Agenda de Salud para las Américas 2008-2017: los derechos humanos, la</w:t>
        <w:br/>
        <w:t>universalidad, la integralidad, la accesibilidad e inclusión, la</w:t>
        <w:br/>
        <w:t>solidaridad panamericana, la equidad en salud y la participación social.</w:t>
        <w:br/>
        <w:br/>
        <w:t xml:space="preserve">      Los Estados Miembros afirman su compromiso de promover formas de vida</w:t>
        <w:br/>
        <w:t>sana y de fortalecer su capacidad para prevenir, detectar y responder a</w:t>
        <w:br/>
        <w:t>enfermedades crónicas no contagiosas, enfermedades infecciosas actuales y</w:t>
        <w:br/>
        <w:t>emergentes y a los problemas de salud relacionados con el medio ambiente.</w:t>
        <w:br/>
        <w:t>Los Estados Miembros también se comprometen a promover el bienestar de sus</w:t>
        <w:br/>
        <w:t>pueblos mediante estrategias de prevención y atención y, en asociaciones</w:t>
        <w:br/>
        <w:t>con organizaciones públicas o privadas, a mejorar el acceso a la atención</w:t>
        <w:br/>
        <w:t>de salud”.</w:t>
        <w:br/>
        <w:br/>
        <w:t xml:space="preserve">      “Capítulo V, Artículo 1: “El desarrollo integral abarca, entre otros,</w:t>
        <w:br/>
        <w:t>los campos económico, social, educativo, cultural, científico, tecnológico,</w:t>
        <w:br/>
        <w:t>laboral, de la salud y ambiental, en los cuales deben obtenerse las metas</w:t>
        <w:br/>
        <w:t>que cada país defina para lograrlo.”</w:t>
        <w:br/>
        <w:br/>
        <w:t>[265]            Pacto Internacional de derechos económicos, sociales y</w:t>
        <w:br/>
        <w:t>culturales: “Artículo 12. 1. Los Estados Partes en el presente Pacto</w:t>
        <w:br/>
        <w:t>reconocen el derecho de toda persona al disfrute del más alto nivel posible</w:t>
        <w:br/>
        <w:t>de salud física y mental. 2. Entre las medidas que deberán adoptar los</w:t>
        <w:br/>
        <w:t>Estados Partes en el Pacto a fin de asegurar la plena efectividad de este</w:t>
        <w:br/>
        <w:t>derecho, figurarán las necesarias para:…d) La creación de condiciones que</w:t>
        <w:br/>
        <w:t>aseguren a todos asistencia médica y servicios médicos en caso de</w:t>
        <w:br/>
        <w:t>enfermedad”.</w:t>
        <w:br/>
        <w:br/>
        <w:t>[266]       Convención sobre la eliminación de todas las formas de</w:t>
        <w:br/>
        <w:t>discriminación contra la mujer: “Artículo 12. Los Estados Partes adoptarán</w:t>
        <w:br/>
        <w:t>todas las medidas apropiadas para eliminar la discriminación contra la</w:t>
        <w:br/>
        <w:t>mujer en la esfera de la atención médica a fin de asegurar, en condiciones</w:t>
        <w:br/>
        <w:t>de igualdad entre hombres y mujeres, el acceso a servicios de atención</w:t>
        <w:br/>
        <w:t>médica, inclusive los que se refieren a la planificación de la familia”.</w:t>
        <w:br/>
        <w:br/>
        <w:t>[267]        Convención sobre los derechos del niño: “Artículo 24. Los</w:t>
        <w:br/>
        <w:t>Estados Partes reconocen el derecho del niño al disfrute del más alto nivel</w:t>
        <w:br/>
        <w:t>posible de salud y a servicios para el tratamiento de las enfermedades y la</w:t>
        <w:br/>
        <w:t>rehabilitación de la salud. Los Estados Partes se esforzarán por asegurar</w:t>
        <w:br/>
        <w:t>que ningún niño sea privado de su derecho al disfrute de esos servicios</w:t>
        <w:br/>
        <w:t>sanitarios. 2. Los Estados Partes asegurarán la plena aplicación de este</w:t>
        <w:br/>
        <w:t>derecho y, en particular, adoptarán las medidas apropiadas […]”.</w:t>
        <w:br/>
        <w:br/>
        <w:t>[268]       Convención sobre los derechos del niño: “Artículo 25. Los</w:t>
        <w:br/>
        <w:t>Estados Partes reconocen el derecho del niño que ha sido internado en un</w:t>
        <w:br/>
        <w:t>establecimiento por las autoridades competentes para los fines de atención,</w:t>
        <w:br/>
        <w:t>protección o tratamiento de su salud física o mental a un examen periódico</w:t>
        <w:br/>
        <w:t>del tratamiento a que esté sometido y de todas las demás circunstancias</w:t>
        <w:br/>
        <w:t>propias de su internación”.</w:t>
        <w:br/>
        <w:br/>
        <w:t>[269]        Por  ejemplo,  la  Convención  sobre  la  protección   de   los</w:t>
        <w:br/>
        <w:t>trabajadores migratorios y sus  familias:  “Artículo  28.  Los  trabajadores</w:t>
        <w:br/>
        <w:t>migratorios y sus familiares tendrán derecho a  recibir  cualquier  tipo  de</w:t>
        <w:br/>
        <w:t>atención médica urgente que resulte necesaria para preservar su vida o  para</w:t>
        <w:br/>
        <w:t>evitar daños irreparables a su salud en condiciones  de  igualdad  de  trato</w:t>
        <w:br/>
        <w:t>con los nacionales del Estado de que  se  trate.  Esta  atención  médica  de</w:t>
        <w:br/>
        <w:t>urgencia no podrá negarse por motivos de irregularidad en lo que respecta  a</w:t>
        <w:br/>
        <w:t>la permanencia o al empleo”. En general,  véanse  los  instrumentos  que  se</w:t>
        <w:br/>
        <w:t>mencionan en la  Observación  General  número  14  del  Comité  de  Derechos</w:t>
        <w:br/>
        <w:t>Económicos, Sociales y Culturales, sobre “El derecho  al  disfrute  del  más</w:t>
        <w:br/>
        <w:t>alto nivel posible de salud (artículo 12)”, párr. 2.</w:t>
        <w:br/>
        <w:br/>
        <w:t>[270]       Como pueden ser las recomendaciones y observaciones generales</w:t>
        <w:br/>
        <w:t>de distintos Comités. Especialmente resulta relevante para el derecho a la</w:t>
        <w:br/>
        <w:t>salud, la Observación General 14 del Comité de Derechos Económicos,</w:t>
        <w:br/>
        <w:t>Sociales y Culturales, que interpreta el artículo 12 del Pacto</w:t>
        <w:br/>
        <w:t>Internacional de los Derechos Económicos, Sociales y Culturales, sobre “El</w:t>
        <w:br/>
        <w:t>derecho al disfrute del más alto nivel posible de salud”. Así como los</w:t>
        <w:br/>
        <w:t>Principios de Limburgo, relativos a la aplicación del Pacto Internacional</w:t>
        <w:br/>
        <w:t>de Derechos Económicos, Sociales y Culturales, que señalan en su párrafo</w:t>
        <w:br/>
        <w:t>25: “Se obliga a los Estados Partes a garantizar el respeto de los derechos</w:t>
        <w:br/>
        <w:t>mínimos de subsistencia para todos, sea cual fuere el nivel de desarrollo</w:t>
        <w:br/>
        <w:t>económico”.</w:t>
        <w:br/>
        <w:br/>
        <w:t xml:space="preserve">      Asimismo, también resultan de interés los Indicadores de Progreso</w:t>
        <w:br/>
        <w:t>para Medición de Derechos Contemplados en el Protocolo de San Salvador,</w:t>
        <w:br/>
        <w:t>OEA/Ser.L/XXV.2.1, Doc 2/11 rev.2, 16 de diciembre de 2012.</w:t>
        <w:br/>
        <w:br/>
        <w:t>[271]       Convención Americana: “Artículo 29 b. Ninguna disposición de la</w:t>
        <w:br/>
        <w:t>presente Convención puede ser interpretada en el sentido de limitar el goce</w:t>
        <w:br/>
        <w:t>y ejercicio de cualquier derecho que puedan estar reconocido de acuerdo</w:t>
        <w:br/>
        <w:t>con las leyes de cualquiera de los Estados Partes”.</w:t>
        <w:br/>
        <w:br/>
        <w:t>[272]       La mayoría de las Constituciones nacionales de los países que</w:t>
        <w:br/>
        <w:t>han suscrito el Pacto de San José regulan de manera explícita, implícita</w:t>
        <w:br/>
        <w:t>con otros preceptos o a través de la incorporación de tratados</w:t>
        <w:br/>
        <w:t>internacionales, la protección del derecho a la salud. Véase infra párrs.</w:t>
        <w:br/>
        <w:t>74-75.  Asimismo, conviene tener presente que la Corte IDH, ha utilizado</w:t>
        <w:br/>
        <w:t>los contenidos de las Constituciones nacionales para otorgar ciertos</w:t>
        <w:br/>
        <w:t>contenidos a los derechos civiles, por ejemplo “en aplicación del artículo</w:t>
        <w:br/>
        <w:t>29 de la Convención, es considerable lo dispuesto en el artículo 44 de la</w:t>
        <w:br/>
        <w:t>Constitución Política de la República de Colombia” (derechos fundamentales</w:t>
        <w:br/>
        <w:t>de los niños). Caso de la “Masacre de Mapiripán”, supra, párr. 153.</w:t>
        <w:br/>
        <w:br/>
        <w:t>[273]       Protocolo adicional a la Convención sobre Derechos Humanos en</w:t>
        <w:br/>
        <w:t>materia de derechos económicos, sociales y culturales: “Artículo 19. Medios</w:t>
        <w:br/>
        <w:t>de Protección. 6. En el caso de que los derechos establecidos en el párrafo</w:t>
        <w:br/>
        <w:t>a) del artículo 8 y en el artículo 13 fuesen violados por una acción</w:t>
        <w:br/>
        <w:t>imputable directamente a un Estado parte del presente Protocolo, tal</w:t>
        <w:br/>
        <w:t>situación podría dar lugar, mediante la participación de la Comisión</w:t>
        <w:br/>
        <w:t>Interamericana de Derechos Humanos, y cuando proceda de la Corte</w:t>
        <w:br/>
        <w:t>Interamericana de Derechos Humanos, a la aplicación del sistema de</w:t>
        <w:br/>
        <w:t>peticiones individuales regulado por los artículos 44 a 51 y 61 a 69 de la</w:t>
        <w:br/>
        <w:t>Convención Americana sobre Derechos Humanos”.</w:t>
        <w:br/>
        <w:br/>
        <w:t>[274]       El artículo 66.2 de la Convención Americana establece: “Si el</w:t>
        <w:br/>
        <w:t>fallo no expresare en todo o en parte la opinión unánime de los jueces,</w:t>
        <w:br/>
        <w:t>cualquiera de éstos tendrá derecho a que se agregue al fallo su opinión</w:t>
        <w:br/>
        <w:t>disidente o individual”. Asimismo, véanse los artículos 24.3 del Estatuto y</w:t>
        <w:br/>
        <w:t>32.1 a), 65.2 y 67.4 del Reglamento, ambos de la Corte IDH.</w:t>
        <w:br/>
        <w:br/>
        <w:t>[275]        Con  independencia   de   referencias   precisas   en   medidas</w:t>
        <w:br/>
        <w:t>provisionales  y  en  opiniones   consultivas,   resultan   relevantes   las</w:t>
        <w:br/>
        <w:t>siguientes sentencias: Caso Furlan y Familiares Vs.  Argentina.  Excepciones</w:t>
        <w:br/>
        <w:t>Preliminares, Fondo, Reparaciones y Costas. Sentencia de  31  de  agosto  de</w:t>
        <w:br/>
        <w:t>2012, Serie C No.  246;  Caso  Vera  Vera  y  otra  Vs.  Ecuador.  Excepción</w:t>
        <w:br/>
        <w:t>Preliminar, Fondo, Reparaciones y Costas. Sentencia de 19 de mayo  de  2011,</w:t>
        <w:br/>
        <w:t>Serie C No. 226; Caso Comunidad Indígena Xákmok Kásek Vs.  Paraguay.  Fondo,</w:t>
        <w:br/>
        <w:t>Reparaciones y Costas. Sentencia de 24 de agosto de 2010, Serie C  No.  214;</w:t>
        <w:br/>
        <w:t>Caso Albán Cornejo y  otros  Vs.  Ecuador.  Fondo,  Reparaciones  y  Costas.</w:t>
        <w:br/>
        <w:t>Sentencia de 22 de noviembre de 2007, Serie C No. 171, y Caso Ximenes  Lopes</w:t>
        <w:br/>
        <w:t>Vs. Brasil. Sentencia de 4 de julio de 2006, Serie C No. 149.</w:t>
        <w:br/>
        <w:br/>
        <w:t>[276]       Cfr. Caso Comunidad Indígena Xákmok Kásek, supra; Caso</w:t>
        <w:br/>
        <w:t>Comunidad Indígena Yakye Axa Vs. Paraguay. Fondo, Reparaciones y Costas.</w:t>
        <w:br/>
        <w:t>Sentencia de 17 de junio de 2005, Serie C No. 125; Caso “Instituto de</w:t>
        <w:br/>
        <w:t>Reeducación del Menor” Vs. Paraguay. Excepciones Preliminares, Fondo,</w:t>
        <w:br/>
        <w:t>Reparaciones y Costas. Sentencia de 2 de septiembre de 2004, Serie C No.</w:t>
        <w:br/>
        <w:t>112, y Caso de los “Niños de la Calle” (Villagrán Morales y Otros) Vs.</w:t>
        <w:br/>
        <w:t>Guatemala. Fondo. Sentencia de 19 de noviembre de 1999. Serie C No. 63.</w:t>
        <w:br/>
        <w:br/>
        <w:t>[277]       Cfr. Caso Díaz Peña Vs. Venezuela. Excepción Preliminar, Fondo,</w:t>
        <w:br/>
        <w:t>Reparaciones y Costas. Sentencia de 19 de mayo de 2011. Serie C No. 226;</w:t>
        <w:br/>
        <w:t>Caso Vera Vera y otra, supra; Caso Vélez Loor Vs. Panamá. Excepciones</w:t>
        <w:br/>
        <w:t>Preliminares, Fondo, Reparaciones y Costas. Sentencia de 23 de noviembre de</w:t>
        <w:br/>
        <w:t>2010 Serie C No. 218; Caso del Penal Miguel Castro Castro Vs. Perú. Fondo,</w:t>
        <w:br/>
        <w:t>Reparaciones y Costas. Sentencia de 25 de noviembre de 2006. Serie C No.</w:t>
        <w:br/>
        <w:t>160, y Caso “Instituto de Reeducación del Menor”, supra.</w:t>
        <w:br/>
        <w:br/>
        <w:t>[278]       Cfr. Caso Artavia Murillo y Otros (“Fecundación in vitro”) Vs.</w:t>
        <w:br/>
        <w:t>Costa Rica. Excepciones Preliminares, Fondo, Reparaciones y Costas.</w:t>
        <w:br/>
        <w:t>Sentencia de 28 de noviembre de 2012, Serie C No. 257; Caso Rosendo Cantú y</w:t>
        <w:br/>
        <w:t>Otra Vs. México. Excepción Preliminar, Fondo, Reparaciones y Costas.</w:t>
        <w:br/>
        <w:t>Sentencia de 31 de agosto de 2010. Serie C no. 216; Caso Fernández Ortega y</w:t>
        <w:br/>
        <w:t>Otros Vs. México. Excepción Preliminar, Fondo, Reparaciones y Costas.</w:t>
        <w:br/>
        <w:t>Sentencia de 30 de agosto de 2010, Serie C No. 215; Caso Comunidad Indígena</w:t>
        <w:br/>
        <w:t>Xákmok Kásek, supra; Caso del Penal Miguel Castro Castro, supra, y Caso</w:t>
        <w:br/>
        <w:t>Comunidad Indígena Sawhoyamaxa Vs. Paraguay. Fondo, Reparaciones y Costas.</w:t>
        <w:br/>
        <w:t>Sentencia de 29 de marzo de 2006, Serie C No. 146.</w:t>
        <w:br/>
        <w:br/>
        <w:t>[279]       Las referencias al artículo 26 de la Convención Americana y su</w:t>
        <w:br/>
        <w:t>análisis específico por la Corte IDH se han realizado en muy pocas</w:t>
        <w:br/>
        <w:t>ocasiones, especialmente en los siguientes casos: Caso Acevedo Buendía y</w:t>
        <w:br/>
        <w:t>Otros (“Cesantes y Jubilados de la Contraloría”), supra, párrs. 99 a 103;</w:t>
        <w:br/>
        <w:t>Caso de las Niñas Yean y Bosico Vs. República Dominicana. Sentencia de 8 de</w:t>
        <w:br/>
        <w:t>septiembre de 2005. Serie C no. 130, párr. 158, y Caso “Cinco Pensionistas”</w:t>
        <w:br/>
        <w:t>Vs. Perú. Fondo, Reparaciones y Costas. Sentencia de 28 de febrero de 2003,</w:t>
        <w:br/>
        <w:t>Serie C No. 98, párrs. 147 y 148; y Caso Comunidad Indígena Yakye Axa,</w:t>
        <w:br/>
        <w:t>supra, párr. 163. En este último caso, el Estado se allanó a su</w:t>
        <w:br/>
        <w:t>responsabilidad por la violación del artículo 26, pero la Corte sólo</w:t>
        <w:br/>
        <w:t>involucró dicho artículo en su narrativa sobre la violación del derecho a</w:t>
        <w:br/>
        <w:t>la vida.</w:t>
        <w:br/>
        <w:br/>
        <w:t>[280]            El párrafo 5 de la Declaración y Programa de Acción de</w:t>
        <w:br/>
        <w:t>Viena, aprobada por la Conferencia Mundial de Derechos Humanos el 25 de</w:t>
        <w:br/>
        <w:t>junio de 1993, señaló en forma categórica que: “[t]odos los derechos</w:t>
        <w:br/>
        <w:t>humanos son universales, indivisibles e interdependientes y están</w:t>
        <w:br/>
        <w:t>relacionados entre sí. La comunidad internacional debe tratar los derechos</w:t>
        <w:br/>
        <w:t>humanos en forma global y de manera justa y equitativa, en pie de igualdad</w:t>
        <w:br/>
        <w:t>y dándoles a todos el mismo peso”.</w:t>
        <w:br/>
        <w:br/>
        <w:t>[281]       Cfr. párr. 131 de la Sentencia.</w:t>
        <w:br/>
        <w:br/>
        <w:t>[282]       Caso Acevedo Buendía y otros (“Cesantes y Jubilados de la</w:t>
        <w:br/>
        <w:t>Contraloría”), supra, párr. 101.</w:t>
        <w:br/>
        <w:br/>
        <w:t>[283]       Idem. En el mismo sentido, véase Naciones Unidas, Consejo</w:t>
        <w:br/>
        <w:t>Económico y Social, Comité de Derechos Económicos, Sociales y Culturales.</w:t>
        <w:br/>
        <w:t>Observación General Número 9, E/C.12/1998/24, 3 de diciembre de 1998, párr.</w:t>
        <w:br/>
        <w:t>10, y TEDH. Sidabras and Dziautas Vs. Lituania. Nos. 55480/00 y 59330/0.</w:t>
        <w:br/>
        <w:t>Sección segunda. Sentencia de 27 de julio de 2004, párr. 47.</w:t>
        <w:br/>
        <w:br/>
        <w:t>[284]       TEDH. Airey Vs. Irlanda. No. 6289/73. Sentencia de 9 de octubre</w:t>
        <w:br/>
        <w:t>de 1979, párr. 26.</w:t>
        <w:br/>
        <w:br/>
        <w:t>[285]       Véase el contenido de este precepto, supra, nota 25.</w:t>
        <w:br/>
        <w:br/>
        <w:t>[286]       Caso Acevedo Buendía y otros  Vs. Perú (“Cesantes y Jubilados</w:t>
        <w:br/>
        <w:t>de la Contraloría”), supra, párr. 12.</w:t>
        <w:br/>
        <w:br/>
        <w:t>[287]       Sobre el particular, véanse las críticas de Ruiz-Chiriboga,</w:t>
        <w:br/>
        <w:t>Oswaldo, The American Convention and the Protocol of San Salvador: Two</w:t>
        <w:br/>
        <w:t>Intertwined Treaties. Non-enforceability of Economic, Social and Cultural</w:t>
        <w:br/>
        <w:t>Rights in the Inter-American System. Netherlands Quarterly of Human Rights.</w:t>
        <w:br/>
        <w:t xml:space="preserve"> Vol. 31/2, 2013, pp. 156-183, en p. 167.</w:t>
        <w:br/>
        <w:br/>
        <w:t>[288]       Cfr. Caso Ivcher Bronstein Vs. Perú. Competencia. Sentencia de</w:t>
        <w:br/>
        <w:t>24 de septiembre de 1999. Serie C No. 54, párrs. 32 y 34; Caso Heliodoro</w:t>
        <w:br/>
        <w:t>Portugal Vs. Panamá. Excepciones Preliminares, Fondo, Reparaciones y</w:t>
        <w:br/>
        <w:t>Costas. Sentencia de 12 de agosto de 2008. Serie C No. 186, párr. 23, y</w:t>
        <w:br/>
        <w:t>Caso García Prieto y otros Vs. El Salvador. Excepción Preliminar, Fondo,</w:t>
        <w:br/>
        <w:t>Reparaciones y Costas. Sentencia de 20 de noviembre de 2007. Serie C No.</w:t>
        <w:br/>
        <w:t>168, párr. 38.</w:t>
        <w:br/>
        <w:br/>
        <w:t>[289]       Cfr. Caso Velásquez Rodríguez Vs. Honduras. Excepciones</w:t>
        <w:br/>
        <w:t>Preliminares. Sentencia de 26 de junio de 1987. Serie C No. 1, párr. 29, y</w:t>
        <w:br/>
        <w:t>Caso de los 19 Comerciantes Vs. Colombia. Excepción Preliminar. Sentencia</w:t>
        <w:br/>
        <w:t>de 12 de junio de 2002. Serie C No. 93, párr. 27.</w:t>
        <w:br/>
        <w:br/>
        <w:t>[290]       Véase el contenido de este artículo, supra nota 25.</w:t>
        <w:br/>
        <w:br/>
        <w:t>[291]       Cfr. Caso Acevedo Buendía y otros  Vs. Perú (“Cesantes y</w:t>
        <w:br/>
        <w:t>Jubilados de la Contraloría”), supra, Punto Resolutivo 3.</w:t>
        <w:br/>
        <w:br/>
        <w:t>[292]       Cfr. Caso Acevedo Buendía y otros  Vs. Perú (“Cesantes y</w:t>
        <w:br/>
        <w:t>Jubilados de la Contraloría”), supra, párr. 100.  No debe pasar inadvertido</w:t>
        <w:br/>
        <w:t>que en este asunto, la Comisión en su Informe de Fondo no estimó violado el</w:t>
        <w:br/>
        <w:t>contenido del artículo 26, como sí lo hicieron los representantes de las</w:t>
        <w:br/>
        <w:t>víctimas al solicitar expresamente  que “el Estado es responsable por el</w:t>
        <w:br/>
        <w:t>incumplimiento del artículo 26 (Desarrollo Progresivo de los Derechos</w:t>
        <w:br/>
        <w:t>Económicos, Sociales y Culturales) de la Convención, en relación con el</w:t>
        <w:br/>
        <w:t>artículo 1.1 (Obligación de Respetar los Derechos) de la misma”, párr. 4 de</w:t>
        <w:br/>
        <w:t>la misma Sentencia del Caso Acevedo Buendía.</w:t>
        <w:br/>
        <w:br/>
        <w:t>[293]       Voto concurrente del Juez Sergio García Ramírez en relación  con</w:t>
        <w:br/>
        <w:t>la Sentencia de la Corte Interamericana  de  Derechos  Humanos  en  el  Caso</w:t>
        <w:br/>
        <w:t>Acevedo Buendía y otros (“Cesantes y Jubilados de la Contraloría”) del 1  de</w:t>
        <w:br/>
        <w:t>julio de 2009, párrs. 15 a 21.</w:t>
        <w:br/>
        <w:br/>
        <w:t>[294]       Cfr. Caso Acevedo Buendía y otros  Vs. Perú (“Cesantes y</w:t>
        <w:br/>
        <w:t>Jubilados de la Contraloría”), supra, párr. 101.</w:t>
        <w:br/>
        <w:br/>
        <w:t>[295]       Párr. 131 de la Sentencia.</w:t>
        <w:br/>
        <w:br/>
        <w:t>[296]       Véanse, por ejemplo, el voto parcialmente concurrente y</w:t>
        <w:br/>
        <w:t>parcialmente disidente del Juez ad hoc Ramon Fogel, párrs. 23 y 30, en el</w:t>
        <w:br/>
        <w:t>Caso Comunidad Indígena Yakye Axa Vs. Paraguay, supra, y el voto del Juez</w:t>
        <w:br/>
        <w:t>Antonio Cançado Trindade, párr. 7, en el Caso Trabajadores Cesados del</w:t>
        <w:br/>
        <w:t>Congreso (Aguado Alfaro y otros) Vs. Perú. Excepciones Preliminares, Fondo,</w:t>
        <w:br/>
        <w:t>Reparaciones y Costas. Sentencia de 24 de Noviembre de 2006. Serie C No.</w:t>
        <w:br/>
        <w:t>158.</w:t>
        <w:br/>
        <w:br/>
        <w:t>[297]       Véase el Preámbulo de la Convención Americana sobre Derechos</w:t>
        <w:br/>
        <w:t>Humanos, del Pacto Internacional de Derechos Civiles y Políticos, y del</w:t>
        <w:br/>
        <w:t>Pacto Internacional de Derechos Económicos, Sociales y Culturales.</w:t>
        <w:br/>
        <w:t>Proclamación de Teherán 1948, párr. 13.</w:t>
        <w:br/>
        <w:br/>
        <w:t>[298]       Cfr. Resolución 32/130 de la Asamblea General de Naciones</w:t>
        <w:br/>
        <w:t>Unidas, de 16 de septiembre de 1977, inciso 1, apartado a); Declaración</w:t>
        <w:br/>
        <w:t>sobre el derecho al Desarrollo Asamblea General en su resolución 41/128, de</w:t>
        <w:br/>
        <w:t>4 de diciembre de 1986, párr. 10 del preámbulo y art. 6; Principios de</w:t>
        <w:br/>
        <w:t>Limburgo de 1986, en especial el núm. 3, y las Directrices de Maastritch</w:t>
        <w:br/>
        <w:t>sobre violaciones a los DESC de 1997, particularmente la núm. 3.</w:t>
        <w:br/>
        <w:br/>
        <w:t>[299]       El análisis sobre el derecho a la integridad personal se</w:t>
        <w:br/>
        <w:t>desarrolla en los párrs. 123 a 160 de la Sentencia, si bien en muchos</w:t>
        <w:br/>
        <w:t>pasajes se relaciona con el derecho a la salud.</w:t>
        <w:br/>
        <w:br/>
        <w:t>[300]       Párr. 154 de la Sentencia.</w:t>
        <w:br/>
        <w:br/>
        <w:t>[301]       Párr. 152 de la Sentencia.</w:t>
        <w:br/>
        <w:br/>
        <w:t>[302]       Nota 176 de la Sentencia. En esta nota refiere a la mención que</w:t>
        <w:br/>
        <w:t>se hace de la Carta de la OEA en el párr. 131 y de la cual deriva la Corte</w:t>
        <w:br/>
        <w:t>IDH el derecho a la salud, si bien estimo que debió considerarse el</w:t>
        <w:br/>
        <w:t>artículo 34.i) de la Carta de la OEA.</w:t>
        <w:br/>
        <w:br/>
        <w:t>[303]       Cfr. párr. 131 de la Sentencia. Se cita el Caso Vera Vera y</w:t>
        <w:br/>
        <w:t>otra, supra, párr. 43.</w:t>
        <w:br/>
        <w:br/>
        <w:t>[304]       Cfr. párr. 131 de la Sentencia.</w:t>
        <w:br/>
        <w:br/>
        <w:t>[305]       Cfr. párr. 131 de la Sentencia.</w:t>
        <w:br/>
        <w:br/>
        <w:t>[306]       Cfr. párr. 152 de la Sentencia.</w:t>
        <w:br/>
        <w:br/>
        <w:t>[307]       Cfr. párr. 131, in fine, de la Sentencia.</w:t>
        <w:br/>
        <w:br/>
        <w:t>[308]       Cfr. Nota 179 de la Sentencia:  Organización de Estados</w:t>
        <w:br/>
        <w:t>Americanos, Indicadores de Progreso para Medición de Derechos Contemplados</w:t>
        <w:br/>
        <w:t>en el Protocolo de San Salvador, aprobados por la Asamblea General,</w:t>
        <w:br/>
        <w:t>Resolución 2713 (XLII-0/12), Cuadragésimo Segundo Período Ordinario de</w:t>
        <w:br/>
        <w:t>Sesiones, Cochabamba, Bolivia, junio de 2012, párrs. 66 y 67. En nota 179</w:t>
        <w:br/>
        <w:t>de la Sentencia, la Corte IDH transcribe parte de este documento: “El</w:t>
        <w:br/>
        <w:t>Protocolo hace referencia a la satisfacción de derecho en un contexto de</w:t>
        <w:br/>
        <w:t>desarrollo de un sistema de salud, que por básico que sea, debe garantizar</w:t>
        <w:br/>
        <w:t>el acceso al sistema de Atención Primaria en Salud (APS) y el desarrollo</w:t>
        <w:br/>
        <w:t>progresivo y continuo de un sistema de cobertura para toda la población del</w:t>
        <w:br/>
        <w:t>país […] además de aceptables desde el punto de vista cultural, los</w:t>
        <w:br/>
        <w:t>establecimientos, bienes y servicios de salud deberán ser también</w:t>
        <w:br/>
        <w:t>apropiados desde el punto de vista científico y médico y ser de buena</w:t>
        <w:br/>
        <w:t>calidad. Ello requiere, entre otras cosas, personal médico capacitado,</w:t>
        <w:br/>
        <w:t>medicamentos y equipo hospitalario científicamente aprobados, en buen</w:t>
        <w:br/>
        <w:t>estado, agua limpia potable y condiciones sanitarias adecuadas. Asimismo,</w:t>
        <w:br/>
        <w:t>dentro de los indicadores referidos se incluyen: Existencia de instancias</w:t>
        <w:br/>
        <w:t>administrativas para radicar denuncias en materia de incumplimiento de</w:t>
        <w:br/>
        <w:t>obligaciones vinculadas al derecho a la salud. Competencias de los</w:t>
        <w:br/>
        <w:t>Ministerios o de las Superintendencias para recibir quejas de los usuarios</w:t>
        <w:br/>
        <w:t>del sistema de salud. Políticas de capacitación de jueces y abogados en</w:t>
        <w:br/>
        <w:t>materia de derecho a la salud”.</w:t>
        <w:br/>
        <w:br/>
        <w:t>[309]       Cfr. notas 174, 182, 217, 220, 221 y 222 de la Sentencia.</w:t>
        <w:br/>
        <w:br/>
        <w:t>[310]       Cfr. notas 175 y 179 de la Sentencia.</w:t>
        <w:br/>
        <w:br/>
        <w:t>[311]       Nota 176 de la Sentencia.</w:t>
        <w:br/>
        <w:br/>
        <w:t>[312]       Párr. 122 de la Sentencia.</w:t>
        <w:br/>
        <w:br/>
        <w:t>[313]       La referencia se encuentra en la nota 176 del párr. 131 de la</w:t>
        <w:br/>
        <w:t>Sentencia, de donde la Corte IDH estima se deriva el derecho a la salud.</w:t>
        <w:br/>
        <w:br/>
        <w:t>[314]       Cfr. artículo 1º del Estatuto de la Corte Interamericana de</w:t>
        <w:br/>
        <w:t>Derechos Humanos, aprobado en la Asamblea General de la OEA en octubre de</w:t>
        <w:br/>
        <w:t>1979.</w:t>
        <w:br/>
        <w:br/>
        <w:t>[315]       Cfr. artículo 33 de la Convención Americana sobre Derechos</w:t>
        <w:br/>
        <w:t>Humanos.</w:t>
        <w:br/>
        <w:br/>
        <w:t>[316]       Caso Acevedo Buendía y otros (“Cesantes y Jubilados de la</w:t>
        <w:br/>
        <w:t>Contraloría”), supra, párrs. 16, 17 y 100.</w:t>
        <w:br/>
        <w:br/>
        <w:t>[317]       Caso Furlan y Familiares, supra.</w:t>
        <w:br/>
        <w:br/>
        <w:t>[318]       Voto concurrente de la jueza Margarette May Macaulay en el  Caso</w:t>
        <w:br/>
        <w:t>Furlan vs. Argentina, supra, párr. 8.</w:t>
        <w:br/>
        <w:br/>
        <w:t>[319]       Idem.</w:t>
        <w:br/>
        <w:br/>
        <w:t>[320]       Únicamente 15 Estados han ratificado el Protocolo de El</w:t>
        <w:br/>
        <w:t>Salvador. Fuente: http://www.cidh.oas.org/Basicos/basicos4.htm.</w:t>
        <w:br/>
        <w:br/>
        <w:t>[321]       Voto concurrente de la jueza Margarette May Macaulay en el  Caso</w:t>
        <w:br/>
        <w:t>Furlan vs. Argentina, supra, párr. 9.</w:t>
        <w:br/>
        <w:br/>
        <w:t>[322]       Caso Acevedo Buendía y otros (“Cesantes y Jubilados de la</w:t>
        <w:br/>
        <w:t>Contraloría”), supra, párr. 100.</w:t>
        <w:br/>
        <w:br/>
        <w:t>[323]       Con votos razonados del juez Sergio García Ramírez y del Juez</w:t>
        <w:br/>
        <w:t>ad hoc Víctor Oscar Shiyin García Toma.</w:t>
        <w:br/>
        <w:br/>
        <w:t>[324]       Asimismo, véanse el párr. 131 y la nota 176 de la Sentencia.</w:t>
        <w:br/>
        <w:br/>
        <w:t>[325]       Convención Americana: “Artículo 76. 1. Cualquier Estado parte</w:t>
        <w:br/>
        <w:t>directamente y la Comisión o la Corte por conducto del Secretario General,</w:t>
        <w:br/>
        <w:t>pueden someter a la Asamblea General, para lo que estime conveniente, una</w:t>
        <w:br/>
        <w:t>propuesta de enmienda a esta Convención”.</w:t>
        <w:br/>
        <w:br/>
        <w:t>[326]       Cfr. Caso Acevedo Buendía y otros (“Cesantes y Jubilados de la</w:t>
        <w:br/>
        <w:t>Contraloría”), supra, párr. 100.</w:t>
        <w:br/>
        <w:br/>
        <w:t>[327]       Cfr., por orden alfabético, entre otros, Abramovich, Víctor y</w:t>
        <w:br/>
        <w:t>Rossi, Julieta, “La tutela de los derechos económicos, sociales y</w:t>
        <w:br/>
        <w:t>culturales en el artículo 26 de la Convención Americana sobre Derechos</w:t>
        <w:br/>
        <w:t>Humanos”, en Revista Estudios Socio-Jurídicos, año/vol. 9, núm. especial,</w:t>
        <w:br/>
        <w:t>Universidad del Rosario, Bogotá, 34-53; Burgorgue-Larsen, Laurence, y Úbeda</w:t>
        <w:br/>
        <w:t>de Torres, Amaya, especialmente el capítulo 24 escrito por la primera</w:t>
        <w:br/>
        <w:t>autora: “Economic and social rights”, The Inter-American Court of Human</w:t>
        <w:br/>
        <w:t>Rights. Case Law and Commentary, New York, Oxford University Press, 2011,</w:t>
        <w:br/>
        <w:t>pp. 613-639; Cavallaro, James L. y Brewer, Stephanie Erin “La función del</w:t>
        <w:br/>
        <w:t>litigio interamericano en la promoción de la justicia social”, en Sur.</w:t>
        <w:br/>
        <w:t>Revista Internacional de Derechos Humanos, núm. 8, 2008, pp. 85- 99;</w:t>
        <w:br/>
        <w:t>Cavallaro, James L. y Schaffer, Emily, “Less as More: rethinking</w:t>
        <w:br/>
        <w:t>Supranational Litigation of Economic and Social Rights in the Americas”, en</w:t>
        <w:br/>
        <w:t>Hastings Law Journal, No. 56, núm. 2, 2004, pp. 217-281; Cavallaro, James y</w:t>
        <w:br/>
        <w:t>Schaffer, Emily, “Rejoinder: Finding Common Ground to Promote Social</w:t>
        <w:br/>
        <w:t>Justice and Economic, Social and Cultural Rights in the Americas”, en New</w:t>
        <w:br/>
        <w:t>York University Journal of International Law and Politics, No. 39, 2006,</w:t>
        <w:br/>
        <w:t>pp. 345-383; Courtis, Christian, “La protección de los derechos económicos,</w:t>
        <w:br/>
        <w:t>sociales y culturales a través del artículo 26 de la Convención Americana</w:t>
        <w:br/>
        <w:t>sobre Derechos Humanos” en Eduardo Ferrer Mac-Gregor y Arturo Zaldívar Lelo</w:t>
        <w:br/>
        <w:t>de Larrea (coords.), La ciencia del derecho procesal constitucional.</w:t>
        <w:br/>
        <w:t>Estudios en homenaje a Héctor Fix-Zamudio en sus cincuenta años como</w:t>
        <w:br/>
        <w:t>investigador del derecho, México, UNAM-Marcial Pons-IMDPC, 2008, tomo IX:</w:t>
        <w:br/>
        <w:t>“Derechos humanos y tribunales internacionales”, pp. 361-438; Melish, Tara</w:t>
        <w:br/>
        <w:t>J., La Protección de los Derechos Económicos, Sociales y Culturales en el</w:t>
        <w:br/>
        <w:t>Sistema Interamericano de Derechos Humanos, Quito, CDES, Yale Law School,</w:t>
        <w:br/>
        <w:t>2003, pp. 379-392; de esta misma autora "Rethinking the “Less as More”</w:t>
        <w:br/>
        <w:t>Thesis: Supranational Litigation of Economic, Social and Cultural Rights in</w:t>
        <w:br/>
        <w:t>the Americas", en New York University Journal of International Law and</w:t>
        <w:br/>
        <w:t>Politics, No. 39, 2006, pp. 171-343; de esta misma autora, "Counter-</w:t>
        <w:br/>
        <w:t>Rejoinder. Justice vs. justiciability?: Normative Neutrality and Technical</w:t>
        <w:br/>
        <w:t>Precision, The Role of the Lawyer in Supranational Social Rights</w:t>
        <w:br/>
        <w:t>Litigation", en New York University Journal of International Law and</w:t>
        <w:br/>
        <w:t>Politics, No. 39, 2006, pp. 385-415; Parra Vera, Oscar, Justiciabilidad de</w:t>
        <w:br/>
        <w:t>los derechos económicos, sociales y culturales ante el Sistema</w:t>
        <w:br/>
        <w:t>Interamericano, México, CNDH, 2011; Pelayo Moller, Carlos María. El "mínimo</w:t>
        <w:br/>
        <w:t>vital" como estándar para la justiciabilidad de los derechos económicos,</w:t>
        <w:br/>
        <w:t>sociales y culturales. Revista Metodhos, Comisión de Derechos Humanos del</w:t>
        <w:br/>
        <w:t>Distrito Federal, No. 3, 2012, pp. 31-51; Ruiz-Chiriboga, Oswaldo, The</w:t>
        <w:br/>
        <w:t>American Convention and the Protocol of San Salvador: Two Intertwined</w:t>
        <w:br/>
        <w:t>Treaties. Non-enforceability of Economic, Social and Cultural Rights in the</w:t>
        <w:br/>
        <w:t>Inter-American System, op. cit. supra 39; Uprimny, Rodrigo, y Diana</w:t>
        <w:br/>
        <w:t>Guarnizo, “¿Es posible una dogmática adecuada sobre la prohibición de</w:t>
        <w:br/>
        <w:t>regresividad? Un enfoque desde la jurisprudencia constitucional</w:t>
        <w:br/>
        <w:t>colombiana”, en Eduardo Ferrer Mac-Gregor y Arturo Zaldívar Lelo de Larrea</w:t>
        <w:br/>
        <w:t>(coords.), La ciencia del derecho procesal constitucional. Estudios en</w:t>
        <w:br/>
        <w:t>homenaje a Héctor Fix-Zamudio en sus cincuenta años como investigador del</w:t>
        <w:br/>
        <w:t>derecho, México, UNAM-Marcial Pons-IMDPC, 2008, tomo IV: “Derechos</w:t>
        <w:br/>
        <w:t>fundamentales y tutela constitucional”, pp. 361-438; y Urquilla, Carlos, La</w:t>
        <w:br/>
        <w:t>justiciabilidad directa de los derechos económicos, sociales y culturales,</w:t>
        <w:br/>
        <w:t>San José, IIDH, 2009.</w:t>
        <w:br/>
        <w:br/>
        <w:t>[328]       Protocolo de San Salvador: “Artículo 4. No Admisión de</w:t>
        <w:br/>
        <w:t>Restricciones. No podrá restringirse o menoscabarse ninguno de los derechos</w:t>
        <w:br/>
        <w:t>reconocidos o vigentes en un Estado en virtud de su legislación interna o</w:t>
        <w:br/>
        <w:t>de convenciones internacionales, a pretexto de que el presente protocolo no</w:t>
        <w:br/>
        <w:t>los reconoce o los reconoce en menor grado”.</w:t>
        <w:br/>
        <w:br/>
        <w:t>[329]       Cfr. Caso de la "Masacre de Mapiripán", supra, párr. 188;</w:t>
        <w:br/>
        <w:br/>
        <w:t>[330] Cfr. El Derecho a la Información sobre la Asistencia  Consular  en  el</w:t>
        <w:br/>
        <w:t>Marco de las Garantías del Debido  Proceso  Legal.  Opinión  Consultiva  OC-</w:t>
        <w:br/>
        <w:t>16/99 de 1 de octubre de 1999. Serie A No.  16,  párr.  114,  y  Caso  Atala</w:t>
        <w:br/>
        <w:t>Riffo y Niñas Vs. Chile. Fondo, Reparaciones y Costas. Sentencia  de  24  de</w:t>
        <w:br/>
        <w:t>febrero de 2012. Serie C No. 239, párr. 83.</w:t>
        <w:br/>
        <w:br/>
        <w:t>[331] Cfr. El Derecho a la Información sobre la Asistencia  Consular  en  el</w:t>
        <w:br/>
        <w:t>Marco de las Garantías del Debido  Proceso  Legal.  Opinión  Consultiva  OC-</w:t>
        <w:br/>
        <w:t>16/99, supra, párr. 114, y Caso Atala Riffo y Niñas, supra, párr. 83.</w:t>
        <w:br/>
        <w:br/>
        <w:t>[332]       En el Caso Kawas Fernández Vs. Honduras. Fondo, Reparaciones y</w:t>
        <w:br/>
        <w:t>Costas. Sentencia de 3 de abril de 2009. Serie C No. 196, párr. 148, la</w:t>
        <w:br/>
        <w:t>Corte tuvo en cuenta para su análisis que: “se advierte que un número</w:t>
        <w:br/>
        <w:t>considerable de Estados partes de la Convención Americana ha adoptado</w:t>
        <w:br/>
        <w:t>disposiciones constitucionales reconociendo expresamente el derecho a un</w:t>
        <w:br/>
        <w:t>medio ambiente sano”.</w:t>
        <w:br/>
        <w:br/>
        <w:t>[333]       En Caso Heliodoro Portugal Vs. Panamá, supra,  y Caso Tiu Tojín</w:t>
        <w:br/>
        <w:t>Vs. Guatemala. Fondo, Reparaciones y Costas. Sentencia de 26 de noviembre</w:t>
        <w:br/>
        <w:t>de 2008. Serie C No. 190, la Corte IDH tuvo en cuenta sentencias de</w:t>
        <w:br/>
        <w:t>tribunales internos de Bolivia, Colombia, México, Panamá, Perú, y Venezuela</w:t>
        <w:br/>
        <w:t>sobre la imprescriptibilidad de delitos permanentes como la desaparición</w:t>
        <w:br/>
        <w:t>forzada. Además, en el Caso Anzualdo Castro Vs. Perú. Excepción Preliminar,</w:t>
        <w:br/>
        <w:t>Fondo, Reparaciones y Costas. Sentencia de 22 de septiembre de 2009. Serie</w:t>
        <w:br/>
        <w:t>C No. 202, la Corte IDH utilizó pronunciamientos de tribunales</w:t>
        <w:br/>
        <w:t>constitucionales de países americanos para apoyar la delimitación que ha</w:t>
        <w:br/>
        <w:t>realizado al concepto de desaparición forzada. Otros ejemplos son el Caso</w:t>
        <w:br/>
        <w:t>Atala Riffo y Niñas, supra, y el Caso Pueblo Indígena Kichwa de Sarayaku</w:t>
        <w:br/>
        <w:t>Vs. Ecuador. Fondo y Reparaciones. Sentencia de 27 de junio de 2012. Serie</w:t>
        <w:br/>
        <w:t>C No. 245.</w:t>
        <w:br/>
        <w:br/>
        <w:t>[334]       Caso “Instituto de Reeducación del Menor”, supra, párr. 148. En</w:t>
        <w:br/>
        <w:t>el mismo sentido, el Caso de las Niñas Yean y Bosico, supra, párr. 185. A</w:t>
        <w:br/>
        <w:t>mi entender la figura del corpus iuris lleva implícita la interdependencia</w:t>
        <w:br/>
        <w:t>e indivisibilidad de los derechos que lo conforman. Sobre los indicadores,</w:t>
        <w:br/>
        <w:t>véase Abramovich, Víctor y Pautassi, Laura (comps.), La medición de</w:t>
        <w:br/>
        <w:t>derechos en las políticas sociales, Buenos Aires, Editores del Puerto,</w:t>
        <w:br/>
        <w:t>2010.</w:t>
        <w:br/>
        <w:br/>
        <w:br/>
        <w:br/>
        <w:t>[335]       Cfr. Caso Comunidad Indígena Yakye Axa, supra, parr. 163;</w:t>
        <w:br/>
        <w:t>mutatis mutandi, Caso Comunidad Indígena Sawhoyamaxa, supra, párr. 155, y</w:t>
        <w:br/>
        <w:t>Caso Comunidad Indígena Xákmok Kásek, supra, párrs. 215 y 216.</w:t>
        <w:br/>
        <w:br/>
        <w:t>[336]       Cfr. Caso Comunidad Indígena Xákmok Kásek, supra, párrs. 215 y</w:t>
        <w:br/>
        <w:t>216, párrs. 194 a 217. Citando lo siguiente: Comité de Derechos Económicos,</w:t>
        <w:br/>
        <w:t>Sociales y Culturales (CDESC), ONU. Observación General No. 15. El derecho</w:t>
        <w:br/>
        <w:t>al agua (artículos 11 y 12 del Pacto), (29º período de sesiones 2002), U.N.</w:t>
        <w:br/>
        <w:t>Doc. HRI/GEN/1/Rev.7 at 117 (2002); CDESC, Observación General No. 12, 12</w:t>
        <w:br/>
        <w:t>de mayo de 1999, E/C.12/1999/5, párrs. 6 a 8; CDESC, Observación General</w:t>
        <w:br/>
        <w:t>No. 13, 8 de diciembre de 1999, E/C.12/1999/10, párr. 50; CDESC,</w:t>
        <w:br/>
        <w:t>Observación General No. 21, diciembre 21 de 2009, E/C.12/GC/21, párr. 38;</w:t>
        <w:br/>
        <w:t>Convenio 169 de la OIT sobre Pueblos Indígenas y Tribales en Países</w:t>
        <w:br/>
        <w:t>Independientes, artículo 27.1; Paul Hunt. Report of the Special Rapporteur</w:t>
        <w:br/>
        <w:t>on the right of everyone to the enjoyment of the highest attainable</w:t>
        <w:br/>
        <w:t>standard of health, A/HRC/14/20/Add.2, 15 de abril de 2010.</w:t>
        <w:br/>
        <w:br/>
        <w:t>[337]       Caso del Pueblo Indígena Kichwa de Sarayaku, supra, párr. 232.</w:t>
        <w:br/>
        <w:br/>
        <w:t>[338]       Cfr.  Caso  Chitay  Nech  y  otros  Vs.  Guatemala.  Excepciones</w:t>
        <w:br/>
        <w:t>Preliminares, Fondo, Reparaciones y Costas.  Sentencia  de  25  de  mayo  de</w:t>
        <w:br/>
        <w:t>2010. Serie C No. 212,  párrs. 164 a 170. Ver también, ONU.  Comité  de  los</w:t>
        <w:br/>
        <w:t>Derechos del Niño. Observación General No. 11 (2009). Los niños indígenas  y</w:t>
        <w:br/>
        <w:t>sus derechos en virtud de la Convención, 12 de febrero de 2009, párr. 82.</w:t>
        <w:br/>
        <w:br/>
        <w:t>[339]       Cfr. Caso  De  la  Masacre  de  las  Dos  Erres  Vs.  Guatemala.</w:t>
        <w:br/>
        <w:t>Excepción Preliminar, Fondo, Reparaciones  y  Costas.  Sentencia  de  24  de</w:t>
        <w:br/>
        <w:t>noviembre de 2009. Serie C No. 211, párrs. 188, 190 y 191.</w:t>
        <w:br/>
        <w:br/>
        <w:t>[340]       Cfr. Caso Gelman, supra, párrs. 121 y 122.</w:t>
        <w:br/>
        <w:br/>
        <w:t>[341]       Cfr. Caso Masacres de  El  Mozote  y  lugares  aledaños  Vs.  El</w:t>
        <w:br/>
        <w:t>Salvador. Fondo, Reparaciones y Costas. Sentencia de 25 de octubre  de  2012</w:t>
        <w:br/>
        <w:t>Serie C No. 252, párr. 179.</w:t>
        <w:br/>
        <w:br/>
        <w:t>[342]       Cfr. Caso Masacre de Santo  Domingo  Vs.  Colombia.  Excepciones</w:t>
        <w:br/>
        <w:t>Preliminares, Fondo y Reparaciones. Sentencia de 30 de  noviembre  de  2012.</w:t>
        <w:br/>
        <w:t>Serie C No. 259, párrs. 270 – 272.</w:t>
        <w:br/>
        <w:br/>
        <w:t>[343]       Por ejemplo, podría también utilizarse los Indicadores de</w:t>
        <w:br/>
        <w:t>Progreso para Medición de Derechos Contemplados en el Protocolo de San</w:t>
        <w:br/>
        <w:t>Salvador, OEA/Ser.L/XXV.2.1, Doc 2/11 rev.2, 16 de diciembre de 2012.</w:t>
        <w:br/>
        <w:br/>
        <w:t>[344]       Sobre este aspecto, véase Melish, Tara J. “The Inter-American</w:t>
        <w:br/>
        <w:t>Court of Human Rights: Beyond Progressivity", en Langford, Malcolm (ed.),</w:t>
        <w:br/>
        <w:t>Social Rights Jurisprudence: Emerging Trends in Comparative and</w:t>
        <w:br/>
        <w:t>International Law, Cambridge University Press, 2008, capítulo 19.</w:t>
        <w:br/>
        <w:br/>
        <w:t>[345]       Parra Vera, Oscar, Justiciabilidad de los derechos económicos,</w:t>
        <w:br/>
        <w:t>sociales y culturales ante el Sistema Interamericano, México, CNDH, 2011,</w:t>
        <w:br/>
        <w:t>p. 60.</w:t>
        <w:br/>
        <w:br/>
        <w:t>[346]       Caso Acevedo Buendía y otros (“Cesantes y Jubilados de la</w:t>
        <w:br/>
        <w:t>Contraloría”), supra, párrs. 92-106, particularmente párrs. 99-103, este</w:t>
        <w:br/>
        <w:t>último, in fine, señala: “cabe afirmar que la regresividad resulta</w:t>
        <w:br/>
        <w:t>justiciable cuando de derechos económicos, sociales y culturales se trate”.</w:t>
        <w:br/>
        <w:br/>
        <w:t>[347]       Caso Acevedo Buendía y otros (“Cesantes y Jubilados de la</w:t>
        <w:br/>
        <w:t>Contraloría”), supra, párr. 16.</w:t>
        <w:br/>
        <w:br/>
        <w:t>[348]       Cfr. Caso Ivcher Bronstein, supra, párrs. 32 y 34; Caso</w:t>
        <w:br/>
        <w:t>Heliodoro Portugal, supra, párr. 23, y Caso García Prieto y otros Vs. El</w:t>
        <w:br/>
        <w:t>Salvador. Excepción Preliminar, Fondo, Reparaciones y Costas. Sentencia de</w:t>
        <w:br/>
        <w:t>20 de noviembre de 2007. Serie C No. 168, párr. 38.</w:t>
        <w:br/>
        <w:br/>
        <w:t>[349]       Cfr. Caso Velásquez Rodríguez, supra, párr. 29, y Caso de los</w:t>
        <w:br/>
        <w:t>19 Comerciantes Vs. Colombia. Excepción Preliminar. Sentencia de 12 de</w:t>
        <w:br/>
        <w:t>junio de 2002. Serie C No. 93, párr. 27.</w:t>
        <w:br/>
        <w:br/>
        <w:t>[350]       Sobre las críticas a esta Sentencia, véase, por ejemplo,</w:t>
        <w:br/>
        <w:t>Courtis, Christian, “Luces y sombras. La exigibilidad de los derechos</w:t>
        <w:br/>
        <w:t>económicos, sociales y culturales en la sentencia de los “Cinco</w:t>
        <w:br/>
        <w:t>Pensionistas” de la Corte Interamericana de Derechos Humanos”, en Revista</w:t>
        <w:br/>
        <w:t>Mexicana de Derecho Público, No. 6, ITAM, Departamento de Derecho, México,</w:t>
        <w:br/>
        <w:t>2004.</w:t>
        <w:br/>
        <w:br/>
        <w:t>[351]       Abramovich, Víctor, y Rossi, Julieta y, “La tutela de los</w:t>
        <w:br/>
        <w:t>derechos económicos, sociales y culturales en el artículo 26 de la</w:t>
        <w:br/>
        <w:t>Convención Americana sobre Derechos Humanos”, Estudios Socios Jurídicos,</w:t>
        <w:br/>
        <w:t>Bogotá, núm especial 9, abril de 2007, pp. 46 y 47.</w:t>
        <w:br/>
        <w:br/>
        <w:t>[352]       Ibidem, p. 48.</w:t>
        <w:br/>
        <w:br/>
        <w:t>[353]       Con ciertas variantes, véanse Courtis, Christian, “La</w:t>
        <w:br/>
        <w:t>protección de los derechos económicos, sociales y culturales a través del</w:t>
        <w:br/>
        <w:t>artículo 26 de la Convención Americana sobre Derechos Humanos”, op. cit.</w:t>
        <w:br/>
        <w:t>supra nota 79; y Melish, Tara J., “El litigio supranacional de los derechos</w:t>
        <w:br/>
        <w:t>económicos, sociales y cultuales: avances y retrocesos en el Sistema</w:t>
        <w:br/>
        <w:t>Interamericano”, en Memorias del seminario internacional sobre derechos</w:t>
        <w:br/>
        <w:t>económicos, sociales y culturales, México, Secretaría de Relaciones</w:t>
        <w:br/>
        <w:t>Exteriores, pp. 173-219; de esta misma autora, La Protección de los</w:t>
        <w:br/>
        <w:t>Derechos Económicos, Sociales y Culturales en el Sistema Interamericano de</w:t>
        <w:br/>
        <w:t>Derechos Humanos, op. cit. supra nota 79.</w:t>
        <w:br/>
        <w:br/>
        <w:t>[354]       Cfr. OC-10/89 “Interpretación de la Declaración Americana de</w:t>
        <w:br/>
        <w:t>los Derechos y Deberes del Hombre en el marco del artículo 64 de la</w:t>
        <w:br/>
        <w:t>Convención Americana sobre Derechos Humanos”, del 14 de julio de 1989,</w:t>
        <w:br/>
        <w:t>párrs. 43 y 45.</w:t>
        <w:br/>
        <w:br/>
        <w:t>[355]       Cfr. Caso Baena Ricardo y otros Vs. Panamá. Fondo, Reparaciones</w:t>
        <w:br/>
        <w:t>y Costas. Sentencia de 2 de febrero de 2001. Serie C No. 72, párr. 141</w:t>
        <w:br/>
        <w:t>(despido de empleados); Caso “Cinco Pensionistas”, supra, párrs. 116 a 121</w:t>
        <w:br/>
        <w:t>(pensiones), y Caso Castañeda Gutnam Vs. México. Excepciones Preliminares,</w:t>
        <w:br/>
        <w:t>Fondos, Reparaciones y Costas. Sentencia de 6 de agosto de 2008. Serie C</w:t>
        <w:br/>
        <w:t>No. 184, párr. 163 (derecho electoral).</w:t>
        <w:br/>
        <w:br/>
        <w:t>[356]       Incluso la Declaración Universal de Derechos Humanos, toda vez</w:t>
        <w:br/>
        <w:t>que el artículo 29.d) de la Convención Americana establece que ninguna</w:t>
        <w:br/>
        <w:t>disposición de ese Pacto puede ser interpretado en el sentido de: “excluir</w:t>
        <w:br/>
        <w:t>o limitar el efecto que puedan producir la Declaración Americana de</w:t>
        <w:br/>
        <w:t>Derechos y Deberes del Hombre y otros actos internacionales de la misma</w:t>
        <w:br/>
        <w:t>naturaleza”; y la Declaración Universal, por su esencia, tiene la</w:t>
        <w:br/>
        <w:t>naturaleza de la Convención Americana.</w:t>
        <w:br/>
        <w:br/>
        <w:t>[357]       Caso de la "Masacre de Mapiripán", supra, párr. 153; y Caso de</w:t>
        <w:br/>
        <w:t>la Comunidad Mayagna (Sumo) Awas Tingni, supra, párr. 148.</w:t>
        <w:br/>
        <w:br/>
        <w:t>[358]       Ratificada por Colombia el 28 de enero de 1991 y que entró en</w:t>
        <w:br/>
        <w:t>vigor el 27 de febrero de 1991.</w:t>
        <w:br/>
        <w:br/>
        <w:t>[359]       Cfr. Caso “Instituto de Reeducación del Menor”, supra, párr.</w:t>
        <w:br/>
        <w:t>148; Caso de los Hermanos Gómez Paquiyauri. Fondo, Reparaciones y Costas.</w:t>
        <w:br/>
        <w:t>Sentencia de 8 de julio de 2004. Serie C No. 110, párr. 166; Caso de “los</w:t>
        <w:br/>
        <w:t>Niños de la Calle (Villagrán Morales y otros), supra, párr. 194, y</w:t>
        <w:br/>
        <w:t>Condición Jurídica y Derechos Humanos del Niño, Opinión Consultiva OC-</w:t>
        <w:br/>
        <w:t>17/02,  párr. 24.</w:t>
        <w:br/>
        <w:br/>
        <w:t>[360]       Cfr. artículo 44 de la Constitución Política de la República de</w:t>
        <w:br/>
        <w:t>Colombia: “Son derechos fundamentales de los niños: la vida, la integridad</w:t>
        <w:br/>
        <w:t>física, la salud y la seguridad social, la alimentación equilibrada, su</w:t>
        <w:br/>
        <w:t>nombre y nacionalidad, tener una familia y no ser separados de ella, el</w:t>
        <w:br/>
        <w:t>cuidado y amor, la educación y la cultura, la recreación y la libre</w:t>
        <w:br/>
        <w:t>expresión de su opinión. Serán protegidos contra toda forma de abandono,</w:t>
        <w:br/>
        <w:t>violencia física o moral, secuestro, venta, abuso sexual, explotación</w:t>
        <w:br/>
        <w:t>laboral o económica y trabajos riesgosos. Gozarán también de los demás</w:t>
        <w:br/>
        <w:t>derechos consagrados en la Constitución, en las leyes y en los tratados</w:t>
        <w:br/>
        <w:t>internacionales ratificados por Colombia. La familia, la sociedad y el</w:t>
        <w:br/>
        <w:t>Estado tienen la obligación de asistir y proteger al niño para garantizar</w:t>
        <w:br/>
        <w:t>su desarrollo armónico e integral y el ejercicio pleno de sus derechos.</w:t>
        <w:br/>
        <w:t>Cualquier persona puede exigir de la autoridad competente su cumplimiento y</w:t>
        <w:br/>
        <w:t>la sanción de los infractores”.</w:t>
        <w:br/>
        <w:br/>
        <w:t>[361]       Véase el voto razonado en el Caso Cabrera García y Montiel</w:t>
        <w:br/>
        <w:t>Flores vs. México. Excepciones Preliminares, Fondo, Reparaciones y Costas.</w:t>
        <w:br/>
        <w:t>Sentencia de 26 de noviembre de 2010. Serie C No. 220, párr. 38.</w:t>
        <w:br/>
        <w:br/>
        <w:t>[362]       Opinión Consultiva OC-5/85. 13 de noviembre de 1985. Serie A</w:t>
        <w:br/>
        <w:t>No. 5, relativa a La Colegiación Obligatoria de Periodistas (Arts. 13 y 29</w:t>
        <w:br/>
        <w:t>Convención Americana sobre Derechos Humanos), párrs. 51 y 52.</w:t>
        <w:br/>
        <w:br/>
        <w:t>[363]       Cfr. Corte IDH. "Otros Tratados" Objeto de la Función</w:t>
        <w:br/>
        <w:t>Consultiva de la Corte (art. 64 Convención Americana sobre Derechos</w:t>
        <w:br/>
        <w:t>Humanos). Opinión Consultiva OC-1/82 del 24 de septiembre de 1982. Serie A</w:t>
        <w:br/>
        <w:t>No. 1. Otros tratados utilizados.</w:t>
        <w:br/>
        <w:br/>
        <w:t>[364]       Caso Acevedo Buendía y otros (“Cesantes y Jubilados de la</w:t>
        <w:br/>
        <w:t>Contraloría”), supra, Serie C No. 198, párrs. 105 y 106.</w:t>
        <w:br/>
        <w:br/>
        <w:t>[365]       Caso Acevedo Buendía y otros (“Cesantes y Jubilados de la</w:t>
        <w:br/>
        <w:t>Contraloría”), supra,  párr. 103.</w:t>
        <w:br/>
        <w:br/>
        <w:t>[366]       Caso Acevedo Buendía y otros (“Cesantes y Jubilados de la</w:t>
        <w:br/>
        <w:t>Contraloría”), supra, párr. 100: “si bien el artículo 26 se encuentra en el</w:t>
        <w:br/>
        <w:t>capítulo III de la Convención, titulado “Derechos Económicos, Sociales y</w:t>
        <w:br/>
        <w:t>Culturales”, se ubica, también, en la Parte I de dicho instrumento,</w:t>
        <w:br/>
        <w:t>titulado “Deberes de los Estados y Derechos Protegidos” y, por ende, está</w:t>
        <w:br/>
        <w:t>sujeto a las obligaciones generales contenidas en los artículos 1.1 y 2”.</w:t>
        <w:br/>
        <w:br/>
        <w:t>[367]       “Artículo 42. Los consumidores y usuarios de bienes y  servicios</w:t>
        <w:br/>
        <w:t>tienen derecho, en la relación de consumo, a  la  protección  de  su  salud,</w:t>
        <w:br/>
        <w:t>seguridad e intereses económicos; a una información adecuada y veraz;  a  la</w:t>
        <w:br/>
        <w:t>libertad de elección y a condiciones de trato equitativo y digno[...]”.</w:t>
        <w:br/>
        <w:br/>
        <w:t>[368]       “Artículo 35. I. El Estado, en todos sus niveles, protegerá el</w:t>
        <w:br/>
        <w:t>derecho a la salud, promoviendo políticas públicas orientadas a mejorar la</w:t>
        <w:br/>
        <w:t>calidad de vida, el bienestar colectivo y el acceso gratuito de la</w:t>
        <w:br/>
        <w:t>población a los servicios de salud. II. El sistema de salud es único e</w:t>
        <w:br/>
        <w:t>incluye a la medicina tradicional de las naciones y pueblos indígena</w:t>
        <w:br/>
        <w:t>originario campesinos”.</w:t>
        <w:br/>
        <w:br/>
        <w:t>[369]       “Artículo 196. La salud es un derecho de todos y un deber del</w:t>
        <w:br/>
        <w:t>Estado, garantizado mediante políticas sociales y económicas que tiendan a</w:t>
        <w:br/>
        <w:t>la reducción del riesgo de enfermedad y de otros riesgos y al acceso</w:t>
        <w:br/>
        <w:t>universal e igualitario a las acciones y servicios para su promoción,</w:t>
        <w:br/>
        <w:t>protección y recuperación”.</w:t>
        <w:br/>
        <w:br/>
        <w:t>[370]       “Artículo 49. La atención de la salud y el saneamiento</w:t>
        <w:br/>
        <w:t>ambiental son servicios públicos a cargo del Estado. Se garantiza a todas</w:t>
        <w:br/>
        <w:t>las personas el acceso a los servicios de promoción, protección y</w:t>
        <w:br/>
        <w:t>recuperación de la salud. Corresponde al Estado organizar, dirigir y</w:t>
        <w:br/>
        <w:t>reglamentar la prestación de servicios de salud a los habitantes y de</w:t>
        <w:br/>
        <w:t>saneamiento ambiental conforme a los principios de eficiencia,</w:t>
        <w:br/>
        <w:t>universalidad y solidaridad. También, establecer las políticas para la</w:t>
        <w:br/>
        <w:t>prestación de servicios de salud por entidades privadas, y ejercer su</w:t>
        <w:br/>
        <w:t>vigilancia y control. Así mismo, establecer las competencias de la Nación,</w:t>
        <w:br/>
        <w:t>las entidades territoriales y los particulares y determinar los aportes a</w:t>
        <w:br/>
        <w:t>su cargo en los términos y condiciones señalados en la ley. Los servicios</w:t>
        <w:br/>
        <w:t>de salud se organizarán en forma descentralizada, por niveles de atención y</w:t>
        <w:br/>
        <w:t>con participación de la comunidad. La ley señalará los términos en los</w:t>
        <w:br/>
        <w:t>cuales la atención básica para todos los habitantes será gratuita y</w:t>
        <w:br/>
        <w:t>obligatoria. Toda persona tiene el deber de procurar el cuidado integral de</w:t>
        <w:br/>
        <w:t>su salud y la de su comunidad".</w:t>
        <w:br/>
        <w:br/>
        <w:t>[371]       “Artículo 46. […]Los consumidores y usuarios tienen derecho a</w:t>
        <w:br/>
        <w:t>la protección de su salud,  ambiente, seguridad e intereses económicos; a</w:t>
        <w:br/>
        <w:t>recibir información adecuada y  veraz; a la libertad de elección, y a un</w:t>
        <w:br/>
        <w:t>trato equitativo. El Estado apoyará los  organismos que ellos constituyan</w:t>
        <w:br/>
        <w:t>para la defensa de sus derechos. La ley  regulará esas materias”.</w:t>
        <w:br/>
        <w:br/>
        <w:t>[372]       “Artículo 19.  La Constitución asegura a todas las  personas:  …</w:t>
        <w:br/>
        <w:t>9. El derecho a la protección de la salud. El  Estado  protege  el  libre  e</w:t>
        <w:br/>
        <w:t>igualitario acceso a las acciones de promoción,  protección  y  recuperación</w:t>
        <w:br/>
        <w:t>de la salud y de rehabilitación del individuo. Le  corresponderá,  asimismo,</w:t>
        <w:br/>
        <w:t>la coordinación y control de las acciones  relacionadas  con  la  salud.  Es</w:t>
        <w:br/>
        <w:t>deber preferente del Estado garantizar  la  ejecución  de  las  acciones  de</w:t>
        <w:br/>
        <w:t>salud,  sea que se presten a través de instituciones  públicas  o  privadas,</w:t>
        <w:br/>
        <w:t>en la forma y condiciones  que determine la ley,  la  que  podrá  establecer</w:t>
        <w:br/>
        <w:t>cotizaciones obligatorias. Cada  persona  tendrá  el  derecho  a  elegir  el</w:t>
        <w:br/>
        <w:t>sistema de salud al que desee acogerse, sea éste estatal o privado…”.</w:t>
        <w:br/>
        <w:br/>
        <w:t>[373]       “Artículo 32. La salud es un derecho que  garantiza  el  Estado,</w:t>
        <w:br/>
        <w:t>cuya realización  se vincula al ejercicio de otros derechos, entre ellos  el</w:t>
        <w:br/>
        <w:t>derecho al agua, la  alimentación,  la  educación,  la  cultura  física,  el</w:t>
        <w:br/>
        <w:t>trabajo, la seguridad social,  los ambientes sanos y otros que sustentan  el</w:t>
        <w:br/>
        <w:t>buen  vivir.  El  Estado  garantizará  este   derecho   mediante   políticas</w:t>
        <w:br/>
        <w:t>económicas, sociales,  culturales, educativas y  ambientales;  y  el  acceso</w:t>
        <w:br/>
        <w:t>permanente, oportuno y  sin exclusión a programas, acciones y  servicios  de</w:t>
        <w:br/>
        <w:t>promoción y atención  integral de salud, salud sexual y salud  reproductiva.</w:t>
        <w:br/>
        <w:t>La prestación de los  servicios de salud se regirá  por  los  principios  de</w:t>
        <w:br/>
        <w:t>equidad,   universalidad,     solidaridad,    interculturalidad,    calidad,</w:t>
        <w:br/>
        <w:t>eficiencia, eficacia, precaución  y   bioética,  con  enfoque  de  género  y</w:t>
        <w:br/>
        <w:t>generacional”.</w:t>
        <w:br/>
        <w:br/>
        <w:t>[374]       “Artículo 65. La salud de los habitantes de la República</w:t>
        <w:br/>
        <w:t>constituye un bien público. El Estado y las personas están obligados a</w:t>
        <w:br/>
        <w:t>velar por su conservación y restablecimiento”.</w:t>
        <w:br/>
        <w:br/>
        <w:t>[375]       “Artículo 93. Derecho a la salud. El goce de la salud es</w:t>
        <w:br/>
        <w:t>derecho fundamental del ser humano, sin discriminación alguna”.</w:t>
        <w:br/>
        <w:br/>
        <w:t xml:space="preserve">      “Artículo 94. Obligación del Estado, sobre salud y asistencia social.</w:t>
        <w:br/>
        <w:t>El Estado velará por la  salud y la asistencia social de todos los</w:t>
        <w:br/>
        <w:t>habitantes. Desarrollará, a través de sus  instituciones, acciones de</w:t>
        <w:br/>
        <w:t>prevención, promoción, recuperación, rehabilitación,  coordinación y las</w:t>
        <w:br/>
        <w:t>complementarias pertinentes a fin de procurarles el más completo  bienestar</w:t>
        <w:br/>
        <w:t>físico, mental y social”.</w:t>
        <w:br/>
        <w:br/>
        <w:t>[376]       “Artículo 19. El Estado tiene la obligación absoluta de</w:t>
        <w:br/>
        <w:t>garantizar el derecho a la vida, la salud y el respeto de la persona humana</w:t>
        <w:br/>
        <w:t>de todos los ciudadanos sin distinción alguna, de conformidad con la</w:t>
        <w:br/>
        <w:t>Declaración Universal de los Derechos del Hombre”.</w:t>
        <w:br/>
        <w:br/>
        <w:t>[377]       “Artículo 145. Se reconoce el derecho a la protección de la</w:t>
        <w:br/>
        <w:t>salud. El deber de todos participar en la promoción y preservación de la</w:t>
        <w:br/>
        <w:t>salud personal y de la comunidad. El Estado conservará el medio ambiente</w:t>
        <w:br/>
        <w:t>adecuado para proteger la salud de las personas”.</w:t>
        <w:br/>
        <w:br/>
        <w:t>[378]       “Artículo 4. Toda persona tiene derecho a la protección de la</w:t>
        <w:br/>
        <w:t>salud. La Ley definirá las bases y modalidades para  el acceso a los</w:t>
        <w:br/>
        <w:t>servicios de salud y establecerá la concurrencia de la Federación y las</w:t>
        <w:br/>
        <w:t>entidades federativas en materia de salubridad general, conforme a lo que</w:t>
        <w:br/>
        <w:t>dispone la fracción XVI del artículo 73 de esta Constitución”. Véase el</w:t>
        <w:br/>
        <w:t>reciente estudio de Carbonell, José y Carbonell, Miguel, El derecho a la</w:t>
        <w:br/>
        <w:t>salud: una propuesta para México, México, UNAM-IIJ, 2013.</w:t>
        <w:br/>
        <w:br/>
        <w:t>[379]       “Artículo 59. Los nicaragüenses tienen derecho, por igual, a la</w:t>
        <w:br/>
        <w:t>salud. El Estado establecerá las  condiciones básicas para su promoción,</w:t>
        <w:br/>
        <w:t>protección, recuperación y rehabilitación. Corresponde al Estado dirigir y</w:t>
        <w:br/>
        <w:t>organizar los programas, servicios y acciones de salud y  promover la</w:t>
        <w:br/>
        <w:t>participación popular en defensa de la misma. Los ciudadanos tienen la</w:t>
        <w:br/>
        <w:t>obligación de acatar las medidas sanitarias que se determinen”.</w:t>
        <w:br/>
        <w:br/>
        <w:t>[380]       “Artículo 109. Es función esencial del Estado velar por la</w:t>
        <w:br/>
        <w:t>salud de la población de la República. El individuo, como parte  de la</w:t>
        <w:br/>
        <w:t>comunidad, tiene derecho a la promoción, protección,  conservación,</w:t>
        <w:br/>
        <w:t>restitución y rehabilitación de la salud y la obligación  de conservarla,</w:t>
        <w:br/>
        <w:t>entendida ésta como el completo bienestar físico,  mental y social”.</w:t>
        <w:br/>
        <w:br/>
        <w:t>[381]       “Artículo 68. Del derecho a la salud. El Estado protegerá y</w:t>
        <w:br/>
        <w:t>promoverá la salud como derecho fundamental de la persona y en interés de</w:t>
        <w:br/>
        <w:t>la comunidad. Nadie será privado de asistencia pública para prevenir o</w:t>
        <w:br/>
        <w:t>tratar enfermedades, pestes o plagas, y de socorro en los casos de</w:t>
        <w:br/>
        <w:t>catástrofes y de accidentes. Toda persona está obligada a someterse a las</w:t>
        <w:br/>
        <w:t>medidas sanitarias que establezca la ley, dentro del respeto a la dignidad</w:t>
        <w:br/>
        <w:t>humana”.</w:t>
        <w:br/>
        <w:br/>
        <w:t>[382]       “Artículo 7. Todos tienen derecho a la protección de su salud,</w:t>
        <w:br/>
        <w:t>la del medio  familiar y la de la comunidad así como el deber de contribuir</w:t>
        <w:br/>
        <w:t>a su promoción y  defensa. La persona incapacitada para velar por sí misma</w:t>
        <w:br/>
        <w:t>a causa de una  deficiencia física o mental tiene derecho al respeto de su</w:t>
        <w:br/>
        <w:t>dignidad y a un régimen  legal de protección, atención, readaptación y</w:t>
        <w:br/>
        <w:t>seguridad”.</w:t>
        <w:br/>
        <w:br/>
        <w:t>[383]       “Artículo 61.- Derecho a la salud. Toda persona tiene derecho a</w:t>
        <w:br/>
        <w:t>la salud integral. En consecuencia: 1) El Estado debe velar por la</w:t>
        <w:br/>
        <w:t>protección de la salud de todas las personas, el  acceso al agua potable,</w:t>
        <w:br/>
        <w:t>el mejoramiento de la alimentación, de los servicios  sanitarios, las</w:t>
        <w:br/>
        <w:t>condiciones higiénicas, el saneamiento ambiental, así como  procurar los</w:t>
        <w:br/>
        <w:t>medios para la prevención y tratamiento de todas las enfermedades,</w:t>
        <w:br/>
        <w:t>asegurando el acceso a medicamentos de calidad y dando asistencia médica y</w:t>
        <w:br/>
        <w:t>hospitalaria gratuita a quienes la requieran; 2) El Estado garantizará,</w:t>
        <w:br/>
        <w:t>mediante legislaciones y políticas públicas, el ejercicio de  los derechos</w:t>
        <w:br/>
        <w:t>económicos y sociales de la población de menores ingresos y, en</w:t>
        <w:br/>
        <w:t>consecuencia, prestará su protección y asistencia a los grupos y sectores</w:t>
        <w:br/>
        <w:t>vulnerables; combatirá los vicios sociales con las medidas adecuadas y con</w:t>
        <w:br/>
        <w:t>el  auxilio de las convenciones y las organizaciones internacionales”.</w:t>
        <w:br/>
        <w:br/>
        <w:t>[384]       “Artículo 36.- Toda persona tiene derecho a una buena salud. El</w:t>
        <w:br/>
        <w:t>Estado promoverá el cuidado general de la salud mediante la mejora</w:t>
        <w:br/>
        <w:t>sistemática de las condiciones de vida y de trabajo y dará información</w:t>
        <w:br/>
        <w:t>sobre la protección de la salud”.</w:t>
        <w:br/>
        <w:br/>
        <w:t>[385]       “Artículo 44.- El Estado legislará en todas las cuestiones</w:t>
        <w:br/>
        <w:t>relacionadas con la salud e higiene públicas, procurando el</w:t>
        <w:br/>
        <w:t xml:space="preserve">perfeccionamiento físico, moral y social de todos los habitantes del país. </w:t>
        <w:br/>
        <w:t>Todos los habitantes tienen el deber de cuidar su salud, así como el de</w:t>
        <w:br/>
        <w:t>asistirse en caso de enfermedad. El Estado proporcionará gratuitamente los</w:t>
        <w:br/>
        <w:t>medios de prevención y de asistencia tan sólo a los indigentes o carentes</w:t>
        <w:br/>
        <w:t>de recursos suficientes.” (Énfasis añadido)</w:t>
        <w:br/>
        <w:br/>
        <w:t>[386]       “Artículo 83.- La salud es un derecho social fundamental,</w:t>
        <w:br/>
        <w:t>obligación del Estado, que lo garantizará como parte del derecho a la vida.</w:t>
        <w:br/>
        <w:t>El Estado promoverá y desarrollará políticas orientadas a elevar la calidad</w:t>
        <w:br/>
        <w:t>de vida, el bienestar colectivo y el acceso a los servicios. Todas las</w:t>
        <w:br/>
        <w:t>personas tienen derecho a la protección de la salud, así como el deber de</w:t>
        <w:br/>
        <w:t>participar activamente en su promoción y defensa, y el de cumplir con las</w:t>
        <w:br/>
        <w:t>medidas sanitarias y de saneamiento que establezca la ley, de conformidad</w:t>
        <w:br/>
        <w:t>con los tratados y convenios internacionales suscritos y ratificados por la</w:t>
        <w:br/>
        <w:t>República.”</w:t>
        <w:br/>
        <w:br/>
        <w:t>[387]       La acción de tutela colombiana corresponde al recurso, acción o</w:t>
        <w:br/>
        <w:t>juicio de amparo en la mayoría de los países latinoamericanos. En Chile se</w:t>
        <w:br/>
        <w:t>le denomina “recurso de protección” y en Brasil “mandado de segurança”.</w:t>
        <w:br/>
        <w:br/>
        <w:t>[388]       Corte Constitucional de Colombia, Sentencia T-016 de 2007</w:t>
        <w:br/>
        <w:t>(Magistrado Ponente: Humberto Sierra Porto), párr. 12.</w:t>
        <w:br/>
        <w:br/>
        <w:t>[389]       Cfr. Corte Constitucional de Colombia, Sentencia T-760 de 2008</w:t>
        <w:br/>
        <w:t>(Magistrado Ponente: Manuel José Cepeda Espinosa), párr. 3.3.5.</w:t>
        <w:br/>
        <w:br/>
        <w:t>[390]       Corte Constitucional de Colombia, Sentencia T-760 de 2008</w:t>
        <w:br/>
        <w:t>(Magistrado Ponente: Manuel José Cepeda Espinosa), párr. 3.3.6.</w:t>
        <w:br/>
        <w:br/>
        <w:t>[391]       Al respecto, siguiendo dicho fallo emitido en 2002,  se  precisa</w:t>
        <w:br/>
        <w:t>que la  faceta  prestacional  y  progresiva  de  un  derecho  constitucional</w:t>
        <w:br/>
        <w:t>permite a su titular exigir judicialmente, por lo menos: (a)  la  existencia</w:t>
        <w:br/>
        <w:t>de una política pública,  (b) que no sea simbólica o  meramente  formal,  lo</w:t>
        <w:br/>
        <w:t>cual quiere decir  que  esté  claramente  orientada  a  garantizar  el  goce</w:t>
        <w:br/>
        <w:t>efectivo  del  derecho.  Este  punto  es  importante  porque  “se  viola  la</w:t>
        <w:br/>
        <w:t>Constitución cuando existe un plan o un programa, pero se constata  que  (i)</w:t>
        <w:br/>
        <w:t>“sólo está escrito y no haya sido iniciada su ejecución” o (ii) “que así  se</w:t>
        <w:br/>
        <w:t>esté implementando, sea evidentemente inane, bien sea porque no es  sensible</w:t>
        <w:br/>
        <w:t>a los verdaderos problemas y necesidades de los  titulares  del  derecho  en</w:t>
        <w:br/>
        <w:t>cuestión, o porque su ejecución se ha diferido  indefinidamente,  o  durante</w:t>
        <w:br/>
        <w:t>un período de  tiempo  irrazonable”;  y  (c)  que  contemple  mecanismos  de</w:t>
        <w:br/>
        <w:t>participación de los interesados que impulsen la mayor rendición de  cuentas</w:t>
        <w:br/>
        <w:t>posible. Cfr. Corte Constitucional de  Colombia,  Sentencia  T-760  de  2008</w:t>
        <w:br/>
        <w:t>(Magistrado Ponente: Manuel José Cepeda Espinosa).</w:t>
        <w:br/>
        <w:br/>
        <w:t>[392]       Cámara Nacional de Apelaciones en lo Contencioso Administrativo</w:t>
        <w:br/>
        <w:t>Federal de Argentina, Sala IV, caso Viceconte, Mariela Cecilia c/ Estado</w:t>
        <w:br/>
        <w:t>Nacional "Ministerio de Salud y Acción Social- s/ amparo ley 16. 986. Causa</w:t>
        <w:br/>
        <w:t>n° 31. 777/96, sentencia de 2 de Junio de 1998.  Un análisis de este caso</w:t>
        <w:br/>
        <w:t>puede verse en Abramovich, Víublica.org.ar/Seminario2006/" Viceconte,</w:t>
        <w:br/>
        <w:t>Mariela Cecilia c/ Estado Nacional −Ministerio de Salud y Acción Social- s/</w:t>
        <w:br/>
        <w:t>amparo ley 16. 986. Causa n° 31. 777/96, sentencia de 2 de Junio de 1998.</w:t>
        <w:br/>
        <w:t>Un análisis de este caso puede verse en Abramovich, Víctor y Courtis,</w:t>
        <w:br/>
        <w:t>Christian, Los derechos sociales como derechos exigibles, Madrid, Trotta,</w:t>
        <w:br/>
        <w:t>2002, pp. 146-154.</w:t>
        <w:br/>
        <w:br/>
        <w:t>[393]       Corte Suprema de  Costa  Rica,  Sala  Constitucional,  Sentencia</w:t>
        <w:br/>
        <w:t>3691,  Marzo 13, 2013.</w:t>
        <w:br/>
        <w:br/>
        <w:t>[394]       Corte Constitucional de Guatemala, Expediente  1055,  Junio  25,</w:t>
        <w:br/>
        <w:t>2008.</w:t>
        <w:br/>
        <w:br/>
        <w:t>[395]       Tesis del Tribunal Pleno XIX/2000, cuyo rubro es: “Salud. El</w:t>
        <w:br/>
        <w:t>derecho a su protección, que como garantía individual consagra el artículo</w:t>
        <w:br/>
        <w:t>4º constitucional, comprende la recepción de medicamentos básicos para el</w:t>
        <w:br/>
        <w:t>tratamiento de las enfermedades y su suministro por las dependencis y</w:t>
        <w:br/>
        <w:t>entidades que prestan los servicios respectivos” (Semanario Judicial de la</w:t>
        <w:br/>
        <w:t>Federación y su Gaceta, Novena Época, Tomo XI, marzo de 2000, pág. 112).</w:t>
        <w:br/>
        <w:t>Amparo en revisión 2231/97. José Luis Castro Ramírez. 25 de octubre de</w:t>
        <w:br/>
        <w:t>1999. Ponente: Ministro Mariano Azuela Güitrón, en ausencia hizo suyo el</w:t>
        <w:br/>
        <w:t>proyecto el Ministro Sergio Salvador Aguirre Anguiano. Secretaria: Lourdes</w:t>
        <w:br/>
        <w:t>Ferrer Mac-Gregor Poisot.</w:t>
        <w:br/>
        <w:br/>
        <w:t>[396]       Véase la tesis del Tribunal Pleno XV/2011, cuyo  rubro  y  texto</w:t>
        <w:br/>
        <w:t>son: “DERECHO A LA SALUD. SU NATURALEZA NORMATIVA.  Nuestro  país  atraviesa</w:t>
        <w:br/>
        <w:t>una  etapa  de  intensa  transformación  en  la  manera  de  identificar  la</w:t>
        <w:br/>
        <w:t>sustancia normativa de  la  Constitución  Política  de  los  Estados  Unidos</w:t>
        <w:br/>
        <w:t>Mexicanos y sus  consecuencias  para  la  mecánica  del  funcionamiento  del</w:t>
        <w:br/>
        <w:t>juicio de amparo. Una de las manifestaciones específicas  de  este  fenómeno</w:t>
        <w:br/>
        <w:t>es la alteración de la comprensión, hasta  ahora  tradicional,  de  derechos</w:t>
        <w:br/>
        <w:t>como el relativo a la salud o a  la  educación.  Esto  es,  a  pesar  de  su</w:t>
        <w:br/>
        <w:t>consagración  textual  en  la  Carta  Magna,   estos   derechos   han   sido</w:t>
        <w:br/>
        <w:t>tradicionalmente entendidos como meras  declaraciones  de  intenciones,  sin</w:t>
        <w:br/>
        <w:t>mucho poder  vinculante  real  sobre  la  acción  de  ciudadanos  y  poderes</w:t>
        <w:br/>
        <w:t>públicos. Se ha entendido que su efectiva consecución estaba  subordinada  a</w:t>
        <w:br/>
        <w:t>actuaciones legislativas y administraciones específicas,  en  cuya  ausencia</w:t>
        <w:br/>
        <w:t>los Jueces Constitucionales no podían hacer  mucho.  Ahora,  en  cambio,  se</w:t>
        <w:br/>
        <w:t>parte de la premisa de que, aunque en un Estado  constitucional  democrático</w:t>
        <w:br/>
        <w:t>el legislador ordinario y las autoridades gubernamentales y  administrativas</w:t>
        <w:br/>
        <w:t>tienen un margen muy amplio para plasmar su visión de la Constitución y,  en</w:t>
        <w:br/>
        <w:t>particular, para desplegar en una dirección u otra las políticas públicas  y</w:t>
        <w:br/>
        <w:t>regulaciones que deben dar cuerpo a la garantía efectiva  de  los  derechos,</w:t>
        <w:br/>
        <w:t>el  Juez  Constitucional  puede  contrastar  su  labor  con  los  estándares</w:t>
        <w:br/>
        <w:t>contenidos en la propia Ley Suprema y en los tratados  de  derechos  humanos</w:t>
        <w:br/>
        <w:t>que forman parte  de  la  normativa  y  vinculan  a  todas  las  autoridades</w:t>
        <w:br/>
        <w:t>estatales” (Semanario Judicial de la Federación y su Gaceta,  Novena  Época,</w:t>
        <w:br/>
        <w:t>Tomo XXXIV, agosto de 2011, pág. 31). Amparo  en  Revisión  315/2010.  Jorge</w:t>
        <w:br/>
        <w:t>Francisco Balderas Woolrich. 28 de marzo de  2011.  Ponente:  Ministro  José</w:t>
        <w:br/>
        <w:t>Ramón  Cossío  Díaz.  Secretarias:  Francisca  María  Pou  Giménez,  Fabiana</w:t>
        <w:br/>
        <w:t>Estrada Tena y Paula María García Villegas Sánchez Cordero.</w:t>
        <w:br/>
        <w:br/>
        <w:t>[397]       “Artículo 27.- Todos gozan de tener derecho de tener acceso a</w:t>
        <w:br/>
        <w:t>servicios de salud, incluso de salud reproductiva.”</w:t>
        <w:br/>
        <w:br/>
        <w:t>[398]       “Artículo 50.- Todos tienen derecho a que se atienda y proteja</w:t>
        <w:br/>
        <w:t>su salud. El Estado garantiza este derecho.”</w:t>
        <w:br/>
        <w:br/>
        <w:t>[399] “Artículo 43.- Se reconoce el derecho a la protección de la salud.</w:t>
        <w:br/>
        <w:t>Compete a los poderes públicos organizar y tutelar la salud pública a</w:t>
        <w:br/>
        <w:t>través de medidas preventivas y de las prestaciones y servicios necesarios.</w:t>
        <w:br/>
        <w:t>La ley establecerá los derechos y deberes de todos al respecto.”</w:t>
        <w:br/>
        <w:br/>
        <w:t>[400] “Artículo 13.- El Estado debe adoptar un  enfoque integral y</w:t>
        <w:br/>
        <w:t>comprensivo al desarrollo de la salud.”</w:t>
        <w:br/>
        <w:br/>
        <w:t>[401]       “Artículo 2.- El derecho de toda persona a disfrutar de un</w:t>
        <w:br/>
        <w:t>nivel de vida adecuado que asegure para sí y para su familia la salud, el</w:t>
        <w:br/>
        <w:t>bienestar y especialmente la alimentación, el vestido, la vivienda, la</w:t>
        <w:br/>
        <w:t>asistencia médica y los servicios sociales necesarios”.</w:t>
        <w:br/>
        <w:br/>
        <w:t>[402]       Chaoulli Vs. Quebec (Fiscal General) [2005] 1 S.C.R. 791, 2005.</w:t>
        <w:br/>
        <w:br/>
        <w:t>[403]       Cfr. National Health Service Act 2006, y The Health  and  Social</w:t>
        <w:br/>
        <w:t>Care Act. 2012 No. 1319 (C. 47) (2012).</w:t>
        <w:br/>
        <w:br/>
        <w:t>[404]       Constitutional Court of South Africa, Minister of Health et al.</w:t>
        <w:br/>
        <w:t>vs. Treatment Action Campaign (TAC) et al. Case CCT 8/02, 5 July 2002.</w:t>
        <w:br/>
        <w:br/>
        <w:t>[405]       Para un análisis de casos en Colombia, Costa Rica, Argentina,</w:t>
        <w:br/>
        <w:t>India, Brasil y Sudáfrica, ver los trabajos reunidos en Yamin, Alicia Ely y</w:t>
        <w:br/>
        <w:t>Gloppen, Siri (coords.) La lucha por los derechos de la salud. ¿Puede la</w:t>
        <w:br/>
        <w:t>justicia ser una herramienta de cambio?, Buenos Aires, Siglo XXI, 2013.</w:t>
        <w:br/>
        <w:br/>
        <w:t>[406]       Párr. 123 de la Sentencia. Asimismo, resultó de utilidad la</w:t>
        <w:br/>
        <w:t>declaración pericial de la doctora Laura Pautassi, relativa a la</w:t>
        <w:br/>
        <w:t>jurisprudencia del Tribunal Europeo de Derechos Humanos, que en casos como</w:t>
        <w:br/>
        <w:t>el presente, donde la indemnización civil estaba sujeta a la conclusión del</w:t>
        <w:br/>
        <w:t>proceso penal, el deber de investigar en un plazo razonable se incrementa</w:t>
        <w:br/>
        <w:t>dependiendo de la situación de salud de la persona afectada; véase párr.</w:t>
        <w:br/>
        <w:t>102 y nota 135 de la Sentencia.</w:t>
        <w:br/>
        <w:br/>
        <w:t>[407]       Párr. 154 de la Sentencia.</w:t>
        <w:br/>
        <w:br/>
        <w:t>[408]       Caso Suárez Peralta, supra, párr. 130.</w:t>
        <w:br/>
        <w:br/>
        <w:t>[409]       Idem.</w:t>
        <w:br/>
        <w:br/>
        <w:t>[410]       Idem.</w:t>
        <w:br/>
        <w:br/>
        <w:t>[411]       Si bien del Informe de Fondo de la Comisión Interamericana, del</w:t>
        <w:br/>
        <w:t>Escrito de Argumentaciones, Solicitudes y Pruebas a cargo de los</w:t>
        <w:br/>
        <w:t>representantes de las víctimas y de la Contestación del Estado, existen</w:t>
        <w:br/>
        <w:t>referencias al derecho a la salud, véanse infra notas 174, 175 y 176.</w:t>
        <w:br/>
        <w:br/>
        <w:t>[412]       Cfr. Caso Cantos Vs. Argentina. Fondo, Reparaciones y Costas.</w:t>
        <w:br/>
        <w:t>Sentencia de 28 de Noviembre de 2002, Serie C No. 97, párr. 58; Caso</w:t>
        <w:br/>
        <w:t>Castillo Petruzzi y otros Vs. Perú. Fondo, Reparaciones y Costas. Sentencia</w:t>
        <w:br/>
        <w:t>de 30 de mayo de 1999. Serie C No. 52, párr. 166, y Caso Kimel Vs.</w:t>
        <w:br/>
        <w:t>Argentina. Fondo, Reparaciones y Costas. Sentencia de 2 de mayo de 2008,</w:t>
        <w:br/>
        <w:t>Serie C No. 177, párr. 61.</w:t>
        <w:br/>
        <w:br/>
        <w:t>[413]       Cfr. CPJI. Caso de S.S. “Lotus”. Serie A No. 10. Sentencia de</w:t>
        <w:br/>
        <w:t>27 de septiembre de 1927, pág. 31, y TEDH. Handyside Vs. Reino Unido. No.</w:t>
        <w:br/>
        <w:t>5493/72. Sentencia de 7 de diciembre de 1976, párr. 41. Cfr. Caso Godínez</w:t>
        <w:br/>
        <w:t>Cruz Vs. Honduras. Fondo. Sentencia de 20 de enero de 1989, Serie C No. 5,</w:t>
        <w:br/>
        <w:t>párr. 172.</w:t>
        <w:br/>
        <w:br/>
        <w:t>[414]       Cfr. Caso Velásquez Rodríguez Vs. Honduras, supra, párr. 163.</w:t>
        <w:br/>
        <w:br/>
        <w:t>[415]       Cfr. Caso Godínez Cruz, supra, párr. 172.</w:t>
        <w:br/>
        <w:br/>
        <w:t>[416]       Cfr. Caso Cantos Vs. Argentina, supra, párr. 58</w:t>
        <w:br/>
        <w:br/>
        <w:t>[417]       Cfr. Caso de la Comunidad Indígena Sawhoyamaxa, párrs. 186 y</w:t>
        <w:br/>
        <w:t>187.</w:t>
        <w:br/>
        <w:br/>
        <w:t>[418]       Cfr. Caso Hilaire, Constantine y Benjamin y otros Vs. Trinidad</w:t>
        <w:br/>
        <w:t>y Tobago. Fondo, Reparaciones y Costas. Sentencia de 21 de junio de 2002.</w:t>
        <w:br/>
        <w:t>Serie C No. 94, párr. 107.</w:t>
        <w:br/>
        <w:br/>
        <w:t>[419]       Cfr. Caso Vera Vera y otra, supra, párrs. 100 y 101; y Caso</w:t>
        <w:br/>
        <w:t>Ximenes Lopes, supra, párr. 155.</w:t>
        <w:br/>
        <w:br/>
        <w:t>[420]       Cfr. Caso Acosta Calderón Vs. Ecuador. Fondo, Reparaciones y</w:t>
        <w:br/>
        <w:t>Costas. Sentencia de 24 de junio de 2005. Serie C No. 129, párr. 85.</w:t>
        <w:br/>
        <w:br/>
        <w:t>[421]       Cfr. Caso Vélez Loor, supra, párr. 184, y Caso Usón Ramírez Vs.</w:t>
        <w:br/>
        <w:t>Venezuela. Excepción Preliminar, Fondo, Reparaciones y Costas. Sentencia de</w:t>
        <w:br/>
        <w:t>20 de noviembre de 2009. Serie C No. 207, párrs. 53 y 54.</w:t>
        <w:br/>
        <w:br/>
        <w:t>[422]       Cfr. Caso Herrera Ulloa Vs. Costa Rica. Excepciones</w:t>
        <w:br/>
        <w:t>Preliminares, Fondo, Reparaciones y Costas. Sentencia de 2 de julio de</w:t>
        <w:br/>
        <w:t>2004. Serie C No. 107, párr. 137.</w:t>
        <w:br/>
        <w:br/>
        <w:t>[423]       Cfr. Caso Contreras y otros Vs. El Salvador. Fondo,</w:t>
        <w:br/>
        <w:t>Reparaciones y Costas. Sentencia de 31 de agosto de 2011. Serie C No. 232,</w:t>
        <w:br/>
        <w:t>párr. 109.</w:t>
        <w:br/>
        <w:br/>
        <w:t>[424]       Cfr. Caso Gudiel Álvarez (Diario Militar) Vs. Guatemala. Fondo</w:t>
        <w:br/>
        <w:t>Reparaciones y Costas. Sentencia de 20 noviembre de 2012. Serie C No. 253,</w:t>
        <w:br/>
        <w:t>párr. 308.</w:t>
        <w:br/>
        <w:br/>
        <w:t>[425]       Informe de Fondo 75/2011, de 20 de julio  de  2011,  página  22,</w:t>
        <w:br/>
        <w:t>párr. 83: “[…] cuando la conducta de las autoridades estatales conlleva  una</w:t>
        <w:br/>
        <w:t>falla de las garantías protegidas a nivel interno y a  nivel  interamericano</w:t>
        <w:br/>
        <w:t>—que habría obstaculizado el derecho de acceso a la justicia  vinculado  con</w:t>
        <w:br/>
        <w:t>un reclamo sobre el derecho  a  la  salud,  que  es  un  bien  público  cuya</w:t>
        <w:br/>
        <w:t>protección está a cargo de los Estados—“ (subrayado añadido).</w:t>
        <w:br/>
        <w:br/>
        <w:t>[426]       Asimismo, Escrito de Argumentaciones, Solicitudes  y  Pruebas  a</w:t>
        <w:br/>
        <w:t>cargo de los representantes de las víctimas de 28 de abril de  2012,  página</w:t>
        <w:br/>
        <w:t>42: “la normativa ecuatoriana  consagra  el  derecho  a  la  salud  como  un</w:t>
        <w:br/>
        <w:t>derecho humano fundamental y establece la obligación del Estado  de  regular</w:t>
        <w:br/>
        <w:t>la atención de la salud de las personas sujetas a su  jurisdicción,  ya  sea</w:t>
        <w:br/>
        <w:t>directamente o a través de terceros”.</w:t>
        <w:br/>
        <w:br/>
        <w:t>[427]       Cfr. Escrito de contestación del Estado, págs. 221 a 226.</w:t>
        <w:br/>
        <w:br/>
        <w:t>[428]       Asimismo, véase especialmente el párr. 131 y nota 176 de la</w:t>
        <w:br/>
        <w:t>Sentencia.</w:t>
        <w:br/>
        <w:br/>
        <w:t>[429]       Resolución A/RES/63/117 adoptada el  10  de  diciembre  de  2008</w:t>
        <w:br/>
        <w:t>por la Asamblea General de la ONU. Entró en vigor el  5  de  mayo  de  2013.</w:t>
        <w:br/>
        <w:t>Entre los 10 países que lo han ratificado se encuentra Ecuador.  Las  partes</w:t>
        <w:br/>
        <w:t>firmantes se comprometen a reconocer la competencia del Comité  de  Derechos</w:t>
        <w:br/>
        <w:t>Económicos,  Sociales  y  Culturales  para  examinar  de  comunicaciones  de</w:t>
        <w:br/>
        <w:t>personas o grupos que afirman violación al Pacto Internacional  de  Derechos</w:t>
        <w:br/>
        <w:t>Económicos, Sociales y Culturales.</w:t>
        <w:br/>
        <w:br/>
        <w:t>[430]       Ruiz-Chiriboga, Oswaldo, op. cit. supra, nota 39, p. 160.</w:t>
        <w:br/>
        <w:br/>
        <w:t>[431]       Cfr. Caso Acevedo Buendía y otros (“Cesantes y Jubilados de la</w:t>
        <w:br/>
        <w:t>Contraloría”), supra, párr. 100.</w:t>
        <w:br/>
        <w:br/>
        <w:t>[432]       Cfr. Caso Ticona Estrada y otros Vs. Bolivia. Fondo,</w:t>
        <w:br/>
        <w:t>Reparaciones y Costas. Sentencia de 27 de noviembre de 2008, Serie C No.</w:t>
        <w:br/>
        <w:t>191, párr. 110.</w:t>
        <w:br/>
        <w:br/>
        <w:t>[433]       Al respecto, véase von Bogdandy, Armin, Fix-Fierro, Héctor,</w:t>
        <w:br/>
        <w:t>Morales Antoniazzi, Mariela y Ferrer Mac-Gregor, Eduardo (coords.),</w:t>
        <w:br/>
        <w:t>Construcción y papel de los derechos sociales fundamentales. Hacia un Ius</w:t>
        <w:br/>
        <w:t>Constitutionale Commune en América Latina, México, UNAM-IIJ-Instituto</w:t>
        <w:br/>
        <w:t>Iberoamericano de Derecho Constitucional-Max-Planck-Institut für</w:t>
        <w:br/>
        <w:t>ausländisches öffentiliches Recht und Völkerrecht, 2011.</w:t>
        <w:br/>
        <w:br/>
        <w:t>[434]       Cfr. Caso Acevedo Buendía y otros (“Cesantes y Jubilados de la</w:t>
        <w:br/>
        <w:t>Contraloría”), supra, párrs. 99-103.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