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CASO GUDIEL ÁLVAREZ Y OTROS (“DIARIO MILITAR”) VS. GUATEMALA</w:t>
        <w:br/>
        <w:br/>
        <w:t xml:space="preserve">                      SENTENCIA DE 19 DE AGOSTO DE 2013</w:t>
        <w:br/>
        <w:t xml:space="preserve">      (Interpretación de la Sentencia de Fondo, Reparaciones y Costas)</w:t>
        <w:br/>
        <w:br/>
        <w:br/>
        <w:br/>
        <w:t>En el caso Gudiel Álvarez y otros,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jueces[1]:</w:t>
        <w:br/>
        <w:br/>
        <w:t>Diego García-Sayán, Presidente;</w:t>
        <w:br/>
        <w:t>Leonardo A. Franco, Juez;</w:t>
        <w:br/>
        <w:t>Margarette May Macaulay, Jueza;</w:t>
        <w:br/>
        <w:t>Rhadys Abreu Blondet, Jueza, y</w:t>
        <w:br/>
        <w:t>Alberto Pérez Pérez,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 la  solicitud  de  interpretación  de  la  Sentencia   de   fondo,</w:t>
        <w:br/>
        <w:t>reparaciones y costas emitida por este Tribunal el 20 de noviembre  de  2012</w:t>
        <w:br/>
        <w:t>en el presente caso (en adelante también “la Sentencia”), interpuesta el  20</w:t>
        <w:br/>
        <w:t>de marzo de 2013 por las representantes de las víctimas  (en  adelante  “las</w:t>
        <w:br/>
        <w:t>representantes”).</w:t>
        <w:br/>
        <w:br/>
        <w:t xml:space="preserve">                                      I</w:t>
        <w:br/>
        <w:t xml:space="preserve">                         SOLICITUD DE INTERPRETACIÓN</w:t>
        <w:br/>
        <w:t xml:space="preserve">                        Y PROCEDIMIENTO ANTE LA CORTE</w:t>
        <w:br/>
        <w:br/>
        <w:t>El 20 de noviembre de 2012  la  Corte  emitió  la  Sentencia,  la  cual  fue</w:t>
        <w:br/>
        <w:t>notificada a las partes y a la Comisión Interamericana de  Derechos  Humanos</w:t>
        <w:br/>
        <w:t>(en adelante  “la  Comisión  Interamericana”  o  “la  Comisión”)  el  21  de</w:t>
        <w:br/>
        <w:t>diciembre del mismo año.</w:t>
        <w:br/>
        <w:br/>
        <w:t>El 5 de marzo de 2013 la República de Guatemala (en adelante  “Guatemala”  o</w:t>
        <w:br/>
        <w:t>“el Estado”) presentó un escrito, mediante el cual “manifest[ó] su  postura”</w:t>
        <w:br/>
        <w:t>de “desacuerdo” frente a la Sentencia. El 20 y  25  de  marzo  de  2013  las</w:t>
        <w:br/>
        <w:t>representantes y la  Comisión  presentaron  sus  observaciones  respecto  de</w:t>
        <w:br/>
        <w:t>dicho escrito estatal, respectivamente.</w:t>
        <w:br/>
        <w:br/>
        <w:t>El 20 de marzo de 2013  las  representantes  presentaron  una  solicitud  de</w:t>
        <w:br/>
        <w:t>interpretación  de   la   Sentencia   “por   encontrar   contradicciones   e</w:t>
        <w:br/>
        <w:t>imprecisiones relacionadas con el pago  de  indemnización  económica  a  las</w:t>
        <w:br/>
        <w:t>víctimas y sus familiares”. En particular,  las  representantes  solicitaron</w:t>
        <w:br/>
        <w:t>aclaraciones sobre la forma de pago del lucro cesante y del daño  inmaterial</w:t>
        <w:br/>
        <w:t>ordenado en la Sentencia  a  favor  de  las  víctimas  desaparecidas  y  sus</w:t>
        <w:br/>
        <w:t>familiares, así como sobre el plazo para pagar las  indemnizaciones  fijadas</w:t>
        <w:br/>
        <w:t>en dicha decisión.</w:t>
        <w:br/>
        <w:br/>
        <w:t>El 1 de abril de 2013, de conformidad con el artículo 68.2 del Reglamento  y</w:t>
        <w:br/>
        <w:t>siguiendo  instrucciones  del  Presidente  de  la   Corte,   la   Secretaría</w:t>
        <w:br/>
        <w:t>transmitió la  referida  solicitud  de  interpretación  al  Estado  y  a  la</w:t>
        <w:br/>
        <w:t>Comisión y les otorgó un plazo hasta el 1 de mayo  de  2013  para  presentar</w:t>
        <w:br/>
        <w:t>las alegaciones escritas que estimaran pertinentes.</w:t>
        <w:br/>
        <w:br/>
        <w:t>El 30 de abril de 2013 la Comisión y el Estado presentaron  sus  alegaciones</w:t>
        <w:br/>
        <w:t>escritas respecto de la referida solicitud de interpretación.</w:t>
        <w:br/>
        <w:br/>
        <w:t xml:space="preserve">                                     II</w:t>
        <w:br/>
        <w:t xml:space="preserve">                                 COMPETENCIA</w:t>
        <w:br/>
        <w:br/>
        <w:br/>
        <w:t>El artículo 67 de la Convención establece que:</w:t>
        <w:br/>
        <w:br/>
        <w:t xml:space="preserve">    El fallo  de  la  Corte  será  definitivo  e  inapelable.  En  caso  de</w:t>
        <w:br/>
        <w:t xml:space="preserve">    desacuerdo  sobre  el  sentido  o  alcance  del  fallo,  la  Corte   lo</w:t>
        <w:br/>
        <w:t xml:space="preserve">    interpretará a solicitud de cualquiera de las partes, siempre que dicha</w:t>
        <w:br/>
        <w:t xml:space="preserve">    solicitud se presente dentro de los noventa días a partir de  la  fecha</w:t>
        <w:br/>
        <w:t xml:space="preserve">   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 integra,  en  su  mayoría,  con  los  jueces  que</w:t>
        <w:br/>
        <w:t>dictaron la  Sentencia  cuya  interpretación  ha  sido  solicitada  por  las</w:t>
        <w:br/>
        <w:t>representantes (supra nota 1).</w:t>
        <w:br/>
        <w:br/>
        <w:t xml:space="preserve">                                     III</w:t>
        <w:br/>
        <w:t xml:space="preserve">                  ESCRITO DEL ESTADO DE 5 DE MARZO DE 2013</w:t>
        <w:br/>
        <w:t xml:space="preserve">                      Y MANIFESTACIONES SIMILARES EN EL</w:t>
        <w:br/>
        <w:t xml:space="preserve">                  ESCRITO DEL ESTADO DE 30 DE ABRIL DE 2013</w:t>
        <w:br/>
        <w:br/>
        <w:t>El Tribunal observa que, dentro del plazo de noventa días establecido en  la</w:t>
        <w:br/>
        <w:t>Convención para la interposición de  una  solicitud  de  interpretación,  el</w:t>
        <w:br/>
        <w:t>Estado presentó un escrito “con el fin de hacer constar  su  desacuerdo  con</w:t>
        <w:br/>
        <w:t>la  interpretación  que  la  Corte  […]  [aplicó]  a  la  reserva  que  hizo</w:t>
        <w:br/>
        <w:t>oportunamente al aceptar su competencia contenciosa”, en tanto  “los  hechos</w:t>
        <w:br/>
        <w:t>que genera[ron] la controversia en este caso,  están  fuera  del  ámbito  de</w:t>
        <w:br/>
        <w:t>competencia temporal de la […] Corte”, por lo cual “no acepta  la  sentencia</w:t>
        <w:br/>
        <w:t>pronunciada en el  caso  del  Diario  Militar”.  En  particular,  el  Estado</w:t>
        <w:br/>
        <w:t>manifestó: (i) su oposición a la calificación de los hechos en  el  presente</w:t>
        <w:br/>
        <w:t>como desaparición forzada, pues conllevaría una  aplicación  retroactiva  de</w:t>
        <w:br/>
        <w:t>las normas pertinentes;  (ii)  una  alegada  imposibilidad  de  condenar  al</w:t>
        <w:br/>
        <w:t>Estado por el delito de desaparición forzada, en tanto constituye un  delito</w:t>
        <w:br/>
        <w:t>y como tal es cometido por una  persona  y  debe  ser  determinado  por  una</w:t>
        <w:br/>
        <w:t>jurisdicción  penal;  (iii)  su  oposición  a  considerar   el   delito   de</w:t>
        <w:br/>
        <w:t>desaparición  forzada  como  permanente;  (iv)  la  irrelevancia   para   la</w:t>
        <w:br/>
        <w:t>interpretación de la competencia temporal  del  Tribunal  de  “que  se  haya</w:t>
        <w:br/>
        <w:t>aceptado con anterioridad la competencia de la Corte […] y por tanto de  las</w:t>
        <w:br/>
        <w:t>sentencias  dictadas”,  así  como  de  la  aceptación   de   responsabilidad</w:t>
        <w:br/>
        <w:t>realizada por “un  agente  del  Estado”  en  el  presente  caso,  y  (v)  su</w:t>
        <w:br/>
        <w:t>oposición a las  medidas  de  reparación  ordenadas  en  la  Sentencia.  Sin</w:t>
        <w:br/>
        <w:t>embargo, manifestó que  “continúa  con  el  compromiso  de  resarcir  a  las</w:t>
        <w:br/>
        <w:t>víctimas de violaciones a Derechos Humanos, ocurridas durante  el  Conflicto</w:t>
        <w:br/>
        <w:t>Armado Interno por medio del Programa  Nacional  de  Resarcimiento,  siempre</w:t>
        <w:br/>
        <w:t>que acudan a dicho programa a  solicitar  su  indemnización”.  Asimismo,  la</w:t>
        <w:br/>
        <w:t>Corte nota que en su escrito de observaciones de 30 de abril de 2013  (supra</w:t>
        <w:br/>
        <w:t>párr. 5), el Estado reiteró algunas de las manifestaciones contenidas en  el</w:t>
        <w:br/>
        <w:t>escrito de 5 de marzo de 2013 e indicó que consideraba que “la Sentencia  de</w:t>
        <w:br/>
        <w:t>todas formas no es vinculante para el Estado de Guatemala”.</w:t>
        <w:br/>
        <w:br/>
        <w:t>Tanto las representantes como la Comisión manifestaron su  oposición  a  las</w:t>
        <w:br/>
        <w:t>consideraciones realizadas por el Estado, resaltando, entre otros  aspectos,</w:t>
        <w:br/>
        <w:t>el carácter definitivo e inapelable  de  las  decisiones  del  Tribunal,  la</w:t>
        <w:br/>
        <w:t>obligación de los Estados de cumplir con dichas decisiones y la  competencia</w:t>
        <w:br/>
        <w:t>de la Corte para ordenar las reparaciones que estime  conveniente,  conforme</w:t>
        <w:br/>
        <w:t>a lo establecido en los artículos 63, 67 y 68 de  la  Convención  Americana.</w:t>
        <w:br/>
        <w:t>En particular, las representantes resaltaron que “[c]ada  uno  y  todos  los</w:t>
        <w:br/>
        <w:t>temas tocados por el Estado fueron resueltos por  la  Sentencia  después  de</w:t>
        <w:br/>
        <w:t>siete años de litigio, durante los cuales el Estado tuvo amplia  oportunidad</w:t>
        <w:br/>
        <w:t>para exponer sus argumentos”, por lo cual “[e]n este momento  procesal,  […]</w:t>
        <w:br/>
        <w:t>los argumentos del Estado relacionados con la jurisdicción de la  Corte,  la</w:t>
        <w:br/>
        <w:t>responsabilidad estatal por las violaciones  cometidas  y  las  reparaciones</w:t>
        <w:br/>
        <w:t>son inadmisibles”.</w:t>
        <w:br/>
        <w:br/>
        <w:t>La Corte considera que los cuestionamientos formulados por el Estado  en  su</w:t>
        <w:br/>
        <w:t>escrito  de  5  de  marzo  de  2013  no   constituyen   una   solicitud   de</w:t>
        <w:br/>
        <w:t>interpretación. Si bien el Estado no denominó  dicho  escrito  como  tal  ni</w:t>
        <w:br/>
        <w:t>realizó ninguna solicitud en  este  sentido,  el  Tribunal  estima  oportuno</w:t>
        <w:br/>
        <w:t>recordar que la interpretación de una sentencia no puede abordar y  resolver</w:t>
        <w:br/>
        <w:t>cuestiones de hecho y de derecho que ya fueron planteadas en su  oportunidad</w:t>
        <w:br/>
        <w:t>procesal y sobre las cuales el Tribunal adoptó una  decisión  definitiva[3],</w:t>
        <w:br/>
        <w:t>ni pretender que el Tribunal valore nuevamente cuestiones que  ya  han  sido</w:t>
        <w:br/>
        <w:t>resueltas por éste en su Sentencia[4]. Por otro lado, la  Corte  también  ha</w:t>
        <w:br/>
        <w:t>señalado que la formulación  de  situaciones  abstractas  o  hipotéticas  no</w:t>
        <w:br/>
        <w:t>tiene relación alguna con el objeto de una solicitud  de  interpretación  de</w:t>
        <w:br/>
        <w:t>Sentencia[5].  Asimismo,  tal  como  lo  ha  dispuesto  anteriormente   este</w:t>
        <w:br/>
        <w:t>Tribunal[6], la interpretación de una sentencia no debe utilizarse  como  un</w:t>
        <w:br/>
        <w:t>medio de impugnación, sino únicamente debe tener como objeto desentrañar  el</w:t>
        <w:br/>
        <w:t>sentido de un fallo cuando una de las partes sostiene que el  texto  de  sus</w:t>
        <w:br/>
        <w:t>puntos resolutivos o de sus consideraciones carece de claridad o  precisión,</w:t>
        <w:br/>
        <w:t>siempre y cuando esas consideraciones incidan en dicha parte resolutiva[7].</w:t>
        <w:br/>
        <w:br/>
        <w:t>Asimismo, este Tribunal considera, como lo ha  hecho  anteriormente[8],  que</w:t>
        <w:br/>
        <w:t>la debida implementación de las medidas de reparación será evaluada  durante</w:t>
        <w:br/>
        <w:t>la etapa de supervisión del cumplimiento de la Sentencia,  por  lo  cual  la</w:t>
        <w:br/>
        <w:t>Corte valorará oportunamente aquella información  y  observaciones  que  las</w:t>
        <w:br/>
        <w:t>partes pudieran presentar al respecto durante dicha etapa.</w:t>
        <w:br/>
        <w:br/>
        <w:t>En  el  marco  del  procedimiento  de  interpretación   de   la   Sentencia,</w:t>
        <w:br/>
        <w:t>corresponde a esta Corte resolver los desacuerdos que  sean  planteados  por</w:t>
        <w:br/>
        <w:t>las partes respecto al sentido y alcance de la Sentencia.  Por  tanto,  este</w:t>
        <w:br/>
        <w:t>Tribunal considera que las inconformidades manifestadas por el Estado en  su</w:t>
        <w:br/>
        <w:t>escrito de 5 de marzo de 2013 no se refieren a  dudas  sobre  el  sentido  y</w:t>
        <w:br/>
        <w:t>alcance  de  la  Sentencia  y,  en   consecuencia,   no   son   materia   de</w:t>
        <w:br/>
        <w:t>interpretación  ni  afectan  el  carácter  definitivo  e  inapelable  de  la</w:t>
        <w:br/>
        <w:t>Sentencia. De esta forma, en la presente Sentencia  la  Corte  solamente  se</w:t>
        <w:br/>
        <w:t>pronunciará  sobre  la  solicitud  de  interpretación  presentada  por   las</w:t>
        <w:br/>
        <w:t>representantes el 20 de marzo de 2013 (supra párr. 3).</w:t>
        <w:br/>
        <w:br/>
        <w:t>Igualmente, las  manifestaciones  similares  del  Estado  contenidas  en  su</w:t>
        <w:br/>
        <w:t>escrito de 30 de abril de 2013 (supra párrs. 5 y 8), no serán abordadas  por</w:t>
        <w:br/>
        <w:t>este Tribunal en esta decisión, en la medida en que no se refieren  a  dudas</w:t>
        <w:br/>
        <w:t>sobre el sentido y alcance de la Sentencia ni  a  las  preguntas  planteadas</w:t>
        <w:br/>
        <w:t>por las representantes en su solicitud de interpretación.</w:t>
        <w:br/>
        <w:br/>
        <w:t xml:space="preserve">                                     IV</w:t>
        <w:br/>
        <w:t xml:space="preserve">               ADMISIBILIDAD DE LA SOLICITUD DE INTERPRETACIÓN</w:t>
        <w:br/>
        <w:br/>
        <w:t>Corresponde a  la  Corte  verificar  si  la  solicitud  presentada  por  las</w:t>
        <w:br/>
        <w:t>representantes  cumple  con  los  requisitos  establecidos  en  las   normas</w:t>
        <w:br/>
        <w:t>aplicables a una solicitud de  interpretación  de  Sentencia,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1.     La solicitud de interpretación a que se refiere el  artículo  67</w:t>
        <w:br/>
        <w:t xml:space="preserve">    de la Convención podrá promoverse en relación  con  las  sentencias  de</w:t>
        <w:br/>
        <w:t xml:space="preserve">    excepciones preliminares, fondo o reparaciones y costas y se presentará</w:t>
        <w:br/>
        <w:t xml:space="preserve">    en la Secretaría de la Corte indicándose en ella,  con  precisión,  las</w:t>
        <w:br/>
        <w:t xml:space="preserve">    cuestiones  relativas  al  sentido  o  alcance  de  la  sentencia  cuya</w:t>
        <w:br/>
        <w:t xml:space="preserve">    interpretación se pida.</w:t>
        <w:br/>
        <w:br/>
        <w:t xml:space="preserve">    […]</w:t>
        <w:br/>
        <w:br/>
        <w:t xml:space="preserve">    4.     La solicitud de interpretación no suspenderá la ejecución de  la</w:t>
        <w:br/>
        <w:t xml:space="preserve">    sentencia.</w:t>
        <w:br/>
        <w:br/>
        <w:t xml:space="preserve">    5.     La Corte determinará el procedimiento que se seguirá y resolverá</w:t>
        <w:br/>
        <w:t xml:space="preserve">    mediante una sentencia.</w:t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br/>
        <w:t>La Corte ha constatado que las representantes  remitieron  la  solicitud  de</w:t>
        <w:br/>
        <w:t>interpretación el 20 de marzo de 2013, dentro del plazo  establecido  en  el</w:t>
        <w:br/>
        <w:t>artículo 67 de la Convención  para  la  presentación  de  una  solicitud  de</w:t>
        <w:br/>
        <w:t>interpretación de la  Sentencia  (supra  párr.  6),  ya  que  la  misma  fue</w:t>
        <w:br/>
        <w:t>notificada el 21 de diciembre  de  2012.  Por  ende,  la  solicitud  resulta</w:t>
        <w:br/>
        <w:t>admisible en lo que se refiere al plazo de su presentación.</w:t>
        <w:br/>
        <w:br/>
        <w:t xml:space="preserve">                                      V</w:t>
        <w:br/>
        <w:t xml:space="preserve">        ANÁLISIS DE LA PROCEDENCIA DE LA SOLICITUD DE INTERPRETACIÓN</w:t>
        <w:br/>
        <w:br/>
        <w:t>A continuación el Tribunal analizará  la  solicitud  de  las  representantes</w:t>
        <w:br/>
        <w:t>para  determinar  si,  de  acuerdo  a  la  normativa  y  a  los   estándares</w:t>
        <w:br/>
        <w:t>desarrollados en su jurisprudencia, procede aclarar el sentido o alcance  de</w:t>
        <w:br/>
        <w:t>algún punto de la Sentencia  de  fondo,  reparaciones  y  costas.  La  Corte</w:t>
        <w:br/>
        <w:t>examinará las cuestiones planteadas por las  representantes,  así  como  los</w:t>
        <w:br/>
        <w:t>alegatos presentados por el Estado y la Comisión, respectivamente.</w:t>
        <w:br/>
        <w:br/>
        <w:t>La Corte nota que, en su solicitud  de  interpretación,  las  representantes</w:t>
        <w:br/>
        <w:t>solicitaron que se aclarara tres aspectos de la Sentencia  relativos  a  las</w:t>
        <w:br/>
        <w:t>reparaciones por concepto de daño material e inmaterial:  (i)  la  forma  de</w:t>
        <w:br/>
        <w:t>pago  y  distribución  de  las  indemnizaciones  por  ingresos  dejados   de</w:t>
        <w:br/>
        <w:t>percibir; (ii) la forma de pago y distribución de  las  indemnizaciones  por</w:t>
        <w:br/>
        <w:t>daños inmateriales, y (iii) la fecha de  vencimiento  de  la  obligación  de</w:t>
        <w:br/>
        <w:t>pagar  las  indemnizaciones.  Este  Tribunal  procederá   a   analizar   los</w:t>
        <w:br/>
        <w:t>argumentos presentados por las representantes en el marco  de  la  solicitud</w:t>
        <w:br/>
        <w:t>de interpretación, se pronunciará sobre la procedencia de los mismos  y,  en</w:t>
        <w:br/>
        <w:t>su caso, realizará las aclaraciones que estime pertinentes.</w:t>
        <w:br/>
        <w:br/>
        <w:t>Al examinar las dudas  planteadas  por  las  representantes,  este  Tribunal</w:t>
        <w:br/>
        <w:t>encuentra similitud en las interrogantes formuladas con respecto  a  dos  de</w:t>
        <w:br/>
        <w:t>los aspectos reseñados supra.  En  consecuencia,  a  continuación  la  Corte</w:t>
        <w:br/>
        <w:t>examinará los argumentos en  el  siguiente  orden:  (A)  el  plazo  para  el</w:t>
        <w:br/>
        <w:t>cumplimiento del pago de las indemnizaciones ordenadas en  la  Sentencia,  y</w:t>
        <w:br/>
        <w:t>(B) los criterios  de  distribución  de  las  indemnizaciones  por  ingresos</w:t>
        <w:br/>
        <w:t>dejados de percibir y por daños inmateriales.</w:t>
        <w:br/>
        <w:br/>
        <w:t xml:space="preserve">   A. Plazo para el cumplimiento del pago de las  indemnizaciones  ordenadas</w:t>
        <w:br/>
        <w:t xml:space="preserve">      en la Sentencia</w:t>
        <w:br/>
        <w:br/>
        <w:t xml:space="preserve">      Argumentos de la Comisión y de las partes</w:t>
        <w:br/>
        <w:br/>
        <w:t>Las representantes solicitaron al Tribunal aclarar cuál  es  el  plazo  para</w:t>
        <w:br/>
        <w:t>que el Estado efectúe el pago de las indemnizaciones por  concepto  de  daño</w:t>
        <w:br/>
        <w:t>material e inmaterial y el reintegro de costas y gastos establecidos  en  la</w:t>
        <w:br/>
        <w:t>Sentencia, en virtud de plazos diferentes establecidos en los párrafos  367,</w:t>
        <w:br/>
        <w:t>384 y 388 de la Sentencia.</w:t>
        <w:br/>
        <w:br/>
        <w:t>Al respecto,  el  Estado  señaló  que  “cada  uno  de  los  párrafos  de  la</w:t>
        <w:br/>
        <w:t>[S]entencia que […] han comparado [las representantes],  se  refiere  a  una</w:t>
        <w:br/>
        <w:t>indemnización distinta”. No obstante, Guatemala indicó que “si la […]  Corte</w:t>
        <w:br/>
        <w:t>considera prudente aclarar la fecha exacta de cada pago, el Estado no  tiene</w:t>
        <w:br/>
        <w:t>inconveniente alguno, ya que […] el Estado no acepta la [S]entencia  […],  y</w:t>
        <w:br/>
        <w:t>ofrece por tanto indemnizar a  los  peticionarios  por  medio  del  Programa</w:t>
        <w:br/>
        <w:t>Nacional de Resarcimiento”.</w:t>
        <w:br/>
        <w:br/>
        <w:t>Por su parte, la Comisión señaló entender que  el  párrafo  367  se  refiere</w:t>
        <w:br/>
        <w:t>específicamente al daño emergente, por lo cual  el  plazo  establecido  para</w:t>
        <w:br/>
        <w:t>tal pago es el de un año. Sin perjuicio de ello,  la  Comisión  resaltó  que</w:t>
        <w:br/>
        <w:t>“los párrafos 384 y 388 relacionados con la  modalidad  de  cumplimiento  de</w:t>
        <w:br/>
        <w:t>todos los pagos por daño material, inmaterial, costas y  gastos,  parecieran</w:t>
        <w:br/>
        <w:t>establecer  plazos  distintos  para  los  mismos  y,  por  lo  tanto,  sería</w:t>
        <w:br/>
        <w:t>procedente una aclaración al respecto”.</w:t>
        <w:br/>
        <w:br/>
        <w:t xml:space="preserve">      Consideraciones de la Corte</w:t>
        <w:br/>
        <w:br/>
        <w:t>La Corte observa que las representantes solicitaron una aclaración  respecto</w:t>
        <w:br/>
        <w:t>del plazo establecido en la Sentencia para que el Estado dé cumplimiento  al</w:t>
        <w:br/>
        <w:t>pago de las indemnizaciones fijadas en dicha Sentencia.</w:t>
        <w:br/>
        <w:br/>
        <w:t>Al respecto, el Tribunal nota que el párrafo 384 de la Sentencia  otorga  al</w:t>
        <w:br/>
        <w:t>Estado  un  plazo  de  dos  años  para  efectuar  el  pago  de   todas   las</w:t>
        <w:br/>
        <w:t>indemnizaciones establecidas en la Sentencia y  el  reintegro  de  costas  y</w:t>
        <w:br/>
        <w:t>gastos  a  las  representantes[9].  No  obstante,  el  Tribunal  nota   que,</w:t>
        <w:br/>
        <w:t>efectivamente en los párrafos 367 y 388 de la Sentencia se  hace  referencia</w:t>
        <w:br/>
        <w:t>a un plazo de un año para el pago de las  indemnizaciones  por  concepto  de</w:t>
        <w:br/>
        <w:t>daño  emergente,  en  el  primero,  y  todas  las  indemnizaciones,  en   el</w:t>
        <w:br/>
        <w:t>segundo[10]. La  Corte  considera  que,  de  la  lectura  de  las  referidas</w:t>
        <w:br/>
        <w:t>disposiciones se desprende que las menciones a un plazo de  un  año  en  los</w:t>
        <w:br/>
        <w:t>párrafos 367 y 388 constituyen errores materiales. El Tribunal  resalta  que</w:t>
        <w:br/>
        <w:t>el  párrafo  384,  contenido  en  el  subcapítulo  sobre  la  “modalidad  de</w:t>
        <w:br/>
        <w:t>cumplimiento de los pagos ordenados”, constituye la  disposición  específica</w:t>
        <w:br/>
        <w:t>contenida en la Sentencia respecto al plazo  para  el  cumplimiento  de  las</w:t>
        <w:br/>
        <w:t>obligaciones  pecuniarias  establecidas  en  dicha  decisión.  El  propósito</w:t>
        <w:br/>
        <w:t>principal  del  párrafo  384  es  precisamente  establecer  dicho  plazo,  a</w:t>
        <w:br/>
        <w:t>diferencia de los párrafos 367 y 388 de la Sentencia, donde la referencia  a</w:t>
        <w:br/>
        <w:t>un plazo es incidental, pues dichos  párrafos  tienen  otros  objetivos.  El</w:t>
        <w:br/>
        <w:t>propósito del  párrafo  367  es  la  fijación  de  las  indemnizaciones  por</w:t>
        <w:br/>
        <w:t>concepto de daño emergente a favor de las  víctimas,  mientras  que  el  del</w:t>
        <w:br/>
        <w:t>párrafo 388  es  la  entrega  de  las  indemnizaciones  establecidas  en  la</w:t>
        <w:br/>
        <w:t>Sentencia de forma integral “sin reducciones derivadas de eventuales  cargas</w:t>
        <w:br/>
        <w:t>fiscales”.</w:t>
        <w:br/>
        <w:br/>
        <w:t>Por tanto, en aplicación del artículo 76 del  Reglamento  del  Tribunal[11],</w:t>
        <w:br/>
        <w:t>este Tribunal procede a rectificar las referencias a plazos de un  año  para</w:t>
        <w:br/>
        <w:t>el cumplimiento de las obligaciones pecuniarias en la Sentencia,  contenidas</w:t>
        <w:br/>
        <w:t>en los párrafos 367  y  388.  Por  consiguiente,  se  deja  establecido  con</w:t>
        <w:br/>
        <w:t>claridad que, para efectuar el pago de las indemnizaciones  y  el  reintegro</w:t>
        <w:br/>
        <w:t>de costas y gastos, el Estado cuenta con “un plazo de  dos  años  contado  a</w:t>
        <w:br/>
        <w:t>partir de la notificación de la […] Sentencia, sin perjuicio  de  que  pueda</w:t>
        <w:br/>
        <w:t>adelantar el pago completo en un plazo menor”.</w:t>
        <w:br/>
        <w:br/>
        <w:t>Asimismo, a efectos de la eventual publicación y difusión de  la  Sentencia,</w:t>
        <w:br/>
        <w:t>se dispone la remisión  a  las  partes  y  a  la  Comisión  de  una  versión</w:t>
        <w:br/>
        <w:t>corregida de  la  Sentencia  con  las  rectificaciones  pertinentes  de  los</w:t>
        <w:br/>
        <w:t>errores materiales constatados. Sin perjuicio de lo anterior, este  Tribunal</w:t>
        <w:br/>
        <w:t>recuerda  que,  de  conformidad  con  el  artículo  68  del  Reglamento,  la</w:t>
        <w:br/>
        <w:t>interpretación de una sentencia no suspende su ejecución, por  lo  cual  los</w:t>
        <w:br/>
        <w:t>plazos  dispuestos  en  la  Sentencia  deberán  contarse  a  partir  de   la</w:t>
        <w:br/>
        <w:t>notificación de la versión original de dicha decisión, es  decir,  a  partir</w:t>
        <w:br/>
        <w:t>del 21 de diciembre de 2012, teniendo  en  cuenta  que  las  rectificaciones</w:t>
        <w:br/>
        <w:t>realizadas no afectan el cumplimiento por parte del Estado  de  las  medidas</w:t>
        <w:br/>
        <w:t>de reparación allí establecidas.</w:t>
        <w:br/>
        <w:br/>
        <w:t xml:space="preserve">   B. Los criterios de distribución  de  las  indemnizaciones  por  ingresos</w:t>
        <w:br/>
        <w:t xml:space="preserve">      dejados de percibir y por daños inmateriales</w:t>
        <w:br/>
        <w:br/>
        <w:t xml:space="preserve">      Argumentos de la Comisión y de las partes</w:t>
        <w:br/>
        <w:br/>
        <w:t>Las  representantes  solicitaron  aclaraciones  sobre  cuatro  aspectos  del</w:t>
        <w:br/>
        <w:t>párrafo  364  de  la  Sentencia,  respecto  a   la   distribución   de   las</w:t>
        <w:br/>
        <w:t>indemnizaciones ordenadas por concepto de ingresos  dejados  de  percibir  a</w:t>
        <w:br/>
        <w:t>las víctimas de desaparición forzada. En particular, indicaron:</w:t>
        <w:br/>
        <w:br/>
        <w:t xml:space="preserve">  1. [El] literal b del citado párrafo hace referencia “al  momento  de  la</w:t>
        <w:br/>
        <w:t xml:space="preserve">     muerte”  de  la  víctima  de  desaparición  forzada,  [por  lo   cual]</w:t>
        <w:br/>
        <w:t xml:space="preserve">     solicita[ron] respetuosamente que la […] Corte aclare si  por  momento</w:t>
        <w:br/>
        <w:t xml:space="preserve">     de  la  muerte  debe  entenderse  la  fecha  de  desaparición  forzada</w:t>
        <w:br/>
        <w:t xml:space="preserve">     consignada en el Diario Militar.</w:t>
        <w:br/>
        <w:br/>
        <w:br/>
        <w:t xml:space="preserve">  2. [El] literal d se refiere al caso en que el pago  corresponda  “a  sus</w:t>
        <w:br/>
        <w:t xml:space="preserve">     padres  o,  en  su  defecto,  a  sus  hermanos  en  partes   iguales”,</w:t>
        <w:br/>
        <w:t xml:space="preserve">     solicita[ron] aclaración sobre si ello significa que el eventual  pago</w:t>
        <w:br/>
        <w:t xml:space="preserve">     corresponde a los padres en partes iguales y, en el  caso  que  alguno</w:t>
        <w:br/>
        <w:t xml:space="preserve">     hubiere fallecido, corresponde al sobreviviente la totalidad del pago.</w:t>
        <w:br/>
        <w:t xml:space="preserve">     En tal sentido, si ninguno de los padres viviera, solicita[ron] que la</w:t>
        <w:br/>
        <w:t xml:space="preserve">     […] Corte aclare si el pago corresponde a los hermanos de  la  víctima</w:t>
        <w:br/>
        <w:t xml:space="preserve">     en partes iguales.</w:t>
        <w:br/>
        <w:br/>
        <w:t xml:space="preserve">  3. [El] literal e del mismo párrafo, establece  “(...)  la  indemnización</w:t>
        <w:br/>
        <w:t xml:space="preserve">     deberá ser pagada a los herederos de acuerdo con el derecho  sucesorio</w:t>
        <w:br/>
        <w:t xml:space="preserve">     interno”. Respecto de esta disposición, [alegaron que] no queda  claro</w:t>
        <w:br/>
        <w:t xml:space="preserve">     si se refiere a que para efectos de la distribución del  pago  deberán</w:t>
        <w:br/>
        <w:t xml:space="preserve">     utilizarse  los  criterios  que   establece   la   legislación   civil</w:t>
        <w:br/>
        <w:t xml:space="preserve">     guatemalteca o si debe iniciarse un proceso sucesorio en los  términos</w:t>
        <w:br/>
        <w:t xml:space="preserve">     que dicha legislación preceptúa. [De  acuerdo  a  las  representantes,</w:t>
        <w:br/>
        <w:t xml:space="preserve">     ello] es relevante en atención a las implicaciones  que  generaría  el</w:t>
        <w:br/>
        <w:t xml:space="preserve">     desarrollo de un proceso sucesorio en virtud que  esto  necesariamente</w:t>
        <w:br/>
        <w:t xml:space="preserve">     conlleva un costo económico y de tiempo, tiempo que podría superar los</w:t>
        <w:br/>
        <w:t xml:space="preserve">     plazos establecidos por la Corte. […]</w:t>
        <w:br/>
        <w:br/>
        <w:br/>
        <w:t xml:space="preserve">  4. Con relación a la aplicación de los citados criterios y  para  efectos</w:t>
        <w:br/>
        <w:t xml:space="preserve">     de la eventual distribución de los pagos, [solicitaron que se aclarara</w:t>
        <w:br/>
        <w:t xml:space="preserve">     si] ¿debe considerarse a los familiares de las víctimas  desaparecidas</w:t>
        <w:br/>
        <w:t xml:space="preserve">     que no fueron identificados  durante  el  litigio  del  caso  ante  la</w:t>
        <w:br/>
        <w:t xml:space="preserve">     Comisión  y  la  Corte?  Es  decir,  [si  puede   resultar   que   las</w:t>
        <w:br/>
        <w:t xml:space="preserve">     indemnizaciones se entreguen a] personas que no fueron nombradas  como</w:t>
        <w:br/>
        <w:t xml:space="preserve">     peticionarios durante el litigio ante la Comisión y  reconocidas  como</w:t>
        <w:br/>
        <w:t xml:space="preserve">     víctimas en su condición de familiar en el fallo de la Corte.</w:t>
        <w:br/>
        <w:br/>
        <w:t>Asimismo, respecto  a  las  indemnizaciones  por  daños  inmateriales,  las</w:t>
        <w:br/>
        <w:t>representantes consultaron “[q]ué disposición prevalece” entre los párrafos</w:t>
        <w:br/>
        <w:t>375 y 385 de la  Sentencia,  puesto  que  “encontra[ban]  contradicción  en</w:t>
        <w:br/>
        <w:t>cuanto a si deben respeta[r]  los  criterios  establecidos  por  la  Corte,</w:t>
        <w:br/>
        <w:t>mismos que sitúan al derecho sucesorio interno como última opción, o si por</w:t>
        <w:br/>
        <w:t>otra parte y en atención a lo contenido en el párrafo 385, debe  recurrirse</w:t>
        <w:br/>
        <w:t>inmediatamente al derecho interno aplicable”. Resaltaron que “los criterios</w:t>
        <w:br/>
        <w:t>establecidos en la [S]entencia no sólo evitan las  cargas  que  implica  un</w:t>
        <w:br/>
        <w:t>proceso sucesorio sino que, más importante aún, garantizan el  respeto  del</w:t>
        <w:br/>
        <w:t>espíritu que motiva al  resarcimiento  económico”.  Asimismo,  manifestaron</w:t>
        <w:br/>
        <w:t>“algunas  dudas  relacionad[a]s  con  la  eventual  distribución  de  pagos</w:t>
        <w:br/>
        <w:t>[conforme a los criterios  del  párrafo  364]  si  el  beneficiario  es  un</w:t>
        <w:br/>
        <w:t>familiar que ha fallecido”. En particular, solicitaron que se aclarara  “si</w:t>
        <w:br/>
        <w:t>al aplicar  el  literal  b  del  párrafo  364  s[e]  toma  en  cuenta  [los</w:t>
        <w:br/>
        <w:t>familiares] que tenía el familiar [víctima] al momento de su muerte  aunque</w:t>
        <w:br/>
        <w:t>fueran distintos de los que tenía al  momento  de  la  desaparición  de  la</w:t>
        <w:br/>
        <w:t>víctima [de desaparición  forzada  de  quien  es  familiar]”,  y  si  “debe</w:t>
        <w:br/>
        <w:t>considerarse a los familiares de las víctimas desaparecidas que  no  fueron</w:t>
        <w:br/>
        <w:t>identificados durante el litigio”.</w:t>
        <w:br/>
        <w:br/>
        <w:t>El Estado alegó que no era necesario interpretar los  puntos  indicados  por</w:t>
        <w:br/>
        <w:t>las representantes, en la  medida  en  que  “se  encuentran  en  su  mayoría</w:t>
        <w:br/>
        <w:t>regulados dentro del  contenido  que  regula  el  Código  Civil  vigente  en</w:t>
        <w:br/>
        <w:t>Guatemala”, pues “se refieren en sí  a  dudas  sobre  la  aplicación  de  la</w:t>
        <w:br/>
        <w:t>normativa interna”. Al respecto, indicó que “no se opone a que la […]  Corte</w:t>
        <w:br/>
        <w:t>interprete lo solicitado”, pero  que  ello  “de  ningún  modo  sustituye  lo</w:t>
        <w:br/>
        <w:t>preceptuado  en  la  legislación  interna  vigente”,  por   lo   cual   “los</w:t>
        <w:br/>
        <w:t>beneficiarios deben acatar los  procedimientos  internos  si  pretenden  ser</w:t>
        <w:br/>
        <w:t>resarcidos”, ya que “es  requisito  indispensable  […]  para  que  cualquier</w:t>
        <w:br/>
        <w:t>persona pueda  recibir  una  indemnización”.  Respecto  a  la  duda  de  las</w:t>
        <w:br/>
        <w:t>representantes sobre la aplicación del criterio relativo “al momento  de  la</w:t>
        <w:br/>
        <w:t>muerte” de las víctimas  desaparecidas,  el  Estado  señaló  que  “solamente</w:t>
        <w:br/>
        <w:t>podrá tomar en cuenta lo que el Juez, que  declare  la  muerte  presunta  de</w:t>
        <w:br/>
        <w:t>cada persona, decida”. Por otra parte, respecto a los literales d  y  e  del</w:t>
        <w:br/>
        <w:t>párrafo 364 de la Sentencia,  alegó  que  en  “lo  relativo  a  la  sucesión</w:t>
        <w:br/>
        <w:t>hereditaria”, “el Estado se regirá por  los  preceptos  establecidos  en  la</w:t>
        <w:br/>
        <w:t>legislación nacional,  independientemente  del  tiempo  y  los  gastos,  que</w:t>
        <w:br/>
        <w:t>llevar a cabo un  proceso  sucesorio  les  implique  a  los  beneficiarios”.</w:t>
        <w:br/>
        <w:t>Asimismo, el Estado “se op[uso] a que se […] considere”  “a  los  familiares</w:t>
        <w:br/>
        <w:t>de las  víctimas  desaparecidas  que  no  fueron  identificadas  durante  el</w:t>
        <w:br/>
        <w:t>litigio del caso ante la Comisión y la Corte”. No obstante, indicó que  “las</w:t>
        <w:br/>
        <w:t>[…] personas que pudieran recibir los montos establecidos por la  Corte  […]</w:t>
        <w:br/>
        <w:t>son las personas identificadas [en] la [S]entencia, o  sus  herederos  según</w:t>
        <w:br/>
        <w:t>la normativa interna vigente y  debidamente  acreditados”.  Respecto  a  las</w:t>
        <w:br/>
        <w:t>indemnizaciones por daño inmaterial, el Estado alegó entender que  la  Corte</w:t>
        <w:br/>
        <w:t>“indica que debe seguirse un  proceso  sucesorio  interno”,  sobre  lo  cual</w:t>
        <w:br/>
        <w:t>“establec[ió] que no es posible que se realice el pago a herederos  sin  que</w:t>
        <w:br/>
        <w:t>antes los mismos sean declarados en esta calidad por medio de  los  procesos</w:t>
        <w:br/>
        <w:t>legales  establecidos  en  la  legislación”,  lo  cual   “es   de   carácter</w:t>
        <w:br/>
        <w:t>obligatorio según la ley y de ninguna manera puede ser sustituido aunque  la</w:t>
        <w:br/>
        <w:t>[…]  Corte  indicara  que  se  les  puede  dispensar  de  cumplir  con  este</w:t>
        <w:br/>
        <w:t>requisito”.</w:t>
        <w:br/>
        <w:br/>
        <w:t>La Comisión señaló que “el literal b) del  párrafo  364  de  la  [S]entencia</w:t>
        <w:br/>
        <w:t>hace referencia a la muerte de  la  víctima  y,  por  lo  tanto,  resultaría</w:t>
        <w:br/>
        <w:t>consistente con el resto de la [S]entencia una modificación del lenguaje  de</w:t>
        <w:br/>
        <w:t>dicho párrafo por el del inicio de ejecución  de  la  desaparición  forzada.</w:t>
        <w:br/>
        <w:t>Respecto de los literales d) y e), la Comisión  estim[ó]  útil  y  relevante</w:t>
        <w:br/>
        <w:t>una   precisión   de   los   aspectos   puntuales   planteados   por   l[a]s</w:t>
        <w:br/>
        <w:t>representantes,  a  fin  de  facilitar  el  cumplimiento  expedito  de   las</w:t>
        <w:br/>
        <w:t>reparaciones  ordenadas”.  Respecto  a   las   indemnizaciones   por   daños</w:t>
        <w:br/>
        <w:t>inmateriales, la Comisión señaló que, de conformidad con el párrafo  375  de</w:t>
        <w:br/>
        <w:t>la Sentencia, los criterios para la liquidación del daño inmaterial son  los</w:t>
        <w:br/>
        <w:t>mismos establecidos en el párrafo 364 en lo relativo al daño  material.  Sin</w:t>
        <w:br/>
        <w:t>embargo, “corresponde a la Corte valorar si el  párrafo  385  afecta  dichos</w:t>
        <w:br/>
        <w:t>criterios y, de ser el caso, aclarar el punto”.</w:t>
        <w:br/>
        <w:br/>
        <w:t xml:space="preserve">      Consideraciones de la Corte</w:t>
        <w:br/>
        <w:br/>
        <w:t>La Corte reitera que una solicitud de interpretación debe buscar claridad o</w:t>
        <w:br/>
        <w:t>precisión de los puntos resolutivos de la sentencia  o  de  consideraciones</w:t>
        <w:br/>
        <w:t>que inciden en la parte resolutiva del fallo, sin constituir  un  medio  de</w:t>
        <w:br/>
        <w:t>impugnación de la decisión cuya interpretación  se  requiere  (supra  párr.</w:t>
        <w:br/>
        <w:t>10). Asimismo, recuerda que no se puede pedir la modificación  o  anulación</w:t>
        <w:br/>
        <w:t>de la sentencia respectiva a través de una solicitud de interpretación[12].</w:t>
        <w:br/>
        <w:t>De igual manera, por esta vía tampoco se puede intentar que  se  amplíe  el</w:t>
        <w:br/>
        <w:t>alcance de una medida de reparación ordenada oportunamente[13].</w:t>
        <w:br/>
        <w:br/>
        <w:t>La Corte observa que las  representantes  plantearon  distintas  dudas  con</w:t>
        <w:br/>
        <w:t>respecto a la aplicación del párrafo 364 de la Sentencia, para el  pago  de</w:t>
        <w:br/>
        <w:t>las  indemnizaciones  por  ingresos  dejados  de  percibir  y   por   daños</w:t>
        <w:br/>
        <w:t>inmateriales fijadas en la Sentencia, así como de  su  combinación  con  el</w:t>
        <w:br/>
        <w:t>párrafo 385 de la Sentencia. La Corte reitera  que  abordará  conjuntamente</w:t>
        <w:br/>
        <w:t>las interrogantes sobre estas  dos  indemnizaciones  (ingresos  dejados  de</w:t>
        <w:br/>
        <w:t>percibir y daños inmateriales), puesto que considera que las dudas  de  las</w:t>
        <w:br/>
        <w:t>representantes sobre los criterios establecidos en  la  Sentencia  para  el</w:t>
        <w:br/>
        <w:t>cumplimiento de ambas indemnizaciones son similares  y  están  relacionadas</w:t>
        <w:br/>
        <w:t>(supra párr. 19).</w:t>
        <w:br/>
        <w:br/>
        <w:t>La Corte nota que  en  las  preguntas  formuladas  por  las  representantes</w:t>
        <w:br/>
        <w:t>subyacen dudas sobre el alcance de lo dispuesto en la Sentencia  de  fondo,</w:t>
        <w:br/>
        <w:t>reparaciones y costas,  respecto  a  la  distribución  de  algunas  de  las</w:t>
        <w:br/>
        <w:t>indemnizaciones establecidas en dicha decisión. En consecuencia,  la  Corte</w:t>
        <w:br/>
        <w:t>considera procedente interpretar el  sentido  y  alcance  de  los  aspectos</w:t>
        <w:br/>
        <w:t>solicitados por las representantes (infra párr. 36). El  Tribunal  advierte</w:t>
        <w:br/>
        <w:t>que dicha interpretación no modifica las medidas de reparación, sino  busca</w:t>
        <w:br/>
        <w:t>aclarar las disposiciones adoptadas por el Tribunal, las  cuales  la  Corte</w:t>
        <w:br/>
        <w:t>reitera son definitivas e inapelables (supra párrs. 6, 14 y 15).</w:t>
        <w:br/>
        <w:br/>
        <w:t>Antes de analizar, de forma específica, las preguntas  formuladas  por  las</w:t>
        <w:br/>
        <w:t>representantes,  la  Corte  considera  pertinente   realizar   determinadas</w:t>
        <w:br/>
        <w:t>aclaraciones generales sobre los criterios establecidos en el  párrafo  364</w:t>
        <w:br/>
        <w:t>de la Sentencia, en el cual se establece lo siguiente:</w:t>
        <w:br/>
        <w:br/>
        <w:t xml:space="preserve">      364.  Los  montos  dispuestos  a  favor  de  las  personas   indicadas</w:t>
        <w:br/>
        <w:t xml:space="preserve">      anteriormente por concepto de ingresos dejados de percibir, deben  ser</w:t>
        <w:br/>
        <w:t xml:space="preserve">      pagadas a sus familiares en el plazo que la Corte fije para tal efecto</w:t>
        <w:br/>
        <w:t xml:space="preserve">      (infra párr. 384), de acuerdo con los siguientes criterios:</w:t>
        <w:br/>
        <w:br/>
        <w:br/>
        <w:t xml:space="preserve">       a) el cincuenta por ciento (50%) de la  indemnización  se  repartirá,</w:t>
        <w:br/>
        <w:t xml:space="preserve">          por partes iguales, entre los hijos de la víctima. Si uno o varios</w:t>
        <w:br/>
        <w:t xml:space="preserve">          de los hijos  hubieren  fallecido  ya,  la  parte  que  le  o  les</w:t>
        <w:br/>
        <w:t xml:space="preserve">          corresponda acrecerá a las de los demás hijos de la misma víctima;</w:t>
        <w:br/>
        <w:br/>
        <w:br/>
        <w:br/>
        <w:t xml:space="preserve">       b) el cincuenta por ciento  (50%)  de  la  indemnización  deberá  ser</w:t>
        <w:br/>
        <w:t xml:space="preserve">          entregada a quien fuera cónyuge, compañero o compañera  permanente</w:t>
        <w:br/>
        <w:t xml:space="preserve">          de la víctima, al momento de la muerte de ésta;</w:t>
        <w:br/>
        <w:br/>
        <w:br/>
        <w:t xml:space="preserve">       c) en el evento  que  no  existieren  familiares  en  alguna  de  las</w:t>
        <w:br/>
        <w:t xml:space="preserve">          categorías definidas en los literales anteriores, lo  que  hubiere</w:t>
        <w:br/>
        <w:t xml:space="preserve">          correspondido a los familiares ubicados en esa categoría, acrecerá</w:t>
        <w:br/>
        <w:t xml:space="preserve">          a la parte que le corresponda a la otra categoría;</w:t>
        <w:br/>
        <w:br/>
        <w:br/>
        <w:t xml:space="preserve">       d) en el caso de que la  víctima  no  tuviere  hijos  ni  cónyuge  ni</w:t>
        <w:br/>
        <w:t xml:space="preserve">          compañera  o  compañero  permanente,  la  indemnización  del  daño</w:t>
        <w:br/>
        <w:t xml:space="preserve">          material será entregado a sus padres  o,  en  su  defecto,  a  sus</w:t>
        <w:br/>
        <w:t xml:space="preserve">          hermanos en partes iguales[,] y</w:t>
        <w:br/>
        <w:br/>
        <w:t xml:space="preserve">       e) en el evento que no existieren familiares en alguna o  algunas  de</w:t>
        <w:br/>
        <w:t xml:space="preserve">          las  categorías  definidas  en  los   literales   anteriores,   la</w:t>
        <w:br/>
        <w:t xml:space="preserve">          indemnización deberá ser pagada a los herederos de acuerdo con  el</w:t>
        <w:br/>
        <w:t xml:space="preserve">          derecho sucesorio interno.</w:t>
        <w:br/>
        <w:br/>
        <w:t>De la lectura de dicha disposición, la Corte constata que en  la  misma  se</w:t>
        <w:br/>
        <w:t>establecen cuatro supuestos para la  distribución  de  las  indemnizaciones</w:t>
        <w:br/>
        <w:t>otorgadas a nombre de las víctimas desaparecidas, en  orden  de  aplicación</w:t>
        <w:br/>
        <w:t>alternativo. Es decir, el segundo supuesto sólo debe aplicarse en  ausencia</w:t>
        <w:br/>
        <w:t>del primero, el tercero sólo debe aplicarse en ausencia del  primero  y  el</w:t>
        <w:br/>
        <w:t>segundo, mientras que el cuarto supuesto, debe aplicarse exclusivamente  si</w:t>
        <w:br/>
        <w:t>no existieran ninguno de los familiares establecidos en los tres  supuestos</w:t>
        <w:br/>
        <w:t>anteriores. De esta forma, en dicha norma se establece que: (i)  en  primer</w:t>
        <w:br/>
        <w:t>lugar, las indemnizaciones pertenecientes a las  víctimas  desaparecidas  o</w:t>
        <w:br/>
        <w:t>fallecidas, deberán entregarse y repartirse  entre  sus  hijos  y  cónyuge,</w:t>
        <w:br/>
        <w:t>compañera o compañero en las proporciones ahí establecidas. Si  la  víctima</w:t>
        <w:br/>
        <w:t>no tuviera hijos o no hubiera tenido cónyuge,  compañera  o  compañero,  el</w:t>
        <w:br/>
        <w:t>cincuenta por ciento correspondiente a la categoría que no exista “acrecerá</w:t>
        <w:br/>
        <w:t>a la parte que le corresponda a la otra categoría” que sí exista (literales</w:t>
        <w:br/>
        <w:t>a, b y c del párrafo 364 de  la  Sentencia);  (ii)  en  segundo  lugar,  la</w:t>
        <w:br/>
        <w:t>Sentencia establece que en el evento de  que  la  víctima  desaparecida  no</w:t>
        <w:br/>
        <w:t>hubiera tenido  hijos  ni  cónyuge,  compañera  o  compañero  entonces  las</w:t>
        <w:br/>
        <w:t>indemnizaciones establecidas en su nombre en la Sentencia se  entregarán  y</w:t>
        <w:br/>
        <w:t>repartirán entre sus padres (primera parte del literal d del párrafo  364);</w:t>
        <w:br/>
        <w:t>(iii) el tercer supuesto establece que “en […] defecto” de los padres,  las</w:t>
        <w:br/>
        <w:t>indemnizaciones  de  las  víctimas  desaparecidas   o   fallecidas   deberá</w:t>
        <w:br/>
        <w:t>entregarse a los hermanos en partes iguales (última parte del literal d del</w:t>
        <w:br/>
        <w:t>párrafo 364), y (iv) el cuarto supuesto es aplicable solamente en  caso  de</w:t>
        <w:br/>
        <w:t>que la víctima desaparecida o fallecida no  hubiera  tenido  ni  hijos,  ni</w:t>
        <w:br/>
        <w:t>cónyuge, compañera o compañero, ni padres ni hermanos, por lo cual entonces</w:t>
        <w:br/>
        <w:t>debe aplicarse lo que contemple “el derecho sucesorio interno”  (literal  e</w:t>
        <w:br/>
        <w:t>del párrafo 364).</w:t>
        <w:br/>
        <w:br/>
        <w:t>Una vez realizadas las consideraciones anteriores, este Tribunal procede  a</w:t>
        <w:br/>
        <w:t>examinar las solicitudes específicas de  las  representantes,  teniendo  en</w:t>
        <w:br/>
        <w:t>cuenta las alegaciones  del  Estado  y  la  Comisión  al  respecto,  en  el</w:t>
        <w:br/>
        <w:t>siguiente orden: (B.1) la aplicación de los párrafos 364, 375 y 385  de  la</w:t>
        <w:br/>
        <w:t>Sentencia; (B.2) los  beneficiarios  o  herederos  de  las  indemnizaciones</w:t>
        <w:br/>
        <w:t>fijadas en la Sentencia; (B.3) la aplicación del literal  “b”  del  párrafo</w:t>
        <w:br/>
        <w:t>364 de la Sentencia; (B.4) la aplicación del literal “d” del párrafo 364 de</w:t>
        <w:br/>
        <w:t>la Sentencia, y (B.5) el alcance  y  la  aplicación  del  literal  “e”  del</w:t>
        <w:br/>
        <w:t>párrafo 364 de la Sentencia.</w:t>
        <w:br/>
        <w:br/>
        <w:t xml:space="preserve">      B.1) Aplicación de los párrafos 364, 375 y 385 de la Sentencia</w:t>
        <w:br/>
        <w:br/>
        <w:t>Primeramente, la Corte procede a interpretar el alcance y  sentido  de  los</w:t>
        <w:br/>
        <w:t>párrafos 364, 375 y 385 de la Sentencia, en virtud de las dudas  planteadas</w:t>
        <w:br/>
        <w:t>por las representantes sobre su  aplicación.  Al  respecto,  este  Tribunal</w:t>
        <w:br/>
        <w:t>considera que  la  interpretación  de  dichas  disposiciones  se  encuentra</w:t>
        <w:br/>
        <w:t>directamente relacionada con las interrogantes de las representantes  sobre</w:t>
        <w:br/>
        <w:t>el universo de personas beneficiarias a quienes  corresponde  entregar  las</w:t>
        <w:br/>
        <w:t>indemnizaciones establecidas en la Sentencia (supra párrs. 27  y  28).  Por</w:t>
        <w:br/>
        <w:t>tanto, la Corte estima pertinente realizar unas  consideraciones  generales</w:t>
        <w:br/>
        <w:t>respecto de las  víctimas  del  presente  caso,  para  luego  examinar  las</w:t>
        <w:br/>
        <w:t>preguntas específicas formuladas por las representantes.</w:t>
        <w:br/>
        <w:br/>
        <w:t>En este sentido, la Corte hace notar que, de conformidad con  la  Sentencia,</w:t>
        <w:br/>
        <w:t>las víctimas del presente caso  pueden  agruparse,  principalmente,  en  dos</w:t>
        <w:br/>
        <w:t>grupos: las veintiséis víctimas de desaparición forzada  registradas  en  el</w:t>
        <w:br/>
        <w:t>“Diario Militar” (también identificadas como “víctimas desaparecidas”  a  lo</w:t>
        <w:br/>
        <w:t>largo de la  Sentencia)  y  los  familiares  de  éstas  últimas  que  fueron</w:t>
        <w:br/>
        <w:t>declarados víctimas, por derecho propio, de  los  hechos  examinados  en  el</w:t>
        <w:br/>
        <w:t>presente caso  (también  identificados  como  “familiares  de  las  víctimas</w:t>
        <w:br/>
        <w:t>desaparecidas” a lo largo de la Sentencia). Además de estos  dos  grupos  de</w:t>
        <w:br/>
        <w:t>personas,  también  fueron  declarados  víctimas  por  derecho  propio:  una</w:t>
        <w:br/>
        <w:t>víctima fallecida registrada en el “Diario Militar” (Rudy Gustavo  Figueroa)</w:t>
        <w:br/>
        <w:t>y sus familiares, por el incumplimiento por parte del Estado  de  investigar</w:t>
        <w:br/>
        <w:t>efectivamente su muerte, así como  Igor  y  Wendy  Santizo  Méndez,  por  el</w:t>
        <w:br/>
        <w:t>incumplimiento del Estado de investigar efectivamente la  alegada  detención</w:t>
        <w:br/>
        <w:t>y tortura cometida en contra de ambos. A efectos de  facilitar  el  análisis</w:t>
        <w:br/>
        <w:t>de  las  preguntas  formuladas  por  las  representantes,  en  la   presente</w:t>
        <w:br/>
        <w:t>Sentencia de  interpretación  la  Corte  identificará  a  las  víctimas  del</w:t>
        <w:br/>
        <w:t>presente caso en dos grupos: (i) las  “víctimas  registradas  en  el  Diario</w:t>
        <w:br/>
        <w:t>Militar” (en el cual se incluyen a las 26 víctimas de  desaparición  forzada</w:t>
        <w:br/>
        <w:t>y a Rudy Gustavo Figueroa Muñoz) y los “familiares víctimas” (en el cual  se</w:t>
        <w:br/>
        <w:t>incluyen a los familiares de las víctimas desaparecidas y a  los  familiares</w:t>
        <w:br/>
        <w:t>de Rudy Gustavo Figueroa Muñoz, que  fueron  declarados  como  víctimas  por</w:t>
        <w:br/>
        <w:t>derecho propio en la Sentencia).</w:t>
        <w:br/>
        <w:br/>
        <w:t>La  Corte  considera  que  está  suficientemente  claro  en  la   Sentencia,</w:t>
        <w:br/>
        <w:t>específicamente en los párrafos 217, 222, 267,  281,  282,  291,  292,  302,</w:t>
        <w:br/>
        <w:t>308, 312, 318, 325 y el Anexo de dicha decisión,  las  personas  que  fueron</w:t>
        <w:br/>
        <w:t>consideradas víctimas del presente caso por este  Tribunal.  De  conformidad</w:t>
        <w:br/>
        <w:t>con el artículo 63.1 de la  Convención,  las  indemnizaciones  ordenadas  en</w:t>
        <w:br/>
        <w:t>dicha Sentencia, como medida de reparación, fueron fijadas a  favor  de  las</w:t>
        <w:br/>
        <w:t>personas declaradas víctimas en dicha  decisión.  En  este  sentido,  en  el</w:t>
        <w:br/>
        <w:t>referido párrafo 325 se establece que:</w:t>
        <w:br/>
        <w:br/>
        <w:t xml:space="preserve">      El Tribunal reitera que se considera parte lesionada, en los  términos</w:t>
        <w:br/>
        <w:t xml:space="preserve">      del artículo 63.1 de la Convención, a quien ha sido declarada  víctima</w:t>
        <w:br/>
        <w:t xml:space="preserve">      de la violación de algún derecho reconocido en la misma. Por lo tanto,</w:t>
        <w:br/>
        <w:t xml:space="preserve">      esta Corte  considera  como  “parte  lesionada”  a  aquellas  personas</w:t>
        <w:br/>
        <w:t xml:space="preserve">      identificadas en el Anexo sobre víctimas de [dicha] Sentencia, quienes</w:t>
        <w:br/>
        <w:t xml:space="preserve">      en su carácter de  víctimas  de  las  violaciones  declaradas  en  los</w:t>
        <w:br/>
        <w:t xml:space="preserve">      Capítulos VIII-1, VIII-2 y VIII-3, serán considerados beneficiarios de</w:t>
        <w:br/>
        <w:t xml:space="preserve">      las reparaciones que ordene el Tribunal.</w:t>
        <w:br/>
        <w:br/>
        <w:br/>
        <w:t>Asimismo, la Corte  resalta  que  en  el  presente  caso  no  se  aplicó  la</w:t>
        <w:br/>
        <w:t>excepción prevista en el artículo 35.2 del Reglamento de este  Tribunal[14],</w:t>
        <w:br/>
        <w:t>de forma tal que se puedan  incluir  a  otras  personas  como  víctimas  con</w:t>
        <w:br/>
        <w:t>posterioridad a la emisión de la Sentencia,  a  diferencia  de  otros  casos</w:t>
        <w:br/>
        <w:t>resueltos por esta Corte[15]. Por tanto, la Corte resalta que, tal como  fue</w:t>
        <w:br/>
        <w:t>alegado por el Estado, las víctimas del  presente  caso  son  exclusivamente</w:t>
        <w:br/>
        <w:t>aquellas personas declaradas como tales en  las  partes  pertinentes  de  la</w:t>
        <w:br/>
        <w:t>Sentencia.</w:t>
        <w:br/>
        <w:br/>
        <w:t>De conformidad con lo  anterior,  las  indemnizaciones  ordenadas  en  dicha</w:t>
        <w:br/>
        <w:t>decisión se fijaron exclusivamente a favor  de  las  víctimas  del  presente</w:t>
        <w:br/>
        <w:t>caso, tal como se desprende de los párrafos 325, 363, 367, 371,  373  y  374</w:t>
        <w:br/>
        <w:t>de la Sentencia. No  obstante,  en  ausencia  de  los  titulares  de  dichas</w:t>
        <w:br/>
        <w:t>indemnizaciones, sea por  su  desaparición  o  por  su  fallecimiento,  este</w:t>
        <w:br/>
        <w:t>Tribunal estableció dos formas de  entregar  dichas  indemnizaciones  a  sus</w:t>
        <w:br/>
        <w:t>herederos o derechohabientes.</w:t>
        <w:br/>
        <w:br/>
        <w:t>Por un lado, la Corte recuerda que el párrafo 364 establece los criterios a</w:t>
        <w:br/>
        <w:t>adoptarse para la distribución de las indemnizaciones, por ingresos dejados</w:t>
        <w:br/>
        <w:t>de percibir, de las víctimas de desaparición  forzada  establecidas  en  la</w:t>
        <w:br/>
        <w:t>Sentencia (supra párr. 34).</w:t>
        <w:br/>
        <w:br/>
        <w:t>Asimismo, con respecto a las indemnizaciones establecidas  en  la  Sentencia</w:t>
        <w:br/>
        <w:t>por concepto de daño inmaterial, este Tribunal estableció en el párrafo  375</w:t>
        <w:br/>
        <w:t>de su Sentencia que:</w:t>
        <w:br/>
        <w:br/>
        <w:t xml:space="preserve">      375. […] Los montos dispuestos a favor de las personas desaparecidas o</w:t>
        <w:br/>
        <w:t xml:space="preserve">      de aquellas víctimas o sus familiares que hubieran  fallecido  deberán</w:t>
        <w:br/>
        <w:t xml:space="preserve">      ser liquidadas de acuerdo con los  criterios  señalados  anteriormente</w:t>
        <w:br/>
        <w:t xml:space="preserve">      (supra párr. 364).</w:t>
        <w:br/>
        <w:br/>
        <w:t>Por otro lado, en el párrafo 385 de la Sentencia se lee:</w:t>
        <w:br/>
        <w:br/>
        <w:t xml:space="preserve">      385. En caso de que los  beneficiarios  hayan  fallecido  o  fallezcan</w:t>
        <w:br/>
        <w:t xml:space="preserve">      antes de que les sea entregada la indemnización  respectiva,  ésta  se</w:t>
        <w:br/>
        <w:t xml:space="preserve">      efectuará directamente a sus  derechohabientes,  conforme  al  derecho</w:t>
        <w:br/>
        <w:t xml:space="preserve">      interno aplicable.</w:t>
        <w:br/>
        <w:br/>
        <w:t>En su jurisprudencia constante, al disponer el  pago  de  indemnizaciones  a</w:t>
        <w:br/>
        <w:t>las víctimas  fallecidas  o  desaparecidas  forzadamente  en  aplicación  el</w:t>
        <w:br/>
        <w:t>artículo 63.1 de la Convención,  este  Tribunal  ha  dejado  establecido  la</w:t>
        <w:br/>
        <w:t>forma en que se deberán entregar esas indemnizaciones  a  los  familiares  o</w:t>
        <w:br/>
        <w:t>herederos[16].  En  algunos  casos,  la  Corte  ha   ordenado   que   dichas</w:t>
        <w:br/>
        <w:t>indemnizaciones se distribuyan entre los familiares o herederos  de  acuerdo</w:t>
        <w:br/>
        <w:t>a los criterios que establezca el derecho interno  aplicable.  Sin  embargo,</w:t>
        <w:br/>
        <w:t>en determinados casos este Tribunal ha considerado  adecuado  establecer  en</w:t>
        <w:br/>
        <w:t>la propia Sentencia los criterios con base en  los  cuales  el  Estado  debe</w:t>
        <w:br/>
        <w:t>distribuir las indemnizaciones fijadas a  favor  de  víctimas  fallecidas  o</w:t>
        <w:br/>
        <w:t>desaparecidas[17].  Estos  criterios  no  necesariamente  coinciden  con  lo</w:t>
        <w:br/>
        <w:t>dispuesto en el derecho interno en materia sucesoria, para lo cual la  Corte</w:t>
        <w:br/>
        <w:t>ha ponderado los efectos de sus fallos en  función  del  marco  fáctico  del</w:t>
        <w:br/>
        <w:t>caso[18].</w:t>
        <w:br/>
        <w:br/>
        <w:t>Respecto a lo alegado por el Estado, en el sentido de que “debe seguirse  un</w:t>
        <w:br/>
        <w:t>proceso sucesorio interno” independientemente de lo que indique la Corte  al</w:t>
        <w:br/>
        <w:t>respecto (supra párr. 29), el Tribunal recuerda que el artículo 63.1  de  la</w:t>
        <w:br/>
        <w:t>Convención otorga a la Corte Interamericana la facultad  de  determinar  las</w:t>
        <w:br/>
        <w:t>medidas que permitan reparar las consecuencias de  la  violación  y  regular</w:t>
        <w:br/>
        <w:t>todos sus aspectos[19]. Al disponer las distintas medidas de  reparación  el</w:t>
        <w:br/>
        <w:t>Tribunal no  se  encuentra  limitado  por  el  derecho  interno  del  Estado</w:t>
        <w:br/>
        <w:t>responsable[20].</w:t>
        <w:br/>
        <w:br/>
        <w:t>Cuando la Corte establece criterios de distribución de  las  indemnizaciones</w:t>
        <w:br/>
        <w:t>fijadas a favor de personas  desaparecidas  o  fallecidas,  es  precisamente</w:t>
        <w:br/>
        <w:t>para evitar, en  la  medida  de  lo  posible,  que  los  familiares  de  las</w:t>
        <w:br/>
        <w:t>víctimas, quienes ya acreditaron su identidad y relación de parentesco  ante</w:t>
        <w:br/>
        <w:t>este Tribunal, tengan  que  acudir  a  un  proceso  sucesorio  interno,  que</w:t>
        <w:br/>
        <w:t>pudiera dilatar innecesariamente la entrega de las  indemnizaciones  fijadas</w:t>
        <w:br/>
        <w:t>en la Sentencia.</w:t>
        <w:br/>
        <w:br/>
        <w:t>En el presente caso, a partir de la información aportada por la  Comisión  y</w:t>
        <w:br/>
        <w:t>las representantes que no fue controvertida por el Estado, en  la  etapa  de</w:t>
        <w:br/>
        <w:t>fondo y reparaciones del presente caso se identificaron a los familiares  de</w:t>
        <w:br/>
        <w:t>las víctimas  registradas  en  el  Diario  Militar,  que  a  su  vez  fueron</w:t>
        <w:br/>
        <w:t>considerados víctimas por derecho propio de ciertas  violaciones  declaradas</w:t>
        <w:br/>
        <w:t>en  la  Sentencia  (identificados  en  esta   Sentencia   como   “familiares</w:t>
        <w:br/>
        <w:t>víctimas”, supra párr.  38).  Por  el  contrario,  en  la  Sentencia  no  se</w:t>
        <w:br/>
        <w:t>individualizaron  a  las  personas  a  quienes  correspondería  recibir,  en</w:t>
        <w:br/>
        <w:t>calidad de derechohabientes, las indemnizaciones fijadas en la  Sentencia  a</w:t>
        <w:br/>
        <w:t>favor de los “familiares víctimas”. En  virtud  de  lo  anterior,  la  Corte</w:t>
        <w:br/>
        <w:t>considera que de  la  lectura  conjunta  de  las  tres  disposiciones  sobre</w:t>
        <w:br/>
        <w:t>distribución de indemnizaciones se  desprende  que  el  párrafo  364  de  la</w:t>
        <w:br/>
        <w:t>Sentencia establece los criterios que debe aplicar el Estado  a  efectos  de</w:t>
        <w:br/>
        <w:t>entregar las  indemnizaciones  fijadas  en  la  Sentencia  a  favor  de  las</w:t>
        <w:br/>
        <w:t>víctimas registradas en el Diario Militar (las 26 víctimas  de  desaparición</w:t>
        <w:br/>
        <w:t>forzada y Rudy Gustavo Figueroa Muñoz),  mientras  que  las  indemnizaciones</w:t>
        <w:br/>
        <w:t>fijadas a favor de los “familiares víctimas” que hubieran fallecido  deberán</w:t>
        <w:br/>
        <w:t>entregarse  “directamente  a  sus  derechohabientes,  conforme  al   derecho</w:t>
        <w:br/>
        <w:t>interno aplicable”.</w:t>
        <w:br/>
        <w:br/>
        <w:t>Por tanto, esta Corte interpreta que el párrafo 375 de la  Sentencia  aplica</w:t>
        <w:br/>
        <w:t>solamente para la distribución de las indemnizaciones  inmateriales  fijadas</w:t>
        <w:br/>
        <w:t>a favor de  las  víctimas  registradas  en  el  Diario  Militar,  y  que  lo</w:t>
        <w:br/>
        <w:t>aplicable a los “familiares víctimas” es lo dispuesto en el párrafo  385  de</w:t>
        <w:br/>
        <w:t>dicha decisión.  En  consecuencia,  se  deriva  que  la  referencia  a  “sus</w:t>
        <w:br/>
        <w:t>familiares” en el párrafo 375 constituye un error material.</w:t>
        <w:br/>
        <w:br/>
        <w:t>Asimismo,  la  Corte  nota  que  el   párrafo   385   utiliza   el   término</w:t>
        <w:br/>
        <w:t>“beneficiarios”, por lo cual además de  los  “familiares  víctimas”  también</w:t>
        <w:br/>
        <w:t>abarca a las víctimas registradas en el Diario Militar (supra párr. 44).  Al</w:t>
        <w:br/>
        <w:t>respecto,  este  Tribunal  estima  pertinente  aclarar  que,  si   bien   la</w:t>
        <w:br/>
        <w:t>disposición establecida en el párrafo 385  de  la  Sentencia  constituye  el</w:t>
        <w:br/>
        <w:t>criterio prevaleciente para la entrega  de  las  indemnizaciones  fijadas  a</w:t>
        <w:br/>
        <w:t>favor de los “familiares víctimas”,  dicha  disposición  debe  interpretarse</w:t>
        <w:br/>
        <w:t>como subsidiaria  y  complementaria  a  los  criterios  establecidos  en  el</w:t>
        <w:br/>
        <w:t>párrafo 364 de dicha decisión para las víctimas  registradas  en  el  Diario</w:t>
        <w:br/>
        <w:t>Militar, tal como se desprende del literal “e” de dicho párrafo. Por  tanto,</w:t>
        <w:br/>
        <w:t>para la distribución de las indemnizaciones de las víctimas  registradas  en</w:t>
        <w:br/>
        <w:t>el Diario Militar se deberán  aplicar  los  criterios  establecidos  en  los</w:t>
        <w:br/>
        <w:t>literales a, b, c y d del párrafo 364 de la Sentencia, y solamente  en  caso</w:t>
        <w:br/>
        <w:t>de que no se hubiera acreditado la existencia de hijos,  cónyuge,  compañera</w:t>
        <w:br/>
        <w:t>o compañero,  padres  o  hermanos  deberá  aplicarse  el  derecho  sucesorio</w:t>
        <w:br/>
        <w:t>interno (supra párr. 35).</w:t>
        <w:br/>
        <w:br/>
        <w:t>Teniendo en cuenta lo dispuesto en los párrafos 26, 48,  49  y  50  supra  y</w:t>
        <w:br/>
        <w:t>conforme al artículo  76  del  Reglamento,  la  Corte  considera  pertinente</w:t>
        <w:br/>
        <w:t>rectificar el error material  del  párrafo  375  de  la  Sentencia,  en  los</w:t>
        <w:br/>
        <w:t>términos expuestos en el presente Fallo, a fin de brindar mayor  claridad  a</w:t>
        <w:br/>
        <w:t>lo dispuesto en el mismo y que no se generen futuras  confusiones  luego  de</w:t>
        <w:br/>
        <w:t>la publicación y difusión de la Sentencia  a  nivel  interno  o  durante  la</w:t>
        <w:br/>
        <w:t>etapa de supervisión de cumplimiento de la misma.</w:t>
        <w:br/>
        <w:br/>
        <w:t xml:space="preserve">      B.2) Beneficiarios o herederos de las indemnizaciones fijadas  en  la</w:t>
        <w:br/>
        <w:t xml:space="preserve">      Sentencia</w:t>
        <w:br/>
        <w:br/>
        <w:t>Una vez determinado el sentido y alcance de los párrafos 364, 375 y  385  de</w:t>
        <w:br/>
        <w:t>la Sentencia, la Corte pasa  a  pronunciarse  sobre  las  preguntas  de  las</w:t>
        <w:br/>
        <w:t>representantes  respecto  a   los   beneficiarios   o   herederos   de   las</w:t>
        <w:br/>
        <w:t>indemnizaciones. En este sentido,  las  representantes  consultaron  a  este</w:t>
        <w:br/>
        <w:t>Tribunal si,  para  efectos  de  la  distribución  de  las  indemnizaciones,</w:t>
        <w:br/>
        <w:t>conforme a los párrafos 364, 375 y 385 de la Sentencia,  deben  considerarse</w:t>
        <w:br/>
        <w:t>solamente a los familiares  de  las  víctimas  que  fueron  identificados  e</w:t>
        <w:br/>
        <w:t>individualizados en el proceso o si, por el  contrario,  deberá  tomarse  en</w:t>
        <w:br/>
        <w:t>cuenta a los familiares de las víctimas que no fueron identificados  durante</w:t>
        <w:br/>
        <w:t>el litigio del caso ante el Sistema Interamericano de Derechos Humanos.</w:t>
        <w:br/>
        <w:br/>
        <w:t xml:space="preserve">       B.2.a)  Distribución  de  las  indemnizaciones  de  los   “familiares</w:t>
        <w:br/>
        <w:t>víctimas”</w:t>
        <w:br/>
        <w:br/>
        <w:t>Primeramente, este Tribunal reitera que las indemnizaciones  fijadas  en  la</w:t>
        <w:br/>
        <w:t>Sentencia fueron ordenadas a favor de las personas  declaradas  víctimas  en</w:t>
        <w:br/>
        <w:t>dicha decisión. Como se mencionó previamente,  dentro  de  las  víctimas  se</w:t>
        <w:br/>
        <w:t>encuentran algunos familiares de  las  víctimas  registradas  en  el  Diario</w:t>
        <w:br/>
        <w:t>Militar, quienes a su vez fueron  declarados  víctimas  por  derecho  propio</w:t>
        <w:br/>
        <w:t>(supra párr. 38). De esta forma, las indemnizaciones  establecidas  a  favor</w:t>
        <w:br/>
        <w:t>de los “familiares víctimas”  les  corresponden  directamente  a  ellos,  es</w:t>
        <w:br/>
        <w:t>decir, ellos son los titulares de dichas indemnizaciones. De acuerdo  a  los</w:t>
        <w:br/>
        <w:t>párrafos 384 y 385  de  la  Sentencia,  estas  indemnizaciones  deberán  ser</w:t>
        <w:br/>
        <w:t>entregadas directamente a sus titulares, salvo que  hubieran  fallecido,  en</w:t>
        <w:br/>
        <w:t>cuyo  caso  el  pago  correspondiente  se  efectuará  directamente   a   sus</w:t>
        <w:br/>
        <w:t>derechohabientes, conforme al derecho interno aplicable  (supra  párrs.  38,</w:t>
        <w:br/>
        <w:t>39, 48 y 49).</w:t>
        <w:br/>
        <w:br/>
        <w:t>Ahora bien, la Corte recuerda que en la Sentencia no se identificaron a  las</w:t>
        <w:br/>
        <w:t>personas a quienes correspondería recibir, en calidad  de  derechohabientes,</w:t>
        <w:br/>
        <w:t>las indemnizaciones fijadas en la  Sentencia  a  favor  de  los  “familiares</w:t>
        <w:br/>
        <w:t>víctimas” que hubieren fallecido (supra párr. 48). Por tanto, este  Tribunal</w:t>
        <w:br/>
        <w:t>advierte que efectivamente  las  indemnizaciones  fijadas  a  favor  de  los</w:t>
        <w:br/>
        <w:t>“familiares  víctimas”  que  hubieran   fallecido   o   fallezcan,   deberán</w:t>
        <w:br/>
        <w:t>entregarse a sus derechohabientes en el derecho interno,  independientemente</w:t>
        <w:br/>
        <w:t>de que éstos sean o no víctimas del presente caso.</w:t>
        <w:br/>
        <w:br/>
        <w:t xml:space="preserve">           B.2.b) Distribución  de  las  indemnizaciones  de  las  víctimas</w:t>
        <w:br/>
        <w:t xml:space="preserve">           registradas en el Diario Militar a sus familiares</w:t>
        <w:br/>
        <w:br/>
        <w:t>Por otro lado, respecto de las víctimas registradas en  el  Diario  Militar,</w:t>
        <w:br/>
        <w:t>la Corte recuerda que deberán aplicarse los  criterios  establecidos  en  el</w:t>
        <w:br/>
        <w:t>párrafo 364 de la Sentencia para la entrega de  sus  indemnizaciones  a  sus</w:t>
        <w:br/>
        <w:t>familiares (supra párrs. 48, 49 y 50). La Corte precisa que  los  familiares</w:t>
        <w:br/>
        <w:t>de las víctimas registradas en  el  Diario  Militar  que  son  víctimas  por</w:t>
        <w:br/>
        <w:t>derecho  propio  de  los  hechos  del  presente  caso,  fueron   debidamente</w:t>
        <w:br/>
        <w:t>identificados durante el procedimiento ante  el  Sistema  Interamericano  de</w:t>
        <w:br/>
        <w:t>Derechos Humanos, específicamente  ante  la  Corte,  y  las  violaciones  de</w:t>
        <w:br/>
        <w:t>derechos humanos cometidas en su perjuicio fueron debidamente acreditadas  y</w:t>
        <w:br/>
        <w:t>probadas durante el procedimiento  de  fondo  del  presente  caso.  Como  se</w:t>
        <w:br/>
        <w:t>mencionó previamente, cuando la Corte establece  criterios  de  distribución</w:t>
        <w:br/>
        <w:t>de  las  indemnizaciones  fijadas  a  favor  de  personas  desaparecidas   o</w:t>
        <w:br/>
        <w:t>fallecidas,  busca  facilitar  el  pago  de  las   indemnizaciones   a   sus</w:t>
        <w:br/>
        <w:t>familiares,  quienes,  en  principio,  se  encuentran  identificados  en  la</w:t>
        <w:br/>
        <w:t>Sentencia (supra párr. 47).</w:t>
        <w:br/>
        <w:br/>
        <w:t>Ahora bien, a partir de lo indicado por las representantes en  su  solicitud</w:t>
        <w:br/>
        <w:t>de  interpretación,  la  Corte  entiende  que  posiblemente  existen   otros</w:t>
        <w:br/>
        <w:t>familiares de las víctimas  registradas  en  el  Diario  Militar  a  quienes</w:t>
        <w:br/>
        <w:t>correspondería recibir, en calidad de sucesores o herederos,  parte  de  las</w:t>
        <w:br/>
        <w:t>indemnizaciones establecidas  en  la  Sentencia  a  favor  de  las  víctimas</w:t>
        <w:br/>
        <w:t>registradas en el Diario Militar. Este Tribunal considera que la  Sentencia,</w:t>
        <w:br/>
        <w:t>y en particular  los  párrafos  364  y  385  de  la  misma,  no  excluye  la</w:t>
        <w:br/>
        <w:t>posibilidad de que familiares no identificados o acreditados  como  víctimas</w:t>
        <w:br/>
        <w:t>del caso, puedan recibir, en calidad de sucesores o herederos, parte de  las</w:t>
        <w:br/>
        <w:t>indemnizaciones establecidas a favor de su familiar registrado en el  Diario</w:t>
        <w:br/>
        <w:t>Militar. Sin embargo, a diferencia de otros casos, en el  presente  caso  el</w:t>
        <w:br/>
        <w:t>Tribunal no estableció en la  Sentencia  un  mecanismo  específico  para  la</w:t>
        <w:br/>
        <w:t>determinación de otros posibles familiares de las  víctimas  registradas  en</w:t>
        <w:br/>
        <w:t>el Diario Militar.</w:t>
        <w:br/>
        <w:br/>
        <w:t>Sin perjuicio de ello, la Corte considera que sí se desprende con  claridad</w:t>
        <w:br/>
        <w:t>de la Sentencia que el Estado debe pagar las indemnizaciones  ordenadas  en</w:t>
        <w:br/>
        <w:t>dicha decisión a favor de las víctimas registradas en el Diario Militar  en</w:t>
        <w:br/>
        <w:t>el plazo de dos años y en la forma como dispone el párrafo 364. Por  tanto,</w:t>
        <w:br/>
        <w:t>la Corte considera pertinente que,  para  facilitar  que  el  Estado  pueda</w:t>
        <w:br/>
        <w:t>cumplir con el pago de las indemnizaciones de dichas víctimas en el plazo y</w:t>
        <w:br/>
        <w:t>forma establecido  en  la  Sentencia,  los  eventuales  familiares  de  las</w:t>
        <w:br/>
        <w:t>víctimas  registradas  en  el  Diario  Militar   que   no   se   encuentran</w:t>
        <w:br/>
        <w:t>identificados en el Anexo de la Sentencia y se encuentren dentro de  alguna</w:t>
        <w:br/>
        <w:t>de las categorías del párrafo 364 de la Sentencia,  deberán  presentarse  a</w:t>
        <w:br/>
        <w:t>acreditar tal calidad ante la  Comisión  Presidencial  coordinadora  de  la</w:t>
        <w:br/>
        <w:t>Política del Ejecutivo en materia de Derechos Humanos (COPREDEH) o ante  la</w:t>
        <w:br/>
        <w:t>entidad del Poder Ejecutivo que a tal efecto designe el Estado,  dentro  de</w:t>
        <w:br/>
        <w:t>los treinta días siguientes a la notificación de esta  decisión.  Luego  de</w:t>
        <w:br/>
        <w:t>transcurridos estos treinta días los eventuales familiares tienen un  plazo</w:t>
        <w:br/>
        <w:t>de seis meses para presentarse ante COPREDEH o, de ser  el  caso,  ante  la</w:t>
        <w:br/>
        <w:t>entidad designada por el  Estado,  con  los  documentos  de  identificación</w:t>
        <w:br/>
        <w:t>pertinentes, documentos oficiales que acrediten su relación de parentesco u</w:t>
        <w:br/>
        <w:t>otros medios probatorios que acrediten de manera fehaciente su identidad  y</w:t>
        <w:br/>
        <w:t>relación de parentesco con las víctimas del presente caso registradas en el</w:t>
        <w:br/>
        <w:t>Diario Militar. Si luego de  transcurridos  esos  seis  meses,  no  se  han</w:t>
        <w:br/>
        <w:t>presentado ante las autoridades nacionales competentes otros familiares  de</w:t>
        <w:br/>
        <w:t>las víctimas registradas  en  el  Diario  Militar  correspondientes  a  las</w:t>
        <w:br/>
        <w:t>categorías establecidas en el párrafo 364, el  Estado  podrá  repartir  las</w:t>
        <w:br/>
        <w:t>indemnizaciones establecidas en  la  Sentencia  a  favor  de  las  víctimas</w:t>
        <w:br/>
        <w:t>desaparecidas y  de  Rudy  Gustavo  Figueroa  Muñoz  entre  los  familiares</w:t>
        <w:br/>
        <w:t>identificados en la Sentencia.  Respecto  de  estos  últimos,  el  Tribunal</w:t>
        <w:br/>
        <w:t>resalta que el  Estado  no  podrá  exigir  el  cumplimiento  de  requisitos</w:t>
        <w:br/>
        <w:t>adicionales  a  nivel  interno  o  la  interposición  de  un  procedimiento</w:t>
        <w:br/>
        <w:t>sucesorio a los “familiares víctimas” ya identificados en la  Sentencia,  a</w:t>
        <w:br/>
        <w:t>efectos  de  la  distribución  de  las  indemnizaciones  de  las   víctimas</w:t>
        <w:br/>
        <w:t>registradas en el Diario Militar (infra párr. 61).</w:t>
        <w:br/>
        <w:br/>
        <w:t>Asimismo, la Corte advierte  que,  a  efectos  de  su  participación  en  la</w:t>
        <w:br/>
        <w:t>distribución de las indemnizaciones conforme a  los  criterios  establecidos</w:t>
        <w:br/>
        <w:t>en el párrafo 364 de la Sentencia, el  Estado  deberá  tomar  en  cuenta  lo</w:t>
        <w:br/>
        <w:t>indicado en el párrafo 372 de la misma, en  el  sentido  de  que  se  deberá</w:t>
        <w:br/>
        <w:t>asimilar a Laurenta Marina Sosa Calderón  como  la  madre  de  Orencio  Sosa</w:t>
        <w:br/>
        <w:t>Calderón, pues si bien es su hermana fue quien se hizo cargo de  su  crianza</w:t>
        <w:br/>
        <w:t>y cuidado, al morir la madre de ambos, así como que  se  deberá  asimilar  a</w:t>
        <w:br/>
        <w:t>los sobrinos de Rubén Amílcar Farfán como  sus  hijos,  en  virtud  de  que,</w:t>
        <w:br/>
        <w:t>conforme  a  la  información  aportada   por   las   representantes   y   no</w:t>
        <w:br/>
        <w:t>controvertida por el Estado, éstos lo consideraban  su  padre[21].  Si  bien</w:t>
        <w:br/>
        <w:t>dicha asimilación fue expresada por el Tribunal,  a  efectos  de  fijar  las</w:t>
        <w:br/>
        <w:t>indemnizaciones inmateriales, la Corte aclara que dichos  criterios  también</w:t>
        <w:br/>
        <w:t>deberán tomarse en cuenta a efectos de la participación de  dichas  personas</w:t>
        <w:br/>
        <w:t>en la distribución de las indemnizaciones materiales e inmateriales  de  sus</w:t>
        <w:br/>
        <w:t>respectivos familiares desaparecidos.</w:t>
        <w:br/>
        <w:br/>
        <w:t>Por otra parte, esta Corte  reitera  y  resalta  que  la  identificación  y</w:t>
        <w:br/>
        <w:t>acreditación de otros familiares no otorga a  estos  posibles  sucesores  o</w:t>
        <w:br/>
        <w:t>herederos de las víctimas registradas en el Diario Militar, el carácter  de</w:t>
        <w:br/>
        <w:t>víctimas del presente caso, a efectos de las reparaciones  establecidas  en</w:t>
        <w:br/>
        <w:t>la Sentencia. Sin embargo, el Tribunal hace notar que ello no  precluye  la</w:t>
        <w:br/>
        <w:t>posibilidad de que tales personas interpongan las acciones que estimen  les</w:t>
        <w:br/>
        <w:t>correspondan a nivel interno en relación con los hechos del presente caso.</w:t>
        <w:br/>
        <w:br/>
        <w:t>La Corte nota que el Estado alegó que “no hay forma que se pueda resarcir  a</w:t>
        <w:br/>
        <w:t>los beneficiarios sin que acrediten su derecho a recibirlo”, cumpliendo  con</w:t>
        <w:br/>
        <w:t>“todos los requisitos que establece la legislación” interna  a  tal  efecto.</w:t>
        <w:br/>
        <w:t>Sin embargo, al mismo  tiempo  Guatemala  indicó  que  “[s]i  se  trata  del</w:t>
        <w:br/>
        <w:t>beneficiario establecido en la [S]entencia, debe  identificarse  conforme  a</w:t>
        <w:br/>
        <w:t>la ley y si se trata de herederos por  haber  fallecido,  los  beneficiarios</w:t>
        <w:br/>
        <w:t>establecidos, deben acreditar su calidad de herederos en observancia  de  lo</w:t>
        <w:br/>
        <w:t>que la legislación interna estipula”. En virtud de lo  anterior,  para  esta</w:t>
        <w:br/>
        <w:t>Corte no es claro si lo alegado por el Estado, respecto a  la  necesidad  de</w:t>
        <w:br/>
        <w:t>cumplir con los requisitos  de  la  legislación  interna  para  recibir  las</w:t>
        <w:br/>
        <w:t>indemnizaciones ordenadas  en  la  Sentencia,  abarca  a  las  víctimas  del</w:t>
        <w:br/>
        <w:t>presente caso o si dichos alegatos se referían a  otros  posibles  herederos</w:t>
        <w:br/>
        <w:t>de las víctimas  que  no  fueron  identificados  o  individualizados  en  la</w:t>
        <w:br/>
        <w:t>Sentencia.</w:t>
        <w:br/>
        <w:br/>
        <w:t>No obstante lo  anterior,  la  Corte  estima  pertinente  precisar  que  la</w:t>
        <w:br/>
        <w:t>determinación  de  las   víctimas   beneficiarias   de   las   reparaciones</w:t>
        <w:br/>
        <w:t>establecidas en la  Sentencia,  fue  realizada  al  momento  de  dictar  la</w:t>
        <w:br/>
        <w:t>Sentencia, con base en lo alegado por los intervinientes en el  caso  y  el</w:t>
        <w:br/>
        <w:t>acervo probatorio aportado al proceso, a la  luz  de  la  normativa  de  la</w:t>
        <w:br/>
        <w:t>Convención Americana y los principios que la informan. En consecuencia, esa</w:t>
        <w:br/>
        <w:t>determinación no puede ser modificada por el Estado invocando disposiciones</w:t>
        <w:br/>
        <w:t>de su derecho interno[22]. En razón de ello, la Corte advierte que,  en  el</w:t>
        <w:br/>
        <w:t>ámbito interno no puede  exigirse  prueba  adicional  de  su  condición  de</w:t>
        <w:br/>
        <w:t>víctimas o familiares de las víctimas desaparecidas o beneficiarias de  las</w:t>
        <w:br/>
        <w:t>reparaciones a personas que ya han sido expresamente declaradas como  tales</w:t>
        <w:br/>
        <w:t>por la Corte en la Sentencia, pues esto implicaría  reabrir  cuestiones  de</w:t>
        <w:br/>
        <w:t>hecho y de derecho ya decididas en la misma[23].  La Corte reitera  que  la</w:t>
        <w:br/>
        <w:t>obligación de reparar se regula en todos los aspectos (alcance, naturaleza,</w:t>
        <w:br/>
        <w:t>modalidades  y  determinación  de  los  beneficiarios)   por   el   Derecho</w:t>
        <w:br/>
        <w:t>Internacional, y no  puede  ser  modificada  o  incumplida  por  el  Estado</w:t>
        <w:br/>
        <w:t>obligado invocando para ello disposiciones o  dificultades  de  su  derecho</w:t>
        <w:br/>
        <w:t>interno[24].</w:t>
        <w:br/>
        <w:br/>
        <w:t>Por otro lado, respecto de  los  posibles  familiares  adicionales  de  las</w:t>
        <w:br/>
        <w:t>víctimas registradas en el Diario Militar, el Tribunal considera  que,  sin</w:t>
        <w:br/>
        <w:t>perjuicio de lo establecido en el párrafo 57 supra, el Estado tiene  cierto</w:t>
        <w:br/>
        <w:t>margen de  discrecionalidad  en  cuanto  a  los  demás  aspectos  sobre  la</w:t>
        <w:br/>
        <w:t>determinación de los otros posibles familiares de las víctimas  registradas</w:t>
        <w:br/>
        <w:t>en el Diario Militar, a efectos de  entregarles  las  proporciones  de  las</w:t>
        <w:br/>
        <w:t>indemnizaciones que les correspondan (supra párr. 34 y 35), en  su  calidad</w:t>
        <w:br/>
        <w:t>de herederos o sucesores. La Corte toma nota de lo alegado por  el  Estado,</w:t>
        <w:br/>
        <w:t>en el sentido de que “se  regirá  por  los  preceptos  establecidos  en  la</w:t>
        <w:br/>
        <w:t>legislación nacional, independientemente  del  tiempo  y  los  gastos,  que</w:t>
        <w:br/>
        <w:t>llevar a cabo un proceso sucesorio les implique a los beneficiarios” (supra</w:t>
        <w:br/>
        <w:t>párr. 29). Al respecto, advierte que el cumplimiento efectivo de los  pagos</w:t>
        <w:br/>
        <w:t>ordenados en la Sentencia en el plazo de dos años  es  una  obligación  del</w:t>
        <w:br/>
        <w:t>Estado, y este no puede por razones de orden interno, dejar  de  asumir  la</w:t>
        <w:br/>
        <w:t>responsabilidad internacional ya establecida[25]. Además, la Corte recuerda</w:t>
        <w:br/>
        <w:t>que, de acuerdo a lo establecido en el párrafo 383 de la Sentencia, “en  el</w:t>
        <w:br/>
        <w:t>procedimiento de supervisión del cumplimiento de la presente Sentencia, [la</w:t>
        <w:br/>
        <w:t>Corte] podrá disponer  que  el  Estado  reembolse  a  las  víctimas  o  sus</w:t>
        <w:br/>
        <w:t>representantes los  gastos  razonables  en  que  incurran  en  dicha  etapa</w:t>
        <w:br/>
        <w:t>procesal”. Por esta razón, como lo ha resaltado en otros casos[26], incumbe</w:t>
        <w:br/>
        <w:t>al Estado la obligación de aplicar los mecanismos que resulten idóneos para</w:t>
        <w:br/>
        <w:t>asegurar el cumplimiento de sus obligaciones de la manera  más  expedita  y</w:t>
        <w:br/>
        <w:t>eficiente, en  las  condiciones  y  dentro  del  plazo  establecido  en  la</w:t>
        <w:br/>
        <w:t>Sentencia  y,  particularmente,  de  adoptar  las  medidas  adecuadas  para</w:t>
        <w:br/>
        <w:t>asegurar que la indemnizaciones fijadas a favor de las víctimas registradas</w:t>
        <w:br/>
        <w:t>en  el  Diario  Militar  sean  entregadas,  conforme  a  los  criterios  de</w:t>
        <w:br/>
        <w:t>distribución establecido en el párrafo 364 de la Sentencia y en el plazo de</w:t>
        <w:br/>
        <w:t>dos años establecido en el párrafo 384 de la misma decisión.</w:t>
        <w:br/>
        <w:br/>
        <w:t xml:space="preserve">      B.3) Aplicación del literal “b” del párrafo 364 de la Sentencia</w:t>
        <w:br/>
        <w:br/>
        <w:t>Este  Tribunal  observa  que  las  representantes  consultaron   cómo   debe</w:t>
        <w:br/>
        <w:t>interpretarse la expresión “al momento de la muerte”, en el literal “b”  del</w:t>
        <w:br/>
        <w:t>párrafo 364, respecto de las víctimas desaparecidas.</w:t>
        <w:br/>
        <w:br/>
        <w:t>Al respecto, la Corte constata que en su Sentencia fue clara  y  reiterativa</w:t>
        <w:br/>
        <w:t>en cuanto a que la desaparición forzada de personas, en  tanto  un  fenómeno</w:t>
        <w:br/>
        <w:t>complejo de violación de derechos  humanos,  es  de  carácter  continuado  o</w:t>
        <w:br/>
        <w:t>permanente, en el sentido de que inicia con la privación de libertad  de  la</w:t>
        <w:br/>
        <w:t>víctimas y continúa cometiéndose hasta tanto se conozca el  paradero  de  la</w:t>
        <w:br/>
        <w:t>víctima o, de ser el  caso,  se  identifiquen  fehacientemente  sus  restos,</w:t>
        <w:br/>
        <w:t>momento en el cual puede considerarse  finalmente  que  cesó  la  violación.</w:t>
        <w:br/>
        <w:t>Este carácter continuado o permanente de la  desaparición  forzada  ha  sido</w:t>
        <w:br/>
        <w:t>reconocido  en  el  artículo  III  de  la  Convención  Interamericana  sobre</w:t>
        <w:br/>
        <w:t>Desaparición  Forzada  de  Personas,  así   como   en   otros   instrumentos</w:t>
        <w:br/>
        <w:t>internacionales, la jurisprudencia del Sistema Europeo de Derechos  Humanos,</w:t>
        <w:br/>
        <w:t>decisiones del  Comité  de  Derechos  Humanos  del  Pacto  Internacional  de</w:t>
        <w:br/>
        <w:t>Derechos  Civiles   y   Políticos   y   decisiones   de   altos   tribunales</w:t>
        <w:br/>
        <w:t>nacionales[27]. En este sentido, en  el  párrafo  191  de  la  Sentencia  se</w:t>
        <w:br/>
        <w:t>establece claramente que “[e]n su jurisprudencia desde  1988,  la  Corte  ha</w:t>
        <w:br/>
        <w:t>establecido el carácter permanente o continuado de la  desaparición  forzada</w:t>
        <w:br/>
        <w:t>de personas, el cual ha sido reconocido de manera reiterada por  el  Derecho</w:t>
        <w:br/>
        <w:t>Internacional de los Derechos Humanos”[28]. Asimismo, en el párrafo  195  de</w:t>
        <w:br/>
        <w:t>la Sentencia se reitera que “la naturaleza  permanente  de  la  desaparición</w:t>
        <w:br/>
        <w:t>forzada implica que  la  misma  permanece  hasta  tanto  no  se  conozca  el</w:t>
        <w:br/>
        <w:t>paradero  de  la  persona  desaparecida  y  se  determine  con  certeza   su</w:t>
        <w:br/>
        <w:t>identidad”, por lo cual “aún no ha cesado  [la]  desaparición  forzada  [con</w:t>
        <w:br/>
        <w:t>respecto a 24 de las víctimas desaparecidas], puesto que hasta la  fecha  se</w:t>
        <w:br/>
        <w:t>desconoce el paradero o destino de las mismas”[29]. En el mismo sentido,  en</w:t>
        <w:br/>
        <w:t>los párrafos 206 y 207 de la Sentencia se aclara  que,  si  bien  el  Diario</w:t>
        <w:br/>
        <w:t>Militar aparentemente registra  la  ejecución  de  17  de  las  26  víctimas</w:t>
        <w:br/>
        <w:t>desaparecidas en el presente caso, en casos de desaparición forzada  en  que</w:t>
        <w:br/>
        <w:t>existan indicios de que la víctima ha fallecido, la determinación de  si  se</w:t>
        <w:br/>
        <w:t>ha configurado dicho fenómeno y la cesación del mismo, en su caso,  implica,</w:t>
        <w:br/>
        <w:t>necesariamente, ubicar los restos y establecer de la manera  más  fehaciente</w:t>
        <w:br/>
        <w:t>su identidad, siendo que mientras  los  restos  no  sean  identificados,  la</w:t>
        <w:br/>
        <w:t>desaparición forzada sigue ejecutándose[30].</w:t>
        <w:br/>
        <w:br/>
        <w:t>No obstante el carácter continuado de  la  desaparición  forzada,  la  Corte</w:t>
        <w:br/>
        <w:t>considera que una lectura  razonable  de  la  Sentencia  deriva  en  que  el</w:t>
        <w:br/>
        <w:t>cónyuge, compañera o compañera a quien le corresponde heredar parte  de  las</w:t>
        <w:br/>
        <w:t>indemnizaciones  fijadas  en  la  Sentencia  a   favor   de   las   víctimas</w:t>
        <w:br/>
        <w:t>desaparecidas, se refiere a aquel  o  aquella  que  tuviera  la  víctima  al</w:t>
        <w:br/>
        <w:t>inicio de su desaparición forzada. Por  tanto,  la  Corte  advierte  que  la</w:t>
        <w:br/>
        <w:t>frase “al momento de la muerte” en el literal “b”  del  párrafo  364  de  la</w:t>
        <w:br/>
        <w:t>Sentencia, incurre en una omisión material al no precisar que,  respecto  de</w:t>
        <w:br/>
        <w:t>las  víctimas  desaparecidas,  el  cincuenta  por   ciento   (50%)   de   la</w:t>
        <w:br/>
        <w:t>indemnización deberá ser  entregada  a  quien  fuera  cónyuge,  compañero  o</w:t>
        <w:br/>
        <w:t>compañera permanente de  la  víctima,  al  inicio  de  su  desaparición.  En</w:t>
        <w:br/>
        <w:t>aplicación del artículo 76 del Reglamento y tomando en cuenta  lo  dispuesto</w:t>
        <w:br/>
        <w:t>en el párrafo 26 supra, este Tribunal  estima  pertinente  rectificar  dicha</w:t>
        <w:br/>
        <w:t>omisión material en la Sentencia. Asimismo, la  Corte  advierte  que  deberá</w:t>
        <w:br/>
        <w:t>tomarse como fecha de inicio de la desaparición forzada de las  26  víctimas</w:t>
        <w:br/>
        <w:t>desaparecidas  las  fechas  establecidas  en  este  sentido  en  los  hechos</w:t>
        <w:br/>
        <w:t>probados de la Sentencia.</w:t>
        <w:br/>
        <w:br/>
        <w:t>La  Corte  nota  que  el  Estado  alegó  que  “la  legislación  guatemalteca</w:t>
        <w:br/>
        <w:t>establece el procedimiento mediante el cual ha de determinarse la  fecha  de</w:t>
        <w:br/>
        <w:t>muerte de una persona desaparecida”, por lo cual independiente de lo que  se</w:t>
        <w:br/>
        <w:t>interpretara “el Estado solamente podrá tomar en cuenta lo que el Juez,  que</w:t>
        <w:br/>
        <w:t>declare la muerte presunta de cada persona, decida”  (supra  párr.  29).  Al</w:t>
        <w:br/>
        <w:t>respecto, el Tribunal reitera que la obligación  de  reparar  se  regula  en</w:t>
        <w:br/>
        <w:t>todos los aspectos por el Derecho Internacional, por lo cual  no  puede  ser</w:t>
        <w:br/>
        <w:t>modificada o incumplida  por  el  Estado  invocando  para  ello  su  derecho</w:t>
        <w:br/>
        <w:t>interno (supra párr. 61).</w:t>
        <w:br/>
        <w:br/>
        <w:t xml:space="preserve">      B.4) Aplicación del literal “d” del párrafo 364 de la Sentencia</w:t>
        <w:br/>
        <w:br/>
        <w:br/>
        <w:t>La Corte observa que las  representantes  consultaron  sobre  la  forma  de</w:t>
        <w:br/>
        <w:t>distribución de las indemnizaciones de las víctimas  desaparecidas,  en  el</w:t>
        <w:br/>
        <w:t>supuesto de que  deban  entregarse  a  los  padres  y  hermanos  de  dichas</w:t>
        <w:br/>
        <w:t>víctimas. Al respecto, la Corte considera que, de la  lectura  del  literal</w:t>
        <w:br/>
        <w:t>“d” del citado párrafo 364 se  desprende  que,  en  el  supuesto  que  deba</w:t>
        <w:br/>
        <w:t>entregarse la indemnización fijada a favor de las víctimas  registradas  en</w:t>
        <w:br/>
        <w:t>el Diario Militar a sus padres, ésta deberá repartirse  en  partes  iguales</w:t>
        <w:br/>
        <w:t>entre ambos padres. Igualmente, conforme a su jurisprudencia,  el  Tribunal</w:t>
        <w:br/>
        <w:t>interpreta que si uno de los padres hubiere fallecido deberá entregarse  la</w:t>
        <w:br/>
        <w:t>totalidad de la  indemnización  al  padre  o  madre  sobreviviente[31].  En</w:t>
        <w:br/>
        <w:t>ausencia  de  ambos  padres,  entonces  se  aplicaría  el  tercer  supuesto</w:t>
        <w:br/>
        <w:t>establecido en el párrafo 364 de la Sentencia, bajo el cual  se  entregaría</w:t>
        <w:br/>
        <w:t>la indemnización fijada a favor de  la  víctima  registrada  en  el  Diario</w:t>
        <w:br/>
        <w:t>Militar a sus hermanos en partes iguales (supra párr. 35).</w:t>
        <w:br/>
        <w:br/>
        <w:t xml:space="preserve">      B.5) Alcance y aplicación del literal  “e”  del  párrafo  364  de  la</w:t>
        <w:br/>
        <w:t>Sentencia</w:t>
        <w:br/>
        <w:br/>
        <w:t>Por otra parte,  la  Corte  observa  que  las  representantes  consultaron</w:t>
        <w:br/>
        <w:t>cuestiones específicas relativas a la eventual aplicación del literal  “e”</w:t>
        <w:br/>
        <w:t>del párrafo  364  de  la  Sentencia.  En  particular,  consultaron  si  la</w:t>
        <w:br/>
        <w:t>referencia al derecho sucesorio interno en dicho supuesto  “se  refiere  a</w:t>
        <w:br/>
        <w:t>que para efectos de  la  distribución  del  pago  deberán  utilizarse  los</w:t>
        <w:br/>
        <w:t>criterios que establece  la  legislación  civil  guatemalteca  o  si  debe</w:t>
        <w:br/>
        <w:t>iniciarse un proceso sucesorio  en  los  términos  que  dicha  legislación</w:t>
        <w:br/>
        <w:t>preceptúa” (supra párr. 27). Este Tribunal reitera que la  aplicación  del</w:t>
        <w:br/>
        <w:t>derecho sucesorio interno, para la distribución de las indemnizaciones  de</w:t>
        <w:br/>
        <w:t>las víctimas registradas  en  el  Diario  Militar,  representa  la  última</w:t>
        <w:br/>
        <w:t>alternativa luego de agotar los  demás  supuestos  establecidos  en  dicho</w:t>
        <w:br/>
        <w:t>párrafo  (supra  párr.  35).  No  obstante,  este  Tribunal  nota  que  la</w:t>
        <w:br/>
        <w:t>referencia al derecho interno en el literal “e”  del  párrafo  364  no  lo</w:t>
        <w:br/>
        <w:t>limita a los criterios de distribución del derecho sucesorio interno, sino</w:t>
        <w:br/>
        <w:t>que remite a que se reparta la indemnización de acuerdo con dicha rama del</w:t>
        <w:br/>
        <w:t>derecho, lo cual incluye los requisitos de forma y procedimiento que  sean</w:t>
        <w:br/>
        <w:t>exigibles. Por tanto, sin perjuicio de lo señalado en los párrafos 57,  58</w:t>
        <w:br/>
        <w:t>y 61 supra, en los casos en que deba aplicarse dicho supuesto, se  deberán</w:t>
        <w:br/>
        <w:t>cumplir los requisitos que para tal efecto prevea la legislación  interna,</w:t>
        <w:br/>
        <w:t>como lo ha dispuesto esta Corte en otros casos[32].</w:t>
        <w:br/>
        <w:br/>
        <w:t xml:space="preserve">                                     VI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 conformidad con el artículo 67 de la Convención Americana sobre  Derechos</w:t>
        <w:br/>
        <w:t>Humanos y los artículos 31.3 y 68 del Reglamento,</w:t>
        <w:br/>
        <w:br/>
        <w:t>DECIDE:</w:t>
        <w:br/>
        <w:br/>
        <w:t>Por unanimidad,</w:t>
        <w:br/>
        <w:br/>
        <w:t xml:space="preserve">     1. Declarar que el escrito del Estado de 5 de  marzo  de  2013  y  las</w:t>
        <w:br/>
        <w:t xml:space="preserve">        manifestaciones similares, contenidas en el escrito del  Estado  de</w:t>
        <w:br/>
        <w:t xml:space="preserve">        30  de  abril  de   2013,   no   constituyen   una   solicitud   de</w:t>
        <w:br/>
        <w:t xml:space="preserve">        interpretación, ni afectan el carácter definitivo e  inapelable  de</w:t>
        <w:br/>
        <w:t xml:space="preserve">        la Sentencia en el presente caso, de conformidad con el artículo 67</w:t>
        <w:br/>
        <w:t xml:space="preserve">        de la Convención Americana.</w:t>
        <w:br/>
        <w:br/>
        <w:t xml:space="preserve">     2. Declarar admisible la solicitud de interpretación de  la  Sentencia</w:t>
        <w:br/>
        <w:t xml:space="preserve">        de fondo, reparaciones y costas en el caso Gudiel Álvarez  y  otros</w:t>
        <w:br/>
        <w:t xml:space="preserve">        (“Diario Militar”) Vs. Guatemala interpuesta por las representantes</w:t>
        <w:br/>
        <w:t xml:space="preserve">        de las víctimas.</w:t>
        <w:br/>
        <w:br/>
        <w:t xml:space="preserve">     3. Rectificar los errores materiales contenidos en los párrafos 367  y</w:t>
        <w:br/>
        <w:t xml:space="preserve">        388 de la Sentencia, respecto del plazo para el cumplimiento de las</w:t>
        <w:br/>
        <w:t xml:space="preserve">        obligaciones pecuniarias ordenadas en la Sentencia, así como en  el</w:t>
        <w:br/>
        <w:t xml:space="preserve">        literal “b” del  párrafo  364  y  en  el  párrafo  375,  sobre  los</w:t>
        <w:br/>
        <w:t xml:space="preserve">        beneficiarios y la forma de  distribución  de  las  indemnizaciones</w:t>
        <w:br/>
        <w:t xml:space="preserve">        fijadas  en  la  Sentencia,  a  efectos   de   que   reflejan   las</w:t>
        <w:br/>
        <w:t xml:space="preserve">        rectificaciones realizadas en los párrafos 24 al 26, 48 al 51 y 65.</w:t>
        <w:br/>
        <w:br/>
        <w:br/>
        <w:br/>
        <w:t xml:space="preserve">     4. Precisar por vía de interpretación el sentido y el  alcance  de  lo</w:t>
        <w:br/>
        <w:t xml:space="preserve">        dispuesto en los párrafos 364, 375 y 385 de la Sentencia,  respecto</w:t>
        <w:br/>
        <w:t xml:space="preserve">        a  los  criterios  de   distribución   y   beneficiarios   de   las</w:t>
        <w:br/>
        <w:t xml:space="preserve">        indemnizaciones fijadas en la Sentencia, en  los  términos  de  los</w:t>
        <w:br/>
        <w:t xml:space="preserve">        párrafos 31 al 51, 53 a 62, 65, 67 y 68 de la presente Sentencia de</w:t>
        <w:br/>
        <w:t xml:space="preserve">        Interpretación.</w:t>
        <w:br/>
        <w:br/>
        <w:t xml:space="preserve">     5. Disponer que la  Secretaría  de  la  Corte  notifique  la  presente</w:t>
        <w:br/>
        <w:t xml:space="preserve">        Sentencia a la República de Guatemala, a las representantes de  las</w:t>
        <w:br/>
        <w:t xml:space="preserve">        víctimas y a la Comisión Interamericana de Derechos Humanos.</w:t>
        <w:br/>
        <w:t>Redactada en español e inglés, haciendo fe el texto en español, en San</w:t>
        <w:br/>
        <w:t>José, Costa Rica, el 19 de agosto de 2013.</w:t>
        <w:br/>
        <w:br/>
        <w:br/>
        <w:br/>
        <w:br/>
        <w:br/>
        <w:br/>
        <w:br/>
        <w:t xml:space="preserve">                             Diego García-Sayán</w:t>
        <w:br/>
        <w:br/>
        <w:t xml:space="preserve">                                 Presidente</w:t>
        <w:br/>
        <w:br/>
        <w:br/>
        <w:br/>
        <w:br/>
        <w:br/>
        <w:t>Leonardo A. Franco                             Margarette May Macaulay</w:t>
        <w:br/>
        <w:br/>
        <w:br/>
        <w:br/>
        <w:br/>
        <w:br/>
        <w:br/>
        <w:t>Rhadys Abreu Blondet                                         Alberto Pérez</w:t>
        <w:br/>
        <w:t>Pérez</w:t>
        <w:br/>
        <w:br/>
        <w:br/>
        <w:br/>
        <w:br/>
        <w:br/>
        <w:br/>
        <w:br/>
        <w:t xml:space="preserve">                          Pablo Saavedra Alessandri</w:t>
        <w:br/>
        <w:br/>
        <w:t xml:space="preserve">                                     Secretario</w:t>
        <w:br/>
        <w:br/>
        <w:br/>
        <w:br/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br/>
        <w:t xml:space="preserve">                                 Presidente</w:t>
        <w:br/>
        <w:br/>
        <w:t>Pablo Saavedra Alessandri</w:t>
        <w:br/>
        <w:br/>
        <w:t xml:space="preserve">      Secretario</w:t>
        <w:br/>
        <w:br/>
        <w:br/>
        <w:br/>
        <w:t>-----------------------</w:t>
        <w:br/>
        <w:t>[1]   El Juez Manuel E. Ventura Robles, por  razones  de  fuerza  mayor,  no</w:t>
        <w:br/>
        <w:t>participó de la deliberación y firma de esta  Sentencia  de  interpretación.</w:t>
        <w:br/>
        <w:t>Además, el Juez  Eduardo  Vio  Grossi,  por  motivos  de  fuerza  mayor,  no</w:t>
        <w:br/>
        <w:t>participó en la deliberación y firma de la Sentencia de fondo,  reparaciones</w:t>
        <w:br/>
        <w:t>y costas en el presente caso, por lo cual, conforme  al  artículo  68.3  del</w:t>
        <w:br/>
        <w:t>Reglamento del Tribunal, tampoco participó de la deliberación y firma de  la</w:t>
        <w:br/>
        <w:t>presente Sentencia.</w:t>
        <w:br/>
        <w:br/>
        <w:br/>
        <w:t>[2]   Reglamento de la Corte aprobado por el Tribunal en  su  LXXXV  Período</w:t>
        <w:br/>
        <w:t>Ordinario de Sesiones celebrado del 16 al 28 de noviembre de 2009.</w:t>
        <w:br/>
        <w:br/>
        <w:br/>
        <w:t>[3]   Cfr. Caso Loayza Tamayo Vs. Perú. Interpretación de  la  Sentencia  de</w:t>
        <w:br/>
        <w:t>Reparaciones y Costas. Sentencia de 3 de junio de  1999.  Serie  C  No.  53,</w:t>
        <w:br/>
        <w:t>párr. 15, y Caso Abril Alosilla y  otros  Vs.  Perú.  Interpretación  de  la</w:t>
        <w:br/>
        <w:t>Sentencia de Fondo, Reparaciones y Costas. Sentencia de 21 de noviembre  del</w:t>
        <w:br/>
        <w:t>2011, Serie C No. 235, párr. 17.</w:t>
        <w:br/>
        <w:br/>
        <w:br/>
        <w:t>[4]   Cfr.  Caso  Salvador  Chiriboga  Vs.  Ecuador.  Interpretación  de  la</w:t>
        <w:br/>
        <w:t>Sentencia de Reparaciones y Costas. Sentencia  de  29  de  agosto  de  2011.</w:t>
        <w:br/>
        <w:t>Serie C No. 230, párr. 30, y Caso Atala Riffo y Niñas Vs.  Chile.  Solicitud</w:t>
        <w:br/>
        <w:t>de  Interpretación  de  la  Sentencia  de  Fondo,  Reparaciones  y   Costas.</w:t>
        <w:br/>
        <w:t>Sentencia de 21 de noviembre de 2012. Serie C No. 254, párr. 34.</w:t>
        <w:br/>
        <w:br/>
        <w:br/>
        <w:t>[5]    Cfr.  Caso  Cantoral  Huamaní  y  García   Santa   Cruz   Vs.   Perú.</w:t>
        <w:br/>
        <w:t>Interpretación de la Sentencia de Excepción Preliminar, Fondo,  Reparaciones</w:t>
        <w:br/>
        <w:t>y Costas. Sentencia de 28 de enero de 2008. Serie C No. 176, párr. 16.</w:t>
        <w:br/>
        <w:br/>
        <w:br/>
        <w:t>[6]   Cfr. Caso Loayza Tamayo Vs. Perú. Interpretación de  la  Sentencia  de</w:t>
        <w:br/>
        <w:t>Fondo. Resolución de la Corte de 8 de marzo de 1998. Serie C No.  47,  párr.</w:t>
        <w:br/>
        <w:t>16; Caso Chaparro Álvarez y Lapo Íñiguez Vs. Ecuador. Interpretación  de  la</w:t>
        <w:br/>
        <w:t>Sentencia  de  Excepciones  Preliminares,  Fondo,  Reparaciones  y   Costas.</w:t>
        <w:br/>
        <w:t>Sentencia de 26 de noviembre de 2008. Serie C No.  189,  párr.  13,  y  Caso</w:t>
        <w:br/>
        <w:t>García Prieto y otros Vs. El Salvador. Interpretación  de  la  Sentencia  de</w:t>
        <w:br/>
        <w:t>Excepciones Preliminares, Fondo, Reparaciones y Costas. Sentencia de  24  de</w:t>
        <w:br/>
        <w:t>noviembre de 2008. Serie C No. 188, párr. 7.</w:t>
        <w:br/>
        <w:br/>
        <w:br/>
        <w:t>[7]   Cfr. Caso Loayza Tamayo Vs. Perú. Interpretación de  la  Sentencia  de</w:t>
        <w:br/>
        <w:t>Fondo, supra, párr. 16; Caso Salvador Chiriboga Vs.  Ecuador,  supra,  párr.</w:t>
        <w:br/>
        <w:t>11, y Caso Abril Alosilla y otros Vs. Perú, supra, párr. 10.</w:t>
        <w:br/>
        <w:br/>
        <w:br/>
        <w:t>[8]   Cfr. Caso Ticona Estrada y otros Vs.  Bolivia.  Interpretación  de  la</w:t>
        <w:br/>
        <w:t>Sentencia de Fondo, Reparaciones y Costas. Sentencia de 1 de julio de  2009.</w:t>
        <w:br/>
        <w:t>Serie C No. 199, párr. 26.</w:t>
        <w:br/>
        <w:br/>
        <w:br/>
        <w:br/>
        <w:br/>
        <w:br/>
        <w:t>[9]   En particular, el párrafo  384  establece  que:  “[e]l  Estado  deberá</w:t>
        <w:br/>
        <w:t>efectuar el pago de las indemnizaciones por  concepto  de  daño  material  e</w:t>
        <w:br/>
        <w:t>inmaterial y el reintegro de costas y gastos  establecidos  en  la  presente</w:t>
        <w:br/>
        <w:t>Sentencia directamente a las  personas  y  organizaciones  indicadas  en  la</w:t>
        <w:br/>
        <w:t>misma, en un plazo de dos años contado a partir de  la  notificación  de  la</w:t>
        <w:br/>
        <w:t>presente Sentencia, sin perjuicio de que pueda adelantar  el  pago  completo</w:t>
        <w:br/>
        <w:t>en un plazo menor”.</w:t>
        <w:br/>
        <w:br/>
        <w:br/>
        <w:t>[10]  En particular, en el párrafo 367 se establece: “[e]n relación  con  el</w:t>
        <w:br/>
        <w:t>daño emergente, […] para la Corte es razonable que,  los  grupos  familiares</w:t>
        <w:br/>
        <w:t>haya[n] tenido que incurrir en determinados gastos como consecuencia de  los</w:t>
        <w:br/>
        <w:t>hechos del presente caso, con el fin de emprender la búsqueda de justicia  y</w:t>
        <w:br/>
        <w:t>del paradero de sus seres  queridos,  así  como  atender  los  padecimientos</w:t>
        <w:br/>
        <w:t>físicos  y  psicológicos  sufridos  como  consecuencia  de  las  violaciones</w:t>
        <w:br/>
        <w:t>declaradas en la presente Sentencia. Asimismo, el Tribunal  toma  en  cuenta</w:t>
        <w:br/>
        <w:t>el impacto económico que provocó en el núcleo familiar  la  desaparición  de</w:t>
        <w:br/>
        <w:t>uno o varios de sus miembros. En consecuencia, la Corte  fija,  en  equidad,</w:t>
        <w:br/>
        <w:t>la cantidad de US$ 10.000,00 (diez mil dólares  de  los  Estados  Unidos  de</w:t>
        <w:br/>
        <w:t>América) por concepto de daño emergente, la cual deberá  ser  pagada  en  el</w:t>
        <w:br/>
        <w:t>plazo de un año, contado a partir de la notificación de  esta  Sentencia.  A</w:t>
        <w:br/>
        <w:t>efecto de realizar el  pago  de  dicho  monto,  las  representantes  deberán</w:t>
        <w:br/>
        <w:t>indicar, en el plazo de seis meses, contados a  partir  de  la  notificación</w:t>
        <w:br/>
        <w:t>del fallo, la persona de cada grupo familiar a  la  cual  deberá  entregarse</w:t>
        <w:br/>
        <w:t>dicha suma”. Por  otra  parte,  en  el  párrafo  388  se  establece:  “[l]as</w:t>
        <w:br/>
        <w:t>cantidades asignadas en la presente Sentencia como  indemnización  por  daño</w:t>
        <w:br/>
        <w:t>material e inmaterial, y como reintegro  de  costas  y  gastos  deberán  ser</w:t>
        <w:br/>
        <w:t>entregadas a las personas  y  organizaciones  indicadas  en  forma  íntegra,</w:t>
        <w:br/>
        <w:t>conforme a lo establecido en esta Sentencia, sin  reducciones  derivadas  de</w:t>
        <w:br/>
        <w:t>eventuales cargas fiscales, en el plazo de un año, contado a  partir  de  la</w:t>
        <w:br/>
        <w:t>notificación de la presente Sentencia”.</w:t>
        <w:br/>
        <w:br/>
        <w:br/>
        <w:t>[11]  El artículo 76 del Reglamento  establece  que  “[l]a  Corte  podrá,  a</w:t>
        <w:br/>
        <w:t>iniciativa propia  o  a  solicitud  de  parte,  presentada  dentro  del  mes</w:t>
        <w:br/>
        <w:t>siguiente a la notificación de la sentencia o resolución de  que  se  trate,</w:t>
        <w:br/>
        <w:t>rectificar errores notorios, de edición o de cálculo. De  efectuarse  alguna</w:t>
        <w:br/>
        <w:t>rectificación la Corte la notificará a la Comisión, a  las  víctimas  o  sus</w:t>
        <w:br/>
        <w:t>representantes, al Estado demandado y, en su caso,  al  Estado  demandante”.</w:t>
        <w:br/>
        <w:t>La Corte recuerda que si bien, con base en el artículo  76  del  Reglamento,</w:t>
        <w:br/>
        <w:t>las partes  podrán  requerir  una  rectificación  de  errores  notorios,  de</w:t>
        <w:br/>
        <w:t>edición o de cálculo sólo “dentro del mes siguiente a la notificación de  la</w:t>
        <w:br/>
        <w:t>sentencia o resolución de que  se  trate”,  dicho  plazo  no  aplica  a  las</w:t>
        <w:br/>
        <w:t>eventuales correcciones que pudiera efectuar el Tribunal motu  propio.  Caso</w:t>
        <w:br/>
        <w:t>Escher y  otros  vs.  Brasil.  Supervisión  de  Cumplimiento  de  Sentencia.</w:t>
        <w:br/>
        <w:t>Resolución de la Corte de 17 de mayo de 2010, Considerando decimoquinto.</w:t>
        <w:br/>
        <w:br/>
        <w:br/>
        <w:t>[12]  Cfr. Caso Loayza Tamayo Vs. Perú. Interpretación de  la  Sentencia  de</w:t>
        <w:br/>
        <w:t>Reparaciones y Costas, párr. 16, y  Caso  Salvador  Chiriboga  Vs.  Ecuador,</w:t>
        <w:br/>
        <w:t>supra, párr. 11.</w:t>
        <w:br/>
        <w:br/>
        <w:br/>
        <w:t>[13]  Cfr. Caso Escher y otros Vs. Brasil. Interpretación  de  la  Sentencia</w:t>
        <w:br/>
        <w:t>de Excepciones Preliminares, Fondo, Reparaciones y Costas. Sentencia  de  20</w:t>
        <w:br/>
        <w:t>de noviembre de 2009. Serie C No. 208, párr. 11.</w:t>
        <w:br/>
        <w:br/>
        <w:br/>
        <w:t>[14]  El artículo 35.2 del Reglamento del Tribunal establece  que  “[c]uando</w:t>
        <w:br/>
        <w:t>se justificare que no fue posible identificar a alguna o  algunas  presuntas</w:t>
        <w:br/>
        <w:t>víctimas de los hechos  del  caso  por  tratarse  de  casos  de  violaciones</w:t>
        <w:br/>
        <w:t>masivas o  colectivas,  el  Tribunal  decidirá  en  su  oportunidad  si  las</w:t>
        <w:br/>
        <w:t>considera víctimas”.</w:t>
        <w:br/>
        <w:br/>
        <w:br/>
        <w:t>[15]  Cfr. Masacres de El Mozote y lugares aledaños Vs. El Salvador.  Fondo,</w:t>
        <w:br/>
        <w:t>Reparaciones y Costas. Sentencia de 25  de  octubre  de  2012  Serie  C  No.</w:t>
        <w:br/>
        <w:t>252párr. 310,  y  Caso  Masacres  de  Río  Negro  Vs.  Guatemala.  Excepción</w:t>
        <w:br/>
        <w:t>Preliminar, Fondo, Reparaciones y Costas. Sentencia de 4  de  septiembre  de</w:t>
        <w:br/>
        <w:t>2012 Serie C No. 250, párr. 251.</w:t>
        <w:br/>
        <w:br/>
        <w:br/>
        <w:t>[16]  Cfr. Caso Hermanas Serrano Cruz Vs. El Salvador. Interpretación de  la</w:t>
        <w:br/>
        <w:t>Sentencia de Reparaciones y Costas. Sentencia de 9 de  septiembre  de  2005.</w:t>
        <w:br/>
        <w:t>Serie 131, párr. 32.</w:t>
        <w:br/>
        <w:br/>
        <w:br/>
        <w:t>[17]  En  este  sentido  ver,  inter  alia:  Caso  Velásquez  Rodríguez  Vs.</w:t>
        <w:br/>
        <w:t>Honduras. Reparaciones y Costas. Sentencia de 21 de julio de 1989.  Serie  C</w:t>
        <w:br/>
        <w:t>No. 7, párrs. 49, 52 a 55 y 58; Caso El Amparo Vs.  Venezuela.  Reparaciones</w:t>
        <w:br/>
        <w:t>y Costas. Sentencia de 14 de septiembre de 1996. Serie C No. 28,  párr.  41;</w:t>
        <w:br/>
        <w:t>Caso Del Caracazo Vs. Venezuela. Reparaciones y Costas. Sentencia de  29  de</w:t>
        <w:br/>
        <w:t>agosto de 2002. Serie C No. 95, párrs. 91, 93, 101,  102  y  111;   Caso  19</w:t>
        <w:br/>
        <w:t>Comerciantes Vs. Colombia. Fondo, Reparaciones y Costas. Sentencia de  5  de</w:t>
        <w:br/>
        <w:t>julio de 2004. Serie C No. 109, párrs. 230 y 231;  Caso  de  la  Masacre  de</w:t>
        <w:br/>
        <w:t>Pueblo Bello Vs. Colombia. Sentencia de 31 de enero de  2006.  Serie  C  No.</w:t>
        <w:br/>
        <w:t>140, párrs. 240 y 241; Caso Masacres de  Río  Negro  Vs.  Guatemala,  supra,</w:t>
        <w:br/>
        <w:t>párr. 310, y Caso Nadege Dorzema y otros Vs.  República  Dominicana.  Fondo,</w:t>
        <w:br/>
        <w:t>Reparaciones y Costas. Sentencia de 24 de octubre de 2012. Serie C No.  251,</w:t>
        <w:br/>
        <w:t>párr. 289.</w:t>
        <w:br/>
        <w:br/>
        <w:br/>
        <w:t>[18]  Al  respecto,  inter  alia,  Caso  Aloeboetoe  y  otros  Vs.  Surinam.</w:t>
        <w:br/>
        <w:t>Reparaciones y Costas. Sentencia de 10 de septiembre de 1993.  Serie  C  No.</w:t>
        <w:br/>
        <w:t>15, párrs. 77 y 97; Caso El Amparo Vs. Venezuela, supra,  párrs.  40,  41  y</w:t>
        <w:br/>
        <w:t>42; Caso Neira Alegría y otros Vs. Perú. Reparaciones. Sentencia  de  19  de</w:t>
        <w:br/>
        <w:t>septiembre de 1996. Serie C  No.  29,   párrs.  60  y  61;  Caso  Garrido  y</w:t>
        <w:br/>
        <w:t>Baigorria Vs. Argentina. Reparaciones. Sentencia de 27 de  agosto  de  1998.</w:t>
        <w:br/>
        <w:t>Serie C No. 39.párrs, 55, 56 y 65; Caso del Caracazo Vs.  Venezuela,  supra,</w:t>
        <w:br/>
        <w:t>párrs.  91  a  93;  Caso  Juan  Humberto  Sánchez  Vs.  Honduras.  Excepcion</w:t>
        <w:br/>
        <w:t>Preliminar, Fondo, Reparaciones y Costas. Sentencia de 7 de junio  de  2003.</w:t>
        <w:br/>
        <w:t>Serie C No. 99.párrs. 164, 165 y  178;  Caso  Carpio  Nicolle  y  otros  Vs.</w:t>
        <w:br/>
        <w:t>Guatemala.  Fondo, Reparaciones y Costas. Sentencia del 22 de noviembre  del</w:t>
        <w:br/>
        <w:t>2004. Serie C No. 117, párrs. 98 y 99, y Caso Hermanas Serrano Cruz  Vs.  El</w:t>
        <w:br/>
        <w:t>Salvador, supra, párr. 34.</w:t>
        <w:br/>
        <w:br/>
        <w:br/>
        <w:t>[19]  Cfr. Caso Aloeboetoe y  otros  Vs.  Surinam,  supra,  párr.  44;  Caso</w:t>
        <w:br/>
        <w:t>Acosta Calderón Vs. Ecuador. Fondo, Reparaciones y Costas. Sentencia  de  24</w:t>
        <w:br/>
        <w:t>de junio de 2005. Serie C No. 129, párr. 147, y  Caso  Radilla  Pacheco  Vs.</w:t>
        <w:br/>
        <w:t>México. Excepciones Preliminares, Fondo, Reparaciones  y  Costas.  Sentencia</w:t>
        <w:br/>
        <w:t>de 23 de Noviembre de 2009. Serie C No. 209, párr. 327.</w:t>
        <w:br/>
        <w:br/>
        <w:br/>
        <w:t>[20]  Cfr. Caso Aloeboetoe y otros Vs. Surinam,  supra,  párr.  44,  y  Caso</w:t>
        <w:br/>
        <w:t>Hermanas Serrano Cruz Vs. El Salvador, supra, párr. 29.</w:t>
        <w:br/>
        <w:br/>
        <w:br/>
        <w:t>[21]  Cfr. Caso Gudiel  Álvarez  (“Diario  Militar”)  Vs.  Guatemala.  Fondo</w:t>
        <w:br/>
        <w:t>Reparaciones y Costas. Sentencia de 20 noviembre de 2012. Serie C  No.  253,</w:t>
        <w:br/>
        <w:t>párr. 372.</w:t>
        <w:br/>
        <w:br/>
        <w:br/>
        <w:t>[22]  Cfr. Caso Baena Ricardo y  otros.  Competencia.  Sentencia  de  28  de</w:t>
        <w:br/>
        <w:t>noviembre de 2003. Serie C No. 104, párr. 61. Asimismo, Caso Fermín  Ramírez</w:t>
        <w:br/>
        <w:t>Vs. Guatemala. Fondo, Reparaciones y Costas. Sentencia de  20  de  junio  de</w:t>
        <w:br/>
        <w:t>2005. Serie C No. 126, párr.  123,  y  Caso  Acosta  Calderón  Vs.  Ecuador,</w:t>
        <w:br/>
        <w:t>supra, párr. 147.</w:t>
        <w:br/>
        <w:br/>
        <w:br/>
        <w:t>[23]  Cfr. Caso de la Masacre de Pueblo Bello Vs.  Colombia.  Interpretación</w:t>
        <w:br/>
        <w:t>de la Sentencia  de  Fondo,  Reparaciones  y  Costas.  Sentencia  de  25  de</w:t>
        <w:br/>
        <w:t>noviembre de 2006. Serie C No. 159, párr. 34.</w:t>
        <w:br/>
        <w:br/>
        <w:br/>
        <w:t>[24]  Cfr. Caso Aloeboetoe y otros Vs. Surinam,  supra,  párr.  44,  y  Caso</w:t>
        <w:br/>
        <w:t>Hermanas Serrano Cruz Vs. El Salvador, supra, párr. 29.</w:t>
        <w:br/>
        <w:br/>
        <w:t>[25]  Cfr. Responsabilidad internacional  por  expedición  y  aplicación  de</w:t>
        <w:br/>
        <w:t>leyes violatorias de la Convención (arts.1 y 2  Convención  Americana  sobre</w:t>
        <w:br/>
        <w:t>Derechos Humanos). Opinión Consultiva OC-14/94 de 9 de  diciembre  de  1994.</w:t>
        <w:br/>
        <w:t>Serie A No. 14, párr. 35; Caso De la Cruz Flores Vs.  Perú.  Supervisión  de</w:t>
        <w:br/>
        <w:t>cumplimiento de sentencia y solicitud de adopción de medidas  provisionales.</w:t>
        <w:br/>
        <w:t>Resolución de la Corte de 1 de  septiembre  de  2010,  Considerando  quinto;</w:t>
        <w:br/>
        <w:t>Caso Tristán Donoso Vs. Panamá. Supervisión de  Cumplimiento  de  Sentencia.</w:t>
        <w:br/>
        <w:t>Resolución de la Corte de 1 de septiembre de 2010,  Considerando  quinto,  y</w:t>
        <w:br/>
        <w:t>Caso  Kimel  Vs.  Argentina.  Supervisión  de  Cumplimiento  de   Sentencia.</w:t>
        <w:br/>
        <w:t>Resolución de la Corte de 15 de noviembre de 2010, Considerando undécimo.</w:t>
        <w:br/>
        <w:br/>
        <w:t>[26]  Cfr. Caso Suárez Rosero Vs. Ecuador. Interpretación  de  la  Sentencia</w:t>
        <w:br/>
        <w:t>de Reparaciones. Sentencia de 29 de mayo de 1999. Serie C No. 51, párr. 28.</w:t>
        <w:br/>
        <w:br/>
        <w:br/>
        <w:t>[27]        Cfr. Caso  Gudiel  Álvarez  (“Diario  Militar”)  Vs.  Guatemala,</w:t>
        <w:br/>
        <w:t>supra, nota 182 y párr. 193.</w:t>
        <w:br/>
        <w:br/>
        <w:br/>
        <w:t>[28]  Caso Gudiel Álvarez (“Diario Militar”)  Vs.  Guatemala,  supra,  párr.</w:t>
        <w:br/>
        <w:t>191.</w:t>
        <w:br/>
        <w:br/>
        <w:br/>
        <w:t>[29]  Cfr. Caso Gudiel Álvarez  (“Diario  Militar”)  Vs.  Guatemala,  supra,</w:t>
        <w:br/>
        <w:t>párr. 195, citando: Caso Ibsen Cárdenas e Ibsen  Peña  Vs.  Bolivia.  Fondo,</w:t>
        <w:br/>
        <w:t>Reparaciones y Costas. Sentencia de 1 de septiembre de  2010.  Serie  C  No.</w:t>
        <w:br/>
        <w:t>217, párr. 59, y Caso Masacres de Río Negro  Vs.  Guatemala,  supra,  párrs.</w:t>
        <w:br/>
        <w:t>112 a 113.</w:t>
        <w:br/>
        <w:br/>
        <w:br/>
        <w:t>[30]  Cfr. Caso Gudiel Álvarez  (“Diario  Militar”)  Vs.  Guatemala,  supra,</w:t>
        <w:br/>
        <w:t>párrs.  206  y  207,  citando:  Caso  Tiu  Tojin   Vs.   Guatemala.   Fondo,</w:t>
        <w:br/>
        <w:t>Reparaciones y Costas. Sentencia de 26 de noviembre del 2008.  Serie  C  No.</w:t>
        <w:br/>
        <w:t>190, párr. 84; Caso Ibsen Cárdenas e Ibsen Peña Vs.  Bolivia,  supra,  párr.</w:t>
        <w:br/>
        <w:t>82, y Caso Masacres de Río Negro Vs. Guatemala, supra, párr. 113</w:t>
        <w:br/>
        <w:br/>
        <w:br/>
        <w:t>[31]  Cfr. Caso Goiburú y otros Vs. Paraguay. Fondo, Reparaciones y  Costas.</w:t>
        <w:br/>
        <w:t>Sentencia de 22 de septiembre de 2006. Serie C No. 153, párr. 148 (b);  Caso</w:t>
        <w:br/>
        <w:t>19 Comerciantes Vs. Colombia, supra, párr. 230 (c), y Caso de la Masacre  de</w:t>
        <w:br/>
        <w:t>La Rochela Vs. Colombia. Fondo, Reparaciones y Costas. Sentencia  de  11  de</w:t>
        <w:br/>
        <w:t>de mayo de 2007. Serie C No. 163, párr. 237 (c).</w:t>
        <w:br/>
        <w:br/>
        <w:br/>
        <w:t>[32]  Cfr. Caso Bueno Alves Vs. Argentina. Supervisión  de  Cumplimiento  de</w:t>
        <w:br/>
        <w:t>Sentencia. Resolución de la Corte Interamericana de Derechos Humanos  del  5</w:t>
        <w:br/>
        <w:t>de julio de 2011. Considerando décimo sexto; Caso de la  Masacre  de  Pueblo</w:t>
        <w:br/>
        <w:t>Bello Vs. Colombia. Interpretación de la Sentencia de Fondo, Reparaciones  y</w:t>
        <w:br/>
        <w:t>Costas, supra, párr.  34,  y  Caso  Masacre  de  Dos  Erres  Vs.  Guatemala.</w:t>
        <w:br/>
        <w:t>Supervisión de Cumplimiento de Sentencia. Resolución de la  Corte  de  4  de</w:t>
        <w:br/>
        <w:t>septiembre del 2012, Considerando vigésimo cuarto.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