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br/>
        <w:t xml:space="preserve">                 CASO MASACRE DE SANTO DOMINGO VS. COLOMBIA</w:t>
        <w:br/>
        <w:br/>
        <w:br/>
        <w:br/>
        <w:br/>
        <w:br/>
        <w:t xml:space="preserve">                     1 SENTENCIA DE 19 DE AGOSTO DE 2013</w:t>
        <w:br/>
        <w:br/>
        <w:br/>
        <w:t xml:space="preserve">       (Solicitud de Interpretación de la Sentencia sobre Excepciones</w:t>
        <w:br/>
        <w:t xml:space="preserve">                 Preliminares, Fondo, Reparaciones y Costas)</w:t>
        <w:br/>
        <w:br/>
        <w:br/>
        <w:br/>
        <w:br/>
        <w:br/>
        <w:t>En el caso Masacre de Santo Domingo,</w:t>
        <w:br/>
        <w:br/>
        <w:br/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Jueces[1]:</w:t>
        <w:br/>
        <w:br/>
        <w:br/>
        <w:br/>
        <w:br/>
        <w:t xml:space="preserve">      Diego García-Sayán, Presidente;</w:t>
        <w:br/>
        <w:t xml:space="preserve">      Leonardo A. Franco,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Juez, y</w:t>
        <w:br/>
        <w:br/>
        <w:t>presente, además,</w:t>
        <w:br/>
        <w:br/>
        <w:t>Pablo Saavedra Alessandri, Secretario, y</w:t>
        <w:br/>
        <w:t>Emilia Segares Rodríguez, Secretaria Adjunta</w:t>
        <w:br/>
        <w:br/>
        <w:br/>
        <w:br/>
        <w:br/>
        <w:t>de conformidad con el artículo 67 de la Convención Americana sobre  Derechos</w:t>
        <w:br/>
        <w:t>Humanos (en adelante también “la Convención Americana” o “la Convención”)  y</w:t>
        <w:br/>
        <w:t>el artículo 68 del Reglamento de la Corte[2] (en adelante “el  Reglamento”),</w:t>
        <w:br/>
        <w:t>resuelve la solicitud de  interpretación  de  la  Sentencia  de  excepciones</w:t>
        <w:br/>
        <w:t>preliminares, fondo  y  reparaciones  emitida  por  el  Tribunal  el  30  de</w:t>
        <w:br/>
        <w:t>noviembre de 2012 en el presente caso (en adelante también “la  Sentencia”),</w:t>
        <w:br/>
        <w:t>interpuesta el 20 de febrero de 2013 por los representantes de las  víctimas</w:t>
        <w:br/>
        <w:t>y sus familiares (en adelante “los representantes”).</w:t>
        <w:br/>
        <w:br/>
        <w:br/>
        <w:br/>
        <w:br/>
        <w:br/>
        <w:t xml:space="preserve">                                      I</w:t>
        <w:br/>
        <w:t xml:space="preserve">                         SOLICITUD DE INTERPRETACIÓN</w:t>
        <w:br/>
        <w:t xml:space="preserve">                        Y PROCEDIMIENTO ANTE LA CORTE</w:t>
        <w:br/>
        <w:br/>
        <w:br/>
        <w:br/>
        <w:br/>
        <w:t>El 30 de noviembre de 2012  la  Corte  emitió  la  Sentencia,  la  cual  fue</w:t>
        <w:br/>
        <w:t>notificada a las partes y a la Comisión el 18 de diciembre del mismo año.</w:t>
        <w:br/>
        <w:br/>
        <w:br/>
        <w:t xml:space="preserve"> El 20 de febrero de 2013 los representantes presentaron  una  solicitud  de</w:t>
        <w:br/>
        <w:t>interpretación de la Sentencia. Específicamente, solicitaron a la Corte  que</w:t>
        <w:br/>
        <w:t>“aclare alguno de los aspectos relacionados con las  reparaciones  ordenadas</w:t>
        <w:br/>
        <w:t>a favor de las víctimas”.</w:t>
        <w:br/>
        <w:br/>
        <w:br/>
        <w:t>El 3 de abril de 2013, de conformidad con lo dispuesto en el  artículo  68.2</w:t>
        <w:br/>
        <w:t>del Reglamento y siguiendo instrucciones del Presidente, la  Secretaría  del</w:t>
        <w:br/>
        <w:t>Tribunal (en adelante “la Secretaría”) transmitió la referida  solicitud  de</w:t>
        <w:br/>
        <w:t>interpretación  a  la  Comisión  Interamericana  de  Derechos  Humanos   (en</w:t>
        <w:br/>
        <w:t>adelante “la Comisión Interamericana”  o  “la  Comisión”)  y  al  Estado  de</w:t>
        <w:br/>
        <w:t>Colombia (en adelante “el Estado” o “Colombia”) y les otorgó plazo hasta  el</w:t>
        <w:br/>
        <w:t>3 de mayo de 2013 para presentar las alegaciones escritas  que  consideraran</w:t>
        <w:br/>
        <w:t>pertinentes.</w:t>
        <w:br/>
        <w:br/>
        <w:br/>
        <w:t>El 3 de mayo de 2013 la Comisión y el  Estado  presentaron  sus  alegatos  y</w:t>
        <w:br/>
        <w:t>observaciones  respecto  de  la   solicitud   de   interpretación   de   los</w:t>
        <w:br/>
        <w:t>representantes.</w:t>
        <w:br/>
        <w:br/>
        <w:br/>
        <w:br/>
        <w:br/>
        <w:br/>
        <w:br/>
        <w:br/>
        <w:t xml:space="preserve">                                     II</w:t>
        <w:br/>
        <w:t xml:space="preserve">                                 COMPETENCIA</w:t>
        <w:br/>
        <w:br/>
        <w:t>El artículo 67 de la Convención establece que:</w:t>
        <w:br/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De  conformidad  con  el  artículo  citado,  la  Corte  es  competente  para</w:t>
        <w:br/>
        <w:t>interpretar  sus  fallos.  Para  realizar  el  examen  de  la  solicitud  de</w:t>
        <w:br/>
        <w:t>interpretación y resolver lo que a este respecto  corresponda,  el  Tribunal</w:t>
        <w:br/>
        <w:t>debe tener, si es posible, la misma  composición  que  tenía  al  dictar  la</w:t>
        <w:br/>
        <w:t>Sentencia respectiva, de acuerdo con el artículo  68.3  del  Reglamento.  En</w:t>
        <w:br/>
        <w:t>esta ocasión, la Corte se integra con los jueces que dictaron  la  Sentencia</w:t>
        <w:br/>
        <w:t>cuya interpretación ha sido solicitada por los representantes.</w:t>
        <w:br/>
        <w:br/>
        <w:br/>
        <w:br/>
        <w:br/>
        <w:br/>
        <w:br/>
        <w:br/>
        <w:t xml:space="preserve">                                     III</w:t>
        <w:br/>
        <w:t xml:space="preserve">                                ADMISIBILIDAD</w:t>
        <w:br/>
        <w:br/>
        <w:t>Corresponde a la Corte verificar si la solicitud  de  interpretación  cumple</w:t>
        <w:br/>
        <w:t>con los requisitos establecidos  en  las  normas  aplicables,  a  saber,  el</w:t>
        <w:br/>
        <w:t>artículo 67 de la Convención, anteriormente citado, y  el  artículo  68  del</w:t>
        <w:br/>
        <w:t>Reglamento que dispone, en lo pertinente, que:</w:t>
        <w:br/>
        <w:br/>
        <w:t xml:space="preserve">      1.    La solicitud de interpretación a que se refiere el  artículo  67</w:t>
        <w:br/>
        <w:t xml:space="preserve">      de la Convención podrá promoverse en relación con  las  sentencias  de</w:t>
        <w:br/>
        <w:t xml:space="preserve">      excepciones  preliminares,  fondo  o  reparaciones  y  costas   y   se</w:t>
        <w:br/>
        <w:t xml:space="preserve">      presentará en la Secretaría de  la  Corte  indicándose  en  ella,  con</w:t>
        <w:br/>
        <w:t xml:space="preserve">      precisión, las  cuestiones  relativas  al  sentido  o  alcance  de  la</w:t>
        <w:br/>
        <w:t xml:space="preserve">      sentencia cuya interpretación se pida.</w:t>
        <w:br/>
        <w:br/>
        <w:br/>
        <w:t xml:space="preserve">      […]</w:t>
        <w:br/>
        <w:br/>
        <w:br/>
        <w:t xml:space="preserve">      4.    La solicitud de interpretación no suspenderá la ejecución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br/>
        <w:t>Asimismo, el artículo  31.3  del  Reglamento  establece  que  “[c]ontra  las</w:t>
        <w:br/>
        <w:t>sentencias  y  resoluciones  de  la  Corte  no  procede  ningún   medio   de</w:t>
        <w:br/>
        <w:t>impugnación”.</w:t>
        <w:br/>
        <w:br/>
        <w:br/>
        <w:t>La  Corte  observa  que  los  representantes  presentaron  su  solicitud  de</w:t>
        <w:br/>
        <w:t>interpretación de la Sentencia dentro del plazo de noventa días  establecido</w:t>
        <w:br/>
        <w:t>en el artículo 67 de la Convención, ya que la misma fue notificada el 18  de</w:t>
        <w:br/>
        <w:t>diciembre de 2012.</w:t>
        <w:br/>
        <w:br/>
        <w:br/>
        <w:br/>
        <w:br/>
        <w:br/>
        <w:br/>
        <w:br/>
        <w:t xml:space="preserve">                                     IV</w:t>
        <w:br/>
        <w:t xml:space="preserve">          ANÁLISIS DE PROCEDENCIA DE LA SOLICITUD DE INTERPRETACIÓN</w:t>
        <w:br/>
        <w:br/>
        <w:br/>
        <w:t>Tal como lo ha dispuesto anteriormente este Tribunal  en  su  jurisprudencia</w:t>
        <w:br/>
        <w:t>constante,  claramente  sustentada  en  el   ordenamiento   aplicable,   una</w:t>
        <w:br/>
        <w:t>solicitud de interpretación de sentencia no puede utilizarse como  medio  de</w:t>
        <w:br/>
        <w:t>impugnación de la decisión cuya interpretación se solicita. Dicha  solicitud</w:t>
        <w:br/>
        <w:t>tiene como objeto, exclusivamente, determinar el sentido de un fallo  cuando</w:t>
        <w:br/>
        <w:t>alguna de las partes sostiene que el texto de sus puntos  resolutivos  o  de</w:t>
        <w:br/>
        <w:t>sus consideraciones carece de claridad o precisión, siempre  y  cuando  esas</w:t>
        <w:br/>
        <w:t>consideraciones incidan en dicha parte resolutiva[3]. Por lo  tanto,  no  se</w:t>
        <w:br/>
        <w:t>puede pedir la modificación o anulación de la sentencia respectiva a  través</w:t>
        <w:br/>
        <w:t>de una solicitud de interpretación[4].</w:t>
        <w:br/>
        <w:br/>
        <w:t>Asimismo, la Corte ha sostenido la improcedencia de utilizar  una  solicitud</w:t>
        <w:br/>
        <w:t>de interpretación para someter cuestiones de  hecho  y  de  derecho  que  ya</w:t>
        <w:br/>
        <w:t>fueron planteadas en su oportunidad procesal y sobre las cuales el  Tribunal</w:t>
        <w:br/>
        <w:t>ya adoptó una decisión[5].</w:t>
        <w:br/>
        <w:br/>
        <w:t>La Corte procederá a analizar la solicitud de interpretación presentada  por</w:t>
        <w:br/>
        <w:t>los representantes para determinar si procede aclarar el sentido  o  alcance</w:t>
        <w:br/>
        <w:t>de algún  punto  de  la  Sentencia.  Para  ello,  examinará  las  cuestiones</w:t>
        <w:br/>
        <w:t>planteadas por los representantes, así como  los  alegatos  y  observaciones</w:t>
        <w:br/>
        <w:t>del Estado y de la Comisión.</w:t>
        <w:br/>
        <w:br/>
        <w:br/>
        <w:t>Los representantes presentaron la solicitud de interpretación con el fin  de</w:t>
        <w:br/>
        <w:t>que la Corte aclare “algunos  aspectos  relacionados  con  las  reparaciones</w:t>
        <w:br/>
        <w:t>ordenadas a favor de las víctimas”, que categorizaron en tres temas: i)  una</w:t>
        <w:br/>
        <w:t>alegada divergencia entre las personas identificadas como parte lesionada  y</w:t>
        <w:br/>
        <w:t>la  titularidad  de  las  reparaciones  ordenadas;  ii)  las   víctimas   de</w:t>
        <w:br/>
        <w:t>desplazamiento forzado; y iii)  la  situación  de  los  familiares  de  Luis</w:t>
        <w:br/>
        <w:t>Enrique Ropero y otros. No obstante, los  representantes  plantearon  varias</w:t>
        <w:br/>
        <w:t>preguntas que no están claramente relacionadas  con  los  temas  propuestos,</w:t>
        <w:br/>
        <w:t>por lo que el Tribunal examinará cada una de esas preguntas en el  orden  en</w:t>
        <w:br/>
        <w:t>que fueron expuestas, a saber:</w:t>
        <w:br/>
        <w:br/>
        <w:br/>
        <w:t xml:space="preserve">   1. ¿Pueden acudir los derecho-habientes de las 16 víctimas de violación</w:t>
        <w:br/>
        <w:t xml:space="preserve">      al derecho a la vida al mecanismo de indemnización previsto en el</w:t>
        <w:br/>
        <w:t xml:space="preserve">      párrafo 337 de la Sentencia?</w:t>
        <w:br/>
        <w:br/>
        <w:br/>
        <w:t xml:space="preserve">   2. ¿Pueden acudir las víctimas de violación al derecho a la propiedad al</w:t>
        <w:br/>
        <w:t xml:space="preserve">      mecanismo de indemnización previsto en el párrafo 337 de la Sentencia?</w:t>
        <w:br/>
        <w:br/>
        <w:br/>
        <w:t xml:space="preserve">   3. ¿Pueden acudir las 27 víctimas de desplazamiento forzado reconocidas</w:t>
        <w:br/>
        <w:t xml:space="preserve">      en el párrafo 268 de la Sentencia al mecanismo de indemnización</w:t>
        <w:br/>
        <w:t xml:space="preserve">      previsto en el párrafo 337 de la misma por este concepto?</w:t>
        <w:br/>
        <w:br/>
        <w:br/>
        <w:t xml:space="preserve">   4. ¿Podrían las víctimas de desplazamiento forzado demandar</w:t>
        <w:br/>
        <w:t xml:space="preserve">      administrativamente al Estado por los hechos de desplazamiento forzado</w:t>
        <w:br/>
        <w:t xml:space="preserve">      o acudir a ley 288 de 1996?</w:t>
        <w:br/>
        <w:br/>
        <w:br/>
        <w:t xml:space="preserve">   5. ¿la Sentencia habilitaría a los familiares –no indemnizados- de Luis</w:t>
        <w:br/>
        <w:t xml:space="preserve">      Enrique Parada Ropero a acudir al mecanismo de la Ley 288 de 1996 o el</w:t>
        <w:br/>
        <w:t xml:space="preserve">      mecanismo al que hace referencia la Corte en el párrafo 337 de su</w:t>
        <w:br/>
        <w:t xml:space="preserve">      Sentencia?</w:t>
        <w:br/>
        <w:br/>
        <w:br/>
        <w:t xml:space="preserve">   6. ¿Podrían las 18 personas referenciadas en el párrafo 295 de la</w:t>
        <w:br/>
        <w:t xml:space="preserve">      Sentencia que no fueron reconocidas como parte lesionada, cuyo mandato</w:t>
        <w:br/>
        <w:t xml:space="preserve">      fue acreditado por los representantes y que no fueron incluidas en el</w:t>
        <w:br/>
        <w:t xml:space="preserve">      Informe de Fondo de la Comisión, considerarse incluidas en el</w:t>
        <w:br/>
        <w:t xml:space="preserve">      mecanismo de reparación dispuesto en el párrafo 337 o pueden acudir al</w:t>
        <w:br/>
        <w:t xml:space="preserve">      mecanismo de la Ley 288 de 1996?</w:t>
        <w:br/>
        <w:br/>
        <w:br/>
        <w:t xml:space="preserve">   7.  En caso de que existan otros familiares de víctimas de violación del</w:t>
        <w:br/>
        <w:t xml:space="preserve">      derecho a la vida, que no acudieron a la vía contencioso</w:t>
        <w:br/>
        <w:t xml:space="preserve">      administrativa, ni fueron representados a nivel interamericano,</w:t>
        <w:br/>
        <w:t xml:space="preserve">      ¿pueden acudir al mecanismo previsto en el párrafo 337 de la Sentencia</w:t>
        <w:br/>
        <w:t xml:space="preserve">      o al mecanismo de la Ley 288 de 1996?</w:t>
        <w:br/>
        <w:br/>
        <w:br/>
        <w:br/>
        <w:br/>
        <w:br/>
        <w:t>A. Primera pregunta: ¿Pueden acudir los derecho-habientes de las 16</w:t>
        <w:br/>
        <w:t xml:space="preserve">   víctimas de violación al derecho a la vida al mecanismo de indemnización</w:t>
        <w:br/>
        <w:t xml:space="preserve">   previsto en el párrafo 337 de la Sentencia?</w:t>
        <w:br/>
        <w:br/>
        <w:br/>
        <w:br/>
        <w:br/>
        <w:br/>
        <w:br/>
        <w:t xml:space="preserve">       Argumentos de los representantes y observaciones de la Comisión y el</w:t>
        <w:br/>
        <w:t xml:space="preserve">       Estado</w:t>
        <w:br/>
        <w:br/>
        <w:br/>
        <w:t>Los representantes señalaron que la Corte  había  omitido  mencionar  en  el</w:t>
        <w:br/>
        <w:t>párrafo 337 de la Sentencia, que establece un  mecanismo  interno  para  que</w:t>
        <w:br/>
        <w:t>determinadas víctimas puedan recibir las  reparaciones  correspondientes,  a</w:t>
        <w:br/>
        <w:t>dos grupos de víctimas reconocidos como parte  lesionada:  i)  las  víctimas</w:t>
        <w:br/>
        <w:t>“directas”,  quienes  no  habrían   sido   consideradas   beneficiarias   de</w:t>
        <w:br/>
        <w:t>reparaciones en el orden interno,  y  ii)  las  víctimas  de  violación  del</w:t>
        <w:br/>
        <w:t>derecho a la propiedad. Así, indican que a pesar de  haber  declarado  a  17</w:t>
        <w:br/>
        <w:t>personas  (16  representadas  por  los  representantes)  como  víctimas   de</w:t>
        <w:br/>
        <w:t>violaciones  al  derecho  a  la  vida,  la  Corte   “no   atribuye   ninguna</w:t>
        <w:br/>
        <w:t>consecuencia jurídica a  este  hecho,  en  contravía  de  su  jurisprudencia</w:t>
        <w:br/>
        <w:t>reiterada  según  la  cual  las  propias  víctimas  tienen  derecho  a   una</w:t>
        <w:br/>
        <w:t>indemnización”, es decir, no señala cuál es la reparación debida a  esas  16</w:t>
        <w:br/>
        <w:t>personas “reconocidas como víctimas directas de  la  violación  al  artículo</w:t>
        <w:br/>
        <w:t>4”. Es por ello que solicitaron a la Corte que aclare si pueden  acudir  los</w:t>
        <w:br/>
        <w:t>derecho-habientes de esas 16 víctimas al mecanismo previsto  en  el  párrafo</w:t>
        <w:br/>
        <w:t>337 de la Sentencia.</w:t>
        <w:br/>
        <w:br/>
        <w:br/>
        <w:t>La Comisión observó, con relación al alcance de las  reparaciones  derivadas</w:t>
        <w:br/>
        <w:t>de la  violación  del  derecho  a  la  vida,  que  “[e]n  la  jurisprudencia</w:t>
        <w:br/>
        <w:t>constante de la Corte lnteramericana las violaciones del derecho a  la  vida</w:t>
        <w:br/>
        <w:t>han venido siendo entendidas como generadoras  de  reparaciones  pecuniarias</w:t>
        <w:br/>
        <w:t>tanto respecto de la persona  fallecida,  en  tanto  víctima  directa,  como</w:t>
        <w:br/>
        <w:t>respecto de los familiares,  en  tanto  víctimas  como  consecuencia  de  la</w:t>
        <w:br/>
        <w:t>afectación a su integridad psíquica  y  moral  por  la  pérdida  de  su  ser</w:t>
        <w:br/>
        <w:t>querido. Por la naturaleza de  esta  violación,  en  la  práctica,  esto  se</w:t>
        <w:br/>
        <w:t>traduce en que los derechohabientes de las víctimas fallecidas  (que  en  la</w:t>
        <w:br/>
        <w:t>mayoría de casos coincide con los  familiares)  son  los  beneficiarios  del</w:t>
        <w:br/>
        <w:t>monto reparatorio que correspondía a la víctima fallecida, mientras que  los</w:t>
        <w:br/>
        <w:t>familiares declarados como víctimas  en  la  sentencia  por  el  daño  a  su</w:t>
        <w:br/>
        <w:t>integridad psíquica y moral derivada de la pérdida de su  ser  querido,  son</w:t>
        <w:br/>
        <w:t>beneficiarios de un monto reparatorio distinto que se  relaciona  con  dicho</w:t>
        <w:br/>
        <w:t>daño adicional”. La Comisión agregó que “en los párrafos 334  -  338  de  la</w:t>
        <w:br/>
        <w:t>[S]entencia, especialmente en la valoración de los  aspectos  cubiertos  por</w:t>
        <w:br/>
        <w:t>las reparaciones otorgadas a nivel interno y  la  consecuente  determinación</w:t>
        <w:br/>
        <w:t>de quienes y por cuales conceptos están facultados para acudir al  mecanismo</w:t>
        <w:br/>
        <w:t>establecido en el [párrafo] 337 de la  [S]entencia,  no  se  distinguen  con</w:t>
        <w:br/>
        <w:t>claridad estos elementos de las reparaciones pecuniarias del  derecho  a  la</w:t>
        <w:br/>
        <w:t>vida a la luz de la jurisprudencia constante de  la  Corte  lnteramericana”.</w:t>
        <w:br/>
        <w:t>En este sentido, “y dado que en  anteriores  oportunidades  la  Corte  había</w:t>
        <w:br/>
        <w:t>tenido una aproximación distinta en situaciones similares […]”, la  Comisión</w:t>
        <w:br/>
        <w:t>consideró procedente  la  solicitud  de  interpretación  efectuada  por  los</w:t>
        <w:br/>
        <w:t>representantes.</w:t>
        <w:br/>
        <w:br/>
        <w:br/>
        <w:t>El Estado manifestó  que  la  solicitud  era  improcedente  puesto  que  “se</w:t>
        <w:br/>
        <w:t>pretendía controvertir el fallo proferido por la Corte y  […]  ampl[iar]  su</w:t>
        <w:br/>
        <w:t>espectro en  relación  con  las  medidas  indemnizatorias  otorgadas  y  las</w:t>
        <w:br/>
        <w:t>personas  que  serían  beneficiarios  de  las  mismas”.  Agregó  que   tales</w:t>
        <w:br/>
        <w:t>cuestiones  “escapan  del  ámbito  de  regulación  del  artículo  67  de  la</w:t>
        <w:br/>
        <w:t>Convención Americana, pues conducirían a la modificación de  la  [S]entencia</w:t>
        <w:br/>
        <w:t>previamente proferida”. Asimismo, señaló que los representantes  no  estaban</w:t>
        <w:br/>
        <w:t>planteando un problema de interpretación y, por el contrario,  se  limitaron</w:t>
        <w:br/>
        <w:t>a  controvertir  cuestiones  sustanciales  atinentes  a  la  Sentencia.  Por</w:t>
        <w:br/>
        <w:t>último, el Estado consideró que el mecanismo indemnizatorio del párrafo  337</w:t>
        <w:br/>
        <w:t>de la Sentencia “fue dispuesto expresamente por la Corte para  las  víctimas</w:t>
        <w:br/>
        <w:t>heridas y sus familiares, que siendo identificados como parte  lesionada  en</w:t>
        <w:br/>
        <w:t>el  curso  del  proceso  de  la  referencia,  no  agotaron  el   contencioso</w:t>
        <w:br/>
        <w:t>administrativo, y  para  5  familiares  de  dos  víctimas  mortales  que  se</w:t>
        <w:br/>
        <w:t>encuentran reconocidos como parte lesionada y no fueron  reparados  a  nivel</w:t>
        <w:br/>
        <w:t>interno. En consecuencia, no  [podía]  hacerse  extensivo  a  los  "derecho-</w:t>
        <w:br/>
        <w:t>habientes" de las 16 víctimas mortales que ya fueron indemnizados de  manera</w:t>
        <w:br/>
        <w:t>satisfactoria en el derecho interno según la apreciación de la Corte”.</w:t>
        <w:br/>
        <w:br/>
        <w:br/>
        <w:br/>
        <w:br/>
        <w:br/>
        <w:br/>
        <w:t xml:space="preserve">       Consideraciones de la Corte</w:t>
        <w:br/>
        <w:br/>
        <w:br/>
        <w:t>La Corte recuerda que en la  Sentencia,  con  relación  a  las  reparaciones</w:t>
        <w:br/>
        <w:t>otorgadas a nivel interno respecto de la muerte de las personas  que  fueron</w:t>
        <w:br/>
        <w:t>declaradas víctimas de la violación del derecho a la vida,  fue  considerado</w:t>
        <w:br/>
        <w:t>lo siguiente:</w:t>
        <w:br/>
        <w:br/>
        <w:br/>
        <w:t xml:space="preserve">    “334.  […] el Tribunal constata que  los  familiares  de  las  víctimas</w:t>
        <w:br/>
        <w:t xml:space="preserve">    fallecidas  fueron  reparados  por  medio   del   proceso   contencioso</w:t>
        <w:br/>
        <w:t xml:space="preserve">    administrativo colombiano […]. Así, 107 familiares  de  16  de  las  17</w:t>
        <w:br/>
        <w:t xml:space="preserve">    víctimas fallecidas han recibido indemnizaciones en la vía  contencioso</w:t>
        <w:br/>
        <w:t xml:space="preserve">    administrativa[6]. Estos familiares obtuvieron una reparación luego  de</w:t>
        <w:br/>
        <w:t xml:space="preserve">    haber celebrado una conciliación con  el  Ministerio  de  Defensa,  que</w:t>
        <w:br/>
        <w:t xml:space="preserve">    fuera homologada por el Consejo de Estado[7]. […]</w:t>
        <w:br/>
        <w:br/>
        <w:br/>
        <w:t xml:space="preserve">    336.   En atención a que los tribunales contenciosos han fijado</w:t>
        <w:br/>
        <w:t xml:space="preserve">    reparaciones en este caso, con base en lo que las víctimas solicitaron</w:t>
        <w:br/>
        <w:t xml:space="preserve">    e incluso conciliaron, de conformidad con el principio de</w:t>
        <w:br/>
        <w:t xml:space="preserve">    complementariedad la Corte estima que no corresponde ordenar</w:t>
        <w:br/>
        <w:t xml:space="preserve">    reparaciones pecuniarias adicionales, sea por daño material o</w:t>
        <w:br/>
        <w:t xml:space="preserve">    inmaterial, a favor de los familiares de las víctimas fallecidas, ni de</w:t>
        <w:br/>
        <w:t xml:space="preserve">    las personas heridas en los hechos, que ya han sido indemnizados en el</w:t>
        <w:br/>
        <w:t xml:space="preserve">    fuero interno”[8].</w:t>
        <w:br/>
        <w:br/>
        <w:br/>
        <w:t>Por  otro  lado,  en  el  párrafo  337  de  la  Sentencia  efectivamente  se</w:t>
        <w:br/>
        <w:t>estableció un mecanismo para que  determinadas  víctimas  puedan  recibir  a</w:t>
        <w:br/>
        <w:t>nivel interno, en forma expedita y directa  y  si  les  correspondiere,  las</w:t>
        <w:br/>
        <w:t>indemnizaciones  o  compensaciones  por  concepto  de  daños  materiales   e</w:t>
        <w:br/>
        <w:t>inmateriales. Dicho párrafo señala:</w:t>
        <w:br/>
        <w:br/>
        <w:br/>
        <w:t xml:space="preserve">    “Por otro lado, corresponde determinar la  situación  de  las  víctimas</w:t>
        <w:br/>
        <w:t xml:space="preserve">    heridas (supra párr. 335), así como de 5  familiares  de  dos  víctimas</w:t>
        <w:br/>
        <w:t xml:space="preserve">    fallecidas[9]  y  los  familiares  de  las  víctimas  heridas,  que  no</w:t>
        <w:br/>
        <w:t xml:space="preserve">    acudieron a la vía  contencioso  administrativa  a  nivel  interno.  Al</w:t>
        <w:br/>
        <w:t xml:space="preserve">    respecto, la Corte estima que el Estado debe otorgar y ejecutar, en  el</w:t>
        <w:br/>
        <w:t xml:space="preserve">    plazo de un año y a  través  de  un  mecanismo  interno  expedito,  las</w:t>
        <w:br/>
        <w:t xml:space="preserve">    indemnizaciones y compensaciones  pertinentes  por  concepto  de  daños</w:t>
        <w:br/>
        <w:t xml:space="preserve">    materiales e inmateriales, si les correspondiere,  las  cuales  deberán</w:t>
        <w:br/>
        <w:t xml:space="preserve">    fijarse con base en los criterios objetivos, razonables y efectivos  de</w:t>
        <w:br/>
        <w:t xml:space="preserve">    la jurisdicción contencioso administrativa colombiana.  Los  familiares</w:t>
        <w:br/>
        <w:t xml:space="preserve">    de víctimas que consideren que son beneficiarios  de  lo  dispuesto  en</w:t>
        <w:br/>
        <w:t xml:space="preserve">    este  párrafo  deben  presentarse  ante   las   autoridades   estatales</w:t>
        <w:br/>
        <w:t xml:space="preserve">    correspondientes a más tardar en el plazo de 3 meses, contado a  partir</w:t>
        <w:br/>
        <w:t xml:space="preserve">    de la notificación de esta Sentencia”[10].</w:t>
        <w:br/>
        <w:br/>
        <w:br/>
        <w:t>Así, el párrafo 337 de la Sentencia fijó un mecanismo para que  tres  grupos</w:t>
        <w:br/>
        <w:t>de  víctimas  puedan   reclamar   en   forma   expedita   las   reparaciones</w:t>
        <w:br/>
        <w:t>correspondientes: i) las víctimas heridas; ii) 5 familiares de dos  víctimas</w:t>
        <w:br/>
        <w:t>fallecidas, y iii) los familiares de las  víctimas  heridas.  Es  decir,  es</w:t>
        <w:br/>
        <w:t>claro que los derecho-habientes  de  las  16  víctimas  de  violaciones  del</w:t>
        <w:br/>
        <w:t>derecho a la vida no  se  encuentran  incluidos  dentro  de  las  categorías</w:t>
        <w:br/>
        <w:t>señaladas que configuran los presupuestos para acudir al  mecanismo  interno</w:t>
        <w:br/>
        <w:t>previsto en el mencionado párrafo 337.</w:t>
        <w:br/>
        <w:br/>
        <w:br/>
        <w:t>El Tribunal recuerda que, antes de que el presente caso fuera sometido a  su</w:t>
        <w:br/>
        <w:t>conocimiento,  los  tribunales  contenciosos  internos  ya   habían   fijado</w:t>
        <w:br/>
        <w:t>indemnizaciones a favor de los familiares de las víctimas fallecidas en  los</w:t>
        <w:br/>
        <w:t>hechos, con base en lo que aquellos solicitaron e incluso conciliaron,  como</w:t>
        <w:br/>
        <w:t>reparación por varios aspectos de los daños materiales  y  morales  sufridos</w:t>
        <w:br/>
        <w:t>por dichos familiares en relación con la muerte de  sus  parientes.  De  tal</w:t>
        <w:br/>
        <w:t>manera, y según lo señalado en el párrafo 336  de  la  Sentencia,  la  Corte</w:t>
        <w:br/>
        <w:t>estimó que,  de  conformidad  con  el  principio  de  complementariedad,  no</w:t>
        <w:br/>
        <w:t>correspondía ordenar reparaciones  pecuniarias  adicionales,  sea  por  daño</w:t>
        <w:br/>
        <w:t>material o inmaterial,  a  favor  de  quienes  tuvieron  la  posibilidad  de</w:t>
        <w:br/>
        <w:t>plantear sus reclamos y ya habían sido reparadas a nivel interno.</w:t>
        <w:br/>
        <w:br/>
        <w:br/>
        <w:t>Asimismo, en otros casos que involucran violaciones del derecho a  la  vida,</w:t>
        <w:br/>
        <w:t>ciertamente el Tribunal ha dispuesto  reparaciones  de  carácter  pecuniario</w:t>
        <w:br/>
        <w:t>respecto de determinados aspectos del daño  material  o  inmaterial  sufrido</w:t>
        <w:br/>
        <w:t>por la víctima directamente afectada por los hechos del caso.  Como  ejemplo</w:t>
        <w:br/>
        <w:t>de esto puede mencionarse el daño moral sufrido directamente por la  persona</w:t>
        <w:br/>
        <w:t>fallecida, cuyo monto de reparación es recibido por  sus  derecho-habientes.</w:t>
        <w:br/>
        <w:t>Sin embargo,  este  Tribunal  ha  considerado  que,  si  existen  mecanismos</w:t>
        <w:br/>
        <w:t>nacionales para determinar formas  de  reparación,  tales  procedimientos  y</w:t>
        <w:br/>
        <w:t>resultados pueden ser valorados y que, cuando esos mecanismos no  satisfacen</w:t>
        <w:br/>
        <w:t>criterios  de  objetividad,  razonabilidad  y   efectividad   para   reparar</w:t>
        <w:br/>
        <w:t>adecuadamente las violaciones de derechos reconocidos en la  Convención,  el</w:t>
        <w:br/>
        <w:t>Tribunal   puede,   en   ejercicio   de   su   competencia   subsidiaria   y</w:t>
        <w:br/>
        <w:t>complementaria, disponer medidas pertinentes de reparación[11]. Esto  es  un</w:t>
        <w:br/>
        <w:t>asunto que corresponde ser discutido y dilucidado,  en  cada  caso,  durante</w:t>
        <w:br/>
        <w:t>las etapas de fondo o reparaciones, según lo que hayan planteado  claramente</w:t>
        <w:br/>
        <w:t>las partes.</w:t>
        <w:br/>
        <w:br/>
        <w:br/>
        <w:t>Por consiguiente, no corresponde a la Corte volver a  valorar,  por  vía  de</w:t>
        <w:br/>
        <w:t>interpretación de sentencia, la idoneidad de los  mecanismos  internos  para</w:t>
        <w:br/>
        <w:t>reparar adecuadamente las violaciones de derechos declaradas, menos  aún  si</w:t>
        <w:br/>
        <w:t>el asunto no fue expuesto claramente por los representantes o, en  su  caso,</w:t>
        <w:br/>
        <w:t>por la Comisión en los momentos procesales oportunos durante las  etapas  de</w:t>
        <w:br/>
        <w:t>fondo y reparaciones. Por tanto,  en  relación  con  lo  planteado  por  los</w:t>
        <w:br/>
        <w:t>representantes, no corresponde considerar a los derechohabientes de  las  16</w:t>
        <w:br/>
        <w:t>víctimas que fallecieron en el mecanismo previsto en el párrafo  337  de  la</w:t>
        <w:br/>
        <w:t>Sentencia.</w:t>
        <w:br/>
        <w:br/>
        <w:br/>
        <w:t>En  consecuencia,  la  Corte  constata  que  acceder  afirmativamente  a  la</w:t>
        <w:br/>
        <w:t>interpretación planteada por los representantes supondría la modificación  o</w:t>
        <w:br/>
        <w:t>ampliación de lo resuelto en el fallo, posibilidad  que  no  existe  en  los</w:t>
        <w:br/>
        <w:t>términos de los artículos 67 de la Convención Americana  y  31.3  y  68  del</w:t>
        <w:br/>
        <w:t>Reglamento del Tribunal.  Por  tanto,  la  solicitud  de  interpretación  es</w:t>
        <w:br/>
        <w:t>improcedente en cuanto a este aspecto.</w:t>
        <w:br/>
        <w:br/>
        <w:br/>
        <w:br/>
        <w:br/>
        <w:br/>
        <w:br/>
        <w:br/>
        <w:br/>
        <w:t>B. Segunda pregunta: ¿Pueden acudir las víctimas de violación al derecho a</w:t>
        <w:br/>
        <w:t xml:space="preserve">   la propiedad al mecanismo de indemnización previsto en el párrafo 337 de</w:t>
        <w:br/>
        <w:t xml:space="preserve">   la Sentencia?</w:t>
        <w:br/>
        <w:br/>
        <w:br/>
        <w:br/>
        <w:br/>
        <w:br/>
        <w:t xml:space="preserve">       Argumentos de los representantes y observaciones de la Comisión y el</w:t>
        <w:br/>
        <w:t xml:space="preserve">       Estado</w:t>
        <w:br/>
        <w:br/>
        <w:br/>
        <w:t>En  relación  con  lo  planteado  anteriormente  (supra   párr.   14),   los</w:t>
        <w:br/>
        <w:t>representantes  señalaron  que  las  cinco  víctimas[12]  de  afectación  al</w:t>
        <w:br/>
        <w:t>derecho a la propiedad no recibieron indemnizaciones a nivel interno  y  que</w:t>
        <w:br/>
        <w:t>algunos  de  ellos   no   recibieron   indemnizaciones   por   ningún   otro</w:t>
        <w:br/>
        <w:t>concepto[13]. Es por ello que solicitaron a la  Corte  que  aclare  si  esas</w:t>
        <w:br/>
        <w:t>cinco víctimas pueden acudir al mecanismo de indemnización  previsto  en  el</w:t>
        <w:br/>
        <w:t>párrafo 337 de la Sentencia.</w:t>
        <w:br/>
        <w:br/>
        <w:br/>
        <w:t>La Comisión señaló que  las  consideraciones  de  la  Corte  sobre  el  daño</w:t>
        <w:br/>
        <w:t>material e inmaterial “efectivamente parecen  circunscribir  su  análisis  a</w:t>
        <w:br/>
        <w:t>las víctimas y los  familiares  de  las  víctimas  de  las  violaciones  del</w:t>
        <w:br/>
        <w:t>derecho a la vida y a la integridad personal, sin  que  se  haga  referencia</w:t>
        <w:br/>
        <w:t>explícita a la indemnización por daño material o inmaterial del cual  serían</w:t>
        <w:br/>
        <w:t>beneficiarias algunas de estas mismas personas pero en calidad  de  víctimas</w:t>
        <w:br/>
        <w:t>de otras violaciones declaradas en la [S]entencia, como las  del  derecho  a</w:t>
        <w:br/>
        <w:t>la propiedad o a la  libertad  de  circulación  y  residencia  derivada  del</w:t>
        <w:br/>
        <w:t>desplazamiento”. Así, al considerar que la  determinación  de  las  personas</w:t>
        <w:br/>
        <w:t>que ya obtuvieron reparación o que no  la  han  obtenido  pareciera  basarse</w:t>
        <w:br/>
        <w:t>únicamente en las reparaciones obtenidas internamente  por  las  violaciones</w:t>
        <w:br/>
        <w:t>del derecho a la vida y a la  integridad  personal,  la  Comisión  manifestó</w:t>
        <w:br/>
        <w:t>que, “[d]el análisis efectuado en los  párrafos  334  -  338,  no  resultaba</w:t>
        <w:br/>
        <w:t>claro si la […] Corte entendió que las  reparaciones  pecuniarias  otorgadas</w:t>
        <w:br/>
        <w:t>internamente fueron suficientes para reparar  también  el  daño  material  e</w:t>
        <w:br/>
        <w:t>inmaterial derivado de las otras violaciones declaradas  en  la  [S]entencia</w:t>
        <w:br/>
        <w:t>en perjuicio de  algunas  de  estas  mismas  personas,  como  se  dijo,  las</w:t>
        <w:br/>
        <w:t>violaciones a la propiedad y a la libertad de circulación y residencia”.</w:t>
        <w:br/>
        <w:br/>
        <w:br/>
        <w:t>El Estado indicó que “la solicitud de la  referencia  pretende  controvertir</w:t>
        <w:br/>
        <w:t>el fallo previamente proferido  por  la  Corte  lnteramericana.  Cuando  los</w:t>
        <w:br/>
        <w:t>peticionarios alegan  que  no  se  otorgó  una  indemnización  frente  a  la</w:t>
        <w:br/>
        <w:t>vulneración  del  derecho  de  propiedad,  no  plantean   un   problema   de</w:t>
        <w:br/>
        <w:t>interpretación. Esto, en razón a que alegan la  existencia  de  un  supuesto</w:t>
        <w:br/>
        <w:t>error en la decisión y pretenden que el mismo sea  enmendado  de  acuerdo  a</w:t>
        <w:br/>
        <w:t>sus propios razonamientos”. Además, el  Estado  reiteró  que  “el  mecanismo</w:t>
        <w:br/>
        <w:t>contemplado en el párrafo 337 de la [S]entencia fue consagrado  expresamente</w:t>
        <w:br/>
        <w:t>por la Corte […] en relación con las violaciones declaradas a  los  derechos</w:t>
        <w:br/>
        <w:t>a la vida y a la integridad, respecto del grupo de personas incluidas en  su</w:t>
        <w:br/>
        <w:t>redacción” y que por tanto  “no  puede  hacerse  extensiva  a  la  violación</w:t>
        <w:br/>
        <w:t>declarada del derecho de propiedad”.</w:t>
        <w:br/>
        <w:br/>
        <w:br/>
        <w:br/>
        <w:br/>
        <w:br/>
        <w:t xml:space="preserve">       Consideraciones de la Corte</w:t>
        <w:br/>
        <w:br/>
        <w:br/>
        <w:t>En relación con  este  punto,  el  Tribunal  observa  que  efectivamente  la</w:t>
        <w:br/>
        <w:t>Sentencia señala en el párrafo 282 que:</w:t>
        <w:br/>
        <w:br/>
        <w:br/>
        <w:t xml:space="preserve">    “como resultaba claro que los daños producidos por  el  lanzamiento  de</w:t>
        <w:br/>
        <w:t xml:space="preserve">    una bomba de racimo en Santo Domingo son imputables a la  Fuerza  Aérea</w:t>
        <w:br/>
        <w:t xml:space="preserve">    Colombiana, la Corte considera que el  Estado  es  responsable  por  la</w:t>
        <w:br/>
        <w:t xml:space="preserve">    violación del artículo 21 de la Convención  en  relación  con  1.1  del</w:t>
        <w:br/>
        <w:t xml:space="preserve">    mismo instrumento,  en  perjuicio  de  los  dueños  de  las  tiendas  y</w:t>
        <w:br/>
        <w:t xml:space="preserve">    viviendas afectadas, a saber Mario Galvis, Víctor  Palomino,  Margarita</w:t>
        <w:br/>
        <w:t xml:space="preserve">    Tilano, María Cenobia Panqueva y Olimpo Cárdenas”[14].</w:t>
        <w:br/>
        <w:br/>
        <w:br/>
        <w:t>Por otra parte, en lo que se refiere al párrafo  337  de  la  Sentencia,  la</w:t>
        <w:br/>
        <w:t>Corte constata que las víctimas de violaciones al  derecho  de  propiedad  –</w:t>
        <w:br/>
        <w:t>con excepción de María Cenobia Panqueva que  podría  acudir  en  calidad  de</w:t>
        <w:br/>
        <w:t>víctima herida – no se encuentran incluidas dentro de  alguno  de  los  tres</w:t>
        <w:br/>
        <w:t>grupos de víctimas que configuran  presupuestos  para  acudir  al  mecanismo</w:t>
        <w:br/>
        <w:t>interno allí establecido (supra párr. 19).</w:t>
        <w:br/>
        <w:br/>
        <w:br/>
        <w:t>Según surge del expediente de prueba, Mario Galvis, Víctor  Palomino,  María</w:t>
        <w:br/>
        <w:t>Cenobia  Panqueva,  Margarita  Tilano  Yanez  (esposa  de  Olimpo   Cárdenas</w:t>
        <w:br/>
        <w:t>Castañeda,  también  declarado  víctima  de  una  violación  al  derecho  de</w:t>
        <w:br/>
        <w:t>propiedad  en  la  sentencia)  acudieron  a  la   jurisdicción   contenciosa</w:t>
        <w:br/>
        <w:t>administrativa y solicitaron que se les  reparara  por  las  violaciones  al</w:t>
        <w:br/>
        <w:t>derecho de propiedad que sufrieron como consecuencia de los hechos de 13  de</w:t>
        <w:br/>
        <w:t>diciembre  de  1997.  Sin  embargo,  no  les  fue  otorgada  una  reparación</w:t>
        <w:br/>
        <w:t>pecuniaria  en  esa  vía   contencioso   administrativa[15].   Además,   los</w:t>
        <w:br/>
        <w:t>representantes no presentaron solicitudes de indemnización ante la Corte  en</w:t>
        <w:br/>
        <w:t>relación con la violación del derecho de propiedad a favor de dos de  dichas</w:t>
        <w:br/>
        <w:t>víctimas[16]. Es decir, los tribunales contencioso  administrativo  internos</w:t>
        <w:br/>
        <w:t>ya habían atendido reclamaciones de esas personas relativas a  daños  a  sus</w:t>
        <w:br/>
        <w:t>propiedades y tomaron una decisión al respecto.</w:t>
        <w:br/>
        <w:br/>
        <w:br/>
        <w:t>En consecuencia, por  no  corresponder  a  la  Corte  volver  a  valorar  la</w:t>
        <w:br/>
        <w:t>idoneidad  de  los  mecanismos  internos  para  reparar  adecuadamente   las</w:t>
        <w:br/>
        <w:t>violaciones de  derechos  declaradas,  la  solicitud  de  interpretación  es</w:t>
        <w:br/>
        <w:t>improcedente en cuanto a este aspecto, pues  acceder  afirmativamente  a  la</w:t>
        <w:br/>
        <w:t>interpretación planteada por los representantes supondría la modificación  o</w:t>
        <w:br/>
        <w:t>ampliación de lo resuelto en el fallo, posibilidad  que  no  existe  en  los</w:t>
        <w:br/>
        <w:t>términos de los artículos 67 de la Convención Americana  y  31.3  y  68  del</w:t>
        <w:br/>
        <w:t>Reglamento del Tribunal.</w:t>
        <w:br/>
        <w:br/>
        <w:br/>
        <w:br/>
        <w:br/>
        <w:br/>
        <w:br/>
        <w:br/>
        <w:br/>
        <w:br/>
        <w:br/>
        <w:br/>
        <w:t>C. Tercera y cuarta preguntas respecto de las 27 víctimas de desplazamiento</w:t>
        <w:br/>
        <w:t xml:space="preserve">   forzado</w:t>
        <w:br/>
        <w:br/>
        <w:br/>
        <w:br/>
        <w:br/>
        <w:br/>
        <w:t xml:space="preserve">      Argumentos de los representantes y observaciones de la Comisión  y  el</w:t>
        <w:br/>
        <w:t>Estado</w:t>
        <w:br/>
        <w:br/>
        <w:br/>
        <w:t>Los representantes señalaron que “ninguna de las víctimas del presente  caso</w:t>
        <w:br/>
        <w:t>fue indemnizada por el desplazamiento forzado sufrido”. De ese modo,  alegan</w:t>
        <w:br/>
        <w:t>que “si bien la Corte reconoce a un grupo  de  [esas]  víctimas  como  parte</w:t>
        <w:br/>
        <w:t>lesionada,   no   atribuye   ninguna   consecuencia    jurídica    a    este</w:t>
        <w:br/>
        <w:t>reconocimiento”, por lo que debe  aclararse  “cuáles  son  las  reparaciones</w:t>
        <w:br/>
        <w:t>debidas a las víctimas de desplazamiento forzado que la Corte  individualiza</w:t>
        <w:br/>
        <w:t>como  las  personas  heridas  y  sus  familiares”.  En  tal   sentido,   los</w:t>
        <w:br/>
        <w:t>representantes preguntaron si las  27  víctimas  de  desplazamiento  forzado</w:t>
        <w:br/>
        <w:t>reconocidas en el párrafo 268 de la Sentencia pueden acudir al mecanismo  de</w:t>
        <w:br/>
        <w:t>indemnización previsto en el párrafo 337 de la misma por este concepto.</w:t>
        <w:br/>
        <w:br/>
        <w:br/>
        <w:t>Además, en opinión de los representantes, “tanto en el párrafo 266  como  en</w:t>
        <w:br/>
        <w:t>el  párrafo  338  de  la  Sentencia  se  reitera   que   las   víctimas   de</w:t>
        <w:br/>
        <w:t>desplazamiento forzado  que  no  acudieron  o  no  fueron  reconocidas  como</w:t>
        <w:br/>
        <w:t>víctimas en el procedimiento ante  la  Corte  Interamericana,  pueden  hacer</w:t>
        <w:br/>
        <w:t>reclamaciones  a  nivel  interno  por   este   concepto”[17].   Por   tanto,</w:t>
        <w:br/>
        <w:t>solicitaron a la Corte que aclare si las víctimas de desplazamiento  forzado</w:t>
        <w:br/>
        <w:t>podrían  demandar  administrativamente  al  Estado   por   los   hechos   de</w:t>
        <w:br/>
        <w:t>desplazamiento forzado o acudir a ley 288 de 1996[18].</w:t>
        <w:br/>
        <w:br/>
        <w:br/>
        <w:t>La Comisión no  presentó  observaciones  específicas  o  adicionales  a  las</w:t>
        <w:br/>
        <w:t>formuladas anteriormente.</w:t>
        <w:br/>
        <w:br/>
        <w:br/>
        <w:t>El Estado consideró que la  solicitud  de  los  representantes  pretende  la</w:t>
        <w:br/>
        <w:t>impugnación de la Sentencia y que la  misma  “expone  la  existencia  de  un</w:t>
        <w:br/>
        <w:t>supuesto error en la decisión, con la subsecuente  pretensión  de  que  sean</w:t>
        <w:br/>
        <w:t>reconocidas  indemnizaciones  adicionales”,  por  lo  que  sus   alegaciones</w:t>
        <w:br/>
        <w:t>resultan manifiestamente improcedentes. El Estado reiteró  que  el  universo</w:t>
        <w:br/>
        <w:t>de víctimas legitimadas para pretender las indemnizaciones dispuestas en  el</w:t>
        <w:br/>
        <w:t>párrafo 337 está claramente dispuesto en dicho texto, por lo  que  cualquier</w:t>
        <w:br/>
        <w:t>ampliación a víctimas del  artículo  22  de  la  Convención  implicaría  una</w:t>
        <w:br/>
        <w:t>modificación de la Sentencia y, por lo tanto, contravendría el  alcance  del</w:t>
        <w:br/>
        <w:t>artículo 67 de la Convención.</w:t>
        <w:br/>
        <w:br/>
        <w:br/>
        <w:t>Además, el Estado consideró que “las presuntas  víctimas  de  desplazamiento</w:t>
        <w:br/>
        <w:t>que no fueron reconocidas como parte lesionada en el proceso de  referencia,</w:t>
        <w:br/>
        <w:t>no se encuentran facultadas para acceder  al  mecanismo  contemplado  en  el</w:t>
        <w:br/>
        <w:t>párrafo 337 de la [S]entencia”, ni podrían beneficiarse de  la  Ley  288  de</w:t>
        <w:br/>
        <w:t>1996 pues no fueron identificadas en el proceso ante la  Corte.  A  su  vez,</w:t>
        <w:br/>
        <w:t>indicó que, de conformidad con lo establecido en los párrafos 294 y  338  de</w:t>
        <w:br/>
        <w:t>la Sentencia, resulta posible que las presuntas víctimas  de  desplazamiento</w:t>
        <w:br/>
        <w:t>que no fueron reconocidas en el curso del proceso hagan uso  de  los  medios</w:t>
        <w:br/>
        <w:t>judiciales o administrativos  nacionales  para  obtener  una  indemnización,</w:t>
        <w:br/>
        <w:t>siempre y cuando se cumplan los presupuestos dispuestos en  el  ordenamiento</w:t>
        <w:br/>
        <w:t>jurídico colombiano para acceder a ella y, puesto  que  “lo  estipulado  […]</w:t>
        <w:br/>
        <w:t>recae sobre personas a las que la Corte no individualizó como  víctimas,  es</w:t>
        <w:br/>
        <w:t>necesario que ellas acrediten  tal  calidad”.  Del  mismo  modo,  señaló  el</w:t>
        <w:br/>
        <w:t>Estado que los párrafos de la Sentencia citados “no  establecen  excepciones</w:t>
        <w:br/>
        <w:t>respecto del agotamiento de  los  procedimientos,  el  cumplimiento  de  los</w:t>
        <w:br/>
        <w:t>requerimientos probatorios y la observancia de los  plazos  contemplados  en</w:t>
        <w:br/>
        <w:t>el ordenamiento jurídico colombiano para  obtener  una  reparación  por  vía</w:t>
        <w:br/>
        <w:t>judicial o administrativa”.</w:t>
        <w:br/>
        <w:br/>
        <w:br/>
        <w:br/>
        <w:br/>
        <w:br/>
        <w:t xml:space="preserve">      Consideraciones de la Corte</w:t>
        <w:br/>
        <w:br/>
        <w:br/>
        <w:t>En relación  con  las  personas  desplazadas,  la  Sentencia  estableció  lo</w:t>
        <w:br/>
        <w:t>siguiente:</w:t>
        <w:br/>
        <w:br/>
        <w:br/>
        <w:t xml:space="preserve">    265.   […] el Tribunal nota que si bien los representantes alegaron la</w:t>
        <w:br/>
        <w:t xml:space="preserve">    violación del artículo 22 respecto de todos los habitantes de Santo</w:t>
        <w:br/>
        <w:t xml:space="preserve">    Domingo, también es cierto que la Comisión solo identificó e</w:t>
        <w:br/>
        <w:t xml:space="preserve">    individualizó como presuntas víctimas a las personas heridas del</w:t>
        <w:br/>
        <w:t xml:space="preserve">    bombardeo con el dispositivo cluster. A su vez, el Tribunal constata</w:t>
        <w:br/>
        <w:t xml:space="preserve">    que, en el marco de este proceso contencioso, los representantes y la</w:t>
        <w:br/>
        <w:t xml:space="preserve">    Comisión hicieron referencia a 200 o 300 personas desplazadas sin que</w:t>
        <w:br/>
        <w:t xml:space="preserve">    fueran individualizadas.</w:t>
        <w:br/>
        <w:br/>
        <w:br/>
        <w:t xml:space="preserve">    266.   Con relación a lo anterior, la Corte observa que la falta de</w:t>
        <w:br/>
        <w:t xml:space="preserve">    identificación de todas las personas que fueron desplazadas obedece en</w:t>
        <w:br/>
        <w:t xml:space="preserve">    parte a las circunstancias mismas en que se produjeron los hechos del</w:t>
        <w:br/>
        <w:t xml:space="preserve">    caso y al profundo temor que han experimentado los pobladores del</w:t>
        <w:br/>
        <w:t xml:space="preserve">    caserío de Santo Domingo (supra párr. 243). Lo anterior impide saber</w:t>
        <w:br/>
        <w:t xml:space="preserve">    con certeza cuántas personas se vieron desplazadas en este caso. Tal y</w:t>
        <w:br/>
        <w:t xml:space="preserve">    como lo ha señalado anteriormente[19], la Corte no deja de advertir que</w:t>
        <w:br/>
        <w:t xml:space="preserve">    muchos otros pobladores enfrentaron dicha situación, pero no fueron</w:t>
        <w:br/>
        <w:t xml:space="preserve">    individualizados por la Comisión ni por los representantes, por lo que</w:t>
        <w:br/>
        <w:t xml:space="preserve">    puede evaluar esta situación únicamente respecto de quienes hayan sido</w:t>
        <w:br/>
        <w:t xml:space="preserve">    identificados en este proceso como víctimas heridas, sin perjuicio de</w:t>
        <w:br/>
        <w:t xml:space="preserve">    las medidas que corresponda al Estado adoptar a nivel interno respecto</w:t>
        <w:br/>
        <w:t xml:space="preserve">    de otras personas desplazadas.</w:t>
        <w:br/>
        <w:br/>
        <w:br/>
        <w:t xml:space="preserve">    267.   En conclusión, efectivamente las personas sobrevivientes de los</w:t>
        <w:br/>
        <w:t xml:space="preserve">    hechos ocurridos en Santo Domingo los días 13 y 14 de diciembre de 1998</w:t>
        <w:br/>
        <w:t xml:space="preserve">    se vieron forzadas a salir de sus lugares de residencia habitual hasta</w:t>
        <w:br/>
        <w:t xml:space="preserve">    enero de 1999 aproximadamente. En este sentido, este Tribunal observa</w:t>
        <w:br/>
        <w:t xml:space="preserve">    que la situación de desplazamiento forzado interno que enfrentaron las</w:t>
        <w:br/>
        <w:t xml:space="preserve">    víctimas que resultaron heridas y sus familiares fue consecuencia de la</w:t>
        <w:br/>
        <w:t xml:space="preserve">    explosión del dispositivo cluster en el caserío de Santo Domingo […],</w:t>
        <w:br/>
        <w:t xml:space="preserve">    aunado al miedo y a las afectaciones psicológicas que les generaron los</w:t>
        <w:br/>
        <w:t xml:space="preserve">    enfrentamientos cercanos, así como los ametrallamientos […].</w:t>
        <w:br/>
        <w:br/>
        <w:br/>
        <w:t xml:space="preserve">    268.   El Estado es responsable de la violación del artículo 22.1 de la</w:t>
        <w:br/>
        <w:t xml:space="preserve">    Convención, en relación con los artículos 5.1 y 1.1 de la misma,</w:t>
        <w:br/>
        <w:t xml:space="preserve">    respecto de Edwin Fernando Vanegas Tulibila; Milciades Bonilla Ostos;</w:t>
        <w:br/>
        <w:t xml:space="preserve">    Ludwing Vanegas; Gleydis Xiomara García Guevara; Mario Galvis Gelves;</w:t>
        <w:br/>
        <w:t xml:space="preserve">    Fredy Monoga Villamizar (o Fredy Villamizar Monoga); Mónica Bello</w:t>
        <w:br/>
        <w:t xml:space="preserve">    Tilano; Maribel Daza Rojas; Amalio Neite González; Marian Arévalo; José</w:t>
        <w:br/>
        <w:t xml:space="preserve">    Agudelo Tamayo; María Cenobia Panqueva; Pedro Uriel Duarte Lagos; Ludo</w:t>
        <w:br/>
        <w:t xml:space="preserve">    Vanegas; Adela Carrillo; Alcides Bonilla; Fredy Mora. También los</w:t>
        <w:br/>
        <w:t xml:space="preserve">    menores Alba Yaneth García Guevara; Marcos Aurelio Neite Méndez;</w:t>
        <w:br/>
        <w:t xml:space="preserve">    Erinson Olimpo Cárdenas; Hilda Yuraime Barranco; Ricardo Ramírez; Yeimi</w:t>
        <w:br/>
        <w:t xml:space="preserve">    Viviana Contreras; Maryori Agudelo Flórez; Rosmira Daza Rojas; Neftalí</w:t>
        <w:br/>
        <w:t xml:space="preserve">    Neite González y Lida Barranca”[20].</w:t>
        <w:br/>
        <w:br/>
        <w:br/>
        <w:t>En la Sentencia, el grupo constituido por las 27 víctimas heridas coincide</w:t>
        <w:br/>
        <w:t>con las 27 víctimas desplazadas. Como ya fuera señalado (supra párrs. 18 y</w:t>
        <w:br/>
        <w:t>19), la Corte estableció en el párrafo 337 de la Sentencia que las víctimas</w:t>
        <w:br/>
        <w:t>heridas podían acudir a un mecanismo interno de reparación para que se</w:t>
        <w:br/>
        <w:t>fijen las indemnizaciones y compensaciones pertinentes por concepto de</w:t>
        <w:br/>
        <w:t>daños materiales e inmateriales, si les correspondiere, las cuales deberán</w:t>
        <w:br/>
        <w:t>fijarse con base en los criterios objetivos, razonables y efectivos de la</w:t>
        <w:br/>
        <w:t>jurisdicción contencioso administrativa colombiana. Sin embargo, a pesar de</w:t>
        <w:br/>
        <w:t>la coincidencia de identidades entre los dos grupos de víctimas (heridas y</w:t>
        <w:br/>
        <w:t>desplazadas), el párrafo 337 de la Sentencia refiere a las personas heridas</w:t>
        <w:br/>
        <w:t>indicadas en el párrafo 335 de la misma, según el cual 11 de esas 27</w:t>
        <w:br/>
        <w:t>víctimas recibieron indemnizaciones en la vía contencioso administrativa</w:t>
        <w:br/>
        <w:t>colombiana (algunas de las cuales también recibieron indemnizaciones en</w:t>
        <w:br/>
        <w:t>tanto familiares de los fallecidos[21]); dos de esas víctimas que acudieron</w:t>
        <w:br/>
        <w:t>a la vía contencioso administrativa no fueron indemnizadas [22] y no consta</w:t>
        <w:br/>
        <w:t>si las 14 víctimas heridas restantes acudieron a dicha vía[23].</w:t>
        <w:br/>
        <w:br/>
        <w:br/>
        <w:t>De tal manera, el párrafo 337 establece la posibilidad para las víctimas</w:t>
        <w:br/>
        <w:t>heridas “que no acudieron a la vía contencioso administrativa a nivel</w:t>
        <w:br/>
        <w:t>interno” de solicitar las indemnizaciones y compensaciones pertinentes, si</w:t>
        <w:br/>
        <w:t>les correspondiere, únicamente por concepto de daños materiales e</w:t>
        <w:br/>
        <w:t>inmateriales ocasionados por haber resultado heridas en los hechos del caso</w:t>
        <w:br/>
        <w:t>y no por su condición de haber sido desplazados.</w:t>
        <w:br/>
        <w:br/>
        <w:br/>
        <w:t>En consecuencia, la  Corte  constata  que  una  respuesta  afirmativa  a  la</w:t>
        <w:br/>
        <w:t>pregunta de los representantes supondría la modificación o ampliación de  lo</w:t>
        <w:br/>
        <w:t>resuelto en el Fallo, sin que exista tal posibilidad en los términos de  los</w:t>
        <w:br/>
        <w:t>artículos 67 de la Convención Americana y  31.3  y  68  del  Reglamento  del</w:t>
        <w:br/>
        <w:t>Tribunal. Por lo tanto, la solicitud de interpretación resulta  improcedente</w:t>
        <w:br/>
        <w:t>en cuanto a este aspecto.</w:t>
        <w:br/>
        <w:br/>
        <w:br/>
        <w:t>Por otro lado, los representantes plantearon una segunda pregunta referida</w:t>
        <w:br/>
        <w:t>a otras personas que sufrieron desplazamiento y no fueron identificadas en</w:t>
        <w:br/>
        <w:t>el proceso ni declaradas víctimas o parte lesionada en la Sentencia. Al</w:t>
        <w:br/>
        <w:t>respecto, la Corte no dejó de advertir, según lo indicado en los párrafos</w:t>
        <w:br/>
        <w:t>265 y 266, que muchos otros pobladores de Santo Domingo fueron afectados</w:t>
        <w:br/>
        <w:t>por el desplazamiento y que la falta de identificación de todas esas</w:t>
        <w:br/>
        <w:t>personas obedecía, en parte, a las circunstancias mismas en que se</w:t>
        <w:br/>
        <w:t>produjeron los hechos del caso y al profundo temor que experimentaron, lo</w:t>
        <w:br/>
        <w:t>cual impidió saber con certeza cuántas personas se vieron desplazadas,</w:t>
        <w:br/>
        <w:t>además de no haber sido individualizados por la Comisión o por los</w:t>
        <w:br/>
        <w:t>representantes durante el proceso.</w:t>
        <w:br/>
        <w:br/>
        <w:br/>
        <w:t>Las víctimas de desplazamiento  forzado  y  sus  familiares,  tanto  quienes</w:t>
        <w:br/>
        <w:t>fueron  declarados  como  tales  en  Sentencia  como   quienes   no   fueron</w:t>
        <w:br/>
        <w:t>identificadas en el proceso,  ni  declaradas  víctimas  o  parte  lesionada,</w:t>
        <w:br/>
        <w:t>efectivamente podrían ser beneficiarias de otras medidas que  correspondería</w:t>
        <w:br/>
        <w:t>al Estado adoptar a nivel interno, en  el  marco  de  sus  propias  leyes  e</w:t>
        <w:br/>
        <w:t>instituciones, a favor de personas desplazadas, según  fue  indicado  en  el</w:t>
        <w:br/>
        <w:t>párrafo 266. De  conformidad  con  el  párrafo  338  de  la  Sentencia,  las</w:t>
        <w:br/>
        <w:t>determinaciones  de  la  Sentencia  no  precluyen  a   tales   víctimas   la</w:t>
        <w:br/>
        <w:t>posibilidad de presentar “acciones  que  pudiera  corresponderles  incoar  a</w:t>
        <w:br/>
        <w:t>nivel  interno”  en  relación  con   esos   hechos   y   su   situación   de</w:t>
        <w:br/>
        <w:t>desplazamiento.</w:t>
        <w:br/>
        <w:br/>
        <w:br/>
        <w:t>Sin embargo, no corresponde  a  esta  Corte  determinar  cuáles  serían  las</w:t>
        <w:br/>
        <w:t>disposiciones internas que pueden ser aplicables o  relevantes,  ni  indicar</w:t>
        <w:br/>
        <w:t>cuáles son las personas que se encuentran  legitimadas  para  acudir  a  las</w:t>
        <w:br/>
        <w:t>mismas. El párrafo 338 únicamente establece que, en caso de  corresponder  a</w:t>
        <w:br/>
        <w:t>esas personas incoar algún tipo de acción a nivel interno para  obtener  una</w:t>
        <w:br/>
        <w:t>indemnización o beneficio, la Sentencia no puede  constituir,  bajo  ninguna</w:t>
        <w:br/>
        <w:t>circunstancia, un  obstáculo  para  que  dichos  procedimientos  puedan  ser</w:t>
        <w:br/>
        <w:t>utilizados de forma efectiva. Por lo tanto, la solicitud  de  interpretación</w:t>
        <w:br/>
        <w:t>resulta improcedente también en cuanto a dicha pregunta.</w:t>
        <w:br/>
        <w:br/>
        <w:br/>
        <w:br/>
        <w:br/>
        <w:br/>
        <w:br/>
        <w:br/>
        <w:br/>
        <w:t>D. Quinta pregunta: “¿la Sentencia habilitaría a los familiares –no</w:t>
        <w:br/>
        <w:t xml:space="preserve">   indemnizados- de Luis Enrique Parada Ropero a acudir al mecanismo de la</w:t>
        <w:br/>
        <w:t xml:space="preserve">   Ley 288 de 1996 o el mecanismo al que hace referencia la Corte en el</w:t>
        <w:br/>
        <w:t xml:space="preserve">   párrafo 337 de su Sentencia?</w:t>
        <w:br/>
        <w:br/>
        <w:br/>
        <w:br/>
        <w:br/>
        <w:br/>
        <w:t xml:space="preserve">            Argumentos de los  representantes  y  observaciones  del  Estado</w:t>
        <w:br/>
        <w:br/>
        <w:br/>
        <w:br/>
        <w:t>Los representantes indicaron  que  la  Corte  había  podido  corroborar  que</w:t>
        <w:br/>
        <w:t>familiares de 16 de las 17 víctimas fallecidas recibieron indemnizaciones  a</w:t>
        <w:br/>
        <w:t>nivel interno,  pero  que  subsiste  la  duda  sobre  la  situación  de  los</w:t>
        <w:br/>
        <w:t>familiares de Luis Enrique Parada Ropero (víctima 6 – Anexo I), respecto  de</w:t>
        <w:br/>
        <w:t>quien la Corte se habría referido tácitamente en el  párrafo  338  señalando</w:t>
        <w:br/>
        <w:t>que  no  precluye  acciones  que  pudiera  corresponderles  incoar  a  nivel</w:t>
        <w:br/>
        <w:t>interno. Los representantes hicieron  notar  que  la  acción  de  reparación</w:t>
        <w:br/>
        <w:t>directa prevista a nivel interno en  el  Código  Contencioso  Administrativo</w:t>
        <w:br/>
        <w:t>caduca en el término de dos años, por lo que  solicitaron  a  la  Corte  que</w:t>
        <w:br/>
        <w:t>aclare si la Sentencia habilitaría a los  familiares  –no  indemnizados-  de</w:t>
        <w:br/>
        <w:t>Luis Enrique Parada Ropero a acudir al mecanismo de la Ley 288 de 1996 o  el</w:t>
        <w:br/>
        <w:t>mecanismo expedito al que hace referencia la Corte en el párrafo 337  de  su</w:t>
        <w:br/>
        <w:t>sentencia.</w:t>
        <w:br/>
        <w:br/>
        <w:br/>
        <w:t>La Comisión no presentó observaciones específicas relativas a este punto.</w:t>
        <w:br/>
        <w:br/>
        <w:br/>
        <w:t>El Estado señaló que los familiares de Luis Enrique Parada Ropero no  fueron</w:t>
        <w:br/>
        <w:t>incluidos en el Informe del artículo 50 de  la  Comisión,  aunque  reconoció</w:t>
        <w:br/>
        <w:t>que se había acreditado “mandato por los representantes”.  Del  mismo  modo,</w:t>
        <w:br/>
        <w:t>reiteró los argumentos vertidos  en  cuanto  al  universo  de  víctimas  que</w:t>
        <w:br/>
        <w:t>quedarían  incluidos  en  el  mecanismo  del  párrafo  337,   indicando   en</w:t>
        <w:br/>
        <w:t>particular que no puede hacerse extensiva a quienes  no  están  comprendidos</w:t>
        <w:br/>
        <w:t>en el grupo contemplado par la Corte en el texto de su decisión, por lo  que</w:t>
        <w:br/>
        <w:t>una valoración distinta contravendría de manera flagrante  lo  dispuesto  en</w:t>
        <w:br/>
        <w:t>el  artículo  67  de  la  Convención.  En  segundo  lugar,  respecto  de  la</w:t>
        <w:br/>
        <w:t>posibilidad de acceso al mecanismo de la ley 288 de 1996, el  Estado  indicó</w:t>
        <w:br/>
        <w:t>que “[l]os integrantes  de  los  grupos  en  cuestión  no  cumplen  con  los</w:t>
        <w:br/>
        <w:t>requisitos  establecidos  en  dicha  normativa,  debido  a  que  no   fueron</w:t>
        <w:br/>
        <w:t>individualizados en el  informe  del  artículo  50.  Entonces,  respecto  de</w:t>
        <w:br/>
        <w:t>ellas, no existe una decisión de  la  Comisión  lnteramericana  de  Derechos</w:t>
        <w:br/>
        <w:t>Humanos que los habilite para acceder a dicha fórmula”.</w:t>
        <w:br/>
        <w:br/>
        <w:br/>
        <w:br/>
        <w:br/>
        <w:br/>
        <w:t xml:space="preserve">      Consideraciones de la Corte</w:t>
        <w:br/>
        <w:br/>
        <w:br/>
        <w:t>La Corte observa que, efectivamente, el párrafo 334 de la  Sentencia  indica</w:t>
        <w:br/>
        <w:t>que 107 familiares de 16 de  las  17  víctimas  fallecidas  habían  recibido</w:t>
        <w:br/>
        <w:t>indemnizaciones en  la  vía  contencioso  administrativa.  Respecto  de  los</w:t>
        <w:br/>
        <w:t>familiares de la víctima mortal Luis Enrique Parada Ropero, la nota  al  pie</w:t>
        <w:br/>
        <w:t>de página 462 de dicho párrafo de la Sentencia indica lo siguiente:</w:t>
        <w:br/>
        <w:br/>
        <w:br/>
        <w:t xml:space="preserve">    “En el caso de la víctima 17 [Luis Enrique Parada  Ropero],  según  los</w:t>
        <w:br/>
        <w:t xml:space="preserve">    representantes, el joven Luis Enrique Parada Ropero  fue  criado  desde</w:t>
        <w:br/>
        <w:t xml:space="preserve">    temprana edad por la señora Myriam Soreira Tulibila  Macualo  […].  Sin</w:t>
        <w:br/>
        <w:t xml:space="preserve">    embargo, ella fue reparada por la muerte de  su  hijo,  Oscar  Esneider</w:t>
        <w:br/>
        <w:t xml:space="preserve">    Vanegas Tulibila, y no por la muerte de  Luis  Enrique  Parada  Ropero.</w:t>
        <w:br/>
        <w:t xml:space="preserve">    Esto indica que no se acudió a la  vía  contencioso  administrativa  en</w:t>
        <w:br/>
        <w:t xml:space="preserve">    relación  con  la  muerte  del  joven  Parada.  Asimismo,   según   los</w:t>
        <w:br/>
        <w:t xml:space="preserve">    representantes, parte de la familia de Luis Enrique Parada vive  en  el</w:t>
        <w:br/>
        <w:t xml:space="preserve">    Estado de Barinas de  la  República  Bolivariana  de  Venezuela,  y  se</w:t>
        <w:br/>
        <w:t xml:space="preserve">    identificaron los nombres de tíos […]: Isidro, Andrés e Isaías Paradas,</w:t>
        <w:br/>
        <w:t xml:space="preserve">    pero éstos no figuran como víctimas”[24].</w:t>
        <w:br/>
        <w:br/>
        <w:br/>
        <w:t>Con respecto a este punto, el Tribunal constata que, según se desprende de</w:t>
        <w:br/>
        <w:t>los hechos del caso que constan en el expediente, los familiares de Luis</w:t>
        <w:br/>
        <w:t>Enrique Parada Ropero no habían acudido a la jurisdicción contencioso</w:t>
        <w:br/>
        <w:t>administrativa colombiana, a efectos de reclamar las reparaciones</w:t>
        <w:br/>
        <w:t>correspondientes. Por lo anterior, corresponde a la Corte analizar la</w:t>
        <w:br/>
        <w:t>cuestión planteada por los representantes únicamente respecto de la señora</w:t>
        <w:br/>
        <w:t>Myriam Soreira Tulibila Macualo, quien fue identificada como víctima en el</w:t>
        <w:br/>
        <w:t>caso y, según los representantes, sería la madre de crianza del señor</w:t>
        <w:br/>
        <w:t>Parada Ropero, quien efectivamente fue declarado víctima fallecida en los</w:t>
        <w:br/>
        <w:t>hechos del caso. En ese sentido, consta que la señora Tulibila Macualo</w:t>
        <w:br/>
        <w:t>efectivamente acudió a la vía contencioso administrativa en relación con la</w:t>
        <w:br/>
        <w:t>muerte y lesiones de sus hijos Oscar Esneider y Edwin Fernando Venegas</w:t>
        <w:br/>
        <w:t>Tulibila, pero no lo hizo específicamente respecto de la muerte del señor</w:t>
        <w:br/>
        <w:t>Parada Ropero. No fue aportada información en el curso del proceso que</w:t>
        <w:br/>
        <w:t>confirmara tal relación de parentesco o que explicara las razones por las</w:t>
        <w:br/>
        <w:t>cuales la madre de crianza del señor Parada Ropero no hizo solicitudes de</w:t>
        <w:br/>
        <w:t>reparación en relación con su muerte cuando acudió al proceso contencioso</w:t>
        <w:br/>
        <w:t>administrativo.</w:t>
        <w:br/>
        <w:br/>
        <w:br/>
        <w:t>De tal manera, por no corresponder a la Corte volver a valorar  lo  resuelto</w:t>
        <w:br/>
        <w:t>por los mecanismos internos ni su idoneidad para reparar  adecuadamente  las</w:t>
        <w:br/>
        <w:t>violaciones de  derechos  declaradas,  la  solicitud  de  interpretación  es</w:t>
        <w:br/>
        <w:t>improcedente en cuanto a este aspecto, pues  acceder  afirmativamente  a  la</w:t>
        <w:br/>
        <w:t>interpretación planteada por los representantes supondría la modificación  o</w:t>
        <w:br/>
        <w:t>ampliación de lo  resuelto  en  el  fallo,  posibilidad  que  no  existe  en</w:t>
        <w:br/>
        <w:t>términos de los artículos 67 de la Convención Americana  y  31.3  y  68  del</w:t>
        <w:br/>
        <w:t>Reglamento del Tribunal.</w:t>
        <w:br/>
        <w:br/>
        <w:br/>
        <w:t>La Corte reitera que, de conformidad con el párrafo 338 de la Sentencia,  lo</w:t>
        <w:br/>
        <w:t>determinado en el párrafo 337 “no afecta a familiares  de  víctimas  que  no</w:t>
        <w:br/>
        <w:t>fueron peticionarios, que no han sido representados  en  los  procedimientos</w:t>
        <w:br/>
        <w:t>ante la Comisión y la Corte o que no han  sido  incluidos  como  víctimas  o</w:t>
        <w:br/>
        <w:t>parte lesionada en  esta  Sentencia,  en  tanto  no  precluye  acciones  que</w:t>
        <w:br/>
        <w:t>pudiera corresponderles  incoar  a  nivel  interno”.  La  Corte  reitera  lo</w:t>
        <w:br/>
        <w:t>expresado anteriormente en cuanto a que no le corresponde determinar  cuáles</w:t>
        <w:br/>
        <w:t>serían las disposiciones internas que pueden ser  aplicables  o  relevantes,</w:t>
        <w:br/>
        <w:t>ni indicar cuáles son  las  personas  que  se  encuentran  legitimadas  para</w:t>
        <w:br/>
        <w:t>acudir a las mismas.</w:t>
        <w:br/>
        <w:br/>
        <w:br/>
        <w:br/>
        <w:br/>
        <w:br/>
        <w:br/>
        <w:br/>
        <w:br/>
        <w:t>E. Sexta pregunta: acerca de la situación de las 18 víctimas que no fueron</w:t>
        <w:br/>
        <w:t xml:space="preserve">   reconocidas como parte lesionada que no habían sido incluidas en el</w:t>
        <w:br/>
        <w:t xml:space="preserve">   Informe de Fondo de la Comisión, pero que sí fueron consideradas en los</w:t>
        <w:br/>
        <w:t xml:space="preserve">   mandatos de los representantes.</w:t>
        <w:br/>
        <w:br/>
        <w:br/>
        <w:br/>
        <w:br/>
        <w:br/>
        <w:t xml:space="preserve">      Argumentos de los representantes y observaciones del Estado</w:t>
        <w:br/>
        <w:br/>
        <w:br/>
        <w:t>Los representantes solicitaron a la Corte que aclare si las 18 víctimas  que</w:t>
        <w:br/>
        <w:t>no fueron reconocidas como parte lesionada[25] referenciados en  el  párrafo</w:t>
        <w:br/>
        <w:t>295 de la Sentencia y que, a pesar de haberse acreditado su mandato por  los</w:t>
        <w:br/>
        <w:t>representantes, no fueron incluidas en el Informe de Fondo de  la  Comisión,</w:t>
        <w:br/>
        <w:t>se encontrarían en la misma situación que los  familiares  de  Luis  Enrique</w:t>
        <w:br/>
        <w:t>Ropero Parada y si, por ende, pueden considerarse incluidos en el  mecanismo</w:t>
        <w:br/>
        <w:t>de reparación dispuesto en el párrafo 337 o si pueden  acudir  al  mecanismo</w:t>
        <w:br/>
        <w:t>de la Ley 288 de 1996.</w:t>
        <w:br/>
        <w:br/>
        <w:br/>
        <w:t>La Comisión no presentó observaciones en relación con este punto.</w:t>
        <w:br/>
        <w:br/>
        <w:br/>
        <w:t>El Estado se refirió a la situación de estas personas conjuntamente con  los</w:t>
        <w:br/>
        <w:t>alegatos que se refieren a  la  situación  de  Luis  Enrique  Parada  Ropero</w:t>
        <w:br/>
        <w:t>(supra párr. 46). Sobre el interrogante relativo a la posibilidad de que  el</w:t>
        <w:br/>
        <w:t>grupo analizado acceda a la acción de  reparación  directa  prevista  en  el</w:t>
        <w:br/>
        <w:t>ordenamiento jurídico interno, el Estado reiteró lo planteado  anteriormente</w:t>
        <w:br/>
        <w:t>y agregó que, a pesar de que los términos  de  caducidad  ya  se  vencieron,</w:t>
        <w:br/>
        <w:t>“[c]uando la Corte estableció que la [S]entencia proferida en el caso de  la</w:t>
        <w:br/>
        <w:t>referencia ‘no precluye acciones que pudiera corresponderles incoar a  nivel</w:t>
        <w:br/>
        <w:t>interno’  a  quienes  no  fueron  reconocidos  como  parte  lesionada,  hizo</w:t>
        <w:br/>
        <w:t>referencia a que su decisión no es óbice para que los sujetos  que  integran</w:t>
        <w:br/>
        <w:t>ese grupo acudan a los mecanismos internos que resulten  procedentes”,  pero</w:t>
        <w:br/>
        <w:t>el  Tribunal  interamericano   no   contempló   excepciones   respecto   del</w:t>
        <w:br/>
        <w:t>agotamiento de los procedimientos, el  cumplimiento  de  los  requerimientos</w:t>
        <w:br/>
        <w:t>probatorios y la observancia de los plazos  contemplados  en  la  ley  y  la</w:t>
        <w:br/>
        <w:t>Constitución  colombiana.  Señaló  nuevamente  que  la  inclusión  de   esas</w:t>
        <w:br/>
        <w:t>personas en esta instancia  procesal  “conllevaría  a  la  modificación  del</w:t>
        <w:br/>
        <w:t>fallo inicialmente proferido”.</w:t>
        <w:br/>
        <w:br/>
        <w:br/>
        <w:br/>
        <w:br/>
        <w:br/>
        <w:t xml:space="preserve">      Consideraciones de la Corte</w:t>
        <w:br/>
        <w:br/>
        <w:br/>
        <w:t>Respecto de las 18 personas señaladas por  los  representantes,  el  párrafo</w:t>
        <w:br/>
        <w:t>294 de la Sentencia establece lo siguiente:</w:t>
        <w:br/>
        <w:br/>
        <w:br/>
        <w:t xml:space="preserve">    “[…]la Corte  ha  señalado  que  las  presuntas  víctimas  deben  estar</w:t>
        <w:br/>
        <w:t xml:space="preserve">    señaladas en el Informe  de  Fondo  de  la  Comisión  Interamericana  y</w:t>
        <w:br/>
        <w:t xml:space="preserve">    observa  que  24  personas  señaladas  por  los   representantes   como</w:t>
        <w:br/>
        <w:t xml:space="preserve">    familiares de las víctimas no están comprendidas en el Informe de Fondo</w:t>
        <w:br/>
        <w:t xml:space="preserve">    dictado por la Comisión en este caso. Sin embargo, de esas 24 personas,</w:t>
        <w:br/>
        <w:t xml:space="preserve">    seis familiares de dos de las víctimas fallecidas fueron  reparados  en</w:t>
        <w:br/>
        <w:t xml:space="preserve">    la vía contencioso administrativa, por lo cual es posible entender  que</w:t>
        <w:br/>
        <w:t xml:space="preserve">    el Estado los reconoció como víctimas. De tal manera, la  Corte  estima</w:t>
        <w:br/>
        <w:t xml:space="preserve">    que no corresponde considerar como víctimas ni como parte  lesionada  a</w:t>
        <w:br/>
        <w:t xml:space="preserve">    18  personas  presentadas  como  familiares   de   víctimas   por   los</w:t>
        <w:br/>
        <w:t xml:space="preserve">    representantes, sin perjuicio de las reparaciones que a  nivel  interno</w:t>
        <w:br/>
        <w:t xml:space="preserve">    pudieran corresponderles”[26].</w:t>
        <w:br/>
        <w:br/>
        <w:br/>
        <w:t>Es claro que el párrafo 337 sólo aplica  respecto  de  personas  que  fueron</w:t>
        <w:br/>
        <w:t>declaradas víctimas o parte lesionada en la Sentencia. Por  ende,  es  claro</w:t>
        <w:br/>
        <w:t>que esas  18  personas  señaladas  por  los  representantes  no  pueden  ser</w:t>
        <w:br/>
        <w:t>consideradas en el mecanismo de reparación previsto en el párrafo 337 de  la</w:t>
        <w:br/>
        <w:t>Sentencia, “sin perjuicio de las reparaciones que a nivel  interno  pudieran</w:t>
        <w:br/>
        <w:t>corresponderles”, según lo establecido en el párrafo 295  de  la  Sentencia.</w:t>
        <w:br/>
        <w:t>La  Corte  reitera  que,  de   conformidad   con   el   párrafo   338,   las</w:t>
        <w:br/>
        <w:t>determinaciones  de  la  Sentencia  no  precluyen  a   tales   personas   la</w:t>
        <w:br/>
        <w:t>posibilidad de incoar “acciones que pudiera corresponderles incoar  a  nivel</w:t>
        <w:br/>
        <w:t>interno”.  En  este  sentido,  la  Corte  considera  que  la  solicitud   de</w:t>
        <w:br/>
        <w:t>interpretación es improcedente en cuanto a este aspecto.</w:t>
        <w:br/>
        <w:br/>
        <w:br/>
        <w:br/>
        <w:br/>
        <w:br/>
        <w:br/>
        <w:br/>
        <w:br/>
        <w:t>F. Séptima pregunta: ¿en caso de que existan otros familiares de víctimas</w:t>
        <w:br/>
        <w:t xml:space="preserve">   de violación del derecho a la vida, que no acudieron a la vía contencioso</w:t>
        <w:br/>
        <w:t xml:space="preserve">   administrativa, ni fueron representados a nivel interamericano, pueden</w:t>
        <w:br/>
        <w:t xml:space="preserve">   acudir al mecanismo previsto en el párrafo 337 de la Sentencia o al</w:t>
        <w:br/>
        <w:t xml:space="preserve">   mecanismo de la Ley 288 de 1996?</w:t>
        <w:br/>
        <w:br/>
        <w:br/>
        <w:br/>
        <w:br/>
        <w:br/>
        <w:t xml:space="preserve">      Argumentos de los representantes y observaciones del Estado</w:t>
        <w:br/>
        <w:br/>
        <w:br/>
        <w:t>Los representantes solicitaron a la Corte que aclare si otros familiares  de</w:t>
        <w:br/>
        <w:t>víctimas de violación del derecho a la  vida  que  no  acudieron  a  la  vía</w:t>
        <w:br/>
        <w:t>contencioso administrativa, ni fueron representados a nivel  interamericano,</w:t>
        <w:br/>
        <w:t>pueden entenderse incluidos dentro de las disposiciones del párrafo  337  de</w:t>
        <w:br/>
        <w:t>la Sentencia o si pueden acudir al mecanismo de  la  Ley  288  de  1996.  La</w:t>
        <w:br/>
        <w:t>Comisión no presentó observaciones en relación con este punto. El Estado  se</w:t>
        <w:br/>
        <w:t>refirió a la situación  de  estas  personas  conjuntamente  con  lo  alegado</w:t>
        <w:br/>
        <w:t>respecto de la situación de Luis Enrique Parada Ropero (supra párr. 46).</w:t>
        <w:br/>
        <w:br/>
        <w:br/>
        <w:br/>
        <w:br/>
        <w:br/>
        <w:t xml:space="preserve">      Consideraciones de la Corte</w:t>
        <w:br/>
        <w:br/>
        <w:br/>
        <w:t>Con respecto a este punto,  la  Corte  reitera  lo  expresado  en  el  punto</w:t>
        <w:br/>
        <w:t>anterior indicando que el  párrafo  337  no  se  refiere  a  familiares  -de</w:t>
        <w:br/>
        <w:t>víctimas fallecidas- que no fueron identificados en la Sentencia. Por  ende,</w:t>
        <w:br/>
        <w:t>si existieren, no corresponde considerar a esos familiares  en  el  referido</w:t>
        <w:br/>
        <w:t>mecanismo, sin perjuicio de lo previsto en el párrafo 338  de  la  Sentencia</w:t>
        <w:br/>
        <w:t>(supra párr. 50). Tampoco corresponde  a  este  Tribunal  determinar  cuáles</w:t>
        <w:br/>
        <w:t>serían las disposiciones internas que pueden ser  aplicables  o  relevantes,</w:t>
        <w:br/>
        <w:t>ni indicar cuáles son  las  personas  que  se  encuentran  legitimadas  para</w:t>
        <w:br/>
        <w:t>acudir  a  las  mismas.  Por  ende,  la  solicitud  de   interpretación   es</w:t>
        <w:br/>
        <w:t>improcedente en cuanto a este aspecto.</w:t>
        <w:br/>
        <w:br/>
        <w:br/>
        <w:br/>
        <w:br/>
        <w:br/>
        <w:br/>
        <w:br/>
        <w:br/>
        <w:br/>
        <w:br/>
        <w:t xml:space="preserve">                                      V</w:t>
        <w:br/>
        <w:t xml:space="preserve">                             PUNTOS RESOLUTIVOS</w:t>
        <w:br/>
        <w:br/>
        <w:br/>
        <w:br/>
        <w:br/>
        <w:t>Por tanto,</w:t>
        <w:br/>
        <w:br/>
        <w:br/>
        <w:br/>
        <w:br/>
        <w:br/>
        <w:t>LA CORTE</w:t>
        <w:br/>
        <w:br/>
        <w:br/>
        <w:br/>
        <w:br/>
        <w:br/>
        <w:t>de conformidad con el artículo 67 de la Convención Americana sobre  Derechos</w:t>
        <w:br/>
        <w:t>Humanos y los artículos 31.3 y 68 del Reglamento,</w:t>
        <w:br/>
        <w:br/>
        <w:br/>
        <w:br/>
        <w:br/>
        <w:br/>
        <w:t>DECIDE:</w:t>
        <w:br/>
        <w:br/>
        <w:br/>
        <w:br/>
        <w:br/>
        <w:br/>
        <w:t>Por unanimidad,</w:t>
        <w:br/>
        <w:br/>
        <w:br/>
        <w:br/>
        <w:br/>
        <w:t>Rechazar por improcedente la solicitud de interpretación de la Sentencia  de</w:t>
        <w:br/>
        <w:t>excepciones preliminares, fondo y reparaciones dictada  en  el  caso  de  la</w:t>
        <w:br/>
        <w:t>Masacre de Santo Domingo vs. Colombia, interpuesta  por  los  representantes</w:t>
        <w:br/>
        <w:t>de las víctimas, por las razones señaladas en los párrafos relevantes de  la</w:t>
        <w:br/>
        <w:t>presente Sentencia.</w:t>
        <w:br/>
        <w:br/>
        <w:t>Disponer que la Secretaría de la Corte notifique la  presente  Sentencia  al</w:t>
        <w:br/>
        <w:t>Estado de Colombia, a los representantes de las víctimas y  familiares  y  a</w:t>
        <w:br/>
        <w:t>la Comisión Interamericana de Derechos Humanos.</w:t>
        <w:br/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t>Leonardo A. Franco                                  Margarette May  Macaulay</w:t>
        <w:br/>
        <w:br/>
        <w:br/>
        <w:br/>
        <w:br/>
        <w:t>Rhadys Abreu Blondet                              Alberto Pérez Pérez</w:t>
        <w:br/>
        <w:br/>
        <w:br/>
        <w:br/>
        <w:t xml:space="preserve">                            Eduardo Vio Grossi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t>-----------------------</w:t>
        <w:br/>
        <w:br/>
        <w:t>[1]   El Juez Manuel E. Ventura Robles no participó en la deliberación y</w:t>
        <w:br/>
        <w:t>firma de la presente Sentencia por razones de fuerza mayor.</w:t>
        <w:br/>
        <w:br/>
        <w:br/>
        <w:t>[2]   Reglamento de la Corte aprobado por el Tribunal en  su  LXXXV  Período</w:t>
        <w:br/>
        <w:t>Ordinario de Sesiones celebrado del 16 al 28 de noviembre de 2009,  el  cual</w:t>
        <w:br/>
        <w:t>aplica al presente caso, de conformidad con el artículo 79 del mismo.</w:t>
        <w:br/>
        <w:br/>
        <w:br/>
        <w:t>[3]   Cfr. Caso Loayza Tamayo Vs. Perú. Interpretación de la Sentencia de</w:t>
        <w:br/>
        <w:t>Fondo. Resolución de la Corte Interamericana de Derechos Humanos de 8 de</w:t>
        <w:br/>
        <w:t>marzo de 1998. Serie C No. 47, párr. 16, y Atala Riffo y Niñas Vs. Chile.</w:t>
        <w:br/>
        <w:t>Interpretación de la Sentencia de Fondo, Reparaciones y Costas. Sentencia</w:t>
        <w:br/>
        <w:t>de 21 de noviembre de 2012. Serie C No. 254, párr. 11.</w:t>
        <w:br/>
        <w:br/>
        <w:br/>
        <w:t>[4]   Cfr. Caso Loayza Tamayo Vs. Perú. Interpretación de la Sentencia de</w:t>
        <w:br/>
        <w:t>Fondo, párr. 16, y Atala Riffo y Niñas Vs. Chile. Interpretación de la</w:t>
        <w:br/>
        <w:t>Sentencia de Fondo, Reparaciones y Costas, párr. 11.</w:t>
        <w:br/>
        <w:br/>
        <w:br/>
        <w:t>[5]   Cfr. Caso Loayza Tamayo Vs. Perú. Interpretación de la Sentencia de</w:t>
        <w:br/>
        <w:t>Reparaciones y Costas. Sentencia de 3 de junio de 1999. Serie C No. 53,</w:t>
        <w:br/>
        <w:t>párr. 15; Caso Salvador Chiriboga Vs. Ecuador. Interpretación de la</w:t>
        <w:br/>
        <w:t>Sentencia de Reparaciones y Costas. Sentencia de 29 de agosto de 2011.</w:t>
        <w:br/>
        <w:t>Serie C No. 230, párr. 30, y Caso Abrill Alosilla y otros Vs. Perú.</w:t>
        <w:br/>
        <w:t>Interpretación de la Sentencia de Fondo, Reparaciones y Costas. Sentencia</w:t>
        <w:br/>
        <w:t>de 21 de noviembre de 2011. Serie C No. 235, párr. 17.</w:t>
        <w:br/>
        <w:br/>
        <w:br/>
        <w:t>[6]   Cfr. Sentencia del Tribunal Contencioso Administrativo de Arauca,</w:t>
        <w:br/>
        <w:t>Mario Galvis Gelvez y otros, expediente No. 81-001-23-2000-348, 20 de mayo</w:t>
        <w:br/>
        <w:t>de 2004 (expediente de prueba, tomo 20, folio 10180-10274), el Acuerdo</w:t>
        <w:br/>
        <w:t>Conciliatorio, Sección Tercera, Consejo de Estado, Mario Galvis Gelves y</w:t>
        <w:br/>
        <w:t>otros, proceso No. 28259, 8 de noviembre de 2007 (expediente de prueba,</w:t>
        <w:br/>
        <w:t>tomo 3, folios 1044-1045), y la aprobación del Acuerdo Conciliatorio,</w:t>
        <w:br/>
        <w:t>Sentencia de Sección Tercera, Consejo de Estado, Mario Galvis Gelves y</w:t>
        <w:br/>
        <w:t>otros, radicación No. 07001-23-31-000-2000-0348-01, 13 de diciembre de 2007</w:t>
        <w:br/>
        <w:t>(expediente de prueba, tomo 2, folios 751-806). Mediante esta sentencia se</w:t>
        <w:br/>
        <w:t>aprobó la conciliación entre la Nación y 19 de los 23 litisconsortes</w:t>
        <w:br/>
        <w:t>facultativos, se declaró terminado el proceso respecto a ellos, y se</w:t>
        <w:br/>
        <w:t>improbó el acuerdo respecto de los cuatro restantes ordenándose seguir el</w:t>
        <w:br/>
        <w:t>proceso respecto de ellos. Posteriormente, por medio de Sentencia de 19 de</w:t>
        <w:br/>
        <w:t>noviembre de 2008, se declaró patrimonialmente responsable a la Nación –</w:t>
        <w:br/>
        <w:t>Ministerio de Defensa – Fuerza Aérea Colombiana por los perjuicios</w:t>
        <w:br/>
        <w:t>ocasionados a los cuatro litisconsortes restantes. Véase de Sección</w:t>
        <w:br/>
        <w:t>Tercera, Consejo de Estado, Mario Galvis Gelves y otros, radicación No.</w:t>
        <w:br/>
        <w:t>07001-23-31-000-2000-0348-01, 19 de noviembre de 2008 (expediente de</w:t>
        <w:br/>
        <w:t>prueba, tomo 3, folios 1047-1127).</w:t>
        <w:br/>
        <w:br/>
        <w:br/>
        <w:t>[7]   Caso Masacre de Santo Domingo Vs. Colombia. Excepciones Preliminares,</w:t>
        <w:br/>
        <w:t>Fondo y Reparaciones. Sentencia de 30 de noviembre de 2012 Serie C No. 259,</w:t>
        <w:br/>
        <w:t>párr. 334.</w:t>
        <w:br/>
        <w:br/>
        <w:br/>
        <w:t>[8]   Caso Masacre de Santo Domingo Vs. Colombia, párr. 336.</w:t>
        <w:br/>
        <w:br/>
        <w:t>[9]   Nerys Duarte Cárdenas (compañera permanente de Carmen  Antonio  Díaz),</w:t>
        <w:br/>
        <w:t>Andersson Duarte Cárdenas (hijo de Carmen  Antonio  Díaz),  Davinson  Duarte</w:t>
        <w:br/>
        <w:t>Cárdenas (hijo de Carmen Antonio Díaz),  Lucero  Talero  Sánchez  (compañera</w:t>
        <w:br/>
        <w:t>permanente de Levis Orlando Martínez Carreña), María Elena Carreño  (hermana</w:t>
        <w:br/>
        <w:t>de Levis Orlando Martínez Carreña).</w:t>
        <w:br/>
        <w:br/>
        <w:t>[10]  Caso Masacre de Santo Domingo Vs. Colombia, párr. 337.</w:t>
        <w:br/>
        <w:br/>
        <w:br/>
        <w:t>[11]  Cfr. Caso Manuel Cepeda Vargas Vs. Colombia. Excepciones</w:t>
        <w:br/>
        <w:t>Preliminares, Fondo, Reparaciones y Costas. Sentencia de 26 de mayo de</w:t>
        <w:br/>
        <w:t>2010. Serie C No. 213, párr. 246. En el mismo sentido, véase Caso Masacre</w:t>
        <w:br/>
        <w:t>de Santo Domingo Vs. Colombia, párr. 337.</w:t>
        <w:br/>
        <w:br/>
        <w:br/>
        <w:t>[12]  A saber Mario Galvis, Víctor Palomino, Margarita Tilano, María</w:t>
        <w:br/>
        <w:t>Cenobia Panqueva y Olimpo Cárdenas, Caso Masacre de Santo Domingo Vs.</w:t>
        <w:br/>
        <w:t>Colombia, párr. 282.</w:t>
        <w:br/>
        <w:br/>
        <w:br/>
        <w:t>[13]  A saber Víctor Palomino y María Cenobia Panqueva.</w:t>
        <w:br/>
        <w:br/>
        <w:br/>
        <w:t>[14]  Caso Masacre de Santo Domingo Vs. Colombia, párr. 282.</w:t>
        <w:br/>
        <w:br/>
        <w:br/>
        <w:t>[15]  En el caso de Mario Galvis, se resolvió que no existía prueba de la</w:t>
        <w:br/>
        <w:t>preexistencia del establecimiento comercial, Sentencia del Tribunal</w:t>
        <w:br/>
        <w:t>Contencioso Administrativo de Arauca. Magistrado Dr. Wilson Arcila Arango.</w:t>
        <w:br/>
        <w:t>22 de mayo de 2004 (expediente de prueba, tomo 20, folio 10240). En el caso</w:t>
        <w:br/>
        <w:t>de Víctor Julio Palomino, se indicó que no se había demostrado la propiedad</w:t>
        <w:br/>
        <w:t>del automotor cuya destrucción se reclamaba; Sentencia del Tribunal</w:t>
        <w:br/>
        <w:t>Contencioso Administrativo de Arauca. Magistrado Dr. Wilson Arcila Arango.</w:t>
        <w:br/>
        <w:t>22 de mayo de 2004 (expediente de prueba, tomo 20, folio 10256). En los</w:t>
        <w:br/>
        <w:t>casos de María Cenovia Panqueva, Margarita Tilano Yañez y de su esposo</w:t>
        <w:br/>
        <w:t>Olimpo Cárdenas Castañeda no se hace referencia específica a los motivos.</w:t>
        <w:br/>
        <w:t>Cfr. Sentencia del Tribunal Contencioso Administrativo de Arauca.</w:t>
        <w:br/>
        <w:t>Magistrado Dr. Wilson Arcila Arango. 22 de mayo de 2004 (expediente de</w:t>
        <w:br/>
        <w:t>prueba, tomo 20, folio); Sentencia del Tribunal Contencioso Administrativo</w:t>
        <w:br/>
        <w:t>de Arauca. Magistrado Dr. Wilson Arcila Arango. 22 de mayo de 2004</w:t>
        <w:br/>
        <w:t>(expediente de prueba, tomo 20, folios 10240, 10253, 10256 a 10260).</w:t>
        <w:br/>
        <w:br/>
        <w:br/>
        <w:t>[16]  Los representantes no presentaron reclamaciones por este rubro ante</w:t>
        <w:br/>
        <w:t>esta Corte en nombre de Margarita Tilano Yanez y su esposo Olimpo Cárdenas</w:t>
        <w:br/>
        <w:t>Castañeda.</w:t>
        <w:br/>
        <w:br/>
        <w:br/>
        <w:t>[17]  Agregaron que en “esta situación se encontrarían por ejemplo quienes</w:t>
        <w:br/>
        <w:t>ayudaron a evacuar a los heridos, quienes se encontraban en sus viviendas o</w:t>
        <w:br/>
        <w:t>establecimientos públicos y no fueron impactados por el dispositivo AN-</w:t>
        <w:br/>
        <w:t>M1A2, pero está probado por sus testimonios ante los órganos internos que</w:t>
        <w:br/>
        <w:t>se encontraban el 13 de diciembre de 1998 en el caserío de Santo Domingo”.</w:t>
        <w:br/>
        <w:br/>
        <w:br/>
        <w:t>[18]  Ley de 9 de Julio de 1996 por medio de la cual se establecen</w:t>
        <w:br/>
        <w:t>instrumentos para la indemnización de perjuicios a las víctimas de</w:t>
        <w:br/>
        <w:t>violaciones de derechos humanos en virtud de lo dispuesto por determinados</w:t>
        <w:br/>
        <w:t>órganos internacionales de Derechos Humanos.</w:t>
        <w:br/>
        <w:br/>
        <w:br/>
        <w:t>[19]  Cfr. Caso de la “Masacre de Mapiripán” Vs. Colombia. Fondo,</w:t>
        <w:br/>
        <w:t>Reparaciones y Costas, párr. 183, y Caso de las Masacres de Ituango Vs.</w:t>
        <w:br/>
        <w:t>Colombia, parr. 221.</w:t>
        <w:br/>
        <w:br/>
        <w:br/>
        <w:t>[20]  Caso Masacre de Santo Domingo Vs. Colombia, párrs. 265 a 268.</w:t>
        <w:br/>
        <w:br/>
        <w:br/>
        <w:t>[21]  A saber: Edwin Fernando Vanegas Tulibila (hermano de Oscar Esneider</w:t>
        <w:br/>
        <w:t>Vanegas Tulibila), Milciades Bonilla Ostos (compañero permanente de Nancy</w:t>
        <w:br/>
        <w:t>Ávila Abaunza), Mario Galvis Gelves (esposo de Teresa Mojica Hernández),</w:t>
        <w:br/>
        <w:t>Mónica Bello Tilano (madre de Egna Margarita Bello Tilano y hermana de</w:t>
        <w:br/>
        <w:t>Katherine Cárdenas Tilano), Amalio Neite González (hijo de Salomón Neite),</w:t>
        <w:br/>
        <w:t>Marcos Aurelio Neite Méndez (hermano de Luis Carlos Neite Méndez), Erinson</w:t>
        <w:br/>
        <w:t>Olimpo Cárdenas Tilano (hermano de Katherine Cárdenas Tilano) y Neftalí</w:t>
        <w:br/>
        <w:t>Neite González (hijo de Salomón Neite).</w:t>
        <w:br/>
        <w:br/>
        <w:br/>
        <w:t>[22]  Se trata de María Cenobia Panqueva y Neftalí Neite González. En el</w:t>
        <w:br/>
        <w:t>primer caso no se determinó pérdida de capacidad laboral y en el segundo no</w:t>
        <w:br/>
        <w:t>se aportó la historia clínica por lo que no se pudo determinar la pérdida</w:t>
        <w:br/>
        <w:t>de capacidad laboral. Veáse Sentencia del Tribunal Contencioso</w:t>
        <w:br/>
        <w:t>Administrativo de Arauca, Mario Galvis Gelvez y otros, expediente No. 81-</w:t>
        <w:br/>
        <w:t>001-23-2000-348, 20 de mayo de 2004 (expediente de prueba, tomo 20, folio</w:t>
        <w:br/>
        <w:t>10253); Sentencia de Sección Tercera, Consejo de Estado, Mario Galvis</w:t>
        <w:br/>
        <w:t>Gelves y otros, radicación No. 07001-23-31-000-2000-0348-01, 13 de</w:t>
        <w:br/>
        <w:t>diciembre de 2007 (expediente de prueba, tomo 2, folio 783), y Sentencia de</w:t>
        <w:br/>
        <w:t>Sección Tercera, Consejo de Estado, Mario Galvis Gelves y otros, radicación</w:t>
        <w:br/>
        <w:t>No. 07001-23-31-000-2000-0348-01, 19 de noviembre de 2008 (expediente de</w:t>
        <w:br/>
        <w:t>prueba, tomo 3, folio 1081-1082).</w:t>
        <w:br/>
        <w:br/>
        <w:br/>
        <w:t>[23]  El Estado se refirió únicamente a las hermanas Maribel Daza Rojas y</w:t>
        <w:br/>
        <w:t>Rusmira Daza Rojas, como víctimas heridas que no habrían acudido a la</w:t>
        <w:br/>
        <w:t>jurisdicción contencioso administrativa.</w:t>
        <w:br/>
        <w:br/>
        <w:br/>
        <w:t>[24]  Caso Masacre de Santo Domingo Vs. Colombia, nota 462.</w:t>
        <w:br/>
        <w:br/>
        <w:br/>
        <w:t>[25]  Los representantes se refirieron a Luis Felipe Durán Mora, Luz Dary</w:t>
        <w:br/>
        <w:t>Tellez Durán, Yamile Tellez Durán, Wilmer Tellez Durán, Emilse Hernández</w:t>
        <w:br/>
        <w:t>Durán, Milena Durán, Yeimi Sulai Hernández Mora, Mary Molina Panqueva,</w:t>
        <w:br/>
        <w:t>Moisés Molina Panqueva, Genny Carolina Molina Restrepo, Wilson García</w:t>
        <w:br/>
        <w:t>Reatiga, Wilson Enrique García Guevara, María Antonia Rojas, Elizabeth Daza</w:t>
        <w:br/>
        <w:t>Rojas, José Antonio Daza Rojas, Wilson Daza Rojas, Javier Daza Rojas y</w:t>
        <w:br/>
        <w:t>Frady Alexi Leal.</w:t>
        <w:br/>
        <w:br/>
        <w:br/>
        <w:t>[26]  Caso Masacre de Santo Domingo Vs. Colombia, párr. 294.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