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CASO MASACRES DE EL MOZOTE Y LUGARES ALEDAÑOS VS. EL SALVADOR</w:t>
        <w:br/>
        <w:br/>
        <w:br/>
        <w:t xml:space="preserve">                      Sentencia de 19 de AGOSTO de 2013</w:t>
        <w:br/>
        <w:br/>
        <w:t xml:space="preserve">      (Interpretación de la Sentencia de Fondo, Reparaciones y Costas)</w:t>
        <w:br/>
        <w:br/>
        <w:br/>
        <w:br/>
        <w:t>En el caso Masacres de El Mozote y lugares aledaños,</w:t>
        <w:br/>
        <w:br/>
        <w:t>la Corte Interamericana de Derechos Humanos (en adelante “la Corte</w:t>
        <w:br/>
        <w:t>Interamericana”, “la Corte” o “el Tribunal”), integrada por los siguientes</w:t>
        <w:br/>
        <w:t>Jueces(:</w:t>
        <w:br/>
        <w:br/>
        <w:t xml:space="preserve">      Diego García-Sayán, Presidente;</w:t>
        <w:br/>
        <w:t xml:space="preserve">      Leonardo A. Franco,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Juez, y</w:t>
        <w:br/>
        <w:t xml:space="preserve">      Eduardo Vio Grossi, Juez;</w:t>
        <w:br/>
        <w:br/>
        <w:t>presentes, además,</w:t>
        <w:br/>
        <w:br/>
        <w:t>Pablo Saavedra Alessandri, Secretario, y</w:t>
        <w:br/>
        <w:t>Emilia Segares Rodríguez, Secretaria Adjunta,</w:t>
        <w:br/>
        <w:br/>
        <w:t>de conformidad con el artículo 67 de la Convención Americana sobre  Derechos</w:t>
        <w:br/>
        <w:t>Humanos (en adelante también “la Convención Americana” o “la Convención”)  y</w:t>
        <w:br/>
        <w:t>el artículo 68 del Reglamento de la Corte[1] (en adelante “el  Reglamento”),</w:t>
        <w:br/>
        <w:t>resuelve  la  solicitud  de  interpretación  de  la  Sentencia   de   fondo,</w:t>
        <w:br/>
        <w:t>reparaciones y costas emitida por el Tribunal el 25 de octubre  de  2012  en</w:t>
        <w:br/>
        <w:t>el presente caso (en adelante también “la Sentencia”), interpuesta el 10  de</w:t>
        <w:br/>
        <w:t>marzo de 2013 por los representantes de las víctimas[2]  (en  adelante  “los</w:t>
        <w:br/>
        <w:t>representantes”).</w:t>
        <w:br/>
        <w:br/>
        <w:br/>
        <w:t xml:space="preserve">                                      I</w:t>
        <w:br/>
        <w:br/>
        <w:t xml:space="preserve">                         SOLICITUD DE INTERPRETACIÓN</w:t>
        <w:br/>
        <w:t xml:space="preserve">                        Y PROCEDIMIENTO ANTE LA CORTE</w:t>
        <w:br/>
        <w:br/>
        <w:t>El 25 de octubre  de  2012  la  Corte  emitió  la  Sentencia,  la  cual  fue</w:t>
        <w:br/>
        <w:t>notificada a las partes y a la Comisión el 10 y 12 de  diciembre  del  mismo</w:t>
        <w:br/>
        <w:t>año, respectivamente.</w:t>
        <w:br/>
        <w:br/>
        <w:t>El 10 de marzo  de  2013  los  representantes  sometieron  al  Tribunal  una</w:t>
        <w:br/>
        <w:t>solicitud de interpretación de la Sentencia. Por un lado, señalaron  que  la</w:t>
        <w:br/>
        <w:t>“limitación territorial”[3] establecida por la Corte en el párrafo 56 de  la</w:t>
        <w:br/>
        <w:t>Sentencia “parece  contradecir  la  decisión  de  la  Corte  de  aplicar  el</w:t>
        <w:br/>
        <w:t>artículo 35.2 del Reglamento”. Por  lo  tanto,  consideraron  que  la  Corte</w:t>
        <w:br/>
        <w:t>debería aclarar  “las  contradicciones  que  surg[irían]  de  la  limitación</w:t>
        <w:br/>
        <w:t>territorial establecida en el párrafo 56 de su [S]entencia, en relación  con</w:t>
        <w:br/>
        <w:t>la obligación estatal de identificar a todas las víctimas  de  las  masacres</w:t>
        <w:br/>
        <w:t>que no fueron determinadas en la [S]entencia”. Por otra parte,  consideraron</w:t>
        <w:br/>
        <w:t>que, dado que la Corte ordenó al Estado que continuara con la  plena  puesta</w:t>
        <w:br/>
        <w:t>en funcionamiento del “Registro Único de Víctimas y Familiares  de  Víctimas</w:t>
        <w:br/>
        <w:t>de Graves Violaciones a los  Derechos  Humanos  durante  la  Masacre  de  El</w:t>
        <w:br/>
        <w:t>Mozote”, la limitación  territorial  establecida  en  la  Sentencia  “podría</w:t>
        <w:br/>
        <w:t>generar complicaciones durante el proceso de supervisión  de  esta  medida”.</w:t>
        <w:br/>
        <w:t>En consecuencia, solicitaron  a  la  Corte  que  aclarase  la  relación,  el</w:t>
        <w:br/>
        <w:t>sentido y el alcance entre el párrafo 56 de su Sentencia  y  la  elaboración</w:t>
        <w:br/>
        <w:t>de dicho Registro, de modo tal  que  “concluya  que  corresponde  al  Estado</w:t>
        <w:br/>
        <w:t>determinar, con base en las investigaciones que realice de  los  hechos  del</w:t>
        <w:br/>
        <w:t>caso y en el marco del Registro solicitado por la […] Corte,  quiénes  deben</w:t>
        <w:br/>
        <w:t>ser consideradas como  víctimas,  sin  que  las  limitaciones  territoriales</w:t>
        <w:br/>
        <w:t>expuestas  representen  un  obstáculo  para  ello”.  Agregaron  que   dichas</w:t>
        <w:br/>
        <w:t>aclaraciones servirían no sólo como medida de reparación para  las  víctimas</w:t>
        <w:br/>
        <w:t>al reconocerles como tales, sino que brindarían mayor certeza a  las  partes</w:t>
        <w:br/>
        <w:t>y  facilitarían  la  supervisión  del  fallo  al  quedar  establecidas,  con</w:t>
        <w:br/>
        <w:t>claridad, todas las medidas de  reparación  con  las  que  debe  cumplir  el</w:t>
        <w:br/>
        <w:t>Estado en este caso. Los representantes  acompañaron  a  dicho  escrito  dos</w:t>
        <w:br/>
        <w:t>anexos[4].</w:t>
        <w:br/>
        <w:br/>
        <w:t>El 18 de marzo de 2013, siguiendo instrucciones del Presidente de la  Corte,</w:t>
        <w:br/>
        <w:t>la  Secretaría  del  Tribunal  transmitió  la  referida  comunicación  a  la</w:t>
        <w:br/>
        <w:t>República de El Salvador (en adelante también “el Estado  salvadoreño”,  “el</w:t>
        <w:br/>
        <w:t>Estado” o “El Salvador”) y a la Comisión Interamericana de Derechos  Humanos</w:t>
        <w:br/>
        <w:t>(en adelante “la Comisión Interamericana” o  “la  Comisión”).  Asimismo,  se</w:t>
        <w:br/>
        <w:t>informó al Estado y a la Comisión Interamericana que podrían  presentar  los</w:t>
        <w:br/>
        <w:t>alegatos escritos que estimaran pertinentes, a más tardar el 18 de abril  de</w:t>
        <w:br/>
        <w:t>2013.</w:t>
        <w:br/>
        <w:br/>
        <w:t>El 18 de abril de 2013 el Estado y la Comisión  Interamericana  presentaron,</w:t>
        <w:br/>
        <w:t>respectivamente, sus alegatos con respecto a la solicitud de  interpretación</w:t>
        <w:br/>
        <w:t>de los representantes.</w:t>
        <w:br/>
        <w:br/>
        <w:br/>
        <w:t xml:space="preserve">                                     II</w:t>
        <w:br/>
        <w:t xml:space="preserve">                                 COMPETENCIA</w:t>
        <w:br/>
        <w:br/>
        <w:t>El artículo 67 de la Convención establece que:</w:t>
        <w:br/>
        <w:br/>
        <w:t xml:space="preserve">      [e]l fallo de la Corte  será  definitivo  e  inapelable.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t>De  conformidad  con  el  artículo  citado,  la  Corte  es  competente  para</w:t>
        <w:br/>
        <w:t>interpretar  sus  fallos.  Para  realizar  el  examen  de  la  solicitud  de</w:t>
        <w:br/>
        <w:t>interpretación y resolver lo que a este respecto  corresponda,  el  Tribunal</w:t>
        <w:br/>
        <w:t>debe tener, si es posible, la misma  composición  que  tenía  al  dictar  la</w:t>
        <w:br/>
        <w:t>Sentencia respectiva, de acuerdo con el artículo  68.3  del  Reglamento.  En</w:t>
        <w:br/>
        <w:t>esta ocasión, la Corte se  integra,  en  su  mayoría,  con  los  jueces  que</w:t>
        <w:br/>
        <w:t>dictaron la  Sentencia  cuya  interpretación  ha  sido  solicitada  por  los</w:t>
        <w:br/>
        <w:t>representantes.</w:t>
        <w:br/>
        <w:br/>
        <w:t xml:space="preserve">                                     III</w:t>
        <w:br/>
        <w:t xml:space="preserve">                                ADMISIBILIDAD</w:t>
        <w:br/>
        <w:br/>
        <w:t>Corresponde a  la  Corte  verificar  si  la  solicitud  presentada  por  los</w:t>
        <w:br/>
        <w:t>representantes  cumple  con  los  requisitos  establecidos  en  las   normas</w:t>
        <w:br/>
        <w:t>aplicables a una solicitud de  interpretación  de  Sentencia,  a  saber,  el</w:t>
        <w:br/>
        <w:t>artículo 67 de la Convención, anteriormente citado, y  el  artículo  68  del</w:t>
        <w:br/>
        <w:t>Reglamento que dispone, en lo pertinente, que:</w:t>
        <w:br/>
        <w:br/>
        <w:t xml:space="preserve">      1.    La solicitud de interpretación a que se refiere el  artículo  67</w:t>
        <w:br/>
        <w:t xml:space="preserve">      de la Convención podrá promoverse en relación con  las  sentencias  de</w:t>
        <w:br/>
        <w:t xml:space="preserve">      excepciones  preliminares,  fondo  o  reparaciones  y  costas   y   se</w:t>
        <w:br/>
        <w:t xml:space="preserve">      presentará en la Secretaría de  la  Corte  indicándose  en  ella,  con</w:t>
        <w:br/>
        <w:t xml:space="preserve">      precisión, las  cuestiones  relativas  al  sentido  o  alcance  de  la</w:t>
        <w:br/>
        <w:t xml:space="preserve">      sentencia cuya interpretación se pida.</w:t>
        <w:br/>
        <w:br/>
        <w:t xml:space="preserve">      […]</w:t>
        <w:br/>
        <w:br/>
        <w:t xml:space="preserve">      4.    La solicitud de interpretación no suspenderá la ejecución de  la</w:t>
        <w:br/>
        <w:t xml:space="preserve">      sentencia.</w:t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br/>
        <w:t>Asimismo, el artículo  31.3  del  Reglamento  establece  que  “[c]ontra  las</w:t>
        <w:br/>
        <w:t>sentencias  y  resoluciones  de  la  Corte  no  procede  ningún   medio   de</w:t>
        <w:br/>
        <w:t>impugnación”.</w:t>
        <w:br/>
        <w:br/>
        <w:t>La  Corte  observa  que  los  representantes  presentaron  su  solicitud  de</w:t>
        <w:br/>
        <w:t>interpretación de la Sentencia dentro del plazo de noventa días  establecido</w:t>
        <w:br/>
        <w:t>en el artículo 67 de la Convención, ya que la misma fue notificada el 10  de</w:t>
        <w:br/>
        <w:t>diciembre de 2012. Por ende, la solicitud resulta admisible  en  lo  que  se</w:t>
        <w:br/>
        <w:t>refiere al plazo de su presentación. En cuanto a los  demás  requisitos,  la</w:t>
        <w:br/>
        <w:t>Corte realizará el análisis  respectivo  al  examinar  el  contenido  de  la</w:t>
        <w:br/>
        <w:t>presente solicitud de interpretación en el próximo capítulo.</w:t>
        <w:br/>
        <w:br/>
        <w:t xml:space="preserve">                                     IV</w:t>
        <w:br/>
        <w:t xml:space="preserve">        ANÁLISIS DE LA PROCEDENCIA DE LA SOLICITUD DE INTERPRETACIÓN</w:t>
        <w:br/>
        <w:br/>
        <w:t>A continuación, el Tribunal analizará la  solicitud  de  los  representantes</w:t>
        <w:br/>
        <w:t>para determinar si, de acuerdo a la normativa (supra párrs. 5 y 7) y  a  los</w:t>
        <w:br/>
        <w:t>estándares desarrollados en su jurisprudencia, procede aclarar el sentido  o</w:t>
        <w:br/>
        <w:t>alcance de algún punto de la Sentencia  de  fondo,  reparaciones  y  costas.</w:t>
        <w:br/>
        <w:t>Para ello, examinará las cuestiones planteadas por los  representantes,  así</w:t>
        <w:br/>
        <w:t>como los alegatos presentados por el Estado y la Comisión, respectivamente.</w:t>
        <w:br/>
        <w:br/>
        <w:br/>
        <w:t xml:space="preserve">   Argumentos de las partes y de la Comisión</w:t>
        <w:br/>
        <w:br/>
        <w:t>Los   representantes   consideraron,   primeramente,   que   la   limitación</w:t>
        <w:br/>
        <w:t>territorial  establecida  en  el  párrafo  56  de   la   Sentencia   “parece</w:t>
        <w:br/>
        <w:t>contradecir la decisión  de  la  Corte  de  aplicar  el  artículo  35.2  del</w:t>
        <w:br/>
        <w:t>Reglamento”. Basaron tal afirmación en  los  siguientes  argumentos:  1)  la</w:t>
        <w:br/>
        <w:t>masividad de los hechos requería una flexibilidad  en  la  determinación  de</w:t>
        <w:br/>
        <w:t>las víctimas del caso y 2) el Estado reconoció que los hechos afectaron  los</w:t>
        <w:br/>
        <w:t>lugares expresamente excluidos por la Corte.</w:t>
        <w:br/>
        <w:br/>
        <w:t>En cuanto al primero, señalaron que las  masacres  afectaron  principalmente</w:t>
        <w:br/>
        <w:t>los lugares  señalados  en  la  Sentencia,  no  obstante,  por  su  carácter</w:t>
        <w:br/>
        <w:t>indiscriminado y masivo, las mismas no respetaron límites territoriales,  lo</w:t>
        <w:br/>
        <w:t>que explicaría por qué  en  los  listados  de  víctimas  aportados  por  los</w:t>
        <w:br/>
        <w:t>representantes se indicaba que algunas personas fallecieron en  los  lugares</w:t>
        <w:br/>
        <w:t>aledaños a éstos. Al respecto,  señalaron  que  los  lugares  que  la  Corte</w:t>
        <w:br/>
        <w:t>expresamente excluyó en  su  Sentencia  son:  1)  limítrofes,  o  bien,  muy</w:t>
        <w:br/>
        <w:t>cercanos a los sitios que el mismo Tribunal reconoció como escenarios de  la</w:t>
        <w:br/>
        <w:t>masacre, o 2) circunscripciones territoriales –cantones- en  las  que  están</w:t>
        <w:br/>
        <w:t>contenidos los caseríos. Sobre el  particular,  sostuvieron  que  parte  del</w:t>
        <w:br/>
        <w:t>caserío Los Toriles  (que  la  Corte  reconoció  que  fue  afectado  por  la</w:t>
        <w:br/>
        <w:t>masacre) se encuentra dentro del cantón  de  Tierra  Colorada  (expresamente</w:t>
        <w:br/>
        <w:t>excluido) y limita con el caserío El Pinalito  (expresamente  excluido),  el</w:t>
        <w:br/>
        <w:t>cual también forma parte del cantón de Tierra Colorada. Asimismo,  indicaron</w:t>
        <w:br/>
        <w:t>que los listados presentados “no hacen referencia al caserío La  Guacamaya”,</w:t>
        <w:br/>
        <w:t>sino que la referencia a “La Guacamaya” hecha en los  listados  “se  refiere</w:t>
        <w:br/>
        <w:t>al [c]antón que lleva este nombre”. Los representantes explicaron  que  ante</w:t>
        <w:br/>
        <w:t>la imposibilidad de determinar específicamente  el  lugar  exacto  –caserío-</w:t>
        <w:br/>
        <w:t>del cantón donde las víctimas fueron ejecutadas, en  los  listados  se  dejó</w:t>
        <w:br/>
        <w:t>“Tierra Colorada” y “Guacamaya”. Igualmente, especificaron  que  el  caserío</w:t>
        <w:br/>
        <w:t>El Pinalito es limítrofe con el caserío Los Toriles y “también fue  afectado</w:t>
        <w:br/>
        <w:t>por la masacre aunque en menor medida”. Además, aclararon que  Arambala  “no</w:t>
        <w:br/>
        <w:t>es un Departamento ni una cabecera municipal” sino que es “un municipio  del</w:t>
        <w:br/>
        <w:t>norte del Departamento Morazán”, es decir, “parte de la  zona  afectada  por</w:t>
        <w:br/>
        <w:t>la masacre”, y que dentro del Municipio de Arambala se  encuentran  ubicados</w:t>
        <w:br/>
        <w:t>el cantón de Tierra Colorada y algunos de  sus  caseríos.  No  obstante,  la</w:t>
        <w:br/>
        <w:t>referencia hecha a “Arambala” en  los  listados  presentados,  aludiría  “al</w:t>
        <w:br/>
        <w:t>pueblo (área  urbana)  de  Arambala”.  A  todo  ello,  se  sumaría  que  los</w:t>
        <w:br/>
        <w:t>representantes precisaron durante el procedimiento ante  la  Corte  que  las</w:t>
        <w:br/>
        <w:t>listas presentadas “son absolutamente imperfectas”. En lo que se refiere  al</w:t>
        <w:br/>
        <w:t>segundo argumento, advirtieron que, durante el procedimiento ante la  Corte,</w:t>
        <w:br/>
        <w:t>el Estado reconoció su responsabilidad sobre los hechos en varias  ocasiones</w:t>
        <w:br/>
        <w:t>y que en el marco de estas manifestaciones hizo  referencia  a  lugares  que</w:t>
        <w:br/>
        <w:t>fueron excluidos expresamente en la Sentencia.</w:t>
        <w:br/>
        <w:br/>
        <w:t>Por último, los representantes alegaron que, dado que  la  Corte  ordenó  al</w:t>
        <w:br/>
        <w:t>Estado que continuara con la plena puesta en  funcionamiento  del  “Registro</w:t>
        <w:br/>
        <w:t>Único de Víctimas y Familiares de  Víctimas  de  Graves  Violaciones  a  los</w:t>
        <w:br/>
        <w:t>Derechos  Humanos  durante  la  Masacre  de  El   Mozote”,   la   limitación</w:t>
        <w:br/>
        <w:t>territorial establecida  en  la  Sentencia  “podría  generar  complicaciones</w:t>
        <w:br/>
        <w:t>durante  el  proceso  de  supervisión  de  esta  medida”.  En  consecuencia,</w:t>
        <w:br/>
        <w:t>solicitaron a la Corte que aclare la  relación,  el  sentido  y  el  alcance</w:t>
        <w:br/>
        <w:t>entre el párrafo 56 de su Sentencia y la elaboración de dicho Registro.</w:t>
        <w:br/>
        <w:br/>
        <w:t>El Estado sostuvo que, en efecto, los hechos tuvieron una  dimensión  masiva</w:t>
        <w:br/>
        <w:t>y afectaron a poblaciones y personas que permanecían en  diversos  caseríos,</w:t>
        <w:br/>
        <w:t>cantones y municipios, especialmente en las  jurisdicciones  municipales  de</w:t>
        <w:br/>
        <w:t>Meanguera y Arambala, Departamento de Morazán. Asimismo,  confirmó  que  los</w:t>
        <w:br/>
        <w:t>límites de la división político administrativa de los territorios  afectados</w:t>
        <w:br/>
        <w:t>por las  masacres  son  de  difícil  determinación,  específicamente  en  lo</w:t>
        <w:br/>
        <w:t>relativo a lograr certeza sobre los lugares  exactos  donde  se  perpetraron</w:t>
        <w:br/>
        <w:t>las violaciones de los derechos humanos durante  los  hechos  objeto  de  la</w:t>
        <w:br/>
        <w:t>Sentencia. Agregó que, por tales  consideraciones,  los  reconocimientos  de</w:t>
        <w:br/>
        <w:t>responsabilidad internacional efectuados “tendían a situar  los  hechos  […]</w:t>
        <w:br/>
        <w:t>en un listado amplio de caseríos y cantones, sin restringirlos a un  listado</w:t>
        <w:br/>
        <w:t>cerrado o estrictamente delimitado”. Advirtió también que el  operativo  dio</w:t>
        <w:br/>
        <w:t>inicio en el poblado de Arambala y se desplazó a El Mozote  transitando  por</w:t>
        <w:br/>
        <w:t>el caserío El Pinalito, del cantón de Tierra Colorada. Asimismo, aclaró  que</w:t>
        <w:br/>
        <w:t>el propio caserío El Mozote está situado dentro  del  cantón  La  Guacamaya,</w:t>
        <w:br/>
        <w:t>del municipio de Meanguera. Sostuvo además que, a su entender, el  “Registro</w:t>
        <w:br/>
        <w:t>Único de Víctimas y Familiares de  Víctimas  de  Graves  Violaciones  a  los</w:t>
        <w:br/>
        <w:t>Derechos Humanos durante la Masacre  de  El  Mozote”  sería  la  herramienta</w:t>
        <w:br/>
        <w:t>técnica  y  el  procedimiento  idóneo  para  cumplir   con   la   obligación</w:t>
        <w:br/>
        <w:t>establecida en la Sentencia, consistente  en  la  “determinación  cierta  de</w:t>
        <w:br/>
        <w:t>otras personas que también deban ser consideradas víctimas y,  en  su  caso,</w:t>
        <w:br/>
        <w:t>beneficiarias de las reparaciones”.</w:t>
        <w:br/>
        <w:br/>
        <w:t>Finalmente, el Estado observó que, si bien  la  Corte  en  su  Sentencia  no</w:t>
        <w:br/>
        <w:t>incluyó a personas que habrían sufrido las violaciones alegadas  en  algunos</w:t>
        <w:br/>
        <w:t>lugares específicos, el Tribunal había  establecido  una  excepción  a  este</w:t>
        <w:br/>
        <w:t>criterio al establecer que “las personas que  habrían  sufrido  una  posible</w:t>
        <w:br/>
        <w:t>violación de sus derechos en dichos lugares no  serán  consideradas  por  la</w:t>
        <w:br/>
        <w:t>Corte como víctimas en el presente caso, salvo que de la  prueba  surja  que</w:t>
        <w:br/>
        <w:t>estas personas se encontraban en alguno de los lugares objeto  del  presente</w:t>
        <w:br/>
        <w:t>caso al momento de los hechos”. Al  respecto,  el  Estado  entendía  que  la</w:t>
        <w:br/>
        <w:t>Corte “consider[ó] posible el surgimiento de prueba posterior,  mediante  la</w:t>
        <w:br/>
        <w:t>cual se determine que los hechos violatorios declarados en  la  [S]entencia,</w:t>
        <w:br/>
        <w:t>también ha[bían] afecta[do]  a  personas  que  permanecían  en  los  lugares</w:t>
        <w:br/>
        <w:t>inicialmente excluidos en el párrafo  56  [del  Fallo],  lo  que  permitiría</w:t>
        <w:br/>
        <w:t>adquirir  a  tales  personas  la  calidad  de  víctimas  y  acceder  a   las</w:t>
        <w:br/>
        <w:t>reparaciones ordenadas”. Por tal razón, el Estado consideró que el  Registro</w:t>
        <w:br/>
        <w:t>Único de Víctimas  y  Familiares  de  Graves  Violaciones  de  los  Derechos</w:t>
        <w:br/>
        <w:t>Humanos durante la Masacre de El Mozote, permitía, dentro  de  los  términos</w:t>
        <w:br/>
        <w:t>de la Sentencia, “la inclusión y determinación de la calidad de  víctimas  a</w:t>
        <w:br/>
        <w:t>personas y familiares que  sufrieron  graves  violaciones  de  los  derechos</w:t>
        <w:br/>
        <w:t>humanos […] aún en el caso que tales  hechos  se  hayan  perpetrado  en  los</w:t>
        <w:br/>
        <w:t>sitios de caserío El Pinalito, el cantón  Tierra  Colorada,  el  poblado  de</w:t>
        <w:br/>
        <w:t>Arambala, el cantón Guacamaya u otros sitios colindantes  con  los  caseríos</w:t>
        <w:br/>
        <w:t>expresamente  declarados  como  lugares  afectados  por   la   […]   Corte”.</w:t>
        <w:br/>
        <w:t>Finalmente, el Estado consideró que  la  exclusión  de  ciertos  caseríos  y</w:t>
        <w:br/>
        <w:t>lugares en la Sentencia “no debe entenderse como absoluta”, y  manifestó  su</w:t>
        <w:br/>
        <w:t>disposición de considerar incluidas en la Sentencia  a  víctimas  de  graves</w:t>
        <w:br/>
        <w:t>violaciones a los derechos humanos declaradas por  la  Corte,  quienes  sean</w:t>
        <w:br/>
        <w:t>individualizadas con  suficiente  certeza  en  el  futuro  y  hubiesen  sido</w:t>
        <w:br/>
        <w:t>vulneradas en el poblado de Arambala, en el caserío El  Pinalito  y  en  los</w:t>
        <w:br/>
        <w:t>cantones Tierra Colorada y Guacamaya.</w:t>
        <w:br/>
        <w:br/>
        <w:t>La Comisión recordó que el marco fáctico del caso se constituye con base  en</w:t>
        <w:br/>
        <w:t>los hechos establecidos en el informe de fondo que,  en  este  caso,  estaba</w:t>
        <w:br/>
        <w:t>compuesto por el propio  informe  y  tres  anexos  en  los  cuales  se  hizo</w:t>
        <w:br/>
        <w:t>referencia a las localidades identificadas  por  los  representantes  en  su</w:t>
        <w:br/>
        <w:t>solicitud. En uno de dichos anexos se había  incluido  a  “víctimas  de  las</w:t>
        <w:br/>
        <w:t>localidades de Tierra Colorada,  Arambala,  El  Pinalito  y  Guacamaya”.  Al</w:t>
        <w:br/>
        <w:t>respecto,  indicó  que  la  Comisión  tuvo  en   consideración   que   estas</w:t>
        <w:br/>
        <w:t>localidades son aledañas, o bien, hacen parte  de  los  siete  cantones  y/o</w:t>
        <w:br/>
        <w:t>caseríos mencionados principalmente  en  el  informe  de  fondo  y  que,  en</w:t>
        <w:br/>
        <w:t>atención al carácter masivo e  indiscriminado  de  las  masacres,  incorporó</w:t>
        <w:br/>
        <w:t>estas localidades en su anexo como parte del marco fáctico en lo relativo  a</w:t>
        <w:br/>
        <w:t>la  identificación  de  las  víctimas.  De  igual  modo,  recordó  “que   el</w:t>
        <w:br/>
        <w:t>allanamiento total formulado por el Estado […]  incorporó  la  totalidad  de</w:t>
        <w:br/>
        <w:t>los  hechos  y  de  las  consideraciones  de  derecho  del  informe  de   la</w:t>
        <w:br/>
        <w:t>[Comisión]”, el cual estaba compuesto por los referidos tres anexos. En  tal</w:t>
        <w:br/>
        <w:t>virtud, consideró relevante que la Corte aclare esta cuestión,  pues  podría</w:t>
        <w:br/>
        <w:t>tener implicaciones de gran importancia en cuanto  a  la  identificación  de</w:t>
        <w:br/>
        <w:t>las víctimas del caso  y  el  otorgamiento  de  reparaciones,  especialmente</w:t>
        <w:br/>
        <w:t>respecto de la implementación del Registro Único de Víctimas de  manera  que</w:t>
        <w:br/>
        <w:t>sea compatible con la naturaleza excepcional del presente caso.</w:t>
        <w:br/>
        <w:br/>
        <w:t xml:space="preserve">   Consideraciones de la Corte</w:t>
        <w:br/>
        <w:br/>
        <w:t>Para analizar la procedencia de  la  solicitud  de  los  representantes,  el</w:t>
        <w:br/>
        <w:t>Tribunal toma  en  consideración  su  jurisprudencia  constante,  claramente</w:t>
        <w:br/>
        <w:t>sustentada en el ordenamiento aplicable, en cuanto a que  una  solicitud  de</w:t>
        <w:br/>
        <w:t>interpretación de sentencia no puede utilizarse como  medio  de  impugnación</w:t>
        <w:br/>
        <w:t>de la decisión cuya interpretación se requiere. Dicha solicitud  tiene  como</w:t>
        <w:br/>
        <w:t>objeto, exclusivamente, determinar el sentido de un fallo cuando  alguna  de</w:t>
        <w:br/>
        <w:t>las partes sostiene que  el  texto  de  sus  puntos  resolutivos  o  de  sus</w:t>
        <w:br/>
        <w:t>consideraciones carece de  claridad  o  precisión,  siempre  y  cuando  esas</w:t>
        <w:br/>
        <w:t>consideraciones incidan en dicha parte resolutiva[5]. Por lo  tanto,  no  se</w:t>
        <w:br/>
        <w:t>puede pedir la modificación o anulación de la sentencia respectiva a  través</w:t>
        <w:br/>
        <w:t>de una solicitud de interpretación[6].</w:t>
        <w:br/>
        <w:br/>
        <w:t>Adicionalmente, el Tribunal ha sostenido la improcedencia  de  utilizar  una</w:t>
        <w:br/>
        <w:t>solicitud de interpretación para someter cuestiones de hecho  y  de  derecho</w:t>
        <w:br/>
        <w:t>que ya fueron planteadas en su oportunidad procesal y sobre  las  cuales  la</w:t>
        <w:br/>
        <w:t>Corte ya adoptó una decisión[7], así como para  pretender  que  el  Tribunal</w:t>
        <w:br/>
        <w:t>valore nuevamente cuestiones que ya  han  sido  resueltas  por  éste  en  su</w:t>
        <w:br/>
        <w:t>Sentencia[8]. De igual manera, por esta vía tampoco se  puede  intentar  que</w:t>
        <w:br/>
        <w:t>se amplíe el alcance de una medida de reparación ordenada  oportunamente[9].</w:t>
        <w:br/>
        <w:t>Por  otro  lado,  la  Corte  también  ha  señalado  que  la  formulación  de</w:t>
        <w:br/>
        <w:t>situaciones abstractas o hipotéticas no tiene relación alguna con el  objeto</w:t>
        <w:br/>
        <w:t>de una solicitud de interpretación de Sentencia[10].</w:t>
        <w:br/>
        <w:br/>
        <w:t>Respecto a la determinación de las víctimas en  el  presente  caso  y  a  la</w:t>
        <w:br/>
        <w:t>aplicación del artículo 35.2 del Reglamento[11], la Corte desarrolló en  los</w:t>
        <w:br/>
        <w:t>párrafos 51, 56 y 57 de la Sentencia los siguientes criterios:</w:t>
        <w:br/>
        <w:br/>
        <w:t xml:space="preserve">      51.    El  Tribunal   constata   que   es   complejo   identificar   e</w:t>
        <w:br/>
        <w:t xml:space="preserve">      individualizar a cada una de las presuntas víctimas, en  razón  de  la</w:t>
        <w:br/>
        <w:t xml:space="preserve">      magnitud del presente caso, que trata sobre  masacres  perpetradas  en</w:t>
        <w:br/>
        <w:t xml:space="preserve">      siete lugares diferentes,  de  la  naturaleza  de  los  hechos  y  las</w:t>
        <w:br/>
        <w:t xml:space="preserve">      circunstancias que rodearon las mismas, y del tiempo transcurrido. Por</w:t>
        <w:br/>
        <w:t xml:space="preserve">      ello, considera razonable aplicar el artículo 35.2 del Reglamento  del</w:t>
        <w:br/>
        <w:t xml:space="preserve">      Tribunal al presente caso.</w:t>
        <w:br/>
        <w:br/>
        <w:t xml:space="preserve">      […]</w:t>
        <w:br/>
        <w:br/>
        <w:t xml:space="preserve">      56.   Por otra parte, el Tribunal  observa  que,  en  términos  de  lo</w:t>
        <w:br/>
        <w:t xml:space="preserve">      manifestado por los representantes sobre que  la  columna  “ubicación”</w:t>
        <w:br/>
        <w:t xml:space="preserve">      utilizada en sus listados correspondería a “la ubicación en la que las</w:t>
        <w:br/>
        <w:t xml:space="preserve">      víctimas fueron  ejecutadas  específicamente”  […],  algunas  personas</w:t>
        <w:br/>
        <w:t xml:space="preserve">      incluidas en los listados habrían sido víctimas  de  ejecución  en  la</w:t>
        <w:br/>
        <w:t xml:space="preserve">      cabecera departamental de Arambala, el cantón de Tierra  Colorada,  el</w:t>
        <w:br/>
        <w:t xml:space="preserve">      caserío El Pinalito y el caserío La Guacamaya. Sin embargo,  el  marco</w:t>
        <w:br/>
        <w:t xml:space="preserve">      fáctico del presente caso no incluye hechos que  habrían  ocurrido  en</w:t>
        <w:br/>
        <w:t xml:space="preserve">      estos lugares. Por ende, las personas que habrían sufrido una  posible</w:t>
        <w:br/>
        <w:t xml:space="preserve">      violación de sus derechos en dichos lugares no serán consideradas  por</w:t>
        <w:br/>
        <w:t xml:space="preserve">      la Corte como víctimas en el presente caso, salvo  que  de  la  prueba</w:t>
        <w:br/>
        <w:t xml:space="preserve">      surja que estas personas se  encontraban  en  alguno  de  los  lugares</w:t>
        <w:br/>
        <w:t xml:space="preserve">      objeto del presente caso al momento de los hechos.</w:t>
        <w:br/>
        <w:br/>
        <w:t xml:space="preserve">      57.   Considerando que no existe oposición del Estado para que otras</w:t>
        <w:br/>
        <w:t xml:space="preserve">      personas más allá de las indicadas por la Comisión sean incluidas como</w:t>
        <w:br/>
        <w:t xml:space="preserve">      presuntas víctimas, en atención a las particularidades del presente</w:t>
        <w:br/>
        <w:t xml:space="preserve">      caso, el Tribunal tendrá como víctimas a aquellas personas</w:t>
        <w:br/>
        <w:t xml:space="preserve">      identificadas e individualizadas por la Comisión en sus listados</w:t>
        <w:br/>
        <w:t xml:space="preserve">      anexos al informe de fondo y/o por los representantes en sus listados</w:t>
        <w:br/>
        <w:t xml:space="preserve">      anexos a su escrito de alegatos finales, que hayan sufrido alguna</w:t>
        <w:br/>
        <w:t xml:space="preserve">      violación de derechos humanos en el marco de las masacres en el</w:t>
        <w:br/>
        <w:t xml:space="preserve">      caserío El Mozote, el cantón La Joya, los caseríos Ranchería, Los</w:t>
        <w:br/>
        <w:t xml:space="preserve">      Toriles y Jocote Amarillo, el cantón Cerro Pando y una cueva del Cerro</w:t>
        <w:br/>
        <w:t xml:space="preserve">      Ortiz, siempre que el Tribunal cuente con la prueba necesaria para</w:t>
        <w:br/>
        <w:t xml:space="preserve">      verificar la identidad de cada una de esas personas. En base a estos</w:t>
        <w:br/>
        <w:t xml:space="preserve">      criterios y a la prueba que ha sido allegada, esta Corte ha podido</w:t>
        <w:br/>
        <w:t xml:space="preserve">      determinar un número de víctimas que es singularmente menor al de los</w:t>
        <w:br/>
        <w:t xml:space="preserve">      listados aportados. Sin perjuicio de lo anterior y habida cuenta de</w:t>
        <w:br/>
        <w:t xml:space="preserve">      que el propio Estado aportó un listado de 936 víctimas</w:t>
        <w:br/>
        <w:t xml:space="preserve">      individualizadas, la Corte considera imprescindible que, en el marco</w:t>
        <w:br/>
        <w:t xml:space="preserve">      del Registro Único de Víctimas que se encuentra desarrollando […],</w:t>
        <w:br/>
        <w:t xml:space="preserve">      éste proceda a la determinación cierta de otras personas que también</w:t>
        <w:br/>
        <w:t xml:space="preserve">      deban ser consideradas víctimas y, en su caso, beneficiarias de las</w:t>
        <w:br/>
        <w:t xml:space="preserve">      reparaciones que el Tribunal ordene. […]</w:t>
        <w:br/>
        <w:br/>
        <w:br/>
        <w:t>Ahora bien, en el marco de la solitud de  interpretación  de  la  Sentencia,</w:t>
        <w:br/>
        <w:t>los representantes, el Estado y la Comisión  se  han  referido  al  carácter</w:t>
        <w:br/>
        <w:t>masivo e indiscriminado de las masacres,  así  como  a  la  complejidad  que</w:t>
        <w:br/>
        <w:t>presentan  los  límites  de  la  división  político  administrativa  de  los</w:t>
        <w:br/>
        <w:t>territorios y han indicado que parte de las  localidades  excluidas  por  la</w:t>
        <w:br/>
        <w:t>Corte en su Sentencia “son limítrofes, aledañas o hacen parte de  los  siete</w:t>
        <w:br/>
        <w:t>lugares de la masacre especificados en la  Sentencia”.  La  Corte  considera</w:t>
        <w:br/>
        <w:t>que, a través de la solicitud de los representantes  y  del  alegato  de  la</w:t>
        <w:br/>
        <w:t>Comisión, se busca que se consideren incluidos dentro del marco fáctico  del</w:t>
        <w:br/>
        <w:t>caso, a los fines de la determinación de víctimas,  lugares  tales  como  el</w:t>
        <w:br/>
        <w:t>Cantón de Tierra Colorada, el Caserío El Pinalito, el Cantón Guacamaya y  el</w:t>
        <w:br/>
        <w:t>pueblo de Arambala, lo cual implicaría una modificación de lo  dispuesto  en</w:t>
        <w:br/>
        <w:t>el párrafo 56 de la Sentencia,  en  el  que  se  explicita  que:  “el  marco</w:t>
        <w:br/>
        <w:t>fáctico del presente caso no incluye hechos que habrían ocurrido […]  en  la</w:t>
        <w:br/>
        <w:t>cabecera departamental  de  Arambala,  el  cantón  de  Tierra  Colorada,  el</w:t>
        <w:br/>
        <w:t>caserío El Pinalito y el caserío La  Guacamaya”.  En  definitiva,  la  Corte</w:t>
        <w:br/>
        <w:t>advierte que, bajo la apariencia de una solicitud de interpretación,  en  el</w:t>
        <w:br/>
        <w:t>fondo se plantea una discrepancia con lo resuelto por la Corte, a través  de</w:t>
        <w:br/>
        <w:t>una valoración de cuestiones de hecho y de derecho que ya fueron  planteadas</w:t>
        <w:br/>
        <w:t>en su oportunidad procesal y  sobre  las  cuales  este  Tribunal  ya  adoptó</w:t>
        <w:br/>
        <w:t>decisión. Ello constituiría una modificación de lo que fue dispuesto  en  el</w:t>
        <w:br/>
        <w:t>párrafo 56 de la Sentencia. Aunado a lo anterior, es  de  notar  que  en  su</w:t>
        <w:br/>
        <w:t>solicitud de interpretación los representantes no  identificaron  a  persona</w:t>
        <w:br/>
        <w:t>alguna  que  hubiera  sido  excluida  en  su  calidad  de  víctima  por  las</w:t>
        <w:br/>
        <w:t>consideraciones vertidas en el párrafo 56 de la Sentencia. La Corte  reitera</w:t>
        <w:br/>
        <w:t>que la formulación  de  situaciones  abstractas  o  hipotéticas  no  guardan</w:t>
        <w:br/>
        <w:t>relación alguna  con  el  objeto  de  una  solicitud  de  interpretación  de</w:t>
        <w:br/>
        <w:t>Sentencia. Por ende, se declara inadmisible la solicitud  de  interpretación</w:t>
        <w:br/>
        <w:t>en este extremo, toda vez que no existe la posibilidad de que el  fallo  sea</w:t>
        <w:br/>
        <w:t>modificado o ampliado, de conformidad con los artículos 67 de la  Convención</w:t>
        <w:br/>
        <w:t>Americana y 31.3 y 68 de su Reglamento[12].</w:t>
        <w:br/>
        <w:br/>
        <w:t>Sin perjuicio de lo resuelto anteriormente,  tomando  en  consideración  que</w:t>
        <w:br/>
        <w:t>uno de los requisitos de admisibilidad de una  solicitud  de  interpretación</w:t>
        <w:br/>
        <w:t>es que debe buscar claridad o precisión de  los  puntos  resolutivos  de  la</w:t>
        <w:br/>
        <w:t>sentencia o de consideraciones que inciden en la parte resolutiva del  fallo</w:t>
        <w:br/>
        <w:t>(supra párr. 17),  la  Corte  estima  pertinente  proceder  a  analizar  las</w:t>
        <w:br/>
        <w:t>consideraciones presentadas por los representantes que guardan relación  con</w:t>
        <w:br/>
        <w:t>la implementación del “Registro Único de Víctimas y Familiares  de  Víctimas</w:t>
        <w:br/>
        <w:t>de Graves Violaciones a los  Derechos  Humanos  durante  la  Masacre  de  El</w:t>
        <w:br/>
        <w:t>Mozote”, a partir de lo dispuesto en la Sentencia y dada la complejidad  que</w:t>
        <w:br/>
        <w:t>presenta determinar quiénes deben  ser  consideradas  como  víctimas  en  el</w:t>
        <w:br/>
        <w:t>marco de dicho mecanismo.</w:t>
        <w:br/>
        <w:br/>
        <w:t>Sobre este aspecto, los representantes  señalaron,  por  un  lado,  que  las</w:t>
        <w:br/>
        <w:t>limitaciones territoriales establecidas en el párrafo  56  de  la  Sentencia</w:t>
        <w:br/>
        <w:t>“s[erían] incompatibles con el carácter indiscriminado  de  las  masacres  y</w:t>
        <w:br/>
        <w:t>con la decisión [del Tribunal] de aplicar  lo  establecido  en  el  artículo</w:t>
        <w:br/>
        <w:t>35.2  de  su  [R]eglamento,  así  como  con  la  obligación  del  Estado  de</w:t>
        <w:br/>
        <w:t>identificar a todas las víctimas de los hechos que  no  fueron  determinadas</w:t>
        <w:br/>
        <w:t>por el Tribunal”. Por otra  parte,  se  refirieron  a  la  determinación  de</w:t>
        <w:br/>
        <w:t>víctimas a nivel  interno  a  través  del  “Registro  Único  de  Víctimas  y</w:t>
        <w:br/>
        <w:t>Familiares de Víctimas de Graves Violaciones a los Derechos Humanos  durante</w:t>
        <w:br/>
        <w:t>la Masacre de El Mozote” y estimaron  pertinente  que  la  Corte  emita  una</w:t>
        <w:br/>
        <w:t>aclaración sobre el  alcance  de  la  obligación  estatal  en  cuanto  a  la</w:t>
        <w:br/>
        <w:t>implementación de esta medida.</w:t>
        <w:br/>
        <w:br/>
        <w:t>En tal virtud, este Tribunal  procederá  seguidamente  a  analizar  los  dos</w:t>
        <w:br/>
        <w:t>grupos de argumentos presentados por los representantes en el  marco  de  la</w:t>
        <w:br/>
        <w:t>solicitud de interpretación y, en su caso, a  realizar  las  aclaraciones  y</w:t>
        <w:br/>
        <w:t>precisiones pertinentes a fin de coadyuvar a la efectiva  implementación  de</w:t>
        <w:br/>
        <w:t>las medidas de reparación ordenadas en la Sentencia, sin ampliar el  alcance</w:t>
        <w:br/>
        <w:t>de dichas medidas. Simplemente, se estaría aclarando la formulación  de  sus</w:t>
        <w:br/>
        <w:t>consideraciones y despojando las dudas sobre su original alcance,  según  lo</w:t>
        <w:br/>
        <w:t>decidido por el Tribunal, lo cual se recuerda  es  definitivo  e  inapelable</w:t>
        <w:br/>
        <w:t>(supra párr. 5). A tal fin dividirá su análisis en dos, respecto  a:  a)  la</w:t>
        <w:br/>
        <w:t>delimitación territorial establecida en el párrafo 56 de la  Sentencia  para</w:t>
        <w:br/>
        <w:t>la determinación de víctimas, y b) el deber del Estado de  determinar  otras</w:t>
        <w:br/>
        <w:t>personas que deben ser consideradas como víctimas en el marco del  “Registro</w:t>
        <w:br/>
        <w:t>Único de Víctimas y Familiares de  Víctimas  de  Graves  Violaciones  a  los</w:t>
        <w:br/>
        <w:t>Derechos Humanos durante la Masacre de El Mozote”.</w:t>
        <w:br/>
        <w:br/>
        <w:br/>
        <w:br/>
        <w:t xml:space="preserve">      A. Delimitación territorial establecida en el párrafo 56 de la</w:t>
        <w:br/>
        <w:t xml:space="preserve">         Sentencia para la determinación de víctimas</w:t>
        <w:br/>
        <w:br/>
        <w:t>El cuanto a la alegada contradicción sostenida por los representantes  entre</w:t>
        <w:br/>
        <w:t>la aplicación al caso del artículo 35.2 del Reglamento  y  la  determinación</w:t>
        <w:br/>
        <w:t>del criterio territorial contenido en el párrafo 56 de  la  Sentencia,  este</w:t>
        <w:br/>
        <w:t>Tribunal  estima  pertinente  recordar   que   dicha   norma   reglamentaria</w:t>
        <w:br/>
        <w:t>constituye una excepción al impedimento que pesa  sobre  los  representantes</w:t>
        <w:br/>
        <w:t>de añadir  a  conocimiento  de  la  Corte  presuntas  víctimas  distintas  a</w:t>
        <w:br/>
        <w:t>aquellas identificadas en el informe de fondo de la Comisión[13]. Es  decir,</w:t>
        <w:br/>
        <w:t>otorga a la Corte la potestad de decidir  si  va  a  considerar  víctimas  a</w:t>
        <w:br/>
        <w:t>personas no incluidas en  el  informe  de  fondo  en  casos  de  violaciones</w:t>
        <w:br/>
        <w:t>masivas  o  colectivas.  La  circunstancia  excepcional  contemplada  en  el</w:t>
        <w:br/>
        <w:t>artículo 35.2 del Reglamento de la Corte  de  modo  alguno  implica  que  no</w:t>
        <w:br/>
        <w:t>existirá ningún criterio para la identificación cierta de  las  víctimas  de</w:t>
        <w:br/>
        <w:t>un caso  ante  la  Corte[14]  ni  que  las  dificultades  suscitadas  en  el</w:t>
        <w:br/>
        <w:t>procedimiento  ante  la  Comisión  para  identificar  a  alguna  o   algunas</w:t>
        <w:br/>
        <w:t>presuntas víctimas deba quedar sin decisión  en  el  procedimiento  ante  el</w:t>
        <w:br/>
        <w:t>Tribunal[15]. Por el contrario, lo que corresponde al Tribunal en  ejercicio</w:t>
        <w:br/>
        <w:t>de su función jurisdiccional y en aras de mantener la seguridad jurídica  es</w:t>
        <w:br/>
        <w:t>adoptar una decisión sobre el  caso  al  emitir  su  fallo,  incluyendo  las</w:t>
        <w:br/>
        <w:t>personas a quienes considerará víctimas o,  en  su  defecto,  los  criterios</w:t>
        <w:br/>
        <w:t>para su determinación.</w:t>
        <w:br/>
        <w:br/>
        <w:t>La Corte recuerda que, al emitir su fallo en el presente caso determinó,  en</w:t>
        <w:br/>
        <w:t>aplicación  del  artículo  35.2  del  Reglamento,  el  cual  establece   que</w:t>
        <w:br/>
        <w:t>“[c]uando se justificare que no fue posible identificar a alguna  o  algunas</w:t>
        <w:br/>
        <w:t>presuntas víctimas  de  los  hechos  del  caso  por  tratarse  de  casos  de</w:t>
        <w:br/>
        <w:t>violaciones masivas o colectivas, el Tribunal decidirá en su oportunidad  si</w:t>
        <w:br/>
        <w:t>las considera víctimas”, y en razón de que no existía oposición  del  Estado</w:t>
        <w:br/>
        <w:t>para que otras personas más allá de  las  indicadas  por  la  Comisión  sean</w:t>
        <w:br/>
        <w:t>incluidas como presuntas víctimas, que el  universo  de  presuntas  víctimas</w:t>
        <w:br/>
        <w:t>iba  a   estar   constituido   por   aquellas   personas   identificadas   e</w:t>
        <w:br/>
        <w:t>individualizadas por la Comisión en sus listados anexos al informe de  fondo</w:t>
        <w:br/>
        <w:t>y/o por los representantes en sus listados anexos a su escrito  de  alegatos</w:t>
        <w:br/>
        <w:t>finales.</w:t>
        <w:br/>
        <w:br/>
        <w:t>Al respecto, es conveniente recordar que los listados de presuntas  víctimas</w:t>
        <w:br/>
        <w:t>y familiares aportadas por la Comisión  y  los  representantes  diferían  en</w:t>
        <w:br/>
        <w:t>cuanto a que los listados de los representantes incluyeron  a  más  personas</w:t>
        <w:br/>
        <w:t>que los de la Comisión y en estos últimos  se  encontraron  nombres  que  no</w:t>
        <w:br/>
        <w:t>figuraron   en   los   primeros.   Además,   dichos   listados   presentaron</w:t>
        <w:br/>
        <w:t>inconsistencias respecto a los nombres, edades,  relación  de  parentesco  y</w:t>
        <w:br/>
        <w:t>ubicación  de  las  personas  que  se  mencionaban  como  sobrevivientes   y</w:t>
        <w:br/>
        <w:t>desplazadas[16].</w:t>
        <w:br/>
        <w:br/>
        <w:t>En razón de lo anterior,  durante  la  audiencia  pública  realizada  en  el</w:t>
        <w:br/>
        <w:t>presente  caso,  expresamente  se  solicitó  a   la   Comisión   y   a   los</w:t>
        <w:br/>
        <w:t>representantes información sobre el punto y se brindó la oportunidad en  sus</w:t>
        <w:br/>
        <w:t>alegatos  y  observaciones  finales  escritos,  respectivamente,  para   que</w:t>
        <w:br/>
        <w:t>allegaran la información y documentación  que  consideraran  pertinente[17].</w:t>
        <w:br/>
        <w:t>El Tribunal tuvo en cuenta las respuestas proporcionadas al  resolver  sobre</w:t>
        <w:br/>
        <w:t>el tema. Además, el Tribunal solicitó específicamente a  los  representantes</w:t>
        <w:br/>
        <w:t>que explicaran el significado del término “ubicación” que se  encontraba  en</w:t>
        <w:br/>
        <w:t>sus listados de víctimas, esto es, si dicho término se refería al origen  de</w:t>
        <w:br/>
        <w:t>las víctimas, o bien, al lugar en donde fueron presuntamente  ejecutadas,  a</w:t>
        <w:br/>
        <w:t>lo cual contestaron que se referían “a la ubicación en la que  las  víctimas</w:t>
        <w:br/>
        <w:t>fueron ejecutadas  específicamente”[18].  A  pesar  que  los  representantes</w:t>
        <w:br/>
        <w:t>contaron  con   varias   oportunidades   procesales   para   incorporar   la</w:t>
        <w:br/>
        <w:t>documentación e  información  que  consideraran  pertinente,  fue  recién  a</w:t>
        <w:br/>
        <w:t>través  de  su  solicitud  de  interpretación  que  remitieron  los   anexos</w:t>
        <w:br/>
        <w:t>identificados como “mapa con identificación  de  la  zona  afectada  por  la</w:t>
        <w:br/>
        <w:t>masacre” y “mapa del Municipio de Arambala”. Al respecto, cabe señalar  que:</w:t>
        <w:br/>
        <w:t>a) dicha información fue remitida por primera vez junto con la solicitud  de</w:t>
        <w:br/>
        <w:t>interpretación; b) no se refiere a hechos supervinientes,  y  c)  no  fueron</w:t>
        <w:br/>
        <w:t>presentados argumentos sobre fuerza mayor o impedimento grave  al  respecto.</w:t>
        <w:br/>
        <w:t>Es decir, no fue presentada en la etapa procesal oportuna del  procedimiento</w:t>
        <w:br/>
        <w:t>de fondo. Es pertinente señalar también que, tal como fueron  remitidos,  no</w:t>
        <w:br/>
        <w:t>resulta posible verificar que los mapas aportados correspondan  a  la  época</w:t>
        <w:br/>
        <w:t>de los hechos del caso.</w:t>
        <w:br/>
        <w:br/>
        <w:t>Ahora bien, para la determinación cierta de las víctimas de las  violaciones</w:t>
        <w:br/>
        <w:t>de derechos humanos establecidas en la Sentencia, la Corte  tuvo  en  cuenta</w:t>
        <w:br/>
        <w:t>el  relato  de  los  hechos  probados  sobre  los  lugares  en  los  que  se</w:t>
        <w:br/>
        <w:t>perpetraron las masacres, de acuerdo a  lo  establecido  en  el  informe  de</w:t>
        <w:br/>
        <w:t>fondo de la Comisión, y la prueba allegada hasta ese momento por las  partes</w:t>
        <w:br/>
        <w:t>y la Comisión en el proceso. En efecto, en su informe de fondo  la  Comisión</w:t>
        <w:br/>
        <w:t>describió, dentro de los hechos del caso y bajo el  título  “Las  masacres”,</w:t>
        <w:br/>
        <w:t>que “[e]l caserío de El Mozote, el cantón La Joya, los  caseríos  Ranchería,</w:t>
        <w:br/>
        <w:t>Los Toriles y Jocote Amarillo, y al cantón Cerro Pando, localidades  en  las</w:t>
        <w:br/>
        <w:t>cuales ocurrieron los hechos del presente caso, se  encuentran  ubicadas  en</w:t>
        <w:br/>
        <w:t>la jurisdicción da Meanguera, al  norte  del  departamento  de  Morazán,  El</w:t>
        <w:br/>
        <w:t>Salvador”[19].</w:t>
        <w:br/>
        <w:br/>
        <w:t>Sin embargo, en el trámite de esta solicitud de interpretación  la  Comisión</w:t>
        <w:br/>
        <w:t>ha argumentado que, en uno de los listados  presentados  como  anexos  a  su</w:t>
        <w:br/>
        <w:t>escrito de sometimiento del caso, se  había  incluido  a  “víctimas  de  las</w:t>
        <w:br/>
        <w:t>localidades de Tierra Colorada, Arambala, El Pinalito y  Guacamaya”,  y  que</w:t>
        <w:br/>
        <w:t>dicho anexo hace parte del marco fáctico del caso. Sobre el  particular,  es</w:t>
        <w:br/>
        <w:t>importante notar que, si bien en el escrito  de  sometimiento  del  caso  se</w:t>
        <w:br/>
        <w:t>incluyeron tres anexos al informe de  fondo,  y  que  en  dos  de  ellos  se</w:t>
        <w:br/>
        <w:t>mencionan dichos lugares en una columna identificada  como  “ubicación”,  lo</w:t>
        <w:br/>
        <w:t>cierto es que durante el procedimiento de fondo  ante  la  Corte  en  ningún</w:t>
        <w:br/>
        <w:t>momento la Comisión se refirió  a  las  circunstancias  en  que  se  habrían</w:t>
        <w:br/>
        <w:t>desarrollado los hechos enmarcados en los referidos lugares  ni  explicó  la</w:t>
        <w:br/>
        <w:t>relación entre dicha información contenida en los listados con los hechos  y</w:t>
        <w:br/>
        <w:t>violaciones declaradas en su informe de fondo. El  argumento  de  que  estas</w:t>
        <w:br/>
        <w:t>localidades son aledañas o  hacen  parte  de  los  lugares  en  los  que  se</w:t>
        <w:br/>
        <w:t>perpetraron las masacres, fue presentado por la Comisión recién en el  marco</w:t>
        <w:br/>
        <w:t>de la solicitud de interpretación.</w:t>
        <w:br/>
        <w:br/>
        <w:t>Así pues, la Corte tuvo como víctimas a aquellas  personas  identificadas  e</w:t>
        <w:br/>
        <w:t>individualizadas  por  la  Comisión  y/o  por  los  representantes  en   sus</w:t>
        <w:br/>
        <w:t>listados, que sufrieron alguna violación de derechos humanos en el marco  de</w:t>
        <w:br/>
        <w:t>las masacres en el caserío El  Mozote,  el  cantón  La  Joya,  los  caseríos</w:t>
        <w:br/>
        <w:t>Ranchería, Los Toriles y Jocote Amarillo, el cantón Cerro Pando y una  cueva</w:t>
        <w:br/>
        <w:t>del Cerro Ortiz, siempre que el Tribunal contara  con  la  prueba  necesaria</w:t>
        <w:br/>
        <w:t>para verificar la identidad de cada una de esas personas. De  acuerdo  a  la</w:t>
        <w:br/>
        <w:t>división política administrativa  del  territorio  de  la  República  de  El</w:t>
        <w:br/>
        <w:t>Salvador, la Corte  tuvo  en  cuenta  para  los  lugares  indicados  por  la</w:t>
        <w:br/>
        <w:t>Comisión  como  cantones  (La  Joya  y  Cerro  Pando)  toda   la   extensión</w:t>
        <w:br/>
        <w:t>territorial, de modo tal  que  incluyó  a  todos  los  poblados  y  caseríos</w:t>
        <w:br/>
        <w:t>pertenecientes al mismo como parte  del  marco  fáctico,  de  acuerdo  a  la</w:t>
        <w:br/>
        <w:t>prueba provista. En forma distinta, en cuanto a aquellos  lugares  indicados</w:t>
        <w:br/>
        <w:t>en el informe de fondo específicamente como caseríos (El Mozote,  Ranchería,</w:t>
        <w:br/>
        <w:t>Los Toriles y Jocote Amarillo), la  Corte  solamente  consideró  el  caserío</w:t>
        <w:br/>
        <w:t>individualizado y, en su caso, la zona rural aledaña. En  este  sentido,  la</w:t>
        <w:br/>
        <w:t>Corte  nota  que  ni  los  representantes  ni  la  Comisión  brindaron   una</w:t>
        <w:br/>
        <w:t>explicación satisfactoria respecto a la diferencia en el nombramiento en  el</w:t>
        <w:br/>
        <w:t>informe de fondo de los lugares donde ocurrieron las masacres, esto es,  las</w:t>
        <w:br/>
        <w:t>razones por las que se incluyó respecto a algunas localidades  solamente  el</w:t>
        <w:br/>
        <w:t>caserío y en otras se hizo alusión al  cantón,  de  acuerdo  a  la  división</w:t>
        <w:br/>
        <w:t>política administrativa del territorio de El Salvador. Es por  ello  que  el</w:t>
        <w:br/>
        <w:t>Tribunal determinó que las personas incluidas en los  listados  que  habrían</w:t>
        <w:br/>
        <w:t>sufrido una posible violación de sus derechos en “la cabecera  departamental</w:t>
        <w:br/>
        <w:t>de Arambala, el cantón de Tierra Colorada,  el  caserío  El  Pinalito  y  el</w:t>
        <w:br/>
        <w:t>caserío La Guacamaya”, no serían consideradas por la  Corte  como  víctimas,</w:t>
        <w:br/>
        <w:t>salvo que de la prueba surgiera que estas personas se encontraban en  alguno</w:t>
        <w:br/>
        <w:t>de los lugares objeto del presente caso al momento de los hechos.</w:t>
        <w:br/>
        <w:br/>
        <w:t>Este Tribunal resalta que, cuando delimitó territorial  y  personalmente  el</w:t>
        <w:br/>
        <w:t>alcance de la calidad de víctimas  en  el  párrafo  56  de  la  Sentencia  y</w:t>
        <w:br/>
        <w:t>excluyó  explícitamente  a  personas  cuyos  derechos  se   hubieran   visto</w:t>
        <w:br/>
        <w:t>afectados en localidades  que  no  se  encontraban  dentro  de  los  lugares</w:t>
        <w:br/>
        <w:t>especificados en el informe de fondo, lo hizo en aras  de  poder  tomar  una</w:t>
        <w:br/>
        <w:t>decisión sobre el caso concreto que brindara certeza jurídica a  las  partes</w:t>
        <w:br/>
        <w:t>y posibilitara la determinación de los  beneficiarios  de  las  reparaciones</w:t>
        <w:br/>
        <w:t>ordenadas. A su vez, en el capítulo de  reparaciones  de  la  Sentencia,  la</w:t>
        <w:br/>
        <w:t>Corte reconoció las limitaciones derivadas de la complejidad del  caso,  con</w:t>
        <w:br/>
        <w:t>base en lo cual dejó abierta la  posibilidad  de  incluir  como  víctimas  a</w:t>
        <w:br/>
        <w:t>otras personas que sean identificadas e individualizadas como  tales  en  el</w:t>
        <w:br/>
        <w:t>marco del “Registro Único de Víctimas y Familiares  de  Víctimas  de  Graves</w:t>
        <w:br/>
        <w:t>Violaciones a los Derechos Humanos durante la  Masacre  de  El  Mozote”[20].</w:t>
        <w:br/>
        <w:t>Así, la decisión de la Corte lejos de ser contradictoria o incompatible  con</w:t>
        <w:br/>
        <w:t>la aplicación del artículo 35.2 del Reglamento (supra párrs. 11  y  22),  es</w:t>
        <w:br/>
        <w:t>perfectamente congruente  porque  proporciona  certeza  jurídica  en  cuanto</w:t>
        <w:br/>
        <w:t>establece con claridad a las víctimas identificadas en el  presente  caso  y</w:t>
        <w:br/>
        <w:t>fija criterios  para  la  determinación  por  parte  del  Estado  de  nuevas</w:t>
        <w:br/>
        <w:t>personas que puedan adquirir tal calidad y a quienes también deben  alcanzar</w:t>
        <w:br/>
        <w:t>las reparaciones ordenadas.</w:t>
        <w:br/>
        <w:br/>
        <w:t xml:space="preserve">      B. Deber del Estado de determinar otras personas que deben ser</w:t>
        <w:br/>
        <w:t xml:space="preserve">         consideradas como víctimas en el marco del “Registro Único de</w:t>
        <w:br/>
        <w:t xml:space="preserve">         Víctimas y Familiares de Víctimas de Graves Violaciones a los</w:t>
        <w:br/>
        <w:t xml:space="preserve">         Derechos Humanos durante la Masacre de El Mozote”</w:t>
        <w:br/>
        <w:br/>
        <w:t>En cuanto a las reparaciones ordenadas,  la  Corte  dispuso  en  el  acápite</w:t>
        <w:br/>
        <w:t>denominado “A. Parte Lesionada” lo siguiente:</w:t>
        <w:br/>
        <w:br/>
        <w:t xml:space="preserve">      306.  El Tribunal reitera que se considera  parte  lesionada,  en  los</w:t>
        <w:br/>
        <w:t xml:space="preserve">      términos del artículo 63.1 de la Convención, a quien ha sido declarado</w:t>
        <w:br/>
        <w:t xml:space="preserve">      víctima de la violación de algún derecho reconocido en la  misma.  Por</w:t>
        <w:br/>
        <w:t xml:space="preserve">      lo tanto, la Corte considera  como  “partes  lesionadas”  del  caso  a</w:t>
        <w:br/>
        <w:t xml:space="preserve">      aquellas personas incluidas  en  los  listados  de:  i)  las  víctimas</w:t>
        <w:br/>
        <w:t xml:space="preserve">      ejecutadas; ii) las víctimas sobrevivientes; iii)  los  familiares  de</w:t>
        <w:br/>
        <w:t xml:space="preserve">      las víctimas ejecutadas, y iv) las víctimas desplazadas  forzadamente,</w:t>
        <w:br/>
        <w:t xml:space="preserve">      que figuran como Anexos “A”, “B”, “C” y “D” a la  presente  Sentencia.</w:t>
        <w:br/>
        <w:t xml:space="preserve">      En su carácter de  víctimas  de  las  violaciones  declaradas  en  los</w:t>
        <w:br/>
        <w:t xml:space="preserve">      Capítulos VII y VIII, serán acreedoras y beneficiarias de las  medidas</w:t>
        <w:br/>
        <w:t xml:space="preserve">      que el Tribunal ordene en [este] capítulo.</w:t>
        <w:br/>
        <w:br/>
        <w:t xml:space="preserve">      […]</w:t>
        <w:br/>
        <w:br/>
        <w:t xml:space="preserve">      310.  La Corte observa que, por las características  particulares  del</w:t>
        <w:br/>
        <w:t xml:space="preserve">      caso, y por las razones que ya han sido señaladas  en  esta  Sentencia</w:t>
        <w:br/>
        <w:t xml:space="preserve">      (supra  párrs.  50  y  51),  no  ha   sido   posible   identificar   e</w:t>
        <w:br/>
        <w:t xml:space="preserve">      individualizar a la totalidad de las víctimas.  Por  lo  anterior,  la</w:t>
        <w:br/>
        <w:t xml:space="preserve">      Corte considera que, en el presente caso, se justifica  razonablemente</w:t>
        <w:br/>
        <w:t xml:space="preserve">      la aplicación de  la  excepción  prevista  en  el  artículo  35.2  del</w:t>
        <w:br/>
        <w:t xml:space="preserve">      Reglamento del Tribunal a efecto de  incluir  a  otras  personas  como</w:t>
        <w:br/>
        <w:t xml:space="preserve">      víctimas  aún  cuando  no  hayan  sido  previamente  identificadas   e</w:t>
        <w:br/>
        <w:t xml:space="preserve">      individualizadas por este Tribunal, por la Comisión  Interamericana  o</w:t>
        <w:br/>
        <w:t xml:space="preserve">      por los representantes (supra párr. 57). Para  tal  efecto,  la  Corte</w:t>
        <w:br/>
        <w:t xml:space="preserve">      valora positivamente la iniciativa del Estado en cuanto a la  creación</w:t>
        <w:br/>
        <w:t xml:space="preserve">      del “Registro Único de Víctimas y Familiares  de  Víctimas  de  Graves</w:t>
        <w:br/>
        <w:t xml:space="preserve">      Violaciones a los Derechos Humanos durante la Masacre de  El  Mozote”.</w:t>
        <w:br/>
        <w:t xml:space="preserve">      En razón de lo anterior, este Tribunal dispone que el Estado  continúe</w:t>
        <w:br/>
        <w:t xml:space="preserve">      con la plena puesta en funcionamiento del “Registro Único de  Víctimas</w:t>
        <w:br/>
        <w:t xml:space="preserve">      y Familiares de Víctimas de Graves Violaciones a los Derechos  Humanos</w:t>
        <w:br/>
        <w:t xml:space="preserve">      durante la Masacre de El  Mozote”,  para  lo  cual  debe  adoptar  las</w:t>
        <w:br/>
        <w:t xml:space="preserve">      medidas necesarias para asegurar su permanencia  en  el  tiempo  y  la</w:t>
        <w:br/>
        <w:t xml:space="preserve">      asignación presupuestaria para su efectivo  funcionamiento.  Asimismo,</w:t>
        <w:br/>
        <w:t xml:space="preserve">      la Corte estima pertinente que en el plazo de un año, contado a partir</w:t>
        <w:br/>
        <w:t xml:space="preserve">      de  la  notificación  de  esta  Sentencia,  el  Estado  presente   los</w:t>
        <w:br/>
        <w:t xml:space="preserve">      resultados de  la  identificación  de  las  víctimas  ejecutadas;  las</w:t>
        <w:br/>
        <w:t xml:space="preserve">      víctimas sobrevivientes; los familiares de las víctimas ejecutadas;  y</w:t>
        <w:br/>
        <w:t xml:space="preserve">      las víctimas desplazadas forzadamente, de las masacres de El Mozote  y</w:t>
        <w:br/>
        <w:t xml:space="preserve">      lugares aledaños, en el  marco  del  “Registro  Único  de  Víctimas  y</w:t>
        <w:br/>
        <w:t xml:space="preserve">      Familiares de Víctimas de Graves Violaciones a  los  Derechos  Humanos</w:t>
        <w:br/>
        <w:t xml:space="preserve">      durante la Masacre de El Mozote”, a fin de que dichas personas  puedan</w:t>
        <w:br/>
        <w:t xml:space="preserve">      solicitar y recibir las reparaciones que correspondan en los  términos</w:t>
        <w:br/>
        <w:t xml:space="preserve">      de la […] Sentencia.</w:t>
        <w:br/>
        <w:br/>
        <w:t xml:space="preserve">      311.  Lo anterior no obstaculiza ni excluye  la  posibilidad  de  que,</w:t>
        <w:br/>
        <w:t xml:space="preserve">      vencido el plazo de un  año,  el  proceso  de  identificación  de  las</w:t>
        <w:br/>
        <w:t xml:space="preserve">      víctimas continúe y que éstas sean incorporadas en el “Registro  Único</w:t>
        <w:br/>
        <w:t xml:space="preserve">      de Víctimas y Familiares de  Víctimas  de  Graves  Violaciones  a  los</w:t>
        <w:br/>
        <w:t xml:space="preserve">      Derechos Humanos durante la Masacre de El Mozote”, así como que puedan</w:t>
        <w:br/>
        <w:t xml:space="preserve">      ser consideradas beneficiarias de  las  reparaciones  establecidas  en</w:t>
        <w:br/>
        <w:t xml:space="preserve">      esta Sentencia por  el  Estado,  cuando  así  lo  soliciten  ante  las</w:t>
        <w:br/>
        <w:t xml:space="preserve">      autoridades salvadoreñas, más allá  de  los  plazos  establecidos.  El</w:t>
        <w:br/>
        <w:t xml:space="preserve">      Estado deberá informar a la Corte sobre las personas que en  el  marco</w:t>
        <w:br/>
        <w:t xml:space="preserve">      del mecanismo mencionado hayan solicitado reparaciones. Al efecto,  el</w:t>
        <w:br/>
        <w:t xml:space="preserve">      Tribunal evaluará lo pertinente en el ejercicio de sus  facultades  de</w:t>
        <w:br/>
        <w:t xml:space="preserve">      supervisión del […] fallo.</w:t>
        <w:br/>
        <w:br/>
        <w:t>Correlativamente, el punto resolutivo segundo de la Sentencia ordenó que:</w:t>
        <w:br/>
        <w:br/>
        <w:t xml:space="preserve">      2.    El Estado debe continuar con la plena puesta  en  funcionamiento</w:t>
        <w:br/>
        <w:t xml:space="preserve">      del “Registro Único de Víctimas y Familiares  de  Víctimas  de  Graves</w:t>
        <w:br/>
        <w:t xml:space="preserve">      Violaciones a los Derechos Humanos durante la Masacre de El Mozote”  y</w:t>
        <w:br/>
        <w:t xml:space="preserve">      adoptar las medidas necesarias para  asegurar  su  permanencia  en  el</w:t>
        <w:br/>
        <w:t xml:space="preserve">      tiempo y la asignación presupuestaria para su efectivo funcionamiento,</w:t>
        <w:br/>
        <w:t xml:space="preserve">      de conformidad con lo establecido en los párrafos 310 a 311 de la  […]</w:t>
        <w:br/>
        <w:t xml:space="preserve">      Sentencia.</w:t>
        <w:br/>
        <w:br/>
        <w:t>Al respecto, el Tribunal estima  pertinente  recordar  que,  además  de  las</w:t>
        <w:br/>
        <w:t>deficiencias  que  presentaban  los  listados  proporcionados  de  presuntas</w:t>
        <w:br/>
        <w:t>víctimas (supra párr. 26), los  listados  presentados  por  la  Comisión  no</w:t>
        <w:br/>
        <w:t>relacionaban a cada una de  las  personas  listadas  con  la  prueba  de  su</w:t>
        <w:br/>
        <w:t>existencia o de la violación de derechos humanos alegada  en  su  perjuicio.</w:t>
        <w:br/>
        <w:t>Por  otra  parte,  los  listados  de  los  representantes,   aunque   hacían</w:t>
        <w:br/>
        <w:t>referencia a la documentación que probaría la existencia, por ejemplo fe  de</w:t>
        <w:br/>
        <w:t>bautismo o partida de  nacimiento,  no  especificaron  la  referencia  a  la</w:t>
        <w:br/>
        <w:t>prueba donde constaba tal documento y no incluyeron referencia alguna  a  la</w:t>
        <w:br/>
        <w:t>prueba de la violación de derechos humanos alegada en perjuicio de cada  una</w:t>
        <w:br/>
        <w:t>de dichas personas. En razón de ello, así como de la magnitud y  del  tiempo</w:t>
        <w:br/>
        <w:t>transcurrido  desde  las  masacres,  en  el  presente  caso  se  presentaron</w:t>
        <w:br/>
        <w:t>numerosas dificultades en relación con la individualización,  identificación</w:t>
        <w:br/>
        <w:t>y  determinación  de  las  víctimas  ejecutadas,  víctimas   sobrevivientes,</w:t>
        <w:br/>
        <w:t>familiares de las víctimas ejecutadas y víctimas  desplazadas  forzadamente.</w:t>
        <w:br/>
        <w:t>Ante la situación descrita, el Tribunal se vio en la necesidad  de  efectuar</w:t>
        <w:br/>
        <w:t>un detallado y laborioso examen de la prueba aportada por la Comisión y  los</w:t>
        <w:br/>
        <w:t>representantes, orientado a reunir los elementos necesarios  para  acreditar</w:t>
        <w:br/>
        <w:t>la existencia e identidad, y con  ello  la  identificación  precisa  de  las</w:t>
        <w:br/>
        <w:t>víctimas ejecutadas, sobrevivientes, familiares y desplazadas  forzadamente,</w:t>
        <w:br/>
        <w:t>así como para  dar  por  probado  que  hayan  sufrido  alguna  violación  de</w:t>
        <w:br/>
        <w:t>derechos humanos en el marco de las masacres en el  caserío  El  Mozote,  el</w:t>
        <w:br/>
        <w:t>cantón La Joya, los caseríos Ranchería, Los Toriles y  Jocote  Amarillo,  el</w:t>
        <w:br/>
        <w:t>cantón Cerro Pando y una cueva  del  Cerro  Ortiz.  Luego  de  declarar  las</w:t>
        <w:br/>
        <w:t>violaciones  de  derechos  humanos,  el  Tribunal  procedió  a   fijar   las</w:t>
        <w:br/>
        <w:t>correspondientes  reparaciones  considerando  como   “parte   lesionada”   a</w:t>
        <w:br/>
        <w:t>aquellas  personas  que  hubiesen  sido  adecuadamente  identificadas   como</w:t>
        <w:br/>
        <w:t>víctima de alguna violación declarada,  para  lo  cual  tomó  en  cuenta  la</w:t>
        <w:br/>
        <w:t>prueba que fue  allegada  hasta  ese  momento[21].  Bajo  este  supuesto  se</w:t>
        <w:br/>
        <w:t>encuentran las personas cuyos nombres están consignados en los  Anexos  “A”,</w:t>
        <w:br/>
        <w:t>“B”, “C” y “D” de la Sentencia.</w:t>
        <w:br/>
        <w:br/>
        <w:t>Sobre el particular,  este  Tribunal  advirtió  en  la  Sentencia  que  pudo</w:t>
        <w:br/>
        <w:t>“determinar un número de víctimas que  es  singularmente  menor  al  de  los</w:t>
        <w:br/>
        <w:t>listados aportados”, y que  el  propio  Estado  aportó  un  listado  de  936</w:t>
        <w:br/>
        <w:t>víctimas individualizadas. Además, la Corte incluyó  como  Anexo  “E”  a  la</w:t>
        <w:br/>
        <w:t>Sentencia un listado de  personas,  respecto  de  quienes  existen  indicios</w:t>
        <w:br/>
        <w:t>sobre  su  posible  carácter  de  presuntas  víctimas,  aún  cuando  no   se</w:t>
        <w:br/>
        <w:t>encuentran en los listados aportados[22].  Ante  la  posible  existencia  de</w:t>
        <w:br/>
        <w:t>otras víctimas y familiares que en los términos de la Sentencia no  pudieron</w:t>
        <w:br/>
        <w:t>ser adecuadamente identificados en este proceso internacional,  el  Tribunal</w:t>
        <w:br/>
        <w:t>adoptó disposiciones,  contenidas  en  los  párrafos  310  y  311,  para  la</w:t>
        <w:br/>
        <w:t>determinación cierta de otras personas que también  deban  ser  consideradas</w:t>
        <w:br/>
        <w:t>víctimas y, en su caso, beneficiarias de las reparaciones.</w:t>
        <w:br/>
        <w:br/>
        <w:t>Es  criterio  de  la  Corte  que  un  fallo,  cualquiera  sea   este,   debe</w:t>
        <w:br/>
        <w:t>interpretarse de  manera  sistemática,  es  decir,  teniendo  en  cuenta  su</w:t>
        <w:br/>
        <w:t>contenido completo y no deben entenderse sus  consideraciones  o  decisiones</w:t>
        <w:br/>
        <w:t>de manera aislada del resto de la sentencia. En esta línea, a partir de  una</w:t>
        <w:br/>
        <w:t>lectura sistemática de la Sentencia es posible una interpretación que  logre</w:t>
        <w:br/>
        <w:t>armonizar sus consideraciones entre sí y éstas con los  puntos  resolutivos.</w:t>
        <w:br/>
        <w:t>En este sentido, la delimitación de los siete lugares  especificados  en  la</w:t>
        <w:br/>
        <w:t>Sentencia no debe entenderse como contradictoria con las otras partes de  la</w:t>
        <w:br/>
        <w:t>misma que extienden las medidas de reparación a personas que  en  el  futuro</w:t>
        <w:br/>
        <w:t>logren ser identificadas e individualizadas a través de la plena  puesta  en</w:t>
        <w:br/>
        <w:t>funcionamiento del “Registro Único de Víctimas y Familiares de  Víctimas  de</w:t>
        <w:br/>
        <w:t>Graves Violaciones a los Derechos Humanos durante la Masacre de El  Mozote”.</w:t>
        <w:br/>
        <w:t>Por consiguiente, el Tribunal aclara por vía  de  interpretación,  sobre  la</w:t>
        <w:br/>
        <w:t>base de los párrafos  310  y  311  y  el  punto  resolutivo  segundo  de  la</w:t>
        <w:br/>
        <w:t>Sentencia, que el deber del Estado que se refiere  a  la  identificación  de</w:t>
        <w:br/>
        <w:t>las  víctimas  ejecutadas,  víctimas  sobrevivientes,  familiares   de   las</w:t>
        <w:br/>
        <w:t>víctimas ejecutadas y víctimas desplazadas forzadamente de las  masacres  de</w:t>
        <w:br/>
        <w:t>El Mozote y lugares aledaños, en el marco del  referido  Registro  Único  de</w:t>
        <w:br/>
        <w:t>Víctimas, permite la inclusión de personas aún en el caso que los hechos  de</w:t>
        <w:br/>
        <w:t>las masacres hayan ocurrido en los  lugares  cercanos  o  limítrofes  a  los</w:t>
        <w:br/>
        <w:t>sitios que el Tribunal declaró como lugares afectados en el  párrafo  57  de</w:t>
        <w:br/>
        <w:t>la Sentencia, siempre que el Estado así lo entienda de conformidad  con  los</w:t>
        <w:br/>
        <w:t>reconocimientos de responsabilidad realizados.</w:t>
        <w:br/>
        <w:br/>
        <w:t>Al respecto, es importante destacar que durante el  procedimiento  de  fondo</w:t>
        <w:br/>
        <w:t>ante la Corte, el Estado reconoció, en forma concordante, que los hechos  de</w:t>
        <w:br/>
        <w:t>la masacres se  perpetraron  en  otros  sitios,  entre  los  cuales  también</w:t>
        <w:br/>
        <w:t>mencionó el caserío El Pinalito y el poblado de Arambala[23].  Asimismo,  en</w:t>
        <w:br/>
        <w:t>sus argumentos sobre las  reparaciones,  indicó  que  el  referido  Registro</w:t>
        <w:br/>
        <w:t>Único de Víctimas, “será la base para identificar no  sólo  a  las  personas</w:t>
        <w:br/>
        <w:t>sino también las zonas geográficas y la población hacia la que se  dirigirán</w:t>
        <w:br/>
        <w:t>muchas de las medidas de orden social”[24]. En la misma línea, en  el  marco</w:t>
        <w:br/>
        <w:t>de la solicitud de interpretación de la Sentencia, el  Estado  ha  reiterado</w:t>
        <w:br/>
        <w:t>dicha posición, y reconoció  como  lugares  afectados  por  los  hechos  del</w:t>
        <w:br/>
        <w:t>presente caso al poblado de Arambala, el caserío El Pinalito y los  cantones</w:t>
        <w:br/>
        <w:t>de Tierra Colorada  y  Guacamaya,  así  como  manifestó  su  disposición  de</w:t>
        <w:br/>
        <w:t>considerar como víctimas a aquellas personas  que  sean  individualizadas  y</w:t>
        <w:br/>
        <w:t>que hubiesen sido víctimas de violaciones a sus derechos humanos  en  dichos</w:t>
        <w:br/>
        <w:t>sitios (supra párr. 15).</w:t>
        <w:br/>
        <w:br/>
        <w:t>En caso de que llegara a surgir una controversia entre las partes  sobre  la</w:t>
        <w:br/>
        <w:t>forma en que debe ser implementada por el Estado esta  medida,  el  Tribunal</w:t>
        <w:br/>
        <w:t>considera, como lo ha hecho anteriormente[25], que la debida  implementación</w:t>
        <w:br/>
        <w:t>de las medidas de reparación será evaluada durante la etapa  de  supervisión</w:t>
        <w:br/>
        <w:t>de  cumplimiento  de  la  Sentencia,  por  lo   cual   la   Corte   valorará</w:t>
        <w:br/>
        <w:t>oportunamente  la  información  y  observaciones  que  las  partes  pudieran</w:t>
        <w:br/>
        <w:t>presentar al respecto durante dicha etapa.</w:t>
        <w:br/>
        <w:br/>
        <w:t xml:space="preserve">                                      V</w:t>
        <w:br/>
        <w:t xml:space="preserve">                  APLICACIÓN DEL ARTÍCULO 76 DEL REGLAMENTO</w:t>
        <w:br/>
        <w:br/>
        <w:t>En razón de  la  información  proporcionada  por  los  representantes  y  el</w:t>
        <w:br/>
        <w:t>Estado, y en aplicación del artículo  76  de  su  Reglamento[26],  la  Corte</w:t>
        <w:br/>
        <w:t>procede de oficio a rectificar el error del término “cabecera  departamental</w:t>
        <w:br/>
        <w:t>de Arambala” utilizado en el párrafo 56 de  la  Sentencia,  por  el  término</w:t>
        <w:br/>
        <w:t>correcto de “pueblo (área urbana) de Arambala”. Asimismo, a  efectos  de  la</w:t>
        <w:br/>
        <w:t>eventual publicación y difusión de la Sentencia, se dispone  la  remisión  a</w:t>
        <w:br/>
        <w:t>las partes  y  a  la  Comisión  de  una  versión  de  la  Sentencia  con  la</w:t>
        <w:br/>
        <w:t>rectificación pertinente.</w:t>
        <w:br/>
        <w:br/>
        <w:t xml:space="preserve">                                     VI</w:t>
        <w:br/>
        <w:t xml:space="preserve">                             PUNTOS RESOLUTIVOS</w:t>
        <w:br/>
        <w:br/>
        <w:t>Por tanto,</w:t>
        <w:br/>
        <w:br/>
        <w:br/>
        <w:t>LA CORTE</w:t>
        <w:br/>
        <w:br/>
        <w:t>de conformidad con el artículo 67 de la Convención Americana sobre  Derechos</w:t>
        <w:br/>
        <w:t>Humanos y los artículos 31.3 y 68 del Reglamento,</w:t>
        <w:br/>
        <w:br/>
        <w:br/>
        <w:t>DECIDE:</w:t>
        <w:br/>
        <w:br/>
        <w:br/>
        <w:t>Por unanimidad,</w:t>
        <w:br/>
        <w:br/>
        <w:t>Declarar inadmisible la solicitud  de  interpretación  interpuesta  por  los</w:t>
        <w:br/>
        <w:t>representantes de las víctimas en el extremo que  pretende  incluir  lugares</w:t>
        <w:br/>
        <w:t>que fueron excluidos por la Corte, en cuanto implicaría la  modificación  de</w:t>
        <w:br/>
        <w:t>lo dispuesto en el párrafo 56 de  la  Sentencia  de  fondo,  reparaciones  y</w:t>
        <w:br/>
        <w:t>costas emitida el 25 de octubre de 2012, en los términos de los párrafos  17</w:t>
        <w:br/>
        <w:t>a 20 de la presente Sentencia de Interpretación.</w:t>
        <w:br/>
        <w:br/>
        <w:t>Declarar  admisible  la  solicitud   de   interpretación   relativa   a   la</w:t>
        <w:br/>
        <w:t>implementación del “Registro Único de Víctimas y Familiares de  Víctimas  de</w:t>
        <w:br/>
        <w:t>Graves Violaciones a los Derechos Humanos durante la Masacre de  El  Mozote”</w:t>
        <w:br/>
        <w:t>y, en consecuencia, aclarar por vía de interpretación, sobre la base de  los</w:t>
        <w:br/>
        <w:t>párrafos 310 y 311 y el punto resolutivo segundo de la Sentencia  de  fondo,</w:t>
        <w:br/>
        <w:t>reparaciones y costas emitida el 25 de octubre de 2012,  que  el  deber  del</w:t>
        <w:br/>
        <w:t>Estado de identificar a las víctimas  ejecutadas,  víctimas  sobrevivientes,</w:t>
        <w:br/>
        <w:t>familiares de las víctimas ejecutadas y  víctimas  desplazadas  forzadamente</w:t>
        <w:br/>
        <w:t>de las masacres de El Mozote y lugares aledaños, en el marco  del  “Registro</w:t>
        <w:br/>
        <w:t>Único de Víctimas y Familiares de  Víctimas  de  Graves  Violaciones  a  los</w:t>
        <w:br/>
        <w:t>Derechos Humanos durante la Masacre de El Mozote”, permite la  inclusión  de</w:t>
        <w:br/>
        <w:t>personas aún en el caso que los hechos de las  masacres  hayan  ocurrido  en</w:t>
        <w:br/>
        <w:t>los lugares cercanos o limítrofes a los sitios que el Tribunal declaró  como</w:t>
        <w:br/>
        <w:t>lugares afectados en el párrafo 57 de la Sentencia, siempre  que  el  Estado</w:t>
        <w:br/>
        <w:t>así lo entienda de conformidad con los  reconocimientos  de  responsabilidad</w:t>
        <w:br/>
        <w:t>realizados, de  conformidad  con  los  párrafos  21  a  38  de  la  presente</w:t>
        <w:br/>
        <w:t>Sentencia de Interpretación.</w:t>
        <w:br/>
        <w:br/>
        <w:t>Proceder a la rectificación del error del  término  “cabecera  departamental</w:t>
        <w:br/>
        <w:t>de  Arambala”  utilizado  en  el  párrafo  56  de  la  Sentencia  de  fondo,</w:t>
        <w:br/>
        <w:t>reparaciones y costas, por el término correcto de “pueblo (área  urbana)  de</w:t>
        <w:br/>
        <w:t>Arambala”, en los términos del  párrafo  39  de  la  presente  Sentencia  de</w:t>
        <w:br/>
        <w:t>Interpretación.</w:t>
        <w:br/>
        <w:br/>
        <w:t>Disponer que la Secretaría de la Corte notifique la  presente  Sentencia  al</w:t>
        <w:br/>
        <w:t>Estado de El Salvador, a los representantes de las víctimas y a la  Comisión</w:t>
        <w:br/>
        <w:t>Interamericana de Derechos Humanos.</w:t>
        <w:br/>
        <w:br/>
        <w:br/>
        <w:t>Redactada en español e inglés, haciendo fe  el  texto  en  español,  en  San</w:t>
        <w:br/>
        <w:t>José, Costa Rica, el 19 de agosto de 2013.</w:t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t>Leonardo                              A.                              Franco</w:t>
        <w:br/>
        <w:t>Margarette May Macaulay</w:t>
        <w:br/>
        <w:br/>
        <w:br/>
        <w:br/>
        <w:br/>
        <w:t>Rhadys                             Abreu                             Blondet</w:t>
        <w:br/>
        <w:t>Alberto                             Pérez                              Pérez</w:t>
        <w:br/>
        <w:br/>
        <w:br/>
        <w:br/>
        <w:br/>
        <w:br/>
        <w:t xml:space="preserve">                             Eduardo Vio Grossi</w:t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t>Pablo Saavedra Alessandri</w:t>
        <w:br/>
        <w:t xml:space="preserve">      Secretario</w:t>
        <w:br/>
        <w:br/>
        <w:br/>
        <w:br/>
        <w:t>-----------------------</w:t>
        <w:br/>
        <w:t>(     El Juez Manuel E. Ventura Robles informó al Tribunal que, por razones</w:t>
        <w:br/>
        <w:t>de fuerza mayor, no podía estar presente en la deliberación y firma de la</w:t>
        <w:br/>
        <w:t>presente Sentencia.</w:t>
        <w:br/>
        <w:br/>
        <w:t>[1]   Reglamento de la Corte aprobado por el Tribunal en  su  LXXXV  Período</w:t>
        <w:br/>
        <w:t>Ordinario de Sesiones, celebrado del 16 al 28 de noviembre de 2009.</w:t>
        <w:br/>
        <w:br/>
        <w:t>[2]   Los representantes de las víctimas en el presente caso son la Oficina</w:t>
        <w:br/>
        <w:t>de Tutela Legal del Arzobispado (OTLA) y el Centro por la Justicia y el</w:t>
        <w:br/>
        <w:t>Derecho Internacional (CEJIL).</w:t>
        <w:br/>
        <w:br/>
        <w:t>[3]   Los representantes denominaron como “limitación territorial” lo</w:t>
        <w:br/>
        <w:t>establecido por la Corte en el párrafo 56 de la Sentencia, en tanto</w:t>
        <w:br/>
        <w:t>determinó que las personas que habrían sufrido una posible violación de sus</w:t>
        <w:br/>
        <w:t>derechos en los lugares no incluidos en el marco fáctico del presente caso,</w:t>
        <w:br/>
        <w:t>no serían consideradas por la Corte como víctimas, salvo que de la prueba</w:t>
        <w:br/>
        <w:t>surgiera que estas personas se encontraban en alguno de los lugares objeto</w:t>
        <w:br/>
        <w:t>del presente caso al momento de los hechos.</w:t>
        <w:br/>
        <w:br/>
        <w:t>[4]   El anexo 1, identificado como “mapa con identificación de la zona</w:t>
        <w:br/>
        <w:t>afectada por la masacre” y el anexo 2, identificado como “mapa del</w:t>
        <w:br/>
        <w:t>Municipio de Arambala”.</w:t>
        <w:br/>
        <w:br/>
        <w:t>[5]   Cfr. Caso Loayza Tamayo Vs. Perú. Interpretación de la Sentencia de</w:t>
        <w:br/>
        <w:t>Fondo. Sentencia de la Corte Interamericana de Derechos Humanos de 8 de</w:t>
        <w:br/>
        <w:t>marzo de 1998. Serie C No. 47, párr. 16, y Caso Atala Riffo y Niñas Vs.</w:t>
        <w:br/>
        <w:t>Chile. Solicitud de Interpretación de la Sentencia de Fondo, Reparaciones y</w:t>
        <w:br/>
        <w:t>Costas. Sentencia de 21 de noviembre de 2012. Serie C No. 254, párr. 11.</w:t>
        <w:br/>
        <w:br/>
        <w:t>[6]   Cfr. Caso Loayza Tamayo Vs. Perú, párr. 16, y Caso Atala Riffo y</w:t>
        <w:br/>
        <w:t>Niñas Vs. Chile, párr. 11.</w:t>
        <w:br/>
        <w:br/>
        <w:t>[7]   Cfr. Caso Loayza Tamayo Vs. Perú, párr. 15, y Caso Atala Riffo y</w:t>
        <w:br/>
        <w:t>Niñas Vs. Chile, párr. 33.</w:t>
        <w:br/>
        <w:br/>
        <w:t>[8]   Cfr. Caso Salvador Chiriboga Vs. Ecuador. Interpretación de la</w:t>
        <w:br/>
        <w:t>Sentencia de Reparaciones y Costas. Sentencia de 29 de agosto de 2011.</w:t>
        <w:br/>
        <w:t>Serie C No. 230, párr. 30, y Caso Atala Riffo y Niñas Vs. Chile, párr. 34.</w:t>
        <w:br/>
        <w:br/>
        <w:t>[9]   Cfr. Caso Escher y otros Vs. Brasil. Interpretación de la Sentencia</w:t>
        <w:br/>
        <w:t>de Excepciones Preliminares, Fondo, Reparaciones y Costas. Sentencia de 20</w:t>
        <w:br/>
        <w:t>de noviembre de 2009. Serie C No. 208, párr. 11.</w:t>
        <w:br/>
        <w:br/>
        <w:t>[10]  Cfr. Caso Cesti Hurtado Vs. Perú. Interpretación de la Sentencia de</w:t>
        <w:br/>
        <w:t>Fondo. Sentencia de 19 de noviembre de 1999. Serie C No. 62, párr. 27, y</w:t>
        <w:br/>
        <w:t>Caso Cantoral Huamaní y García Santa Cruz Vs. Perú. Interpretación de la</w:t>
        <w:br/>
        <w:t>Sentencia de Excepción Preliminar, Fondo, Reparaciones y Costas. Sentencia</w:t>
        <w:br/>
        <w:t>de 28 de enero de 2008. Serie C No. 176, párr. 16.</w:t>
        <w:br/>
        <w:br/>
        <w:t>[11]  De conformidad con el artículo 35.2 del Reglamento del Tribunal,</w:t>
        <w:br/>
        <w:t>“[c]uando se justificare que no fue posible identificar a alguna o algunas</w:t>
        <w:br/>
        <w:t>presuntas víctimas de los hechos del caso por tratarse de casos de</w:t>
        <w:br/>
        <w:t>violaciones masivas o colectivas, el Tribunal decidirá en su oportunidad si</w:t>
        <w:br/>
        <w:t>las considera víctimas”.</w:t>
        <w:br/>
        <w:br/>
        <w:t>[12]  Cfr. Caso Salvador Chiriboga Vs. Ecuador, párr. 31, y Caso Atala</w:t>
        <w:br/>
        <w:t>Riffo y Niñas Vs. Chile, párr. 34.</w:t>
        <w:br/>
        <w:br/>
        <w:t>[13]  Cfr. Caso Masacres de Río Negro Vs. Guatemala. Excepción Preliminar,</w:t>
        <w:br/>
        <w:t>Fondo, Reparaciones y Costas. Sentencia de 4 de septiembre de 2012. Serie C</w:t>
        <w:br/>
        <w:t>No. 250, párrs. 49 y 51.</w:t>
        <w:br/>
        <w:br/>
        <w:t>[14]  Por ejemplo, en el caso Nadege Dorzema Vs. República Dominicana, aún</w:t>
        <w:br/>
        <w:t>cuando se declaró procedente la aplicación del artículo 35.2 del</w:t>
        <w:br/>
        <w:t>Reglamento, la Corte resolvió respecto a las ocho personas anunciadas por</w:t>
        <w:br/>
        <w:t>los representantes y la Comisión como “otras víctimas no identificadas en</w:t>
        <w:br/>
        <w:t>el caso pero supuestamente nombradas ab initio por el Estado” que no serían</w:t>
        <w:br/>
        <w:t>consideradas como presuntas víctimas en dicha Sentencia en tanto no contaba</w:t>
        <w:br/>
        <w:t>con información suficiente para identificar a dichas personas en esta etapa</w:t>
        <w:br/>
        <w:t>procesal, en virtud de que dentro de la prueba remitida por las partes, no</w:t>
        <w:br/>
        <w:t>existe documento que permita determinar con claridad el nombre y calidades</w:t>
        <w:br/>
        <w:t>de las presuntas víctimas, al igual que su relación con los hechos del</w:t>
        <w:br/>
        <w:t>caso. Cfr. Caso Nadege Dorzema y otros Vs. República Dominicana. Fondo,</w:t>
        <w:br/>
        <w:t>Reparaciones y Costas. Sentencia de 24 de octubre de 2012. Serie C No. 251,</w:t>
        <w:br/>
        <w:t>párr. 34.</w:t>
        <w:br/>
        <w:br/>
        <w:t>[15]  El propio Reglamento establece que el Tribunal decidirá en su</w:t>
        <w:br/>
        <w:t>oportunidad si las considera víctimas (artículo 35.2).</w:t>
        <w:br/>
        <w:br/>
        <w:t>[16]  Cfr. Caso Masacres de El Mozote y lugares aledaños Vs. El Salvador.</w:t>
        <w:br/>
        <w:t>Fondo, Reparaciones y Costas. Sentencia de 25 de octubre de 2012. Serie C</w:t>
        <w:br/>
        <w:t>No. 252, párr. 52.</w:t>
        <w:br/>
        <w:br/>
        <w:t>[17]  Cfr. Caso Masacres de El Mozote y lugares aledaños Vs. El Salvador,</w:t>
        <w:br/>
        <w:t>párr. 45.</w:t>
        <w:br/>
        <w:br/>
        <w:t>[18]  Caso Masacres de El Mozote y lugares aledaños Vs. El Salvador, párr.</w:t>
        <w:br/>
        <w:t>47.</w:t>
        <w:br/>
        <w:br/>
        <w:t>[19]  CIDH, Informe de fondo No. 177/10, 3 de noviembre de 2003, párr. 50.</w:t>
        <w:br/>
        <w:br/>
        <w:t>[20]  Cfr. Caso Masacres de El Mozote y lugares aledaños Vs. El Salvador,</w:t>
        <w:br/>
        <w:t>párrs. 310 y 311.</w:t>
        <w:br/>
        <w:br/>
        <w:t>[21]  Cfr. Caso Masacres de El Mozote y lugares aledaños Vs. El Salvador,</w:t>
        <w:br/>
        <w:t>párrs. 51 a 53, 55 y 306.</w:t>
        <w:br/>
        <w:br/>
        <w:t>[22]  Cfr. Caso Masacres de El Mozote y lugares aledaños Vs. El Salvador,</w:t>
        <w:br/>
        <w:t>párr. 57.</w:t>
        <w:br/>
        <w:br/>
        <w:t>[23]  Cfr. Caso Masacres de El Mozote y lugares aledaños Vs. El Salvador,</w:t>
        <w:br/>
        <w:t>párrs. 19, 20 y 57.</w:t>
        <w:br/>
        <w:br/>
        <w:t>[24]  Caso Masacres de El Mozote y lugares aledaños Vs. El Salvador, párr.</w:t>
        <w:br/>
        <w:t>309.</w:t>
        <w:br/>
        <w:br/>
        <w:t>[25]  Cfr. Caso Ticona Estrada y otros Vs. Bolivia. Interpretación de la</w:t>
        <w:br/>
        <w:t>Sentencia de Fondo, Reparaciones y Costas. Sentencia de 1 de julio de 2009.</w:t>
        <w:br/>
        <w:t>Serie C No. 199, párr. 26, y Caso Atala Riffo y Niñas Vs. Chile, párr. 27.</w:t>
        <w:br/>
        <w:br/>
        <w:t>[26]  Artículo 76. Rectificación de errores en sentencias y otras</w:t>
        <w:br/>
        <w:t>decisiones: “La Corte podrá, a iniciativa propia o a solicitud de parte,</w:t>
        <w:br/>
        <w:t>presentada dentro del mes siguiente a la notificación de la sentencia o</w:t>
        <w:br/>
        <w:t>resolución de que se trate, rectificar errores notorios, de edición o de</w:t>
        <w:br/>
        <w:t>cálculo. De efectuarse alguna rectificación la Corte la notificará a la</w:t>
        <w:br/>
        <w:t>Comisión, a las víctimas o sus representantes, al Estado demandado y, en su</w:t>
        <w:br/>
        <w:t>caso, al Estado demandante”. La Corte recuerda que si bien, con base en el</w:t>
        <w:br/>
        <w:t>artículo 76 del Reglamento, las partes podrán requerir una rectificación de</w:t>
        <w:br/>
        <w:t>errores notorios, de edición o de cálculo sólo “dentro del mes siguiente a</w:t>
        <w:br/>
        <w:t>la notificación de la sentencia o resolución de que se trate”, dicho plazo</w:t>
        <w:br/>
        <w:t>no aplica a las eventuales correcciones que pudiera efectuar el Tribunal</w:t>
        <w:br/>
        <w:t>motu propio. Cfr. Caso Escher y otros vs. Brasil. Supervisión de</w:t>
        <w:br/>
        <w:t>Cumplimiento de Sentencia. Resolución de la Corte Interamericana de</w:t>
        <w:br/>
        <w:t>Derechos Humanos de 17 de mayo de 2010, Considerando decimoquinto.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