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CASO GARCÍA LUCERO y OTRAS Vs. CHILE</w:t>
        <w:br/>
        <w:br/>
        <w:t xml:space="preserve">                      SENTENCIA DE 28 DE AGOSTO DE 2013</w:t>
        <w:br/>
        <w:t xml:space="preserve">                (EXCEPCION PRELIMINAR, FONDO Y REPARACIONES)</w:t>
        <w:br/>
        <w:br/>
        <w:br/>
        <w:br/>
        <w:t>En el caso García Lucero y otras,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jueces(:</w:t>
        <w:br/>
        <w:br/>
        <w:br/>
        <w:t>Diego García-Sayán, Presidente;</w:t>
        <w:br/>
        <w:t>Manuel E. Ventura Robles, Vicepresidente;</w:t>
        <w:br/>
        <w:t>Alberto Pérez Pérez, Juez;</w:t>
        <w:br/>
        <w:t>Roberto F. Caldas, Juez;</w:t>
        <w:br/>
        <w:t>Humberto Antonio Sierra Porto, Juez; y</w:t>
        <w:br/>
        <w:t>Eduardo Ferrer Mac-Gregor Poisot, Juez,</w:t>
        <w:br/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42, 65 y 67  del  Reglamento  de  la</w:t>
        <w:br/>
        <w:t>Corte (en adelante “el Reglamento”), dicta  la  presente  Sentencia  que  se</w:t>
        <w:br/>
        <w:t>estructura en el siguiente orden:</w:t>
        <w:br/>
        <w:br/>
        <w:br/>
        <w:br/>
        <w:br/>
        <w:br/>
        <w:t xml:space="preserve">                             TABLA DE CONTENIDO</w:t>
        <w:br/>
        <w:br/>
        <w:t>I INTRODUCCIÓN DE LA CAUSA Y OBJETO DE LA CONTROVERSIA  4</w:t>
        <w:br/>
        <w:t>II PROCEDIMIENTO ANTE LA CORTE    6</w:t>
        <w:br/>
        <w:t>III COMPETENCIA  8</w:t>
        <w:br/>
        <w:t>IV EXCEPCIÓN PRELIMINAR -FALTA DE COMPETENCIA TEMPORAL Y MATERIAL  9</w:t>
        <w:br/>
        <w:t>A.    Argumentos de las partes y de la Comisión   9</w:t>
        <w:br/>
        <w:t>B.    Consideraciones de la Corte 10</w:t>
        <w:br/>
        <w:t>B.1.) Sobre la falta de competencia material 11</w:t>
        <w:br/>
        <w:t>B.2.) Sobre la falta de competencia temporal 11</w:t>
        <w:br/>
        <w:t>V PRUEBA    16</w:t>
        <w:br/>
        <w:t>A.    Prueba documental, testimonial y pericial   16</w:t>
        <w:br/>
        <w:t>B.    Admisión de la prueba documental 17</w:t>
        <w:br/>
        <w:t>C.    Admisión de las declaraciones de las presuntas víctimas, prueba</w:t>
        <w:br/>
        <w:t>testimonial y pericial 18</w:t>
        <w:br/>
        <w:t>VI HECHOS   18</w:t>
        <w:br/>
        <w:t>A.    Antecedentes: hechos previos al reconocimiento de la competencia</w:t>
        <w:br/>
        <w:t>contenciosa de la Corte     19</w:t>
        <w:br/>
        <w:t>A.1) Contexto    19</w:t>
        <w:br/>
        <w:t>A.2.) Situación de Leopoldo García Lucero y su familia  20</w:t>
        <w:br/>
        <w:t>A.2.1) Sobre el señor García Lucero y su familia  20</w:t>
        <w:br/>
        <w:t>A.2.2) Detención, tortura y exilio de Leopoldo García Lucero (entre el 16</w:t>
        <w:br/>
        <w:t>de septiembre de 1973 y el 12 de junio de 1975)   21</w:t>
        <w:br/>
        <w:t>A.2.3) Decreto-Ley No. 2.191 o Ley de Amnistía    22</w:t>
        <w:br/>
        <w:t>A.2.4) Comisión Nacional de Verdad y Reconciliación (Comisión Rettig)   22</w:t>
        <w:br/>
        <w:t>B. Hechos posteriores al reconocimiento de la competencia    23</w:t>
        <w:br/>
        <w:t>B.1. Sistema de reparaciones adoptado por el Estado     23</w:t>
        <w:br/>
        <w:t>B.1.1) Ley No. 19.123 - Corporación Nacional de Reparación y Reconciliación</w:t>
        <w:br/>
        <w:t>23</w:t>
        <w:br/>
        <w:t>B.1.2) Leyes que regulan la pensión y bono extraordinario a los “exonerados</w:t>
        <w:br/>
        <w:t>políticos”  24</w:t>
        <w:br/>
        <w:t>B.1.3) Leyes relativas a los chilenos que sufrieron el exilio      24</w:t>
        <w:br/>
        <w:t>B.1.4) Propuesta sobre derechos humanos “No hay Mañana sin Ayer”   25</w:t>
        <w:br/>
        <w:t>B.1.5) Comisión Nacional sobre Prisión Política y Tortura (Comisión Valech)</w:t>
        <w:br/>
        <w:t>25</w:t>
        <w:br/>
        <w:t>B.2) Medidas de reparación otorgadas por el Estado al señor García Lucero</w:t>
        <w:br/>
        <w:t>26</w:t>
        <w:br/>
        <w:t>B.2.1) Beneficio como Exonerado Político bajo la Ley No. 19.234    27</w:t>
        <w:br/>
        <w:t>B.2.2) Bono compensatorio extraordinario bajo la Ley No. 20.134    28</w:t>
        <w:br/>
        <w:t>B.3.3) Bono único bajo la Ley No. 19.992     28</w:t>
        <w:br/>
        <w:t>B.3 Situación actual del señor García Lucero 28</w:t>
        <w:br/>
        <w:t>C. Hechos relativos a la investigación abierta el 7 de octubre de 2011  29</w:t>
        <w:br/>
        <w:t>VII GARANTÍAS JUDICIALES Y PROTECCIÓN JUDICIAL, EN RELACIÓN CON LA</w:t>
        <w:br/>
        <w:t>OBLIGACIÓN GENERAL DE GARANTIZAR LOS DERECHOS HUMANOS Y EL DEBER DE ADECUAR</w:t>
        <w:br/>
        <w:t>LA LEGISLACIÓN INTERNA Y LOS DEBERES DE INVESTIGAR Y SANCIONAR ACTOS DE</w:t>
        <w:br/>
        <w:t>TORTURA Y GARANTIZAR UNA REPARACIÓN INTEGRAL POR LOS MISMOS  35</w:t>
        <w:br/>
        <w:t>A.    Introducción     35</w:t>
        <w:br/>
        <w:t>B.    Sobre la investigación de los hechos   38</w:t>
        <w:br/>
        <w:t>B.1) Argumentos de la Comisión y de las partes    38</w:t>
        <w:br/>
        <w:t>B.2) Consideraciones de la Corte  40</w:t>
        <w:br/>
        <w:t>B.2.1) Sobre el inicio de una investigación de oficio en forma inmediata</w:t>
        <w:br/>
        <w:t>42</w:t>
        <w:br/>
        <w:t>B.2.2) Respecto a la integridad personal     43</w:t>
        <w:br/>
        <w:t>B.2.3) Sobre las actuaciones seguidas en la investigación iniciada a partir</w:t>
        <w:br/>
        <w:t>del 7 de octubre de 2011    44</w:t>
        <w:br/>
        <w:t>B.2.4) Conclusión      46</w:t>
        <w:br/>
        <w:t>C.    Sobre los alegados obstáculos normativos  a la investigación 47</w:t>
        <w:br/>
        <w:t>C.1) Argumentos de la Comisión y de las partes    47</w:t>
        <w:br/>
        <w:t>C.2) Consideraciones de la Corte  49</w:t>
        <w:br/>
        <w:t>C.2.1) Sobre el Decreto - Ley No. 2.191 de “[c]once[sión de] amnistía”  49</w:t>
        <w:br/>
        <w:t>C.2.2) Sobre el artículo 15 de la Ley No. 19.992  51</w:t>
        <w:br/>
        <w:t>C.2.3) Sobre los artículos 150 A y 150 B del Código Penal y 330 del Código</w:t>
        <w:br/>
        <w:t>de Justicia Militar    51</w:t>
        <w:br/>
        <w:t>D.    Sobre los procesos internos para el reclamo de medidas de reparación</w:t>
        <w:br/>
        <w:t>53</w:t>
        <w:br/>
        <w:t>D.1) Argumentos de la Comisión y de las partes    53</w:t>
        <w:br/>
        <w:t>D.2) Consideraciones de la Corte  58</w:t>
        <w:br/>
        <w:t>D.2.1) Los programas administrativos de reparación y los derechos a las</w:t>
        <w:br/>
        <w:t>garantías y protección judiciales 62</w:t>
        <w:br/>
        <w:t>D.2.2) Acceso a recursos para reclamar medidas de reparación en el presente</w:t>
        <w:br/>
        <w:t>caso  65</w:t>
        <w:br/>
        <w:t>D.2.2.1) Las medidas de compensación y de rehabilitación como “derechos”</w:t>
        <w:br/>
        <w:t>tutelables en el presente caso    66</w:t>
        <w:br/>
        <w:t>D.2.2.2) Las posibilidades de efectuar reclamos en relación con medidas de</w:t>
        <w:br/>
        <w:t>reparación  69</w:t>
        <w:br/>
        <w:t>D.2.2.3) Conclusión    71</w:t>
        <w:br/>
        <w:t>VIII DERECHO DE CIRCULACIÓN Y DE RESIDENCIA  72</w:t>
        <w:br/>
        <w:t>A.    Argumentos de la Comisión y de las partes   72</w:t>
        <w:br/>
        <w:t>B.    Consideraciones de la Corte 72</w:t>
        <w:br/>
        <w:t>IX REPARACIONES (Aplicación del artículo 63.1 de la Convención Americana)</w:t>
        <w:br/>
        <w:t>73</w:t>
        <w:br/>
        <w:t>A.    Parte Lesionada  74</w:t>
        <w:br/>
        <w:t>B.    Obligación de investigar los hechos e identificar y, en su caso,</w:t>
        <w:br/>
        <w:t>sancionar a los responsables      74</w:t>
        <w:br/>
        <w:t>B.1) Argumentos de la Comisión y de las partes    74</w:t>
        <w:br/>
        <w:t>B.2) Consideraciones de la Corte  74</w:t>
        <w:br/>
        <w:t>C.    Medidas satisfacción y rehabilitación  75</w:t>
        <w:br/>
        <w:t>C.1) Medida de satisfacción: publicación y difusión de la Sentencia     75</w:t>
        <w:br/>
        <w:t>C.1.1) Argumentos de la Comisión y de las partes  75</w:t>
        <w:br/>
        <w:t>C.1.2) Consideraciones de la Corte     76</w:t>
        <w:br/>
        <w:t>C.2) Rehabilitación    76</w:t>
        <w:br/>
        <w:t>C.2.1) Argumentos de la Comisión y de las partes  76</w:t>
        <w:br/>
        <w:t>C.2.2) Consideraciones de la Corte     76</w:t>
        <w:br/>
        <w:t>D.    Garantías de no repetición solicitadas por la Comisión y las</w:t>
        <w:br/>
        <w:t>representantes   77</w:t>
        <w:br/>
        <w:t>D.1) Argumentos de la Comisión y de las partes    77</w:t>
        <w:br/>
        <w:t>D.2) Consideraciones de la Corte  78</w:t>
        <w:br/>
        <w:t>E.    Indemnizaciones compensatorias   78</w:t>
        <w:br/>
        <w:t>E.1) Daños materiales e inmateriales   78</w:t>
        <w:br/>
        <w:t>E.1.1) Argumentos de la Comisión y de las partes  78</w:t>
        <w:br/>
        <w:t>E.1.2) Consideraciones de la Corte     79</w:t>
        <w:br/>
        <w:t>F.    Costas y gastos  80</w:t>
        <w:br/>
        <w:t>G.    Modalidad de cumplimiento de los pagos ordenados  80</w:t>
        <w:br/>
        <w:t>X PUNTOS RESOLUTIVOS   81</w:t>
        <w:br/>
        <w:br/>
        <w:br/>
        <w:br/>
        <w:br/>
        <w:br/>
        <w:br/>
        <w:br/>
        <w:br/>
        <w:br/>
        <w:t>I</w:t>
        <w:br/>
        <w:t>INTRODUCCIÓN DE LA CAUSA Y OBJETO DE LA CONTROVERSIA</w:t>
        <w:br/>
        <w:br/>
        <w:br/>
        <w:br/>
        <w:br/>
        <w:t xml:space="preserve"> 1. Sometimiento y sipnosis del caso. - El  20  de  septiembre  de  2011  la</w:t>
        <w:br/>
        <w:t xml:space="preserve">    Comisión Interamericana de Derechos Humanos (en  adelante  “la  Comisión</w:t>
        <w:br/>
        <w:t xml:space="preserve">    Interamericana” o “la Comisión”), de conformidad con lo dispuesto en los</w:t>
        <w:br/>
        <w:t xml:space="preserve">    artículos 51 y 61 de la  Convención  Americana  y  el  artículo  35  del</w:t>
        <w:br/>
        <w:t xml:space="preserve">    Reglamento de la Corte, sometió a la jurisdicción de la  Corte  el  caso</w:t>
        <w:br/>
        <w:t xml:space="preserve">    García Lucero y otras contra la República  de  Chile  (en  adelante  “el</w:t>
        <w:br/>
        <w:t xml:space="preserve">    Estado” o “Chile”) identificado con el número 12.519.</w:t>
        <w:br/>
        <w:br/>
        <w:t xml:space="preserve"> 2. De acuerdo con la Comisión, el presente caso se relaciona con la alegada</w:t>
        <w:br/>
        <w:t xml:space="preserve">    responsabilidad internacional del Estado por la falta de investigación y</w:t>
        <w:br/>
        <w:t xml:space="preserve">    reparación integral de los diversos actos de  tortura  sufridos  por  el</w:t>
        <w:br/>
        <w:t xml:space="preserve">    señor Leopoldo Guillermo García Lucero (en  adelante  también  “Leopoldo</w:t>
        <w:br/>
        <w:t xml:space="preserve">    García Lucero” o “Leopoldo García” o “señor García Lucero”  o  “presunta</w:t>
        <w:br/>
        <w:t xml:space="preserve">    víctima”[1]) desde su detención el 16 de septiembre de 1973 hasta el  12</w:t>
        <w:br/>
        <w:t xml:space="preserve">    de junio de 1975, fecha en la cual  salió  del  territorio  chileno  por</w:t>
        <w:br/>
        <w:t xml:space="preserve">    decreto del Ministerio del Interior. Desde el año 1975 el  señor  García</w:t>
        <w:br/>
        <w:t xml:space="preserve">    Lucero se encuentra viviendo en el Reino Unido. Según la Comisión, Chile</w:t>
        <w:br/>
        <w:t xml:space="preserve">    “ha omitido disponer una reparación integral a favor  del  señor  García</w:t>
        <w:br/>
        <w:t xml:space="preserve">    Lucero, desde la perspectiva individualizada y tomando en  consideración</w:t>
        <w:br/>
        <w:t xml:space="preserve">    la  situación  de  exiliado  en  la  que  se  encuentra,  así  como   su</w:t>
        <w:br/>
        <w:t xml:space="preserve">    discapacidad permanente que padece como  consecuencia  de  las  torturas</w:t>
        <w:br/>
        <w:t xml:space="preserve">    sufridas”. Además, señaló que el Estado ha incumplido con su  obligación</w:t>
        <w:br/>
        <w:t xml:space="preserve">    de investigar de oficio dichas torturas y ha mantenido  en  vigencia  el</w:t>
        <w:br/>
        <w:t xml:space="preserve">    Decreto-Ley No. 2.191, el cual resulta incompatible  con  la  Convención</w:t>
        <w:br/>
        <w:t xml:space="preserve">    Americana.  Agregó  la  Comisión  que  si  bien  los  hechos  del   caso</w:t>
        <w:br/>
        <w:t xml:space="preserve">    relacionados con la falta de investigación y reparación de los actos  de</w:t>
        <w:br/>
        <w:t xml:space="preserve">    tortura comenzaron a ocurrir antes de que Chile aceptara la  competencia</w:t>
        <w:br/>
        <w:t xml:space="preserve">    contenciosa de la Corte el 21 de agosto de  1990,  estas  omisiones  han</w:t>
        <w:br/>
        <w:t xml:space="preserve">    continuado con posterioridad a dicha aceptación y se extienden hasta  la</w:t>
        <w:br/>
        <w:t xml:space="preserve">    fecha de la presentación del caso.</w:t>
        <w:br/>
        <w:br/>
        <w:t xml:space="preserve"> 3. La Comisión solicitó a la Corte que declare la violación de los derechos</w:t>
        <w:br/>
        <w:t xml:space="preserve">    a las garantías y protección judiciales y a la integridad  personal,  en</w:t>
        <w:br/>
        <w:t xml:space="preserve">    relación con la obligación general de garantizar los  derechos  humanos,</w:t>
        <w:br/>
        <w:t xml:space="preserve">    así como el deber de adecuar  la  legislación  interna  (artículos  8.1,</w:t>
        <w:br/>
        <w:t xml:space="preserve">    25.1, 5.1, 1.1 y 2 de la Convención Americana) y el deber de  investigar</w:t>
        <w:br/>
        <w:t xml:space="preserve">    establecido en el  artículo  8  de  la  Convención  Interamericana  para</w:t>
        <w:br/>
        <w:t xml:space="preserve">    Prevenir  y  Sancionar  la  Tortura  (en  adelante  también  “Convención</w:t>
        <w:br/>
        <w:t xml:space="preserve">    Interamericana contra la Tortura”),  en  perjuicio  del  señor  Leopoldo</w:t>
        <w:br/>
        <w:t xml:space="preserve">    García Lucero y su familia; así como la  violación  del  derecho  a  una</w:t>
        <w:br/>
        <w:t xml:space="preserve">    reparación integral, adecuada y efectiva bajo la obligación  general  de</w:t>
        <w:br/>
        <w:t xml:space="preserve">    garantía, de conformidad con el artículo 5.1 de la Convención Americana,</w:t>
        <w:br/>
        <w:t xml:space="preserve">    en conjunción con el artículo 1.1 de dicho  tratado,  en  perjuicio  del</w:t>
        <w:br/>
        <w:t xml:space="preserve">    señor García Lucero. Además solicitó que se  declare  la  violación  del</w:t>
        <w:br/>
        <w:t xml:space="preserve">    derecho a la integridad personal establecido en el artículo  5.1  de  la</w:t>
        <w:br/>
        <w:t xml:space="preserve">    Convención, en relación con la  obligación  general  de  garantizar  los</w:t>
        <w:br/>
        <w:t xml:space="preserve">    derechos humanos establecida en el artículo 1.1  de  dicho  tratado,  en</w:t>
        <w:br/>
        <w:t xml:space="preserve">    perjuicio de la señora Elena Otilia García (en adelante también  “señora</w:t>
        <w:br/>
        <w:t xml:space="preserve">    Elena García”), esposa del señor García Lucero, de las  hijas  de  ella,</w:t>
        <w:br/>
        <w:t xml:space="preserve">    María Elena Klug y Gloria Klug, y de Francisca Rocío García  Illanes[2].</w:t>
        <w:br/>
        <w:t xml:space="preserve">    Asimismo, la Comisión solicitó al Tribunal que  ordenara  al  Estado  la</w:t>
        <w:br/>
        <w:t xml:space="preserve">    adopción de determinadas medidas de reparación.</w:t>
        <w:br/>
        <w:br/>
        <w:t xml:space="preserve"> 4. Trámite ante  la  Comisión.  –  El  trámite  ante  la  Comisión  fue  el</w:t>
        <w:br/>
        <w:t xml:space="preserve">    siguiente:</w:t>
        <w:br/>
        <w:br/>
        <w:t xml:space="preserve">     a. Petición. - El 20 de mayo de 2002 la organización Seeking Reparation</w:t>
        <w:br/>
        <w:t xml:space="preserve">        for Torture Survivors (en adelante “REDRESS”) presentó  la  petición</w:t>
        <w:br/>
        <w:t xml:space="preserve">        ante la Comisión;</w:t>
        <w:br/>
        <w:br/>
        <w:br/>
        <w:t xml:space="preserve">     b. Informe de Admisibilidad. - El 12 de octubre  de  2005  la  Comisión</w:t>
        <w:br/>
        <w:t xml:space="preserve">        aprobó el Informe de Admisibilidad No. 58/05[3];</w:t>
        <w:br/>
        <w:br/>
        <w:br/>
        <w:t xml:space="preserve">     c. Informe de Fondo. - El 23 de marzo de 2011  la  Comisión  aprobó  el</w:t>
        <w:br/>
        <w:t xml:space="preserve">        Informe de Fondo No. 23/11[4], de conformidad con el artículo 50  de</w:t>
        <w:br/>
        <w:t xml:space="preserve">        la Convención (en adelante también  “el  Informe  de  Fondo”  o  “el</w:t>
        <w:br/>
        <w:t xml:space="preserve">        Informe No. 23/11”), en el cual llegó a una serie de conclusiones  y</w:t>
        <w:br/>
        <w:t xml:space="preserve">        formuló varias recomendaciones al Estado.</w:t>
        <w:br/>
        <w:br/>
        <w:t xml:space="preserve">        Conclusiones. – La Comisión concluyó que el Estado  era  responsable</w:t>
        <w:br/>
        <w:t xml:space="preserve">        por la violación del:</w:t>
        <w:br/>
        <w:br/>
        <w:t xml:space="preserve">         - Derecho de justicia, establecido en  el  artículo  XVIII  de  la</w:t>
        <w:br/>
        <w:t xml:space="preserve">           Declaración Americana; derechos a las garantías judiciales, a la</w:t>
        <w:br/>
        <w:t xml:space="preserve">           protección judicial y a la integridad  personal,  en  conjunción</w:t>
        <w:br/>
        <w:t xml:space="preserve">           con la obligación general de garantizar  los  derechos  humanos,</w:t>
        <w:br/>
        <w:t xml:space="preserve">           así como el deber de adecuar la legislación  interna  (artículos</w:t>
        <w:br/>
        <w:t xml:space="preserve">           8.1, 25.1, 5.1, 1.1 y 2 de la Convención Americana); y deber  de</w:t>
        <w:br/>
        <w:t xml:space="preserve">           investigar  establecida  en  el  artículo  8  de  la  Convención</w:t>
        <w:br/>
        <w:t xml:space="preserve">           Interamericana  para   Prevenir  y  Sancionar  la  Tortura,   en</w:t>
        <w:br/>
        <w:t xml:space="preserve">           perjuicio del [señor] García Lucero y su familia.</w:t>
        <w:br/>
        <w:br/>
        <w:br/>
        <w:t xml:space="preserve">         - Derecho a una reparación integral, adecuada y efectiva  bajo  la</w:t>
        <w:br/>
        <w:t xml:space="preserve">           obligación general de garantía, de conformidad con  el  artículo</w:t>
        <w:br/>
        <w:t xml:space="preserve">           5.1 de la Convención Americana, en conjunción  con  el  artículo</w:t>
        <w:br/>
        <w:t xml:space="preserve">           1.1 de dicho tratado[,] en perjuicio del [señor] García Lucero.</w:t>
        <w:br/>
        <w:br/>
        <w:br/>
        <w:t xml:space="preserve">         - Derecho a la integridad personal establecido en el artículo  5.1</w:t>
        <w:br/>
        <w:t xml:space="preserve">           de la  Convención  Americana,  en  relación  con  la  obligación</w:t>
        <w:br/>
        <w:t xml:space="preserve">           general de garantizar los derechos  humanos  establecida  en  el</w:t>
        <w:br/>
        <w:t xml:space="preserve">           artículo 1.1 de dicho tratado, en perjuicio  de  la  esposa  del</w:t>
        <w:br/>
        <w:t xml:space="preserve">           [señor] García Lucero (la [señora] Elena  García)  y  sus  hijas</w:t>
        <w:br/>
        <w:t xml:space="preserve">           (María Elena, Gloria y Francisca García).</w:t>
        <w:br/>
        <w:br/>
        <w:t xml:space="preserve">        Recomendaciones. – En consecuencia, la Comisión hizo al  Estado  una</w:t>
        <w:br/>
        <w:t xml:space="preserve">        serie de recomendaciones:</w:t>
        <w:br/>
        <w:br/>
        <w:t xml:space="preserve">        1. Reparar integral y adecuadamente a Leopoldo García Lucero y   su</w:t>
        <w:br/>
        <w:t xml:space="preserve">           familia por las violaciones a los derechos humanos  establecidos</w:t>
        <w:br/>
        <w:t xml:space="preserve">           en  este  Informe,  atendiendo a  su  situación  particular,  al</w:t>
        <w:br/>
        <w:t xml:space="preserve">           encontrarse exiliado y sufrir de una discapacidad permanente.</w:t>
        <w:br/>
        <w:br/>
        <w:br/>
        <w:t xml:space="preserve">        2. Asegurar que Leopoldo García Lucero y su familia  tengan  acceso</w:t>
        <w:br/>
        <w:t xml:space="preserve">           al tratamiento médico y psiquiátrico/psicológico necesarios para</w:t>
        <w:br/>
        <w:t xml:space="preserve">           atender a su recuperación  física  y  mental  en  el  centro  de</w:t>
        <w:br/>
        <w:t xml:space="preserve">           atención especializado de  su  escogencia,  o  los  medios  para</w:t>
        <w:br/>
        <w:t xml:space="preserve">           obtenerlo.</w:t>
        <w:br/>
        <w:br/>
        <w:br/>
        <w:t xml:space="preserve">        3. Adoptar las acciones necesarias para dejar sin efecto de  manera</w:t>
        <w:br/>
        <w:t xml:space="preserve">           permanente el Decreto-Ley No. 2.191 -al carecer de  efectos  por</w:t>
        <w:br/>
        <w:t xml:space="preserve">           su incompatibilidad con la Convención  Americana, ya  que  puede</w:t>
        <w:br/>
        <w:t xml:space="preserve">           impedir u obstaculizar la investigación y  eventual  sanción  de</w:t>
        <w:br/>
        <w:t xml:space="preserve">           personas responsables por graves violaciones de derechos humanos-</w:t>
        <w:br/>
        <w:t xml:space="preserve">             de  manera  que  no   represente    un   obstáculo   para   la</w:t>
        <w:br/>
        <w:t xml:space="preserve">           investigación, juzgamiento  y sanción  de  los  responsables  de</w:t>
        <w:br/>
        <w:t xml:space="preserve">           violaciones similares ocurridas en Chile y los derechos  de  las</w:t>
        <w:br/>
        <w:t xml:space="preserve">           víctimas a la verdad, justicia y reparación.</w:t>
        <w:br/>
        <w:br/>
        <w:br/>
        <w:t xml:space="preserve">        4.  Proceder  inmediatamente  a  investigar  de  manera  imparcial,</w:t>
        <w:br/>
        <w:t xml:space="preserve">           efectiva y dentro de  un  plazo  razonable  los  hechos  en  los</w:t>
        <w:br/>
        <w:t xml:space="preserve">           términos  indicados  en  el  […]  Informe,  con   el  objeto  de</w:t>
        <w:br/>
        <w:t xml:space="preserve">           esclarecerlos de manera completa, identificar a  los  autores  e</w:t>
        <w:br/>
        <w:t xml:space="preserve">           imponer las sanciones que correspondan. En  el  cumplimiento  de</w:t>
        <w:br/>
        <w:t xml:space="preserve">           esta obligación, el Estado chileno no puede invocar la  vigencia</w:t>
        <w:br/>
        <w:t xml:space="preserve">           del Decreto Ley No. 2191.</w:t>
        <w:br/>
        <w:br/>
        <w:t xml:space="preserve">           […]</w:t>
        <w:br/>
        <w:br/>
        <w:br/>
        <w:t xml:space="preserve">        d. Notificación al Estado. – El Informe de Fondo fue notificado  al</w:t>
        <w:br/>
        <w:t xml:space="preserve">           Estado el 20 de abril de 2011, otorgándosele  un  plazo  de  dos</w:t>
        <w:br/>
        <w:t xml:space="preserve">           meses   para   informar   sobre   el   cumplimiento    de    las</w:t>
        <w:br/>
        <w:t xml:space="preserve">           recomendaciones. El 21 junio de  2011  el  Estado  solicitó  una</w:t>
        <w:br/>
        <w:t xml:space="preserve">           prórroga  para   informar   sobre   el   cumplimiento   de   las</w:t>
        <w:br/>
        <w:t xml:space="preserve">           recomendaciones. El 8 de julio de 2011 la Comisión otorgó  dicha</w:t>
        <w:br/>
        <w:t xml:space="preserve">           prórroga por un plazo de dos meses, solicitando al Estado que el</w:t>
        <w:br/>
        <w:t xml:space="preserve">           31 de agosto y el 8 de septiembre de  2011  presentara  informes</w:t>
        <w:br/>
        <w:t xml:space="preserve">           sobre los avances en dicho  cumplimiento.  Los  informes  fueron</w:t>
        <w:br/>
        <w:t xml:space="preserve">           presentados y la Comisión consideró que el contenido  de  dichos</w:t>
        <w:br/>
        <w:t xml:space="preserve">           informes no reflejaba avances sustanciales en el cumplimiento de</w:t>
        <w:br/>
        <w:t xml:space="preserve">           las recomendaciones.</w:t>
        <w:br/>
        <w:br/>
        <w:t xml:space="preserve">        e. Sometimiento a la Corte. - El  20  de  septiembre  de  2011,  la</w:t>
        <w:br/>
        <w:t xml:space="preserve">           Comisión consideró que el Estado no había  dado  cumplimiento  a</w:t>
        <w:br/>
        <w:t xml:space="preserve">           las recomendaciones del Informe de Fondo y sometió el caso a  la</w:t>
        <w:br/>
        <w:t xml:space="preserve">           Corte. La Comisión designó como sus delegados ante la  Corte  al</w:t>
        <w:br/>
        <w:t xml:space="preserve">           Comisionado José de Jesús Orozco  Henríquez,  y  a  su  entonces</w:t>
        <w:br/>
        <w:t xml:space="preserve">           Secretario Ejecutivo Santiago A. Canton, y como asesoras legales</w:t>
        <w:br/>
        <w:t xml:space="preserve">           a  las  señoras  Elizabeth  Abi-Mershed,  Secretaria   Ejecutiva</w:t>
        <w:br/>
        <w:t xml:space="preserve">           Adjunta, Silvia Serrano Guzmán, María  Claudia  Pulido  y  Fanny</w:t>
        <w:br/>
        <w:t xml:space="preserve">           Gómez Lugo, abogadas de la Secretaría Ejecutiva.</w:t>
        <w:br/>
        <w:br/>
        <w:br/>
        <w:t>II</w:t>
        <w:br/>
        <w:t>PROCEDIMIENTO ANTE LA CORTE</w:t>
        <w:br/>
        <w:br/>
        <w:br/>
        <w:t xml:space="preserve"> 5. Notificación al Estado y a las representantes.  -  El  sometimiento  del</w:t>
        <w:br/>
        <w:t xml:space="preserve">    caso fue notificado al Estado y a las representantes el 10 de  noviembre</w:t>
        <w:br/>
        <w:t xml:space="preserve">    de 2011.</w:t>
        <w:br/>
        <w:br/>
        <w:t xml:space="preserve"> 6. Escrito de solicitudes, argumentos y pruebas. - El 10 de enero  de  2012</w:t>
        <w:br/>
        <w:t xml:space="preserve">    Carla Ferstman, Lorna McGregor y Clara Sandoval, integrantes de REDRESS,</w:t>
        <w:br/>
        <w:t xml:space="preserve">    en calidad de representantes de las presuntas víctimas (en adelante “las</w:t>
        <w:br/>
        <w:t xml:space="preserve">    representantes”), presentaron ante la Corte su escrito  de  solicitudes,</w:t>
        <w:br/>
        <w:t xml:space="preserve">    argumentos  y  pruebas  (en   adelante   “escrito   de   solicitudes   y</w:t>
        <w:br/>
        <w:t xml:space="preserve">    argumentos”), conforme al artículo 40 del Reglamento de la Corte. Además</w:t>
        <w:br/>
        <w:t xml:space="preserve">    de coincidir, en general y según  sus  propias  apreciaciones,  con  las</w:t>
        <w:br/>
        <w:t xml:space="preserve">    violaciones  alegadas  por  la  Comisión,  en  particular,  alegaron  la</w:t>
        <w:br/>
        <w:t xml:space="preserve">    violación de los derechos establecidos en los artículos  8.1  (Garantías</w:t>
        <w:br/>
        <w:t xml:space="preserve">    Judiciales), 25.1 (Protección Judicial), 5.1 (Integridad  Personal),  en</w:t>
        <w:br/>
        <w:t xml:space="preserve">    su parte procesal, en conexión con el artículo 1.1  (Deber  de  Respetar</w:t>
        <w:br/>
        <w:t xml:space="preserve">    los Derechos) de la Convención Americana, debido a la falta de acceso  a</w:t>
        <w:br/>
        <w:t xml:space="preserve">    la justicia, a una reparación adecuada y al  tratamiento  inhumano  como</w:t>
        <w:br/>
        <w:t xml:space="preserve">    resultado de la inacción del Estado y del  sistema  de  justicia,  y  el</w:t>
        <w:br/>
        <w:t xml:space="preserve">    artículo 2 (Deber de Adoptar Disposiciones de  Derecho  Interno)  de  la</w:t>
        <w:br/>
        <w:t xml:space="preserve">    Convención por la falta de adecuar su derecho interno a  la  Convención,</w:t>
        <w:br/>
        <w:t xml:space="preserve">    así como por las violaciones de los artículos 6, 8 y 9 de la  Convención</w:t>
        <w:br/>
        <w:t xml:space="preserve">    Interamericana contra la Tortura por la falta de acceso a la justicia  y</w:t>
        <w:br/>
        <w:t xml:space="preserve">    de reparación adecuada de la tortura sufrida por el señor García Lucero.</w:t>
        <w:br/>
        <w:t xml:space="preserve">    En consecuencia, solicitaron a la Corte que ordene diversas  medidas  de</w:t>
        <w:br/>
        <w:t xml:space="preserve">    reparación.</w:t>
        <w:br/>
        <w:br/>
        <w:t xml:space="preserve"> 7. Escrito de contestación. - El 5 de abril de 2012 Chile presentó ante  la</w:t>
        <w:br/>
        <w:t xml:space="preserve">    Corte su escrito de interposición de excepción preliminar,  contestación</w:t>
        <w:br/>
        <w:t xml:space="preserve">    al escrito del sometimiento del caso y de observaciones  al  escrito  de</w:t>
        <w:br/>
        <w:t xml:space="preserve">    solicitudes y argumentos (en adelante  “escrito  de  contestación”).  En</w:t>
        <w:br/>
        <w:t xml:space="preserve">    dicho escrito el Estado controvirtió las pretensiones presentadas por la</w:t>
        <w:br/>
        <w:t xml:space="preserve">    Comisión  y   las   representantes,   y   rechazó   su   responsabilidad</w:t>
        <w:br/>
        <w:t xml:space="preserve">    internacional por las alegadas violaciones a  la  Convención  Americana.</w:t>
        <w:br/>
        <w:t xml:space="preserve">    Además, formuló objeciones puntuales en relación con la mayoría  de  las</w:t>
        <w:br/>
        <w:t xml:space="preserve">    reparaciones solicitadas por la Comisión y las  representantes,  por  lo</w:t>
        <w:br/>
        <w:t xml:space="preserve">    que solicitó a la Corte que las desestimara en todos  sus  términos.  La</w:t>
        <w:br/>
        <w:t xml:space="preserve">    excepción preliminar interpuesta por el Estado versa sobre la “falta  de</w:t>
        <w:br/>
        <w:t xml:space="preserve">    competencia de la Corte en relación  al  tiempo  y  a  la  materia”.  En</w:t>
        <w:br/>
        <w:t xml:space="preserve">    cuanto, a la delimitación material, señaló  que  la  competencia  de  la</w:t>
        <w:br/>
        <w:t xml:space="preserve">    Corte se debe dirigir solamente a las imputaciones que la Comisión y las</w:t>
        <w:br/>
        <w:t xml:space="preserve">    presuntas víctimas formularon. Respecto a la limitación temporal,  alegó</w:t>
        <w:br/>
        <w:t xml:space="preserve">    que se ve vulnerada en presente caso. Indicó que “[e]l reconocimiento de</w:t>
        <w:br/>
        <w:t xml:space="preserve">    competencia a los órganos de supervisión se realizaba desde el  depósito</w:t>
        <w:br/>
        <w:t xml:space="preserve">    del instrumento de ratificación hacia delante, con expresa exclusión  de</w:t>
        <w:br/>
        <w:t xml:space="preserve">    situaciones cuyo principio de ejecución datara de una fecha anterior  al</w:t>
        <w:br/>
        <w:t xml:space="preserve">    11 de [m]arzo de 1990 (asunción del primer gobierno democrático  después</w:t>
        <w:br/>
        <w:t xml:space="preserve">    del régimen militar)” y alegó que los  hechos  del  presente  caso  caen</w:t>
        <w:br/>
        <w:t xml:space="preserve">    precisamente en la restricción temporal.  El  Estado  designó  al  señor</w:t>
        <w:br/>
        <w:t xml:space="preserve">    Miguel Ángel González Morales como Agente y a los  señores  Luis  Petit-</w:t>
        <w:br/>
        <w:t xml:space="preserve">    Laurent Baldrich y Jorge Castro Pereira como Agentes Alternos.</w:t>
        <w:br/>
        <w:br/>
        <w:t xml:space="preserve"> 8. Observaciones a la excepción preliminar. – Los días 17 y 18 de  mayo  de</w:t>
        <w:br/>
        <w:t xml:space="preserve">    2012 la Comisión y las representantes presentaron, respectivamente,  sus</w:t>
        <w:br/>
        <w:t xml:space="preserve">    observaciones a la excepción preliminar interpuesta por el Estado.</w:t>
        <w:br/>
        <w:br/>
        <w:t xml:space="preserve"> 9. Convocatoria a audiencia pública. - Mediante Resolución de 14 de febrero</w:t>
        <w:br/>
        <w:t xml:space="preserve">    de  2013[5]  el  Presidente  de  la  Corte   ordenó   recibir   diversas</w:t>
        <w:br/>
        <w:t xml:space="preserve">    declaraciones en el presente caso. Asimismo, convocó a las partes a  una</w:t>
        <w:br/>
        <w:t xml:space="preserve">    audiencia pública que fue celebrada los días 20 y 21 de  marzo  de  2013</w:t>
        <w:br/>
        <w:t xml:space="preserve">    durante el 47º Período Extraordinario de Sesiones de la Corte, llevado a</w:t>
        <w:br/>
        <w:t xml:space="preserve">    cabo en la ciudad de Medellín, Colombia[6].</w:t>
        <w:br/>
        <w:br/>
        <w:t>10. Preguntas a las partes durante la audiencia pública.- Por  medio  de  la</w:t>
        <w:br/>
        <w:t xml:space="preserve">    comunicación  de  26  de  marzo  de  2013,  la   Secretaría,   siguiendo</w:t>
        <w:br/>
        <w:t xml:space="preserve">    instrucciones del pleno de la  Corte,  precisó  a  las  partes  y  a  la</w:t>
        <w:br/>
        <w:t xml:space="preserve">    Comisión las preguntas realizadas por los Jueces del Tribunal durante la</w:t>
        <w:br/>
        <w:t xml:space="preserve">    audiencia pública, para que  den  respuesta  a  éstas  en  sus  alegatos</w:t>
        <w:br/>
        <w:t xml:space="preserve">    finales escritos  u  observaciones  finales  escritas,  respectivamente.</w:t>
        <w:br/>
        <w:t xml:space="preserve">    Además  se  requirió  al   Estado   la   presentación   de   determinada</w:t>
        <w:br/>
        <w:t xml:space="preserve">    documentación como prueba para mejor  resolver,  para  que  la  presente</w:t>
        <w:br/>
        <w:t xml:space="preserve">    junto con sus alegatos finales escritos[7].</w:t>
        <w:br/>
        <w:br/>
        <w:t>11. Amici curiae. - Por otra parte, el Tribunal  recibió  tres  escritos  en</w:t>
        <w:br/>
        <w:t xml:space="preserve">    calidad de amici curiae presentados por: 1) David James Cantor, Director</w:t>
        <w:br/>
        <w:t xml:space="preserve">    of the Refugee Law Initiative (RLI)  de  la  School  of  Avanced  Study,</w:t>
        <w:br/>
        <w:t xml:space="preserve">    University of London; 2) Nimisha Patel,  de  la  School  of  Psychology,</w:t>
        <w:br/>
        <w:t xml:space="preserve">    University of  East  London,  y  3)  Víctor  Rosas  Vergara,  abogado  y</w:t>
        <w:br/>
        <w:t xml:space="preserve">    Vicepresidente de la ONG Unión de  Ex  prisioneros  políticos  de  Chile</w:t>
        <w:br/>
        <w:t xml:space="preserve">    (UNExPP).</w:t>
        <w:br/>
        <w:br/>
        <w:t>12. Alegatos y observaciones finales escritos. - El 21 de abril de 2013  las</w:t>
        <w:br/>
        <w:t xml:space="preserve">    representantes y el Estado remitieron sus alegatos finales escritos y la</w:t>
        <w:br/>
        <w:t xml:space="preserve">    Comisión Interamericana presentó sus observaciones finales  escritas  al</w:t>
        <w:br/>
        <w:t xml:space="preserve">    presente caso. Asimismo, en dicha  oportunidad  las  representantes,  el</w:t>
        <w:br/>
        <w:t xml:space="preserve">    Estado y la Comisión dieron respuesta a  preguntas  formuladas  por  los</w:t>
        <w:br/>
        <w:t xml:space="preserve">    jueces. Además  el  Estado  presentó  la  mayoría  de  la  documentación</w:t>
        <w:br/>
        <w:t xml:space="preserve">    referente a la prueba para mejor resolver requerida por la Corte.</w:t>
        <w:br/>
        <w:br/>
        <w:t>13. Observaciones de las  representantes  y  el  Estado.-  Los  escritos  de</w:t>
        <w:br/>
        <w:t xml:space="preserve">    alegatos y observaciones finales  escritos  fueron  transmitidos  a  las</w:t>
        <w:br/>
        <w:t xml:space="preserve">    partes y a  la  Comisión  Interamericana  el  7  de  mayo  de  2013.  El</w:t>
        <w:br/>
        <w:t xml:space="preserve">    Presidente otorgó un plazo a  las  representantes,  al  Estado  y  a  la</w:t>
        <w:br/>
        <w:t xml:space="preserve">    Comisión para que presentaran, a más tardar el 17 de mayo de  2013,  las</w:t>
        <w:br/>
        <w:t xml:space="preserve">    observaciones que estimaran pertinentes a los documentos  anexos  a  los</w:t>
        <w:br/>
        <w:t xml:space="preserve">    referidos alegatos finales presentados.  El  17  de  mayo  de  2013  las</w:t>
        <w:br/>
        <w:t xml:space="preserve">    representantes presentaron sus observaciones. El 18 de mayo de  2013  la</w:t>
        <w:br/>
        <w:t xml:space="preserve">    Comisión  Interamericana  manifestó  que  no  tenía  observaciones   que</w:t>
        <w:br/>
        <w:t xml:space="preserve">    formular, y el Estado no presentó observaciones.  Dichas  comunicaciones</w:t>
        <w:br/>
        <w:t xml:space="preserve">    fueron transmitidas a las partes y a la Comisión el 21 de mayo de 2013.</w:t>
        <w:br/>
        <w:br/>
        <w:t>14. Prueba  para  mejor  resolver.-  La  Secretaría  remitió  al  Estado  la</w:t>
        <w:br/>
        <w:t xml:space="preserve">    comunicación de 27 de mayo de 2013, mediante la cual, de conformidad con</w:t>
        <w:br/>
        <w:t xml:space="preserve">    el  artículo  58.b)  del  Reglamento  y  siguiendo   instrucciones   del</w:t>
        <w:br/>
        <w:t xml:space="preserve">    Presidente, solicitó al Estado que, a más tardar el 3 de junio de  2013,</w:t>
        <w:br/>
        <w:t xml:space="preserve">    presente las explicaciones que considere pertinentes en relación con  lo</w:t>
        <w:br/>
        <w:t xml:space="preserve">    señalado por las representantes de que “[l]as normas del Código Penal  y</w:t>
        <w:br/>
        <w:t xml:space="preserve">    del Código Procesal Penal  incluidas  en  los  anexos  [a  los  alegatos</w:t>
        <w:br/>
        <w:t xml:space="preserve">    finales] no son aplicables en la investigación del caso del Señor García</w:t>
        <w:br/>
        <w:t xml:space="preserve">    Lucero[,]” y presente  las normas correspondientes a la prescripción  de</w:t>
        <w:br/>
        <w:t xml:space="preserve">    acciones civiles. El 10 de junio de 2013, el Estado presentó parte de la</w:t>
        <w:br/>
        <w:t xml:space="preserve">    información requerida en la comunicación señalada anteriormente.</w:t>
        <w:br/>
        <w:br/>
        <w:t>15. Otras comunicaciones.- Las representantes remitieron: a) el  escrito  de</w:t>
        <w:br/>
        <w:t xml:space="preserve">    13 de mayo de 2013, mediante el cual aclararon la diferencia de párrafos</w:t>
        <w:br/>
        <w:t xml:space="preserve">    entre la versión en español y  la  versión  en  inglés,  de  un  informe</w:t>
        <w:br/>
        <w:t xml:space="preserve">    psicológico aportado como prueba, y b) el escrito de 30 de mayo de 2013,</w:t>
        <w:br/>
        <w:t xml:space="preserve">    mediante el cual aludieron a una comunicación de la Secretaría de 21  de</w:t>
        <w:br/>
        <w:t xml:space="preserve">    mayo de 2013, en la cual se les indicó “que  la  Corte  sólo  tomará  en</w:t>
        <w:br/>
        <w:t xml:space="preserve">    cuenta aquellas observaciones remitidas  por  [ellos]  que  se  refieran</w:t>
        <w:br/>
        <w:t xml:space="preserve">    exclusivamente a los documentos anexos […] a  los  alegatos  presentados</w:t>
        <w:br/>
        <w:t xml:space="preserve">    por las partes, o aquellos insertos en el cuerpo del escrito de alegatos</w:t>
        <w:br/>
        <w:t xml:space="preserve">    finales del Estado”.</w:t>
        <w:br/>
        <w:br/>
        <w:br/>
        <w:t>III</w:t>
        <w:br/>
        <w:br/>
        <w:br/>
        <w:t>COMPETENCIA</w:t>
        <w:br/>
        <w:br/>
        <w:br/>
        <w:t>16. Chile es Estado Parte en la Convención Americana desde el 21  de  agosto</w:t>
        <w:br/>
        <w:t xml:space="preserve">    de 1990 y reconoció la competencia contenciosa de la Corte en esa  misma</w:t>
        <w:br/>
        <w:t xml:space="preserve">    fecha. En ese momento declaró que reconocía la competencia del Tribunal,</w:t>
        <w:br/>
        <w:t xml:space="preserve">    conforme a lo dispuesto por el artículo 62 de la  Convención,  solamente</w:t>
        <w:br/>
        <w:t xml:space="preserve">    respecto a los “hechos posteriores a  la  fecha  del  depósito  de  este</w:t>
        <w:br/>
        <w:t xml:space="preserve">    instrumento de ratificación o, en todo caso, a hechos cuyo principio  de</w:t>
        <w:br/>
        <w:t xml:space="preserve">    ejecución sea posterior al 11 de marzo de 1990”. El Estado ha alegado en</w:t>
        <w:br/>
        <w:t xml:space="preserve">    su excepción preliminar  que  el  Tribunal  no  tiene  competencia  para</w:t>
        <w:br/>
        <w:t xml:space="preserve">    conocer del presente caso (infra párr.  17).  Por  lo  tanto,  la  Corte</w:t>
        <w:br/>
        <w:t xml:space="preserve">    decidirá primero sobre la excepción preliminar  interpuesta  por  Chile;</w:t>
        <w:br/>
        <w:t xml:space="preserve">    posteriormente, si fuera jurídicamente procedente, el Tribunal pasará  a</w:t>
        <w:br/>
        <w:t xml:space="preserve">    decidir sobre el fondo y las reparaciones  solicitadas  en  el  presente</w:t>
        <w:br/>
        <w:t xml:space="preserve">    caso. El 30 de septiembre de  1988  el  Estado  ratificó  la  Convención</w:t>
        <w:br/>
        <w:t xml:space="preserve">    Interamericana contra la Tortura.</w:t>
        <w:br/>
        <w:br/>
        <w:br/>
        <w:br/>
        <w:br/>
        <w:br/>
        <w:br/>
        <w:br/>
        <w:t>IV</w:t>
        <w:br/>
        <w:br/>
        <w:br/>
        <w:t>EXCEPCIÓN PRELIMINAR</w:t>
        <w:br/>
        <w:br/>
        <w:br/>
        <w:t>FALTA DE COMPETENCIA TEMPORAL Y MATERIAL</w:t>
        <w:br/>
        <w:br/>
        <w:br/>
        <w:t>A. Argumentos de las partes y de la Comisión</w:t>
        <w:br/>
        <w:br/>
        <w:t>17. El Estado adujo la “falta de competencia de  la  Corte  en  relación  al</w:t>
        <w:br/>
        <w:t xml:space="preserve">   tiempo y la materia”. Señaló que  ratificó  la  Convención  Americana  y</w:t>
        <w:br/>
        <w:t xml:space="preserve">   reconoció la competencia de la Comisión Interamericana y de la Corte  el</w:t>
        <w:br/>
        <w:t xml:space="preserve">   21 de agosto de 1990, y que al hacerlo “dej[ó] constancia [de]  que  los</w:t>
        <w:br/>
        <w:t xml:space="preserve">   reconocimientos de competencia […] se refieren a hechos posteriores a la</w:t>
        <w:br/>
        <w:t xml:space="preserve">   fecha del depósito de[l i]nstrumento de [r]atificación; en todo caso,  a</w:t>
        <w:br/>
        <w:t xml:space="preserve">   hechos cuyo principio de ejecución sea posterior al  11  de  [m]arzo  de</w:t>
        <w:br/>
        <w:t xml:space="preserve">   1990”. Afirmó que, en este  caso,  esta  “restricción  temporal”  se  ve</w:t>
        <w:br/>
        <w:t xml:space="preserve">   “flagrantemente vulnerada”, ya que se presentan “hechos que caen […]  en</w:t>
        <w:br/>
        <w:t xml:space="preserve">   [la misma]”. En  cuanto  a  la  competencia  material,  señaló  que  “la</w:t>
        <w:br/>
        <w:t xml:space="preserve">   competencia de la Corte se debe dirigir solamente a las imputaciones que</w:t>
        <w:br/>
        <w:t xml:space="preserve">   la Comisión y las presuntas víctimas formulan”. Refirió también  que  la</w:t>
        <w:br/>
        <w:t xml:space="preserve">   Comisión, al admitir el caso,  indicó  que  los  entonces  peticionarios</w:t>
        <w:br/>
        <w:t xml:space="preserve">   “cuestiona[ro]n primordialmente la falta  de  acceso  a  una  reparación</w:t>
        <w:br/>
        <w:t xml:space="preserve">   civil”, que “la materia de este juicio consiste en determinar si  en  el</w:t>
        <w:br/>
        <w:t xml:space="preserve">   caso particular ha existido una vulneración al deber de reparar”, y  que</w:t>
        <w:br/>
        <w:t xml:space="preserve">   las representantes “abordan una serie de materias que exceden el  ámbito</w:t>
        <w:br/>
        <w:t xml:space="preserve">   de competencia ratione materiae” de la Corte. Agregó que “el objeto  del</w:t>
        <w:br/>
        <w:t xml:space="preserve">   presente caso es conocer y resolver acerca de la presunta vulneración de</w:t>
        <w:br/>
        <w:t xml:space="preserve">   derechos del señor Leopoldo García y su familia  […],  por  el  presunto</w:t>
        <w:br/>
        <w:t xml:space="preserve">   incumplimiento del deber del Estado de investigar y reparar”.  En  razón</w:t>
        <w:br/>
        <w:t xml:space="preserve">   de lo expuesto, como única  “[p]etición  concreta”  sobre  la  excepción</w:t>
        <w:br/>
        <w:t xml:space="preserve">   preliminar, el Estado solicitó a la Corte que declare, “en forma  previa</w:t>
        <w:br/>
        <w:t xml:space="preserve">   al conocimiento del fondo”,  que  “la  causa  eficiente  del  derecho  a</w:t>
        <w:br/>
        <w:t xml:space="preserve">   reparación  aparentemente  conculcado  reconoce  su  origen  en   hechos</w:t>
        <w:br/>
        <w:t xml:space="preserve">   ocurridos con anterioridad a la ratificación de la Convención”.</w:t>
        <w:br/>
        <w:br/>
        <w:t>18. La Comisión Interamericana precisó que no solicitó al  Tribunal  que  se</w:t>
        <w:br/>
        <w:t xml:space="preserve">   pronuncie sobre la tortura sufrida por el señor García Lucero.  Citó  en</w:t>
        <w:br/>
        <w:t xml:space="preserve">   apoyo de su postura diversos tratados  interamericanos,  decisiones  del</w:t>
        <w:br/>
        <w:t xml:space="preserve">   Tribunal y de otros órganos internacionales, para afirmar que  la  Corte</w:t>
        <w:br/>
        <w:t xml:space="preserve">   tiene competencia  para  pronunciarse  sobre  la  insuficiencia  de  las</w:t>
        <w:br/>
        <w:t xml:space="preserve">   medidas de reparación que se dispusieron desde el reconocimiento  de  su</w:t>
        <w:br/>
        <w:t xml:space="preserve">   competencia y que “la denegación de justicia […] ha continuado desde  el</w:t>
        <w:br/>
        <w:t xml:space="preserve">   11 de marzo de 1990 hasta el presente”. En tal sentido, entendió  a  las</w:t>
        <w:br/>
        <w:t xml:space="preserve">   “obligaciones  de  investigar  y  reparar  como  deberes  de  naturaleza</w:t>
        <w:br/>
        <w:t xml:space="preserve">   autónoma y carácter continuado”.</w:t>
        <w:br/>
        <w:br/>
        <w:t>19. Además, indicó algunos hechos que acaecieron  con  posterioridad  a  esa</w:t>
        <w:br/>
        <w:t xml:space="preserve">   fecha, a saber: a) gestiones realizadas por el señor  García  Lucero  “a</w:t>
        <w:br/>
        <w:t xml:space="preserve">   partir del año 1993”; b) el traslado al Estado, el 23  de  noviembre  de</w:t>
        <w:br/>
        <w:t xml:space="preserve">   2004, de la petición presentada a la  Comisión  sobre  el  caso;  c)  la</w:t>
        <w:br/>
        <w:t xml:space="preserve">   publicación del Informe de la Comisión Nacional sobre Prisión Política y</w:t>
        <w:br/>
        <w:t xml:space="preserve">   Tortura (en adelante también “Comisión Valech”) el 28  de  noviembre  de</w:t>
        <w:br/>
        <w:t xml:space="preserve">   2004; d) la aducida falta de investigación de los hechos hasta el  7  de</w:t>
        <w:br/>
        <w:t xml:space="preserve">   octubre de 2011, y su inicio en esa fecha;   e)  la  continuidad  de  la</w:t>
        <w:br/>
        <w:t xml:space="preserve">   vigencia del Decreto-Ley No. 2.191; g)  la  pensión  otorgada  al  señor</w:t>
        <w:br/>
        <w:t xml:space="preserve">   García Lucero desde el año 2000, y h) la recepción de bonos por el señor</w:t>
        <w:br/>
        <w:t xml:space="preserve">   García Lucero el 14 de junio de  2006  y  en  el  año  2008.  Sobre  los</w:t>
        <w:br/>
        <w:t xml:space="preserve">   argumentos estatales acerca de la supuesta falta de competencia material</w:t>
        <w:br/>
        <w:t xml:space="preserve">   de la Corte, la Comisión expresó que resulta  “difícil  comprender  [su]</w:t>
        <w:br/>
        <w:t xml:space="preserve">   alcance”, pues “el Estado reconoce que los hechos objeto de la litis son</w:t>
        <w:br/>
        <w:t xml:space="preserve">   aquellos establecidos por la Comisión y los representantes”.</w:t>
        <w:br/>
        <w:br/>
        <w:t>20.  Las  representantes  adujeron  que  Chile  sólo  planteó  la  excepción</w:t>
        <w:br/>
        <w:t xml:space="preserve">   preliminar en relación con “una de  las  violaciones  alegadas,  la  del</w:t>
        <w:br/>
        <w:t xml:space="preserve">   derecho a una reparación adecuada e integral” bajo la Convención, y no</w:t>
        <w:br/>
        <w:br/>
        <w:t xml:space="preserve">       en relación con la violación del derecho al tratamiento humano en  su</w:t>
        <w:br/>
        <w:t xml:space="preserve">       parte procesal ([a]rt[í]culo 5.1 [de la Convención])  como  resultado</w:t>
        <w:br/>
        <w:t xml:space="preserve">       de la inacción del Estado y  del  sistema  de  justicia.  Igualmente,</w:t>
        <w:br/>
        <w:t xml:space="preserve">       Chile no se refirió a la alegada violación de la  obligación  general</w:t>
        <w:br/>
        <w:t xml:space="preserve">       […] de adecuar su derecho interno a la Convención ([a]rtículo 2) ni a</w:t>
        <w:br/>
        <w:t xml:space="preserve">       las disposiciones de la Convención  Interamericana  para  Prevenir  y</w:t>
        <w:br/>
        <w:t xml:space="preserve">       Sancionar la Tortura que resultan aplicables.</w:t>
        <w:br/>
        <w:br/>
        <w:t>21. Además, expresaron que “los derechos sobre acceso a la justicia  son  de</w:t>
        <w:br/>
        <w:t xml:space="preserve">   carácter autónomo, lo que significa que  el  Estado  debe  investigar  y</w:t>
        <w:br/>
        <w:t xml:space="preserve">   reparar la tortura incluso cuando la [misma]  se  cometió  antes  de  la</w:t>
        <w:br/>
        <w:t xml:space="preserve">   ratificación de  la  C[onvención]”.  Agregaron,  que  de  acuerdo  a  la</w:t>
        <w:br/>
        <w:t xml:space="preserve">   jurisprudencia del Tribunal este mantiene su competencia en relación con</w:t>
        <w:br/>
        <w:t xml:space="preserve">   hechos cuyo principio de  ejecución  hubiere  tenido  lugar  después  de</w:t>
        <w:br/>
        <w:t xml:space="preserve">   aceptada la misma. En tal sentido afirmaron que</w:t>
        <w:br/>
        <w:br/>
        <w:t xml:space="preserve">       la […] Corte debe llegar a las mismas conclusiones a las cuales llegó</w:t>
        <w:br/>
        <w:t xml:space="preserve">       en [las Sentencias sobre  los  casos]  Almonacid  Arellano,  Hermanas</w:t>
        <w:br/>
        <w:t xml:space="preserve">       Serrano Cruz y Martín  del  Campo,  es  decir,  que  las  acciones  y</w:t>
        <w:br/>
        <w:t xml:space="preserve">       omisiones relacionadas con la conducción de la investigación tuvieron</w:t>
        <w:br/>
        <w:t xml:space="preserve">       lugar luego del reconocimiento de la  competencia  de  la  Corte  por</w:t>
        <w:br/>
        <w:t xml:space="preserve">       parte de Chile y en consideración a la existencia de hechos  ilícitos</w:t>
        <w:br/>
        <w:t xml:space="preserve">       independientes, cuyo principio de ejecución es  también  posterior  a</w:t>
        <w:br/>
        <w:t xml:space="preserve">       dicho reconocimiento de competencia.</w:t>
        <w:br/>
        <w:br/>
        <w:t>22. Al respecto, alegaron que los hechos autónomos  que  ocurrieron  después</w:t>
        <w:br/>
        <w:t xml:space="preserve">   de la ratificación de la Convención que están sujetos a  la  competencia</w:t>
        <w:br/>
        <w:t xml:space="preserve">   de la Corte son: a) la aducida omisión de iniciar  la  investigación  de</w:t>
        <w:br/>
        <w:t xml:space="preserve">   “la tortura, detención arbitraria, expulsión y otros  hechos”  ocurridos</w:t>
        <w:br/>
        <w:t xml:space="preserve">   al señor García Lucero; b) la aducida  conducción  no  diligente  de  la</w:t>
        <w:br/>
        <w:t xml:space="preserve">   investigación, una vez que fue iniciada en octubre del año 2011;  c)  el</w:t>
        <w:br/>
        <w:t xml:space="preserve">   mantenimiento en el  “sistema  jurídico”  interno  del  Decreto-Ley  No.</w:t>
        <w:br/>
        <w:t xml:space="preserve">   2.191; d) la adopción de normas “que  impiden  al  sistema  de  justicia</w:t>
        <w:br/>
        <w:t xml:space="preserve">   cumplir con su obligación de investigar […] como el artículo  15  de  la</w:t>
        <w:br/>
        <w:t xml:space="preserve">   ley 1992”, y e) las “reparaciones domésticas” otorgadas al señor  García</w:t>
        <w:br/>
        <w:t xml:space="preserve">   Lucero.</w:t>
        <w:br/>
        <w:br/>
        <w:t>23. Por último, las representantes señalaron que aunque Chile  no  interpuso</w:t>
        <w:br/>
        <w:t xml:space="preserve">   explícitamente una  excepción  de  “falta  de  agotamiento  de  recursos</w:t>
        <w:br/>
        <w:t xml:space="preserve">   internos”, la misma se desprende de sus alegatos. Solicitaron a la Corte</w:t>
        <w:br/>
        <w:t xml:space="preserve">   que se rechace, ya que el Estado no planteó la excepción en  la  primera</w:t>
        <w:br/>
        <w:t xml:space="preserve">   oportunidad procesal ante la Comisión, lo cual fue advertido por ésta al</w:t>
        <w:br/>
        <w:t xml:space="preserve">   resolver la admisibilidad del caso.</w:t>
        <w:br/>
        <w:br/>
        <w:t>B. Consideraciones de la Corte</w:t>
        <w:br/>
        <w:br/>
        <w:t>24. El Tribunal,  como  órgano  con  funciones  jurisdiccionales,  tiene  la</w:t>
        <w:br/>
        <w:t xml:space="preserve">   facultad, inherente a sus atribuciones, de determinar el alcance  de  su</w:t>
        <w:br/>
        <w:t xml:space="preserve">   propia competencia (compétence de la compétence/Kompetenz-Kompetenz). El</w:t>
        <w:br/>
        <w:t xml:space="preserve">   reconocimiento de la jurisdicción obligatoria de la Corte, efectuado  de</w:t>
        <w:br/>
        <w:t xml:space="preserve">   conformidad al artículo 62.1 de la Convención,  presupone  la  admisión,</w:t>
        <w:br/>
        <w:t xml:space="preserve">   por el Estado que lo  realiza,  del  derecho  de  la  Corte  a  resolver</w:t>
        <w:br/>
        <w:t xml:space="preserve">   cualquier controversia relativa a su jurisdicción[8].</w:t>
        <w:br/>
        <w:br/>
        <w:t>25. El Estado indicó  la  falta  de  competencia  material  y  temporal  del</w:t>
        <w:br/>
        <w:t xml:space="preserve">   Tribunal como parte de una sola excepción preliminar, y señaló que es la</w:t>
        <w:br/>
        <w:t xml:space="preserve">   competencia temporal la que se  ve  “más  flagrantemente  vulnerada”.  A</w:t>
        <w:br/>
        <w:t xml:space="preserve">   continuación el Tribunal las examinará en ese orden.</w:t>
        <w:br/>
        <w:br/>
        <w:br/>
        <w:t xml:space="preserve">    B.1.) Sobre la falta de competencia material</w:t>
        <w:br/>
        <w:br/>
        <w:t>26. La Corte observa que tanto  las  representantes  como  la  Comisión  han</w:t>
        <w:br/>
        <w:t xml:space="preserve">   expresado argumentos sobre la alegada vulneración de  normas  sobre  las</w:t>
        <w:br/>
        <w:t xml:space="preserve">   que la Corte tiene competencia; esto es, sobre la Convención Americana y</w:t>
        <w:br/>
        <w:t xml:space="preserve">   la Convención Interamericana  contra  la  Tortura,  y  sus  alegatos  se</w:t>
        <w:br/>
        <w:t xml:space="preserve">   relacionan con la aducida falta de investigación y reparación adecuadas,</w:t>
        <w:br/>
        <w:t xml:space="preserve">   que según la Comisión indicó, desde que se admitió el caso las referidas</w:t>
        <w:br/>
        <w:t xml:space="preserve">   pretensiones habían sido planteadas por los  entonces  peticionarios[9].</w:t>
        <w:br/>
        <w:t xml:space="preserve">   Por su parte, el Estado señaló que “el  objeto  del  presente  caso”  se</w:t>
        <w:br/>
        <w:t xml:space="preserve">   vincula con el “presunto incumplimiento por  parte  del  Estado  de  los</w:t>
        <w:br/>
        <w:t xml:space="preserve">   deberes de investigar y  reparar”  (supra  párr.  17).  No  obstante  lo</w:t>
        <w:br/>
        <w:t xml:space="preserve">   anterior, al invocar la alegada falta de competencia material  Chile  lo</w:t>
        <w:br/>
        <w:t xml:space="preserve">   hizo en términos generales al afirmar que “la competencia de la Corte se</w:t>
        <w:br/>
        <w:t xml:space="preserve">   debe dirigir  solamente  a  las  imputaciones  que  la  Comisión  y  las</w:t>
        <w:br/>
        <w:t xml:space="preserve">   presuntas  víctimas  formula[ron]”  y  a   la   vez   indicó   que   las</w:t>
        <w:br/>
        <w:t xml:space="preserve">   representantes “abordan una serie de materias que exceden el  ámbito  de</w:t>
        <w:br/>
        <w:t xml:space="preserve">   competencia ratione materiae”.</w:t>
        <w:br/>
        <w:br/>
        <w:t>27.  En razón de lo anterior, el Tribunal  considera  que  el  planteamiento</w:t>
        <w:br/>
        <w:t xml:space="preserve">   del Estado no es claro, ni justifica cómo se afectaría la  admisibilidad</w:t>
        <w:br/>
        <w:t xml:space="preserve">   del  caso  o  porqué  la  Corte  estaría  impedida  de   conocerlo.   En</w:t>
        <w:br/>
        <w:t xml:space="preserve">   consecuencia,  la  Corte  desestima  la  referida  excepción  preliminar</w:t>
        <w:br/>
        <w:t xml:space="preserve">   interpuesta por el Estado.</w:t>
        <w:br/>
        <w:br/>
        <w:t xml:space="preserve">    B.2.) Sobre la falta de competencia temporal</w:t>
        <w:br/>
        <w:br/>
        <w:t>28. Como ha señalado antes el Tribunal, a fin de determinar si  tiene  o  no</w:t>
        <w:br/>
        <w:t xml:space="preserve">   competencia en relación con un caso o un aspecto del mismo, debe</w:t>
        <w:br/>
        <w:br/>
        <w:br/>
        <w:t xml:space="preserve">       tomar en consideración la fecha de reconocimiento de  la  competencia</w:t>
        <w:br/>
        <w:t xml:space="preserve">       por parte del Estado, los términos en que el mismo se ha  dado  y  el</w:t>
        <w:br/>
        <w:t xml:space="preserve">       principio de irretroactividad, dispuesto en  el  artículo  28  de  la</w:t>
        <w:br/>
        <w:t xml:space="preserve">       Convención de Viena sobre el Derecho de los  Tratados  de  1969.  Aun</w:t>
        <w:br/>
        <w:t xml:space="preserve">       cuando el Estado está obligado a respetar y garantizar  los  derechos</w:t>
        <w:br/>
        <w:t xml:space="preserve">       protegidos en la Convención  Americana  desde  la  fecha  en  que  la</w:t>
        <w:br/>
        <w:t xml:space="preserve">       ratificó, la competencia de la Corte para declarar  una  violación  a</w:t>
        <w:br/>
        <w:t xml:space="preserve">       sus normas se rige por  el  referido  reconocimiento  por  parte  del</w:t>
        <w:br/>
        <w:t xml:space="preserve">       Estado[10].</w:t>
        <w:br/>
        <w:br/>
        <w:t>29. Al ratificar la Convención Americana el  21  de  agosto  de  1990  Chile</w:t>
        <w:br/>
        <w:t xml:space="preserve">   declaró que “reconoce como obligatoria de pleno derecho  la  competencia</w:t>
        <w:br/>
        <w:t xml:space="preserve">   de la Corte […] respecto de los casos relativos a  la  interpretación  y</w:t>
        <w:br/>
        <w:t xml:space="preserve">   aplicación de  [la]  Convención[,  …]  deja[ndo]  constancia”  que  ello</w:t>
        <w:br/>
        <w:t xml:space="preserve">   refiere a “hechos posteriores a la fecha del depósito de[l  i]nstrumento</w:t>
        <w:br/>
        <w:t xml:space="preserve">   de ratificación o, en todo caso, a hechos cuyo  principio  de  ejecución</w:t>
        <w:br/>
        <w:t xml:space="preserve">   sea posterior al 11 de marzo de 1990”. La Corte ya ha indicado  que  “la</w:t>
        <w:br/>
        <w:t xml:space="preserve">   ‘declaración’ realizada por Chile constituye una limitación temporal  al</w:t>
        <w:br/>
        <w:t xml:space="preserve">   reconocimiento de  la  competencia  de  este  Tribunal”[11],  que  tiene</w:t>
        <w:br/>
        <w:t xml:space="preserve">   fundamento  en  una  facultad  que  detentan  los  Estados   Partes   de</w:t>
        <w:br/>
        <w:t xml:space="preserve">   conformidad con el artículo 62 de la Convención[12].</w:t>
        <w:br/>
        <w:br/>
        <w:t>30. Sin perjuicio de  lo  anterior,  el  Tribunal  ha  establecido,  incluso</w:t>
        <w:br/>
        <w:t xml:space="preserve">   frente a limitaciones temporales similares a las del presente caso,  que</w:t>
        <w:br/>
        <w:t xml:space="preserve">   aun cuando una obligación estatal se  refiera  a  hechos  sucedidos  con</w:t>
        <w:br/>
        <w:t xml:space="preserve">   anterioridad a la fecha del reconocimiento de la competencia respectiva,</w:t>
        <w:br/>
        <w:t xml:space="preserve">   el análisis de si esa obligación fue observada o no por el Estado  puede</w:t>
        <w:br/>
        <w:t xml:space="preserve">   realizarse por el Tribunal a partir de dicha  fecha[13].  Es  decir,  la</w:t>
        <w:br/>
        <w:t xml:space="preserve">   Corte puede efectuar el examen indicado en la medida  en  que  ello  sea</w:t>
        <w:br/>
        <w:t xml:space="preserve">   factible a partir de hechos independientes acaecidos dentro  del  límite</w:t>
        <w:br/>
        <w:t xml:space="preserve">   temporal de su competencia.</w:t>
        <w:br/>
        <w:br/>
        <w:t>31. Sobre lo anterior, puede recordarse algunos  precedentes  del  Tribunal:</w:t>
        <w:br/>
        <w:t xml:space="preserve">   en el caso Genie Lacayo Vs. Nicaragua, relativo a la muerte de Jean Paul</w:t>
        <w:br/>
        <w:t xml:space="preserve">   Genie, ocurrida el 28 de octubre de 1990, el Estado adujo que  la  Corte</w:t>
        <w:br/>
        <w:t xml:space="preserve">   no tenía competencia temporal, pues Nicaragua “aceptó la competencia  de</w:t>
        <w:br/>
        <w:t xml:space="preserve">   la Corte el 12 de febrero de 1991 ‘con la reserva de que  los  casos  en</w:t>
        <w:br/>
        <w:t xml:space="preserve">   que se reconoce la competencia, comprenden solamente hechos  posteriores</w:t>
        <w:br/>
        <w:t xml:space="preserve">   o hechos cuyo principio de ejecución sean posteriores  a  la  fecha  del</w:t>
        <w:br/>
        <w:t xml:space="preserve">   depósito de [la] declaración’” respectiva. La Corte observó que “[e]n el</w:t>
        <w:br/>
        <w:t xml:space="preserve">   ‘Objeto de la demanda’ de  la  Comisión  no  aparec[ía],  en  principio,</w:t>
        <w:br/>
        <w:t xml:space="preserve">   peticiones que tengan que ver con la violación del derecho a la vida o a</w:t>
        <w:br/>
        <w:t xml:space="preserve">   la integridad personal de la víctima, hechos anteriores a la  aceptación</w:t>
        <w:br/>
        <w:t xml:space="preserve">   de competencia de Nicaragua”. Por  ello  “estim[ó]  que  [l]a  excepción</w:t>
        <w:br/>
        <w:t xml:space="preserve">   preliminar e[ra] inadmisible y se declar[ó] competente para conocer  del</w:t>
        <w:br/>
        <w:t xml:space="preserve">   […] caso”[14]. Similar situación se presentó  en  el  caso  Moiwana  Vs.</w:t>
        <w:br/>
        <w:t xml:space="preserve">   Suriname, cuyos  hechos  refieren  a  una  masacre  cometida  el  29  de</w:t>
        <w:br/>
        <w:t xml:space="preserve">   noviembre de 1986. Suriname había reconocido la competencia de la  Corte</w:t>
        <w:br/>
        <w:t xml:space="preserve">   el 12 de noviembre de 1987. El Tribunal rechazó la excepción  preliminar</w:t>
        <w:br/>
        <w:t xml:space="preserve">   de falta de competencia temporal interpuesta por el Estado  y  determinó</w:t>
        <w:br/>
        <w:t xml:space="preserve">   que “[e]l examen de la compatibilidad de las acciones  y  omisiones  del</w:t>
        <w:br/>
        <w:t xml:space="preserve">   Estado respecto a [la] investigación [de los hechos], a la  luz  de  los</w:t>
        <w:br/>
        <w:t xml:space="preserve">   artículos 8, 25 y 1.1 de  la  Convención,  es  de  competencia  de  esta</w:t>
        <w:br/>
        <w:t xml:space="preserve">   Corte”[15]. Asimismo, en el caso García Prieto y otro Vs.  El  Salvador,</w:t>
        <w:br/>
        <w:t xml:space="preserve">   el Estado interpuso una excepción de falta de competencia temporal de la</w:t>
        <w:br/>
        <w:t xml:space="preserve">   Corte, pues reconoció su competencia el 6 de junio de 1995, y la  muerte</w:t>
        <w:br/>
        <w:t xml:space="preserve">   del señor Ramón Mauricio García Prieto se había producido el 10 de junio</w:t>
        <w:br/>
        <w:t xml:space="preserve">   de 1994. Al reconocer la competencia de la Corte El Salvador declaró que</w:t>
        <w:br/>
        <w:t xml:space="preserve">   dicha competencia  “comprende  sola  y  exclusivamente  hechos  o  actos</w:t>
        <w:br/>
        <w:t xml:space="preserve">   jurídicos posteriores o hechos  o  actos  jurídicos  cuyo  principio  de</w:t>
        <w:br/>
        <w:t xml:space="preserve">   ejecución sean posteriores a la fecha del depósito” de la aceptación. La</w:t>
        <w:br/>
        <w:t xml:space="preserve">   Corte desestimó parcialmente la excepción preliminar,  determinando  que</w:t>
        <w:br/>
        <w:t xml:space="preserve">   “t[e]n[ía] competencia para analizar, a la  luz  del  contenido  de  los</w:t>
        <w:br/>
        <w:t xml:space="preserve">   artículos 8.1 y 25.1 de la Convención, los hechos u omisiones  ocurridos</w:t>
        <w:br/>
        <w:t xml:space="preserve">   durante el desarrollo de las actuaciones judiciales o policiales  y  que</w:t>
        <w:br/>
        <w:t xml:space="preserve">   puedan ser caracterizados como ‘hechos independientes’ y hayan  ocurrido</w:t>
        <w:br/>
        <w:t xml:space="preserve">   bajo la competencia temporal del Tribunal”[16].</w:t>
        <w:br/>
        <w:br/>
        <w:t>32. Cabe citar, además, el precedente del caso Almonacid  Arellano  y  otros</w:t>
        <w:br/>
        <w:t xml:space="preserve">   Vs. Chile, cuyo hecho antecedente era  la  ejecución  extrajudicial  del</w:t>
        <w:br/>
        <w:t xml:space="preserve">   señor Almonacid Arellano el 17 de septiembre de  1973.  El  Estado,  con</w:t>
        <w:br/>
        <w:t xml:space="preserve">   base en la limitación temporal a la competencia de  la  Corte,  presentó</w:t>
        <w:br/>
        <w:t xml:space="preserve">   una excepción de falta de competencia temporal, que fue rechazada por el</w:t>
        <w:br/>
        <w:t xml:space="preserve">   Tribunal. La Corte, inter alia, indicó que ha  “considerado  que  en  el</w:t>
        <w:br/>
        <w:t xml:space="preserve">   transcurso de un proceso se pueden producir  hechos  independientes  que</w:t>
        <w:br/>
        <w:t xml:space="preserve">   podrían configurar violaciones específicas y autónomas de denegación  de</w:t>
        <w:br/>
        <w:t xml:space="preserve">   justicia”, y que determinados hechos indicados por  la  Comisión  y  las</w:t>
        <w:br/>
        <w:t xml:space="preserve">   representantes,  “podrían  constituir  violaciones  autónomas   de   los</w:t>
        <w:br/>
        <w:t xml:space="preserve">   artículos 8.1 y 25 de la Convención, en relación con el artículo 1.1  de</w:t>
        <w:br/>
        <w:t xml:space="preserve">   la misma”. También expresó que “[e]l principio de ejecución del supuesto</w:t>
        <w:br/>
        <w:t xml:space="preserve">   incumplimiento del artículo 2 de  la  Convención  Americana  se  produce</w:t>
        <w:br/>
        <w:t xml:space="preserve">   cuando el Estado se  obligó  a  adecuar  su  legislación  interna  a  la</w:t>
        <w:br/>
        <w:t xml:space="preserve">   Convención, es decir, al momento en que la ratificó[17].</w:t>
        <w:br/>
        <w:br/>
        <w:t>33.   De modo más reciente, en el caso de las  Masacres  de  Río  Negro  Vs.</w:t>
        <w:br/>
        <w:t>Guatemala, el Tribunal notó que “el Estado pretend[ía] inhibir  a  la  Corte</w:t>
        <w:br/>
        <w:t>del conocimiento de las violaciones de derechos humanos que  hayan  sucedido</w:t>
        <w:br/>
        <w:t>con anterioridad al 9 de marzo de 1987, fecha en  que  Guatemala  aceptó  la</w:t>
        <w:br/>
        <w:t>competencia contenciosa del Tribunal, que no sean de carácter  continuado  o</w:t>
        <w:br/>
        <w:t>permanente y que no persistan hasta el [presente]”. La Corte  consideró  que</w:t>
        <w:br/>
        <w:t>era competente en relación con determinados hechos, entre ellos,  “la  falta</w:t>
        <w:br/>
        <w:t>de investigación imparcial y efectiva de los hechos [y] la afectación  a  la</w:t>
        <w:br/>
        <w:t>integridad personal de los familiares y sobrevivientes en  relación  con  la</w:t>
        <w:br/>
        <w:t>investigación de los hechos”, y que […] podía  “analizar  […]  los  alegatos</w:t>
        <w:br/>
        <w:t>sobre la supuesta denegación de justicia a la luz de  la  alegada  violación</w:t>
        <w:br/>
        <w:t>de los derechos reconocidos en  los  artículos  8  y  25  de  la  Convención</w:t>
        <w:br/>
        <w:t>Americana, sobre los cuales el Tribunal sí tiene competencia”[18].</w:t>
        <w:br/>
        <w:br/>
        <w:t>34.   Como se expresó, Chile declaró  que  reconoce  la  competencia  de  la</w:t>
        <w:br/>
        <w:t>Corte respecto a “hechos posteriores a[l 21 de agosto de 1990]  o,  en  todo</w:t>
        <w:br/>
        <w:t>caso, a hechos cuyo principio de ejecución sea posterior al 11 de  marzo  de</w:t>
        <w:br/>
        <w:t>1990”. En consecuencia, los casos citados  en  los  párrafos  anteriores  se</w:t>
        <w:br/>
        <w:t>asimilan al presente en cuanto a la existencia de limitaciones temporales  a</w:t>
        <w:br/>
        <w:t>la competencia de la Corte, y en  que  los  hechos  pertinentes  no  son  de</w:t>
        <w:br/>
        <w:t>ejecución continuada o permanente.</w:t>
        <w:br/>
        <w:br/>
        <w:t>35. Dado lo anterior, el Tribunal examinará  si  los  hechos  acaecidos  con</w:t>
        <w:br/>
        <w:t xml:space="preserve">   posterioridad al reconocimiento de competencia contenciosa  de  la  Corte</w:t>
        <w:br/>
        <w:t xml:space="preserve">   por  parte  de  Chile  constituyen  hechos  independientes  que   podrían</w:t>
        <w:br/>
        <w:t xml:space="preserve">   configurar violaciones autónomas[19]. En cuanto a la “prisión  política”,</w:t>
        <w:br/>
        <w:t xml:space="preserve">   el exilio y los actos de tortura sufridos por el señor García Lucero,  no</w:t>
        <w:br/>
        <w:t xml:space="preserve">   hay controversia entre las partes y  la  Comisión  en  que  ocurrieron  o</w:t>
        <w:br/>
        <w:t xml:space="preserve">   comenzaron a suceder entre los años 1973 y 1975, con  anterioridad  a  la</w:t>
        <w:br/>
        <w:t xml:space="preserve">   entrada en vigor para el Estado de las obligaciones  estipuladas  en  los</w:t>
        <w:br/>
        <w:t xml:space="preserve">   tratados que se alegan violados (supra  párr.  16).  Dichos  hechos  sólo</w:t>
        <w:br/>
        <w:t xml:space="preserve">   serán considerados por el Tribunal  como  antecedentes,  es  decir,  como</w:t>
        <w:br/>
        <w:t xml:space="preserve">   datos útiles para comprender el contexto del presente caso y los hechos a</w:t>
        <w:br/>
        <w:t xml:space="preserve">   examinar dentro de la competencia temporal del Tribunal.</w:t>
        <w:br/>
        <w:br/>
        <w:t>36. Ahora bien, al interponer la presente  excepción  preliminar,  Chile  ha</w:t>
        <w:br/>
        <w:t xml:space="preserve">   aducido que la “causa eficiente del derecho a reparación” que  se  afirma</w:t>
        <w:br/>
        <w:t xml:space="preserve">   violado “reconoce su origen” en hechos anteriores a la ratificación de la</w:t>
        <w:br/>
        <w:t xml:space="preserve">   Convención Americana. Al respecto, en cuanto a la tortura, con base en la</w:t>
        <w:br/>
        <w:t xml:space="preserve">   jurisprudencia de la Corte, debe señalarse que “[c]ada acto de tortura se</w:t>
        <w:br/>
        <w:t xml:space="preserve">   ejecuta o consume en sí mismo, y  su  ejecución  no  se  extiende  en  el</w:t>
        <w:br/>
        <w:t xml:space="preserve">   tiempo, por lo que el  acto  o  actos  de  tortura  [son]  un  delito  de</w:t>
        <w:br/>
        <w:t xml:space="preserve">   ejecución instantáne[a…]. Asimismo, las secuelas de  la  tortura  […]  no</w:t>
        <w:br/>
        <w:t xml:space="preserve">   equivalen a un delito continuo”[20]. La “prisión política”  y  el  exilio</w:t>
        <w:br/>
        <w:t xml:space="preserve">   así como las secuelas o efectos derivados de los mismos, están  fuera  de</w:t>
        <w:br/>
        <w:t xml:space="preserve">   la competencia del Tribunal, porque se originaron o tuvieron su principio</w:t>
        <w:br/>
        <w:t xml:space="preserve">   de ejecución antes del 11 de marzo de 1990.</w:t>
        <w:br/>
        <w:br/>
        <w:t>37. Dado lo establecido en el párrafo anterior, por su conexidad con  hechos</w:t>
        <w:br/>
        <w:t xml:space="preserve">   consumados antes del año 1990, o con las  consecuencias  de  los  mismos,</w:t>
        <w:br/>
        <w:t xml:space="preserve">   esta Corte no se pronunciará sobre lo siguiente: los daños  derivados  de</w:t>
        <w:br/>
        <w:t xml:space="preserve">   la “prisión política”, el exilio y la tortura del  señor  García  Lucero,</w:t>
        <w:br/>
        <w:t xml:space="preserve">   sea en relación con él o con  sus  familiares,  como  tampoco  sobre  las</w:t>
        <w:br/>
        <w:t xml:space="preserve">   medidas de reparación que  podrían  ser  adecuadas  a  partir  de  dichos</w:t>
        <w:br/>
        <w:t xml:space="preserve">   hechos[21]. En este sentido, la integralidad o  individualización  de  la</w:t>
        <w:br/>
        <w:t xml:space="preserve">   reparación solo puede apreciarse a partir de  un  examen  de  los  hechos</w:t>
        <w:br/>
        <w:t xml:space="preserve">   generadores del daño y sus efectos, y los mismos están  excluidos  de  la</w:t>
        <w:br/>
        <w:t xml:space="preserve">   competencia temporal de la Corte.</w:t>
        <w:br/>
        <w:br/>
        <w:t>38. Luego de reconocida la competencia contenciosa de la  Corte  por  Chile,</w:t>
        <w:br/>
        <w:t xml:space="preserve">   el Estado tomó conocimiento, cuando recibió  la  comunicación  de  23  de</w:t>
        <w:br/>
        <w:t xml:space="preserve">   diciembre de 1993 (infra párr. 75), de la comisión de actos  de  “prisión</w:t>
        <w:br/>
        <w:t xml:space="preserve">   política” y tortura ocurridos al señor García  Lucero,  y  lo  tuvo  como</w:t>
        <w:br/>
        <w:t xml:space="preserve">   víctima de los mismos. La Corte no puede analizar per se tales hechos, ni</w:t>
        <w:br/>
        <w:t xml:space="preserve">   sus efectos  ni  las  medidas  de  reparación  otorgadas  al  efecto.  No</w:t>
        <w:br/>
        <w:t xml:space="preserve">   obstante, puede examinar si a partir de hechos autónomos ocurridos dentro</w:t>
        <w:br/>
        <w:t xml:space="preserve">   de su competencia temporal, el Estado cumplió con el deber de  investigar</w:t>
        <w:br/>
        <w:t xml:space="preserve">   y si brindó los recursos aptos para efectuar reclamos  sobre  medidas  de</w:t>
        <w:br/>
        <w:t xml:space="preserve">   reparación, de conformidad con la Convención Americana, así como  con  la</w:t>
        <w:br/>
        <w:t xml:space="preserve">   Convención Interamericana contra la Tortura. Al respecto,  la  Convención</w:t>
        <w:br/>
        <w:t xml:space="preserve">   Interamericana contra la Tortura expresamente indica en su artículo 8  el</w:t>
        <w:br/>
        <w:t xml:space="preserve">   deber estatal de “proceder de  oficio  y  de  inmediato  a  realizar  una</w:t>
        <w:br/>
        <w:t xml:space="preserve">   investigación” cuando “exista denuncia o razón fundada para creer que  se</w:t>
        <w:br/>
        <w:t xml:space="preserve">   ha cometido un acto de tortura en el ámbito de su jurisdicción”.  En  tal</w:t>
        <w:br/>
        <w:t xml:space="preserve">   sentido, la Corte se ha pronunciado en casos relacionados con la falta de</w:t>
        <w:br/>
        <w:t xml:space="preserve">   investigación  de  posibles  actos  de  tortura  acaecidos  fuera  de  la</w:t>
        <w:br/>
        <w:t xml:space="preserve">   competencia  temporal  del  Tribunal,   tomando   en   consideración   el</w:t>
        <w:br/>
        <w:t xml:space="preserve">   conocimiento que, luego de  reconocida  la  competencia  contenciosa  del</w:t>
        <w:br/>
        <w:t xml:space="preserve">   Tribunal, tuvieron autoridades estatales de tales hechos[22].</w:t>
        <w:br/>
        <w:br/>
        <w:t>39. En consecuencia, la Corte tiene competencia para examinar, a la  luz  de</w:t>
        <w:br/>
        <w:t xml:space="preserve">   los derechos a las garantías y protección judiciales establecidos en  los</w:t>
        <w:br/>
        <w:t xml:space="preserve">   artículos 8.1 y 25.1 de la Convención, en relación con  las  obligaciones</w:t>
        <w:br/>
        <w:t xml:space="preserve">   establecidas en los artículos  1.1  y  2  del  mismo  tratado  y  de  las</w:t>
        <w:br/>
        <w:t xml:space="preserve">   obligaciones derivadas de los artículos 1, 6, 8  y  9  de  la  Convención</w:t>
        <w:br/>
        <w:t xml:space="preserve">   Interamericana contra la  Tortura,  según  sea  el  caso,  los  hechos  u</w:t>
        <w:br/>
        <w:t xml:space="preserve">   omisiones  caracterizados  como  hechos  autónomos  ocurridos   bajo   la</w:t>
        <w:br/>
        <w:t xml:space="preserve">   competencia temporal del Tribunal. Es decir, analizará en  el  fondo  del</w:t>
        <w:br/>
        <w:t xml:space="preserve">   caso si el Estado garantizó el acceso a la justicia[23] en lo atinente  a</w:t>
        <w:br/>
        <w:t xml:space="preserve">   la investigación de los hechos, así como en  la  existencia  de  recursos</w:t>
        <w:br/>
        <w:t xml:space="preserve">   para efectuar reclamos sobre medidas de reparación.</w:t>
        <w:br/>
        <w:br/>
        <w:t>40. Además, de acuerdo a lo señalado en  la  Sentencia  del  caso  Almonacid</w:t>
        <w:br/>
        <w:t xml:space="preserve">   Arellano y otros Vs. Chile, la  Corte  es  competente  para  conocer  los</w:t>
        <w:br/>
        <w:t xml:space="preserve">   alegatos  vinculados  con  la  aducida  inobservancia   de   obligaciones</w:t>
        <w:br/>
        <w:t xml:space="preserve">   internacionales relacionadas a la vigencia del Decreto-Ley No.  2.191  de</w:t>
        <w:br/>
        <w:t xml:space="preserve">   amnistía[24].</w:t>
        <w:br/>
        <w:br/>
        <w:t>41. Por último, teniendo en consideración las señaladas características  del</w:t>
        <w:br/>
        <w:t xml:space="preserve">   presente caso en cuanto a su vínculo con alegadas violaciones a partir de</w:t>
        <w:br/>
        <w:t xml:space="preserve">   supuestos actos y omisiones relativas al acceso de justicia, el  Tribunal</w:t>
        <w:br/>
        <w:t xml:space="preserve">   no considera pertinente, en este caso, analizar los alegatos relacionados</w:t>
        <w:br/>
        <w:t xml:space="preserve">   al deber de garantía del derecho a la integridad personal (respecto a los</w:t>
        <w:br/>
        <w:t xml:space="preserve">   hechos tortura, “prisión política” o  cualquier  otro  cuyo  comienzo  de</w:t>
        <w:br/>
        <w:t xml:space="preserve">   ejecución fuera anterior al 11  de  marzo  de  1990),  con  base  en  los</w:t>
        <w:br/>
        <w:t xml:space="preserve">   artículos 5 y 1.1 de la Convención Americana[25].</w:t>
        <w:br/>
        <w:br/>
        <w:t>42. En razón de lo expuesto, y  en  los  términos  señalados,  se  desestima</w:t>
        <w:br/>
        <w:t xml:space="preserve">   parcialmente la excepción preliminar planteada por el Estado.</w:t>
        <w:br/>
        <w:br/>
        <w:t xml:space="preserve">                                      *</w:t>
        <w:br/>
        <w:t>43.  Por  otra  parte,  la  Corte  nota  que  el  Estado,  en  los  alegatos</w:t>
        <w:br/>
        <w:t xml:space="preserve">   presentados, alude al no agotamiento  de  los  recursos  internos[26]  en</w:t>
        <w:br/>
        <w:t xml:space="preserve">   relación con el fondo  del  caso,  sin  explícitamente  calificar  dichos</w:t>
        <w:br/>
        <w:t xml:space="preserve">   argumentos como una excepción preliminar. No obstante, las representantes</w:t>
        <w:br/>
        <w:t xml:space="preserve">   hicieron algunas alegaciones sobre la  supuesta  excepción  de  falta  de</w:t>
        <w:br/>
        <w:t xml:space="preserve">   agotamiento de recursos internos (supra párr. 23).</w:t>
        <w:br/>
        <w:br/>
        <w:t>44. La Corte considera pertinente señalar que durante  el  trámite  ante  la</w:t>
        <w:br/>
        <w:t xml:space="preserve">   Comisión el Estado no alegó la  falta  de  agotamiento  de  los  recursos</w:t>
        <w:br/>
        <w:t xml:space="preserve">   internos[27]. De acuerdo a la jurisprudencia constante de este  Tribunal,</w:t>
        <w:br/>
        <w:t xml:space="preserve">   “una objeción al ejercicio de la jurisdicción de la Corte  basada  en  la</w:t>
        <w:br/>
        <w:t xml:space="preserve">   supuesta  falta  de  agotamiento  de  los  recursos  internos  debe   ser</w:t>
        <w:br/>
        <w:t xml:space="preserve">   presentada  en  el  momento  procesal  oportuno,  esto  es,  durante   la</w:t>
        <w:br/>
        <w:t xml:space="preserve">   admisibilidad del procedimiento ante la Comisión”[28], por lo que no cabe</w:t>
        <w:br/>
        <w:t xml:space="preserve">   ante el trámite de la Corte la interposición  de  una  excepción  en  tal</w:t>
        <w:br/>
        <w:t xml:space="preserve">   sentido. Sin perjuicio de ello, dado que el argumento  estatal  no  busca</w:t>
        <w:br/>
        <w:t xml:space="preserve">   impedir que la Corte conozca el caso, sino  que  fue  presentado  por  el</w:t>
        <w:br/>
        <w:t xml:space="preserve">   Estado en relación con aspectos sustantivos del mismo, será ponderado por</w:t>
        <w:br/>
        <w:t xml:space="preserve">   el Tribunal en relación con el fondo del asunto en el Capítulo VII de  la</w:t>
        <w:br/>
        <w:t xml:space="preserve">   presente Sentencia.</w:t>
        <w:br/>
        <w:br/>
        <w:br/>
        <w:t>V</w:t>
        <w:br/>
        <w:br/>
        <w:br/>
        <w:t>PRUEBA</w:t>
        <w:br/>
        <w:br/>
        <w:br/>
        <w:t>45.  Conforme  a  las  normas  reglamentarias   pertinentes[29]   y   a   su</w:t>
        <w:br/>
        <w:t xml:space="preserve">   jurisprudencia constante[30], la Corte examinará y valorará los elementos</w:t>
        <w:br/>
        <w:t xml:space="preserve">   probatorios  aportados  en  autos,  sean  documentales,  declaraciones  o</w:t>
        <w:br/>
        <w:t xml:space="preserve">   dictámenes periciales, ateniéndose a los principios de la sana crítica  y</w:t>
        <w:br/>
        <w:t xml:space="preserve">   teniendo en cuenta el conjunto del acervo probatorio y lo alegado  en  la</w:t>
        <w:br/>
        <w:t xml:space="preserve">   causa.</w:t>
        <w:br/>
        <w:br/>
        <w:br/>
        <w:t xml:space="preserve">  Prueba documental, testimonial y pericial</w:t>
        <w:br/>
        <w:br/>
        <w:br/>
        <w:t>46. La Corte recibió documentos presentados por la Comisión  Interamericana,</w:t>
        <w:br/>
        <w:t xml:space="preserve">   las representantes y el Estado. Por otra  parte,  la  Corte  recibió  las</w:t>
        <w:br/>
        <w:t xml:space="preserve">   declaraciones   de   las   presuntas   víctimas   propuestas   por    las</w:t>
        <w:br/>
        <w:t xml:space="preserve">   representantes, a saber: 1) Leopoldo García Lucero  y   2)  Elena  Otilia</w:t>
        <w:br/>
        <w:t xml:space="preserve">   García. Además se recibieron las declaraciones de la testigo María  Luisa</w:t>
        <w:br/>
        <w:t xml:space="preserve">   Sepúlveda, propuesta por las  representantes,  y  de  los  testigos  José</w:t>
        <w:br/>
        <w:t xml:space="preserve">   Antonio Ricardi Romero[31] (en adelante también “señor  Ricardi”),  Paula</w:t>
        <w:br/>
        <w:t xml:space="preserve">   Godoy Echegoyen, y Claudio Valdivia Rivas, propuestos por el  Estado;  de</w:t>
        <w:br/>
        <w:t xml:space="preserve">   las  peritos  Nora  Sveaass  y  Cath  Collins[32],  propuestas  por   las</w:t>
        <w:br/>
        <w:t xml:space="preserve">   representantes y de la perito Felícitas Treue, propuesta por la Comisión.</w:t>
        <w:br/>
        <w:t xml:space="preserve">   El Estado informó que la testigo Claudia Villalobos Pino no podía prestar</w:t>
        <w:br/>
        <w:t xml:space="preserve">   declaración por motivos de fuerza mayor.</w:t>
        <w:br/>
        <w:br/>
        <w:br/>
        <w:t xml:space="preserve">  Admisión de la prueba documental</w:t>
        <w:br/>
        <w:br/>
        <w:br/>
        <w:t>47. En el presente caso, como en otros[33],  el  Tribunal  admite  el  valor</w:t>
        <w:br/>
        <w:t xml:space="preserve">   probatorio de aquellos documentos remitidos por las partes en  la  debida</w:t>
        <w:br/>
        <w:t xml:space="preserve">   oportunidad procesal, que no fueron controvertidos ni objetados, ni  cuya</w:t>
        <w:br/>
        <w:t xml:space="preserve">   autenticidad fue puesta en duda, exclusivamente en la medida en que  sean</w:t>
        <w:br/>
        <w:t xml:space="preserve">   pertinentes y útiles para la determinación de los hechos y sus eventuales</w:t>
        <w:br/>
        <w:t xml:space="preserve">   consecuencias jurídicas.</w:t>
        <w:br/>
        <w:br/>
        <w:t>48. En cuanto a las notas  de  prensa,  este  Tribunal  ha  considerado  que</w:t>
        <w:br/>
        <w:t xml:space="preserve">   podrán ser  apreciadas  cuando  recojan  hechos  públicos  y  notorios  o</w:t>
        <w:br/>
        <w:t xml:space="preserve">   declaraciones de funcionarios del Estado, o  cuando  corroboren  aspectos</w:t>
        <w:br/>
        <w:t xml:space="preserve">   relacionados con el caso[34]. Por tanto, el Tribunal decide  admitir  las</w:t>
        <w:br/>
        <w:t xml:space="preserve">   notas de prensa que se encuentren completas o que, por lo menos, permitan</w:t>
        <w:br/>
        <w:t xml:space="preserve">   constatar su fuente y fecha de publicación, y  los  valorará  tomando  en</w:t>
        <w:br/>
        <w:t xml:space="preserve">   cuenta el conjunto del acervo probatorio, las observaciones de las partes</w:t>
        <w:br/>
        <w:t xml:space="preserve">   y las reglas de la sana crítica[35].</w:t>
        <w:br/>
        <w:br/>
        <w:t>49. Con respecto a algunos documentos señalados por las partes por medio  de</w:t>
        <w:br/>
        <w:t xml:space="preserve">   enlace  electrónicos,  el  Tribunal  ha  establecido  que  si  una  parte</w:t>
        <w:br/>
        <w:t xml:space="preserve">   proporciona al menos el enlace electrónico directo del documento que cita</w:t>
        <w:br/>
        <w:t xml:space="preserve">   como prueba y es posible acceder a éste, no se ve afectada  la  seguridad</w:t>
        <w:br/>
        <w:t xml:space="preserve">   jurídica ni el equilibrio procesal, porque es inmediatamente  localizable</w:t>
        <w:br/>
        <w:t xml:space="preserve">   por el Tribunal y  por  las  otras  partes[36].  En  este  caso  no  hubo</w:t>
        <w:br/>
        <w:t xml:space="preserve">   oposición u observaciones de  las  otras  partes  sobre  el  contenido  y</w:t>
        <w:br/>
        <w:t xml:space="preserve">   autenticidad de tales documentos.</w:t>
        <w:br/>
        <w:br/>
        <w:t>50.  De  otra  parte,  junto  con  sus   alegatos   finales   escritos   las</w:t>
        <w:br/>
        <w:t xml:space="preserve">   representantes y el Estado remitieron diversos  documentos  como  prueba,</w:t>
        <w:br/>
        <w:t xml:space="preserve">   los cuales fueron solicitados  por  el  Tribunal  con  fundamento  en  lo</w:t>
        <w:br/>
        <w:t xml:space="preserve">   dispuesto en el artículo 58.b) del Reglamento de la Corte y se otorgó una</w:t>
        <w:br/>
        <w:t xml:space="preserve">   oportunidad a las partes para presentar las observaciones  que  estimaran</w:t>
        <w:br/>
        <w:t xml:space="preserve">   pertinentes. La Corte incorpora dichos documentos como prueba, los cuales</w:t>
        <w:br/>
        <w:t xml:space="preserve">   serán valorados en lo pertinente  teniendo  en  cuenta  el  conjunto  del</w:t>
        <w:br/>
        <w:t xml:space="preserve">   acervo probatorio, las observaciones de las partes y  las  reglas  de  la</w:t>
        <w:br/>
        <w:t xml:space="preserve">   sana crítica.</w:t>
        <w:br/>
        <w:br/>
        <w:t>51. En relación con la comunicación de las representantes de 30 de  mayo  de</w:t>
        <w:br/>
        <w:t xml:space="preserve">   2013, mediante la cual aludieron a una comunicación de la  Secretaría  de</w:t>
        <w:br/>
        <w:t xml:space="preserve">   21 de mayo de 2013, y en particular, se refirieron a la nueva información</w:t>
        <w:br/>
        <w:t xml:space="preserve">   presentada por el Estado (supra párr. 15),  la  Corte  la  admite  en  la</w:t>
        <w:br/>
        <w:t xml:space="preserve">   medida que la misma se refiere a la determinación de  los  hechos  objeto</w:t>
        <w:br/>
        <w:t xml:space="preserve">   del caso o a la valoración de la prueba específica sobre los hechos.</w:t>
        <w:br/>
        <w:br/>
        <w:br/>
        <w:t xml:space="preserve">  Admisión de las declaraciones de las presuntas víctimas, prueba</w:t>
        <w:br/>
        <w:t xml:space="preserve">  testimonial y pericial</w:t>
        <w:br/>
        <w:br/>
        <w:br/>
        <w:t>52. En  cuanto  a  las  declaraciones  rendidas  ante  fedatario  público  y</w:t>
        <w:br/>
        <w:t xml:space="preserve">   aquellas presentadas en audiencia pública, la Corte las admite  y  estima</w:t>
        <w:br/>
        <w:t xml:space="preserve">   pertinentes en lo que se ajusten al objeto definido por el Presidente del</w:t>
        <w:br/>
        <w:t xml:space="preserve">   Tribunal en la Resolución que ordenó recibirlas (supra  párr.  9).  Estas</w:t>
        <w:br/>
        <w:t xml:space="preserve">   declaraciones serán valoradas en el capítulo que corresponda, en conjunto</w:t>
        <w:br/>
        <w:t xml:space="preserve">   con los demás elementos del acervo probatorio y  tomando  en  cuenta  las</w:t>
        <w:br/>
        <w:t xml:space="preserve">   observaciones formuladas por las partes[37].</w:t>
        <w:br/>
        <w:br/>
        <w:t>53. Conforme a la jurisprudencia de esta Corte,  las  declaraciones  de  las</w:t>
        <w:br/>
        <w:t xml:space="preserve">   presuntas víctimas no pueden ser valoradas aisladamente sino  dentro  del</w:t>
        <w:br/>
        <w:t xml:space="preserve">   conjunto de las pruebas del proceso, ya que son útiles en  la  medida  en</w:t>
        <w:br/>
        <w:t xml:space="preserve">   que pueden proporcionar mayor información sobre las alegadas  violaciones</w:t>
        <w:br/>
        <w:t xml:space="preserve">   y sus consecuencias[38].</w:t>
        <w:br/>
        <w:br/>
        <w:t>54. En lo que se refiere a la declaración  rendida  ante  fedatario  público</w:t>
        <w:br/>
        <w:t xml:space="preserve">   por el testigo José Antonio Ricardi Romero, la cual  fue  presentada  con</w:t>
        <w:br/>
        <w:t xml:space="preserve">   posterioridad  a  la  celebración  de  la  audiencia  pública,  ésta  fue</w:t>
        <w:br/>
        <w:t xml:space="preserve">   transmitida a las representantes y la Comisión,  para  que  los  primeros</w:t>
        <w:br/>
        <w:t xml:space="preserve">   presentaran las observaciones que estimaran  pertinentes  junto  con  los</w:t>
        <w:br/>
        <w:t xml:space="preserve">   alegatos finales escritos. El Tribunal admite dicha declaración en lo que</w:t>
        <w:br/>
        <w:t xml:space="preserve">   se refiera  al  objeto  oportunamente  definido  por  el  Presidente  del</w:t>
        <w:br/>
        <w:t xml:space="preserve">   Tribunal en la Resolución que ordenó recibirla (supra párr. 9), porque lo</w:t>
        <w:br/>
        <w:t xml:space="preserve">   estima útil para la presente causa y no fue objetado, ni su  autenticidad</w:t>
        <w:br/>
        <w:t xml:space="preserve">   o veracidad puesta en duda.</w:t>
        <w:br/>
        <w:br/>
        <w:br/>
        <w:t>VI</w:t>
        <w:br/>
        <w:br/>
        <w:br/>
        <w:t>HECHOS</w:t>
        <w:br/>
        <w:br/>
        <w:br/>
        <w:t>55. Los hechos relativos a lo  ocurrido  con  anterioridad  a  la  fecha  de</w:t>
        <w:br/>
        <w:t xml:space="preserve">   ratificación de la competencia contenciosa de la Corte por parte de Chile</w:t>
        <w:br/>
        <w:t xml:space="preserve">   (21 de agosto de 1990), que se encuentran detallados en  el  apartado  A,</w:t>
        <w:br/>
        <w:t xml:space="preserve">   únicamente  sirven  como  antecedentes   para   contextualizar   aquellos</w:t>
        <w:br/>
        <w:t xml:space="preserve">   señalados en el apartado B, los cuales  ocurrieron  con  posterioridad  a</w:t>
        <w:br/>
        <w:t xml:space="preserve">   dicha fecha. Dichos hechos no fueron controvertidos por las partes ni  la</w:t>
        <w:br/>
        <w:t xml:space="preserve">   Comisión, a excepción del relativo a la devolución del  monto  descontado</w:t>
        <w:br/>
        <w:t xml:space="preserve">   en impuestos que se indica más adelante (infra, nota a pie de página 79).</w:t>
        <w:br/>
        <w:br/>
        <w:br/>
        <w:br/>
        <w:br/>
        <w:t xml:space="preserve">  Antecedentes: hechos previos al reconocimiento de la competencia</w:t>
        <w:br/>
        <w:t xml:space="preserve">  contenciosa de la Corte</w:t>
        <w:br/>
        <w:br/>
        <w:br/>
        <w:br/>
        <w:t xml:space="preserve">    A.1) Contexto</w:t>
        <w:br/>
        <w:br/>
        <w:br/>
        <w:t>56. Como ha dicho esta  Corte  en  la  Sentencia  sobre  el  caso  Almonacid</w:t>
        <w:br/>
        <w:t xml:space="preserve">   Arellano y otros Vs. Chile, “el 11 de septiembre de 1973 advino en  Chile</w:t>
        <w:br/>
        <w:t xml:space="preserve">   un régimen militar  que  derrocó  al  Gobierno  del  Presidente  Salvador</w:t>
        <w:br/>
        <w:t xml:space="preserve">   Allende. ‘Los institutos armados y de orden, a  través  de  la  Junta  de</w:t>
        <w:br/>
        <w:t xml:space="preserve">   Gobierno, asumieron primero el poder ejecutivo  (Decreto  Ley  No.  1)  y</w:t>
        <w:br/>
        <w:t xml:space="preserve">   luego el constituyente y el legislativo (Decreto Ley No. 128)’. La  nueva</w:t>
        <w:br/>
        <w:t xml:space="preserve">   Presidencia de la República/Comandancia en Jefe  estuvo  dotada  ‘de  una</w:t>
        <w:br/>
        <w:t xml:space="preserve">   suma de poderes jamás vista en Chile. Su  titular  no  sólo  gobernaba  y</w:t>
        <w:br/>
        <w:t xml:space="preserve">   administraba el país, sino que además integraba y presidía  la  Junta  de</w:t>
        <w:br/>
        <w:t xml:space="preserve">   Gobierno –y, por ende, no se podía legislar ni reformar  la  Constitución</w:t>
        <w:br/>
        <w:t xml:space="preserve">   sin él- y comandaba todo el Ejército’. Mediante Decreto Ley No. 5  de  22</w:t>
        <w:br/>
        <w:t xml:space="preserve">   de septiembre de 1973 ‘se declaró que el estado de  sitio  por  conmoción</w:t>
        <w:br/>
        <w:t xml:space="preserve">   interna que regía al país debía  entenderse  como  `estado  o  tiempo  de</w:t>
        <w:br/>
        <w:t xml:space="preserve">   guerra’”[39].</w:t>
        <w:br/>
        <w:br/>
        <w:t>57. “La represión generalizada  dirigida  a  las  personas  que  el  régimen</w:t>
        <w:br/>
        <w:t xml:space="preserve">   consideraba como opositoras […] como política de Estado, operó desde  ese</w:t>
        <w:br/>
        <w:t xml:space="preserve">   mismo día hasta el fin del gobierno militar  el  10  de  marzo  de  1990,</w:t>
        <w:br/>
        <w:t xml:space="preserve">   ‘aunque con grados de intensidad variables y  con  distintos  niveles  de</w:t>
        <w:br/>
        <w:t xml:space="preserve">   selectividad a la hora de señalar a sus víctimas’. Esta represión  estuvo</w:t>
        <w:br/>
        <w:t xml:space="preserve">   caracterizada por una práctica masiva y sistemática  de  fusilamientos  y</w:t>
        <w:br/>
        <w:t xml:space="preserve">   ejecuciones   sumarias,   torturas   (incluida   la   violación   sexual,</w:t>
        <w:br/>
        <w:t xml:space="preserve">   principalmente de mujeres), privaciones arbitrarias  de  la  libertad  en</w:t>
        <w:br/>
        <w:t xml:space="preserve">   recintos al margen del escrutinio de la ley, desapariciones  forzadas,  y</w:t>
        <w:br/>
        <w:t xml:space="preserve">   demás violaciones a  los  derechos  humanos  cometidas  por  agentes  del</w:t>
        <w:br/>
        <w:t xml:space="preserve">   Estado, asistidos a veces por civiles. La represión  se  aplicó  en  casi</w:t>
        <w:br/>
        <w:t xml:space="preserve">   todas las regiones del país”[40].</w:t>
        <w:br/>
        <w:br/>
        <w:t>58. “La época más violenta de todo el período represivo  corresponde  a  los</w:t>
        <w:br/>
        <w:t xml:space="preserve">   primeros meses del gobierno de facto. De las 3.197 víctimas identificadas</w:t>
        <w:br/>
        <w:t xml:space="preserve">   de ejecuciones y  desapariciones  forzadas  que  ocurrieron  en  todo  el</w:t>
        <w:br/>
        <w:t xml:space="preserve">   gobierno militar, 1.823 se produjeron en el año 1973. Por su  parte,  ‘el</w:t>
        <w:br/>
        <w:t xml:space="preserve">   61% de las 33.221 detenciones que  fueron  calificadas  por  la  Comisión</w:t>
        <w:br/>
        <w:t xml:space="preserve">   Nacional sobre Prisión Política  y  Tortura,  corresponde  a  detenciones</w:t>
        <w:br/>
        <w:t xml:space="preserve">   efectuadas en 1973’. Esta misma Comisión señaló que ‘más del 94%  de  las</w:t>
        <w:br/>
        <w:t xml:space="preserve">   personas que sufrieron prisión política’ dijeron  haber  sido  torturadas</w:t>
        <w:br/>
        <w:t xml:space="preserve">   por agentes estatales”[41].</w:t>
        <w:br/>
        <w:br/>
        <w:t>59. “Las víctimas de todas estas violaciones fueron funcionarios  destacados</w:t>
        <w:br/>
        <w:t xml:space="preserve">   del régimen depuesto y connotadas figuras  de  izquierda,  así  como  sus</w:t>
        <w:br/>
        <w:t xml:space="preserve">   militantes  comunes  y  corrientes;   jefes   y   dirigentes   políticos,</w:t>
        <w:br/>
        <w:t xml:space="preserve">   sindicales, vecinales, estudiantiles (de enseñanza superior  y  media)  e</w:t>
        <w:br/>
        <w:t xml:space="preserve">   indígenas; representantes de organizaciones de base con participación  en</w:t>
        <w:br/>
        <w:t xml:space="preserve">   movimientos de reivindicaciones sociales. ‘Muchas veces [las]  relaciones</w:t>
        <w:br/>
        <w:t xml:space="preserve">   políticas se deducían de la  conducta  ‘conflictiva’  de  la  víctima  en</w:t>
        <w:br/>
        <w:t xml:space="preserve">   huelgas,  paros,  tomas  de  terrenos  o  de   predios,   manifestaciones</w:t>
        <w:br/>
        <w:t xml:space="preserve">   callejeras, etc’. Las ejecuciones  de  estas  personas  ‘se  inserta[ba]n</w:t>
        <w:br/>
        <w:t xml:space="preserve">   dentro del clima reinante  […]  de  hacer  una  ‘limpieza’  de  elementos</w:t>
        <w:br/>
        <w:t xml:space="preserve">   juzgados perniciosos por sus doctrinas y actuaciones, y de  atemorizar  a</w:t>
        <w:br/>
        <w:t xml:space="preserve">   sus compañeros que podían constituir una eventual ‘amenaza’. No obstante,</w:t>
        <w:br/>
        <w:t xml:space="preserve">   en la  época  inicial  de  la  represión  existió  un  amplio  margen  de</w:t>
        <w:br/>
        <w:t xml:space="preserve">   arbitrariedad a la hora de seleccionar a las víctimas”[42].</w:t>
        <w:br/>
        <w:br/>
        <w:t>60. Según la Comisión Nacional sobre Prisión Política y Tortura  la  tortura</w:t>
        <w:br/>
        <w:t xml:space="preserve">   “fue una práctica recurrente durante el régimen militar. [… L]os  métodos</w:t>
        <w:br/>
        <w:t xml:space="preserve">   empleados […] en los primeros años se caracterizaron por su brutalidad  y</w:t>
        <w:br/>
        <w:t xml:space="preserve">   por dejar secuelas evidentes, poniendo con frecuencia en grave riesgo  la</w:t>
        <w:br/>
        <w:t xml:space="preserve">   vida de las víctimas, existiendo posteriormente mayor especialización  en</w:t>
        <w:br/>
        <w:t xml:space="preserve">   el tipo de presión física aplicada sobre el detenido”. En  cuanto  a  los</w:t>
        <w:br/>
        <w:t xml:space="preserve">   detenidos “[a]lgunos […] fueron enjuiciados  en  consejos  de  guerra.  A</w:t>
        <w:br/>
        <w:t xml:space="preserve">   otros,  aunque  nunca  fueron  procesados  los  recluyeron  por   tiempos</w:t>
        <w:br/>
        <w:t xml:space="preserve">   variables  en  estadios,  campos  de  detenidos  habilitados  para   esta</w:t>
        <w:br/>
        <w:t xml:space="preserve">   finalidad,   regimientos   comisarias   o   cárceles”.    Los    arrestos</w:t>
        <w:br/>
        <w:t xml:space="preserve">   “especialmente en los días inmediatamente posteriores al 11 de septiembre</w:t>
        <w:br/>
        <w:t xml:space="preserve">   [de 1973]” se produjeron en “allanamientos” que [c]omenzaban de madrugada</w:t>
        <w:br/>
        <w:t xml:space="preserve">   y se prolongaban por varias horas”. Las personas afectadas “eran forzadas</w:t>
        <w:br/>
        <w:t xml:space="preserve">   a permanecer tendidas de cara al suelo, con  las  manos  en  la  nuca  [y</w:t>
        <w:br/>
        <w:t xml:space="preserve">   m]uchas recibían golpes. […]  Hubo  además   personas  detenidas  en  sus</w:t>
        <w:br/>
        <w:t xml:space="preserve">   domicilios, lugares de trabajo o  reunión  y  en  la  vía  pública”.  “La</w:t>
        <w:br/>
        <w:t xml:space="preserve">   persona afectada era obligada, mediante golpes y amenazas […], a subir al</w:t>
        <w:br/>
        <w:t xml:space="preserve">   medio de transporte habilitado, que podía ser un bus o un  camión  o  una</w:t>
        <w:br/>
        <w:t xml:space="preserve">   patrullera policial o militar, ocasionalmente  se  usaban  camiones  tipo</w:t>
        <w:br/>
        <w:t xml:space="preserve">   frigorífico pertenecientes a empresas estatales  y  en  algunos  casos  a</w:t>
        <w:br/>
        <w:t xml:space="preserve">   particulares”. En cuanto a las condiciones en los recintos “[e]n general,</w:t>
        <w:br/>
        <w:t xml:space="preserve">   la alimentación era inadecuada el abrigo era insuficiente,  las  amenazas</w:t>
        <w:br/>
        <w:t xml:space="preserve">   constantes, los golpes reiterados y el hacinamiento impedía conciliar  el</w:t>
        <w:br/>
        <w:t xml:space="preserve">   sueño. A los detenidos se les  mantenía  en  ‘incomunicación  individual’</w:t>
        <w:br/>
        <w:t xml:space="preserve">   […]”[43].</w:t>
        <w:br/>
        <w:br/>
        <w:br/>
        <w:t xml:space="preserve">    A.2.) Situación de Leopoldo García Lucero y su familia</w:t>
        <w:br/>
        <w:br/>
        <w:br/>
        <w:br/>
        <w:t xml:space="preserve">       A.2.1) Sobre el señor García Lucero y su familia</w:t>
        <w:br/>
        <w:br/>
        <w:br/>
        <w:t>61. El señor Leopoldo García Lucero nació en Chile el 15  de  septiembre  de</w:t>
        <w:br/>
        <w:t xml:space="preserve">   1933[44] y su esposa, la señora  Elena  Otilia  García,  nació  el  1  de</w:t>
        <w:br/>
        <w:t xml:space="preserve">   noviembre de 1930[45]. La señora Elena García tuvo un  primer  matrimonio</w:t>
        <w:br/>
        <w:t xml:space="preserve">   del cual nacieron sus hijas María Elena y Gloria, ambas de apellido Klug.</w:t>
        <w:br/>
        <w:t xml:space="preserve">   De su unión con el señor García Lucero nació  una  tercera  hija  llamada</w:t>
        <w:br/>
        <w:t xml:space="preserve">   Francisca Rocío García Illanes. Aunque el señor García Lucero  no  es  el</w:t>
        <w:br/>
        <w:t xml:space="preserve">   padre biológico de María Elena y Gloria, ellas crecieron junto a él y  lo</w:t>
        <w:br/>
        <w:t xml:space="preserve">   reconocen como su padre[46].</w:t>
        <w:br/>
        <w:br/>
        <w:t>62. Al momento de su detención (infra, párr. 63), el señor  Leopoldo  García</w:t>
        <w:br/>
        <w:t xml:space="preserve">   Lucero trabajaba en el hipódromo de Santiago de Chile. Había trabajado en</w:t>
        <w:br/>
        <w:t xml:space="preserve">   dicho lugar por aproximadamente nueve años[47].</w:t>
        <w:br/>
        <w:br/>
        <w:t xml:space="preserve">       A.2.2) Detención, tortura y exilio de Leopoldo García Lucero (entre</w:t>
        <w:br/>
        <w:t xml:space="preserve">       el 16 de septiembre de 1973 y el 12 de junio de 1975)</w:t>
        <w:br/>
        <w:br/>
        <w:br/>
        <w:t>63. El 16 de septiembre de 1973, el señor García  Lucero  fue  detenido  por</w:t>
        <w:br/>
        <w:t xml:space="preserve">   Carabineros en Santiago de  Chile,  y  fue  llevado  al  edificio  de  la</w:t>
        <w:br/>
        <w:t xml:space="preserve">   Conferencia  de  las  Naciones  Unidas  sobre   Comercio   y   Desarrollo</w:t>
        <w:br/>
        <w:t xml:space="preserve">   (UNCTAD)[48].  Luego  fue  trasladado  a  la  Comisaría  de   Carabineros</w:t>
        <w:br/>
        <w:t xml:space="preserve">   (Estación  de  Policía  No.  1)[49].  En  dichos  lugares  fue  mantenido</w:t>
        <w:br/>
        <w:t xml:space="preserve">   incomunicado y sin cargos. Después fue trasladado  al  Estadio  Nacional.</w:t>
        <w:br/>
        <w:t xml:space="preserve">   Mientras el señor García Lucero estuvo en la Comisaría y  en  el  Estadio</w:t>
        <w:br/>
        <w:t xml:space="preserve">   Nacional fue torturado de diversas maneras[50]. En diciembre de 1973  fue</w:t>
        <w:br/>
        <w:t xml:space="preserve">   trasladado al Campo de Concentración “Chacabuco”, ubicado en Antofagasta,</w:t>
        <w:br/>
        <w:t xml:space="preserve">   donde permaneció recluido 13 meses[51]. Después el  señor  García  Lucero</w:t>
        <w:br/>
        <w:t xml:space="preserve">   fue trasladado a Ritoque, y de  allí  a  Tres  Álamos,  en  donde  estuvo</w:t>
        <w:br/>
        <w:t xml:space="preserve">   detenido por tres meses[52].</w:t>
        <w:br/>
        <w:br/>
        <w:t>64. En uso de las facultades otorgadas por el Decreto-Ley  No.  81  del  año</w:t>
        <w:br/>
        <w:t xml:space="preserve">   1973 el señor García Lucero fue expulsado de  Chile.  Fue  escoltado  del</w:t>
        <w:br/>
        <w:t xml:space="preserve">   centro “Tres Álamos” al aeropuerto el 12  de  junio  de  1975[53].  Desde</w:t>
        <w:br/>
        <w:t xml:space="preserve">   entonces se encuentra viviendo en el Reino Unido. Posteriormente llegaron</w:t>
        <w:br/>
        <w:t xml:space="preserve">   a ese país su esposa Elena García y Gloria Klug y Francisca Rocío  García</w:t>
        <w:br/>
        <w:t xml:space="preserve">   Illanes, después llegó María Elena Klug[54].</w:t>
        <w:br/>
        <w:br/>
        <w:br/>
        <w:t xml:space="preserve">       A.2.3) Decreto-Ley No. 2.191 o Ley de Amnistía</w:t>
        <w:br/>
        <w:br/>
        <w:br/>
        <w:t>65. El 18 de abril de 1978 la “Junta de Gobierno” presidida por  el  General</w:t>
        <w:br/>
        <w:t xml:space="preserve">   Augusto Pinochet Ugarte  “acord[ó]  dictar”  el  Decreto-Ley  No.  2.191,</w:t>
        <w:br/>
        <w:t xml:space="preserve">   mediante el cual “conced[ió] amnistía” a  todas  las  personas  que,  “en</w:t>
        <w:br/>
        <w:t xml:space="preserve">   calidad de autores, cómplices o encubridores hayan  incurrido  en  hechos</w:t>
        <w:br/>
        <w:t xml:space="preserve">   delictuosos […] entre el 11 de septiembre de 1973 y el  10  de  marzo  de</w:t>
        <w:br/>
        <w:t xml:space="preserve">   1978, siempre que  [el  18  de  abril  de  1978]  no  se  enc[o]ntr[arán]</w:t>
        <w:br/>
        <w:t xml:space="preserve">   sometidas a proceso o condenadas”[55].</w:t>
        <w:br/>
        <w:br/>
        <w:br/>
        <w:t>A.2.4) Comisión Nacional de Verdad y Reconciliación (Comisión Rettig)</w:t>
        <w:br/>
        <w:br/>
        <w:br/>
        <w:t>66. Mediante Decreto Supremo No. 355 de 25 de abril de 1990 el  Estado  creó</w:t>
        <w:br/>
        <w:t xml:space="preserve">   la Comisión Nacional de Verdad y Reconciliación,  conocida  también  como</w:t>
        <w:br/>
        <w:t xml:space="preserve">   “Comisión  Rettig”,   cuyo   objetivo   principal   fue   contribuir   al</w:t>
        <w:br/>
        <w:t xml:space="preserve">   esclarecimiento global de la verdad sobre las más  graves  violaciones  a</w:t>
        <w:br/>
        <w:t xml:space="preserve">   los derechos humanos cometidas entre el 11 de septiembre de 1973 y el  11</w:t>
        <w:br/>
        <w:t xml:space="preserve">   de marzo de 1990. Comprende hechos de desaparición, ejecuciones,  tortura</w:t>
        <w:br/>
        <w:t xml:space="preserve">   con resultado de muerte, “en que aparezca comprometida la responsabilidad</w:t>
        <w:br/>
        <w:t xml:space="preserve">   moral del Estado por actos de sus agentes o de personas  a  su  servicio,</w:t>
        <w:br/>
        <w:t xml:space="preserve">   como asimismo los secuestros y los atentados contra la vida  de  personas</w:t>
        <w:br/>
        <w:t xml:space="preserve">   cometidos por particulares bajo pretextos políticos”. Entre sus cometidos</w:t>
        <w:br/>
        <w:t xml:space="preserve">   estaban:</w:t>
        <w:br/>
        <w:br/>
        <w:t xml:space="preserve">    [e]stablecer un cuadro lo más completo posible sobre los graves  hechos</w:t>
        <w:br/>
        <w:t xml:space="preserve">    referidos, sus antecedentes y circunstancias; [r]eunir antecedentes que</w:t>
        <w:br/>
        <w:t xml:space="preserve">    permitan individualizar  a  sus  víctimas  y  establecer  su  suerte  o</w:t>
        <w:br/>
        <w:t xml:space="preserve">    paradero; [r]ecomendar las medidas de reparación y  reivindicación  que</w:t>
        <w:br/>
        <w:t xml:space="preserve">    cre[yer]a  de  justicia[,]  y  [r]ecomendar  las  medidas   legales   y</w:t>
        <w:br/>
        <w:t xml:space="preserve">    administrativas que a su juicio deban adoptarse para impedir o prevenir</w:t>
        <w:br/>
        <w:t xml:space="preserve">    la comisión de los hechos [referidos].</w:t>
        <w:br/>
        <w:br/>
        <w:t>En cuanto a las medidas de reparación la Comisión Rettig concluyó que  estas</w:t>
        <w:br/>
        <w:t>deberían  reunir  “condiciones  de  eficacia”  y  “procurar  la  integración</w:t>
        <w:br/>
        <w:t>social”  así   como   “tender   efectivamente   a   crear   condiciones   de</w:t>
        <w:br/>
        <w:t>reconciliación”. Recomendó diversas medidas,  agrupadas  en  las  siguientes</w:t>
        <w:br/>
        <w:t>categorías: “de reivindicación y reparación simbólica”; “de  carácter  legal</w:t>
        <w:br/>
        <w:t>y administrativas”, y “relativas  a  bienestar  social”,  incluyendo,  entre</w:t>
        <w:br/>
        <w:t>otras, medidas sobre “previsión social”, “salud”, “educación” y  “vivienda”.</w:t>
        <w:br/>
        <w:t>Algunas  recomendaciones  de  medidas  de  “orden   simbólico”,   “legal   y</w:t>
        <w:br/>
        <w:t>administrativo”,  y  de  bienestar   social   las   categorizó   como   “más</w:t>
        <w:br/>
        <w:t>urgentes”[56].</w:t>
        <w:br/>
        <w:br/>
        <w:br/>
        <w:t xml:space="preserve">  B. Hechos posteriores al reconocimiento de la competencia</w:t>
        <w:br/>
        <w:br/>
        <w:br/>
        <w:br/>
        <w:t xml:space="preserve">    B.1. Sistema de reparaciones adoptado por el Estado</w:t>
        <w:br/>
        <w:br/>
        <w:br/>
        <w:br/>
        <w:t xml:space="preserve">       B.1.1) Ley No. 19.123 - Corporación Nacional de Reparación y</w:t>
        <w:br/>
        <w:t xml:space="preserve">       Reconciliación</w:t>
        <w:br/>
        <w:br/>
        <w:br/>
        <w:br/>
        <w:br/>
        <w:br/>
        <w:t>67. Mediante Ley No. 19.123 publicada en el Diario Oficial el 8  de  febrero</w:t>
        <w:br/>
        <w:t xml:space="preserve">   de  1992  el  Estado  creó  la  Corporación  Nacional  de  Reparación   y</w:t>
        <w:br/>
        <w:t xml:space="preserve">   Reconciliación “para determinar acerca de  los  casos  que  la  [Comisión</w:t>
        <w:br/>
        <w:t xml:space="preserve">   Rettig] no alcanzó a conocer en profundidad, así como de nuevos casos que</w:t>
        <w:br/>
        <w:t xml:space="preserve">   se presentaren y [para] dar asistencia social y legal a los familiares de</w:t>
        <w:br/>
        <w:t xml:space="preserve">   las víctimas”[57]. En  diciembre  de  1996  la  Corporación  Nacional  de</w:t>
        <w:br/>
        <w:t xml:space="preserve">   Reparación y  Reconciliación  finalizó  su  labor,  y  con  posterioridad</w:t>
        <w:br/>
        <w:t xml:space="preserve">   algunas de sus  funciones  fueron  realizadas  por  el  llamado  Programa</w:t>
        <w:br/>
        <w:t xml:space="preserve">   Continuación Ley 19.123[58].</w:t>
        <w:br/>
        <w:br/>
        <w:t>68. Entre los beneficios establecidos por la Ley No.  19.123,  se  encuentra</w:t>
        <w:br/>
        <w:t xml:space="preserve">   el Programa de Reparación y Atención Integral a  la  Salud  (en  adelante</w:t>
        <w:br/>
        <w:t xml:space="preserve">   “Programa PRAIS”), el cual tiene  como  objetivo  brindar  “una  atención</w:t>
        <w:br/>
        <w:t xml:space="preserve">   gratuita y preferente en todas las prestaciones médicas de salud  mental,</w:t>
        <w:br/>
        <w:t xml:space="preserve">   física, exámenes y tratamiento  especializado,  otorgadas  en  todos  los</w:t>
        <w:br/>
        <w:t xml:space="preserve">   servicios de salud del país [a los] familiares de detenidos desaparecidos</w:t>
        <w:br/>
        <w:t xml:space="preserve">   [y de] ejecutados políticos, [y a] retornados y […] exonerados  políticos</w:t>
        <w:br/>
        <w:t xml:space="preserve">   y su[s] grupo[s] familiar[es] directo[s]”.  Posteriormente,  la  Ley  No.</w:t>
        <w:br/>
        <w:t xml:space="preserve">   19.980 de 9 noviembre de 2004 modificó la Ley No. 19.123 para  ampliar  y</w:t>
        <w:br/>
        <w:t xml:space="preserve">   establecer nuevos beneficios de reparación de índole médica. Asimismo, la</w:t>
        <w:br/>
        <w:t xml:space="preserve">   Ley No. 19.992 promulgada el 17 de diciembre de 2004 amplió  la  atención</w:t>
        <w:br/>
        <w:t xml:space="preserve">   para aquellas personas “que se individualizan en la  nómina  de  personas</w:t>
        <w:br/>
        <w:t xml:space="preserve">   reconocidas como víctimas, que forma parte del  Informe  de  la  Comisión</w:t>
        <w:br/>
        <w:t xml:space="preserve">   Nacional sobre Prisión  Política  y  Tortura”[59]  (en  adelante  también</w:t>
        <w:br/>
        <w:t xml:space="preserve">   “Comisión Valech”) (infra párr. 72).</w:t>
        <w:br/>
        <w:br/>
        <w:br/>
        <w:t xml:space="preserve">       B.1.2) Leyes que regulan la pensión y bono extraordinario a los</w:t>
        <w:br/>
        <w:t xml:space="preserve">       “exonerados políticos”</w:t>
        <w:br/>
        <w:br/>
        <w:br/>
        <w:t>69. En relación con las personas que se vieron  afectadas  en  su  situación</w:t>
        <w:br/>
        <w:t xml:space="preserve">   laboral por motivos políticos durante la dictadura  militar  (“exonerados</w:t>
        <w:br/>
        <w:t xml:space="preserve">   políticos”[60]), el  Estado  adoptó  varias  leyes:  la  Ley  No.  19.234</w:t>
        <w:br/>
        <w:t xml:space="preserve">   promulgada el 5 de agosto y publicada el 12  de  agosto  de  1993  y  sus</w:t>
        <w:br/>
        <w:t xml:space="preserve">   modificatorias: la Ley No. 19.582 y la Ley No. 19.881 promulgada el 11 de</w:t>
        <w:br/>
        <w:t xml:space="preserve">   junio de 2003 y publicada el 27 de los mismos mes  y  año,  la  cual  fue</w:t>
        <w:br/>
        <w:t xml:space="preserve">   adoptada  para  ampliar  el   plazo   de   inscripción   de   “exonerados</w:t>
        <w:br/>
        <w:t xml:space="preserve">   políticos”[61]. Dichas leyes concretaron  la  creación  del  Programa  de</w:t>
        <w:br/>
        <w:t xml:space="preserve">   Reconocimiento  al  Exonerado  Político,  mediante  el  cual  se   otorgó</w:t>
        <w:br/>
        <w:t xml:space="preserve">   pensiones y otros beneficios a dichas personas[62]. De acuerdo a  la  Ley</w:t>
        <w:br/>
        <w:t xml:space="preserve">   No. 20.134 promulgada el 8 de noviembre de 2006 y publicada el 22 de  los</w:t>
        <w:br/>
        <w:t xml:space="preserve">   mismos mes y año, se estableció un bono extraordinario que ascendía a  un</w:t>
        <w:br/>
        <w:t xml:space="preserve">   monto aproximado de  USD$3.009.90  (tres  mil  nueve  dólares  y  noventa</w:t>
        <w:br/>
        <w:t xml:space="preserve">   centavos de los Estados Unidos de América), o a uno  mayor[63]  para  los</w:t>
        <w:br/>
        <w:t xml:space="preserve">   “exonerados por motivos políticos”[64].</w:t>
        <w:br/>
        <w:br/>
        <w:br/>
        <w:t xml:space="preserve">       B.1.3) Leyes relativas a los chilenos que sufrieron el exilio</w:t>
        <w:br/>
        <w:br/>
        <w:br/>
        <w:t>70. El Estado también, luego del 21 de agosto de 1990, adoptó o  mantuvo  en</w:t>
        <w:br/>
        <w:t xml:space="preserve">   vigencia una serie de leyes a favor de  las  personas  que  sufrieron  el</w:t>
        <w:br/>
        <w:t xml:space="preserve">   exilio durante el régimen militar: a) la Ley No. 18.994, la cual creó  la</w:t>
        <w:br/>
        <w:t xml:space="preserve">   Oficina Nacional de Retorno (ONR) –cuyas funciones cesaron en 1994-  para</w:t>
        <w:br/>
        <w:t xml:space="preserve">   facilitar el retorno de  exiliados,  mediante  la  adopción  de  diversas</w:t>
        <w:br/>
        <w:t xml:space="preserve">   medidas relacionadas con la reinserción laboral y económica, la  atención</w:t>
        <w:br/>
        <w:t xml:space="preserve">   en salud, educación, vivienda, asistencia jurídica, así como  cooperación</w:t>
        <w:br/>
        <w:t xml:space="preserve">   internacional con varios países para asegurar la continuidad  previsional</w:t>
        <w:br/>
        <w:t xml:space="preserve">   o facilitar el traslado de fondos; b) la Ley No.  19.128  que  estableció</w:t>
        <w:br/>
        <w:t xml:space="preserve">   ciertas franquicias aduaneras y de arancel aduanero,  y  c)  la  Ley  No.</w:t>
        <w:br/>
        <w:t xml:space="preserve">   19.740, la cual  también  otorgó  ciertos  beneficios  económicos  a  los</w:t>
        <w:br/>
        <w:t xml:space="preserve">   deudores del Banco del Estado que obtuvieron créditos  en  el  marco  del</w:t>
        <w:br/>
        <w:t xml:space="preserve">   Programa de  Créditos  para  el  Establecimiento  por  Cuenta  Propia  de</w:t>
        <w:br/>
        <w:t xml:space="preserve">   Chilenos Retornados[65].</w:t>
        <w:br/>
        <w:br/>
        <w:br/>
        <w:t xml:space="preserve">       B.1.4) Propuesta sobre derechos humanos “No hay Mañana sin Ayer”</w:t>
        <w:br/>
        <w:br/>
        <w:br/>
        <w:t>71. En materia de reparaciones para  víctimas  de  violaciones  de  derechos</w:t>
        <w:br/>
        <w:t xml:space="preserve">   humanos durante el régimen militar, se adoptaron varias leyes en el marco</w:t>
        <w:br/>
        <w:t xml:space="preserve">   de la propuesta de derechos humanos titulada “No hay  Mañana  sin  Ayer”,</w:t>
        <w:br/>
        <w:t xml:space="preserve">   del Gobierno del entonces Presidente, Ricardo Lagos, que se dio a conocer</w:t>
        <w:br/>
        <w:t xml:space="preserve">   el 12 agosto de 2003[66]: a) la Ley No. 19.980 (supra párr. 68), y b)  la</w:t>
        <w:br/>
        <w:t xml:space="preserve">   Ley No. 19.962, que dispuso la eliminación de  anotaciones  prontuariales</w:t>
        <w:br/>
        <w:t xml:space="preserve">   “referidas a condenas impuestas por [t]ribunales [m]ilitares” por  hechos</w:t>
        <w:br/>
        <w:t xml:space="preserve">   acaecidos durante la dictadura militar relacionados con delitos sobre  la</w:t>
        <w:br/>
        <w:t xml:space="preserve">   “[s]eguridad  del  Estado”,  el  “[c]ontrol  de  [a]rmas  y  “[c]onductas</w:t>
        <w:br/>
        <w:t xml:space="preserve">   [t]erroristas”, sancionados por leyes de la época[67].</w:t>
        <w:br/>
        <w:br/>
        <w:br/>
        <w:t xml:space="preserve">       B.1.5) Comisión Nacional sobre Prisión Política y Tortura (Comisión</w:t>
        <w:br/>
        <w:t xml:space="preserve">       Valech)</w:t>
        <w:br/>
        <w:br/>
        <w:br/>
        <w:t>72. La Comisión Valech fue creada por Decreto Supremo No.  1.040,  publicado</w:t>
        <w:br/>
        <w:t xml:space="preserve">   en el Diario Oficial el 11 de noviembre  de  2003,  con  el  objetivo  de</w:t>
        <w:br/>
        <w:t xml:space="preserve">   determinar las personas que sufrieron privaciones de libertad y  torturas</w:t>
        <w:br/>
        <w:t xml:space="preserve">   por razones políticas[68]. Su Informe fue entregado al Presidente  de  la</w:t>
        <w:br/>
        <w:t xml:space="preserve">   República el 10 de noviembre de  2004,  y  es  público  desde  el  28  de</w:t>
        <w:br/>
        <w:t xml:space="preserve">   noviembre del mismo año[69]. Un anexo del Informe  titulado  “Listado  de</w:t>
        <w:br/>
        <w:t xml:space="preserve">   prisioneros políticos  y  torturados”,  incluyó  los  nombres  de  27.153</w:t>
        <w:br/>
        <w:t xml:space="preserve">   personas. Entre  las  personas  reconocidas  como  víctimas  de  “prisión</w:t>
        <w:br/>
        <w:t xml:space="preserve">   política” y tortura  se  encuentra  el  señor  “García  Lucero,  Leopoldo</w:t>
        <w:br/>
        <w:t xml:space="preserve">   Guillermo”[70].</w:t>
        <w:br/>
        <w:br/>
        <w:t>73. La Ley No. 19.992, promulgada el 17 de diciembre de 2004 y publicada  el</w:t>
        <w:br/>
        <w:t xml:space="preserve">   24 de los mismos mes y año[71], estableció una pensión  de  reparación  y</w:t>
        <w:br/>
        <w:t xml:space="preserve">   otorgó otros beneficios en materia de educación,  salud  y  vivienda.  En</w:t>
        <w:br/>
        <w:t xml:space="preserve">   particular, el artículo 10 de dicha ley, la cual hace una remisión  a  su</w:t>
        <w:br/>
        <w:t xml:space="preserve">   artículo  1,  precisó  que  las  víctimas  directamente   afectadas   por</w:t>
        <w:br/>
        <w:t xml:space="preserve">   violaciones a los derechos humanos individualizadas en el anexo  “Listado</w:t>
        <w:br/>
        <w:t xml:space="preserve">   de  prisioneros  políticos  y  torturados”,  de  la  Nómina  de  Personas</w:t>
        <w:br/>
        <w:t xml:space="preserve">   Reconocidas como Víctimas, que forma parte del  Informe  de  la  Comisión</w:t>
        <w:br/>
        <w:t xml:space="preserve">   Valech,</w:t>
        <w:br/>
        <w:br/>
        <w:t>tendrán derecho a recibir por parte del Estado  los  apoyos  técnicos  y  la</w:t>
        <w:br/>
        <w:t>rehabilitación física necesaria para la superación de las  lesiones  físicas</w:t>
        <w:br/>
        <w:t>surgidas a consecuencia de la prisión política o la tortura,  cuando  dichas</w:t>
        <w:br/>
        <w:t>lesiones tengan el carácter  de  permanentes  y  obstaculicen  la  capacidad</w:t>
        <w:br/>
        <w:t>educativa, laboral o de integración social del beneficiario.</w:t>
        <w:br/>
        <w:br/>
        <w:t>Las personas reconocidas  como  víctimas  por  la  Comisión  Valech  que  se</w:t>
        <w:br/>
        <w:t>encuentran fuera de Chile, no reciben los beneficios de salud,  que  “s[ó]lo</w:t>
        <w:br/>
        <w:t>pueden ejercerl[o]s en  el  país”[72].  Además,  la  Ley  No.  19.992  y  su</w:t>
        <w:br/>
        <w:t>Reglamento ya  establecen  que  la  pensión  es  incompatible  con  aquellas</w:t>
        <w:br/>
        <w:t>concedidas por las leyes No. 19.234, No. 19.582 y No. 19.881,  de  modo  que</w:t>
        <w:br/>
        <w:t>si una persona se encuentra en goce de alguna de dichas pensiones,  ejercerá</w:t>
        <w:br/>
        <w:t>la opción entre ésta y la  establecida  por  la  Ley  No.  19.992.  Una  vez</w:t>
        <w:br/>
        <w:t>“[e]jercida  la  opción  el  interesado  tendrá  derecho  a   un   bono   de</w:t>
        <w:br/>
        <w:t>$3.000.000,00” (tres millones de pesos chilenos).</w:t>
        <w:br/>
        <w:br/>
        <w:t>74. El artículo 15 de la Ley No. 19.992 consagra una cláusula  de  “secreto”</w:t>
        <w:br/>
        <w:t xml:space="preserve">   en relación con los “documentos, testimonios y antecedentes aportados por</w:t>
        <w:br/>
        <w:t xml:space="preserve">   las víctimas ante  la  Comisión  [Valech]”,  estableciendo  que  “ninguna</w:t>
        <w:br/>
        <w:t xml:space="preserve">   persona, grupos de personas, autoridad o  magistratura  tendrá  acceso  a</w:t>
        <w:br/>
        <w:t xml:space="preserve">   [ellos]” por un período de “50 años”, y señala también que ello  es  “sin</w:t>
        <w:br/>
        <w:t xml:space="preserve">   perjuicio del  derecho  personal  que  asiste  a  los  titulares  de  los</w:t>
        <w:br/>
        <w:t xml:space="preserve">   documentos, informes, declaraciones y  testimonios  incluidos  en  ellos,</w:t>
        <w:br/>
        <w:t xml:space="preserve">   para  darlos  a  conocer  o  proporcionarlos  a  terceros  por   voluntad</w:t>
        <w:br/>
        <w:t xml:space="preserve">   propia”[73].</w:t>
        <w:br/>
        <w:br/>
        <w:br/>
        <w:t xml:space="preserve">    B.2) Medidas de reparación otorgadas por el Estado al señor García</w:t>
        <w:br/>
        <w:t xml:space="preserve">    Lucero</w:t>
        <w:br/>
        <w:br/>
        <w:br/>
        <w:t>75. Con el propósito de ser reconocido como “exonerado político”,  el  señor</w:t>
        <w:br/>
        <w:t xml:space="preserve">   García Lucero remitió desde Londres, Reino Unido, una carta de  fecha  23</w:t>
        <w:br/>
        <w:t xml:space="preserve">   de diciembre de 1993 al Programa de Reconocimiento al Exonerado  Político</w:t>
        <w:br/>
        <w:t xml:space="preserve">   en Chile (supra párr. 69). Mediante comunicación de  1  de  diciembre  de</w:t>
        <w:br/>
        <w:t xml:space="preserve">   1994 el Estado acusó recibo de los “antecedentes” sobre la solicitud  del</w:t>
        <w:br/>
        <w:t xml:space="preserve">   señor García Lucero relativa a la Ley No.  19.234.  En  la  carta,  entre</w:t>
        <w:br/>
        <w:t xml:space="preserve">   otras manifestaciones, el señor García Lucero se refirió a la tortura que</w:t>
        <w:br/>
        <w:t xml:space="preserve">   sufrió “mientras estuv[o] detenido” y a las “lesiones ocasionadas por las</w:t>
        <w:br/>
        <w:t xml:space="preserve">   torturas recibidas”. Señaló que</w:t>
        <w:br/>
        <w:br/>
        <w:t xml:space="preserve">      [l]e volaron todos los dientes de arriba a patadas; [l]e quebraron  el</w:t>
        <w:br/>
        <w:t xml:space="preserve">      brazo izquierdo a culetazos[,] y  de  un  culetazo  en  la  sien  [l]e</w:t>
        <w:br/>
        <w:t xml:space="preserve">      desfiguraron la frente y casi pierd[e] un ojo. Tuv[o] que ser  operado</w:t>
        <w:br/>
        <w:t xml:space="preserve">      de emergencia de hernia (en la ingle) en  una  tienda  de  campaña  en</w:t>
        <w:br/>
        <w:t xml:space="preserve">      “Chacabuco” por un médico de la FACH. Esta hernia [l]e apareció porque</w:t>
        <w:br/>
        <w:t xml:space="preserve">      fu[e] colgado de las muñecas; un saco mojado  de  cemento  amarrado  a</w:t>
        <w:br/>
        <w:t xml:space="preserve">      cada  uno  de  [sus]  tobillos  (este  hecho  ocurrió  en  el  Estadio</w:t>
        <w:br/>
        <w:t xml:space="preserve">      Nacional). También [fue] puesto  en  un  barril  de  agua  que  estaba</w:t>
        <w:br/>
        <w:t xml:space="preserve">      conectado a la electricidad, y dado golpes de corriente, etc. etc. Los</w:t>
        <w:br/>
        <w:t xml:space="preserve">      innumerables golpes en la cabeza (durante toda una noche) con una luma</w:t>
        <w:br/>
        <w:t xml:space="preserve">      de goma, [l]e produj[eron] serios problemas de salud que  significaron</w:t>
        <w:br/>
        <w:t xml:space="preserve">      no poder trabajar […] en  Inglaterra,  donde  est[á]  registrado  como</w:t>
        <w:br/>
        <w:t xml:space="preserve">      inválido. También tuv[o] que ser operado [en Inglaterra] de un  tendón</w:t>
        <w:br/>
        <w:t xml:space="preserve">      en [su] pierna derecha. Esto también como consecuencia de  haber  sido</w:t>
        <w:br/>
        <w:t xml:space="preserve">      colgado mientras estuv[o] detenido, como explic[ó][74].</w:t>
        <w:br/>
        <w:br/>
        <w:br/>
        <w:t>76. El señor García Lucero ha recibido y continúa recibiendo tres  tipos  de</w:t>
        <w:br/>
        <w:t xml:space="preserve">   compensaciones monetarias bajo distintas leyes.</w:t>
        <w:br/>
        <w:br/>
        <w:br/>
        <w:t xml:space="preserve">       B.2.1) Beneficio como Exonerado Político bajo la Ley No. 19.234</w:t>
        <w:br/>
        <w:br/>
        <w:br/>
        <w:t>77. La solicitud realizada por el señor  García  Lucero  de  ser  reconocido</w:t>
        <w:br/>
        <w:t xml:space="preserve">   como  “exonerado  político”  (supra  párr.  75)  fue   aprobada[75].   En</w:t>
        <w:br/>
        <w:t xml:space="preserve">   consecuencia, él recibe una pensión mensual de por vida[76], cuyo  monto,</w:t>
        <w:br/>
        <w:t xml:space="preserve">   de conformidad con lo informado por  las  representantes,  ascendía  para</w:t>
        <w:br/>
        <w:t xml:space="preserve">   enero de 2012 a $141.081,00 (ciento cuarenta y un mil ochenta y uno pesos</w:t>
        <w:br/>
        <w:t xml:space="preserve">   chilenos), equivalente a US$288,48 (doscientos ochenta y ocho dólares  de</w:t>
        <w:br/>
        <w:t xml:space="preserve">   los Estados Unidos de América con  cuarenta  y  ocho  centavos),  de  los</w:t>
        <w:br/>
        <w:t xml:space="preserve">   cuales recibe $136.167,00 (ciento treinta y seis  mil  ciento  sesenta  y</w:t>
        <w:br/>
        <w:t xml:space="preserve">   siete pesos chilenos) equivalentes a US$278,43 (doscientos setenta y ocho</w:t>
        <w:br/>
        <w:t xml:space="preserve">   dólares de Estados Unidos de América con cuarenta tres centavos), ya  que</w:t>
        <w:br/>
        <w:t xml:space="preserve">   un 7% del monto es descontado para el Fondo Nacional de  Salud  (FONASA).</w:t>
        <w:br/>
        <w:t xml:space="preserve">   El señor García Lucero recibe esta pensión desde el año 2000[77],  cuando</w:t>
        <w:br/>
        <w:t xml:space="preserve">   le fue decretado dicho  beneficio,  con  retroactividad  a  partir  de  1</w:t>
        <w:br/>
        <w:t xml:space="preserve">   septiembre de 1998[78]. El señor García Lucero optó  por  la  pensión  de</w:t>
        <w:br/>
        <w:t xml:space="preserve">   exonerado político dado que el artículo  15  de  la  Ley  No.  19.234  le</w:t>
        <w:br/>
        <w:t xml:space="preserve">   permitía trasmitir su pensión a sus causahabientes. En razón de ello,  no</w:t>
        <w:br/>
        <w:t xml:space="preserve">   optó por la pensión prevista en la Ley  No.  19.992,  que  no  prevé  esa</w:t>
        <w:br/>
        <w:t xml:space="preserve">   posibilidad.</w:t>
        <w:br/>
        <w:br/>
        <w:br/>
        <w:br/>
        <w:t xml:space="preserve">         B.2.2) Bono compensatorio extraordinario bajo la Ley No. 20.134</w:t>
        <w:br/>
        <w:br/>
        <w:br/>
        <w:t>78. En adición,  el  señor  García  Lucero  recibió  un  bono  compensatorio</w:t>
        <w:br/>
        <w:t xml:space="preserve">   extraordinario de conformidad con la Ley No.  20.134  (supra  párr.  69).</w:t>
        <w:br/>
        <w:t xml:space="preserve">   Este bono fue depositado en su cuenta de ahorro del señor  García  Lucero</w:t>
        <w:br/>
        <w:t xml:space="preserve">   en el Banco del Estado el 29 de enero de 2008[79].</w:t>
        <w:br/>
        <w:br/>
        <w:br/>
        <w:t xml:space="preserve">         B.3.3) Bono único bajo la Ley No. 19.992</w:t>
        <w:br/>
        <w:br/>
        <w:br/>
        <w:t>79. El 14 de junio de 2006 el señor García Lucero recibió un bono  único  de</w:t>
        <w:br/>
        <w:t xml:space="preserve">   $3.000.000 (tres millones de pesos chilenos)[80], de conformidad  con  el</w:t>
        <w:br/>
        <w:t xml:space="preserve">   artículo 2 de la Ley No. 19.992 y los artículos 5 y 6 de  su  Reglamento,</w:t>
        <w:br/>
        <w:t xml:space="preserve">   al haber optado por recibir la pensión por  “exonerado  político”  (supra</w:t>
        <w:br/>
        <w:t xml:space="preserve">   párrs. 73 y 77).</w:t>
        <w:br/>
        <w:br/>
        <w:br/>
        <w:t xml:space="preserve">    B.3 Situación actual del señor García Lucero</w:t>
        <w:br/>
        <w:br/>
        <w:br/>
        <w:t>80. De acuerdo con  su  historial  médico,  el  señor  García  Lucero  tiene</w:t>
        <w:br/>
        <w:t xml:space="preserve">   diversos padecimientos de índole física y psicológica[81],  y  ha  estado</w:t>
        <w:br/>
        <w:t xml:space="preserve">   recibiendo tratamiento por varios años[82]. Además requiere  de  diversos</w:t>
        <w:br/>
        <w:t xml:space="preserve">   tratamientos médicos y terapéuticos[83]. El señor García Lucero sufre  de</w:t>
        <w:br/>
        <w:t xml:space="preserve">   una discapacidad “mental y física”. Presenta  “una  afección  cardíaca  y</w:t>
        <w:br/>
        <w:t xml:space="preserve">   problemas de movilidad”, “[d]esorden  por  [e]strés  [p]ost  [t]raumático</w:t>
        <w:br/>
        <w:t xml:space="preserve">   severo y complejo” y “síntomas de depresión” de “rango severo”[84].</w:t>
        <w:br/>
        <w:br/>
        <w:br/>
        <w:t xml:space="preserve">  C. Hechos relativos a la investigación abierta el 7 de octubre de 2011</w:t>
        <w:br/>
        <w:br/>
        <w:br/>
        <w:t>81. Luego de que el caso fuera sometido el 20 de septiembre  de  2011  a  la</w:t>
        <w:br/>
        <w:t xml:space="preserve">   Corte, el 7 de octubre de ese año José Antonio Ricardi Romero, abogado de</w:t>
        <w:br/>
        <w:t xml:space="preserve">   la oficina especializada de la Corporación  de  Asistencia  Judicial[85],</w:t>
        <w:br/>
        <w:t xml:space="preserve">   presentó ante la Corte  de  Apelaciones  de  Santiago,  en  relación  con</w:t>
        <w:br/>
        <w:t xml:space="preserve">   “delitos […] cometidos en  perjuicio  de[l  señor]  García  Lucero”,  una</w:t>
        <w:br/>
        <w:t xml:space="preserve">   “denuncia” tendiente a que se “orden[en] las diligencias  conducentes  al</w:t>
        <w:br/>
        <w:t xml:space="preserve">   esclarecimiento  de  los  hechos,  asegurar  la  persona  del  o  de  los</w:t>
        <w:br/>
        <w:t xml:space="preserve">   delincuentes, las responsabilidades  pecuniarias  y  el  castigo  de  los</w:t>
        <w:br/>
        <w:t xml:space="preserve">   culpables” por los delitos de “detención ilegal, tortura  o  tormentos  o</w:t>
        <w:br/>
        <w:t xml:space="preserve">   apremios  ilegítimos,  lesiones,  amenazas  y   violencias   innecesarias</w:t>
        <w:br/>
        <w:t xml:space="preserve">   contemplados en  los  [artículos]  150,  150A,  150B,  395  y  siguientes</w:t>
        <w:br/>
        <w:t xml:space="preserve">   pertinentes y 296 del C[ódigo] Penal y [en el artículo] 330 del  C[ódigo]</w:t>
        <w:br/>
        <w:t xml:space="preserve">   de Justicia Militar”. En ese acto solicitó que se actúe “de conformidad a</w:t>
        <w:br/>
        <w:t xml:space="preserve">   las normas señaladas, el artículo 19 de la Constitución” y la “Convención</w:t>
        <w:br/>
        <w:t xml:space="preserve">    Interamericana para Prevenir y Sancionar la Tortura”  y  la  “Convención</w:t>
        <w:br/>
        <w:t xml:space="preserve">   contra  la  Tortura  y  Otros  Tratos  o  Penas  Crueles,   Inhumanos   o</w:t>
        <w:br/>
        <w:t xml:space="preserve">   Degradantes”.  Además  solicitó   “designar   un   Ministro   en   Visita</w:t>
        <w:br/>
        <w:t xml:space="preserve">   Extraordinario para conocimiento y fallo del asunto”[86].</w:t>
        <w:br/>
        <w:br/>
        <w:t>82. El 11 de octubre de 2011  el  Presidente  de  la  Corte  de  Apelaciones</w:t>
        <w:br/>
        <w:t xml:space="preserve">   resolvió pasar  “estos  antecedentes  al  Ministro  señor  Mario  Carroza</w:t>
        <w:br/>
        <w:t xml:space="preserve">   Espinosa”, para su “conocimiento y fines pertinentes”[87], quien el 13 de</w:t>
        <w:br/>
        <w:t xml:space="preserve">   octubre de 2011 se declaró incompetente para conocer esta causa  conforme</w:t>
        <w:br/>
        <w:t xml:space="preserve">   al “acta No. 81-2010 de 1 de junio de 2010”[88]. Por  lo  tanto,  remitió</w:t>
        <w:br/>
        <w:t xml:space="preserve">   los antecedentes al señor  Presidente  de  la  Corte  de  Apelaciones  de</w:t>
        <w:br/>
        <w:t xml:space="preserve">   Santiago “para la designación de un Ministro en Visita Extraordinaria que</w:t>
        <w:br/>
        <w:t xml:space="preserve">   tome conocimiento de los hechos y adopte una posterior resolución”[89].</w:t>
        <w:br/>
        <w:br/>
        <w:t>83. El 26 de octubre de 2011 el Presidente de la  Corte  de  Apelaciones  de</w:t>
        <w:br/>
        <w:t xml:space="preserve">   Santiago, mediante oficio No. 1407-2011,  remitió  los  antecedentes  del</w:t>
        <w:br/>
        <w:t xml:space="preserve">   caso a la Jueza del 34º Juzgado  del  Crimen  de  Santiago  (en  adelante</w:t>
        <w:br/>
        <w:t xml:space="preserve">   “Juzgado 34º”). El Juzgado tuvo por interpuesta  la  denuncia  presentada</w:t>
        <w:br/>
        <w:t xml:space="preserve">   bajo el “rol No. 1261.2011”  y  dispuso  “instr[uir]  sumario”  el  9  de</w:t>
        <w:br/>
        <w:t xml:space="preserve">   noviembre de 2011, y ese día  ofició  orden  de  investigación  al  señor</w:t>
        <w:br/>
        <w:t xml:space="preserve">   Comisario de la Brigada Investigadora  de  Delitos  contra  los  Derechos</w:t>
        <w:br/>
        <w:t xml:space="preserve">   Humanos de la Policía de Investigaciones de Chile (en  adelante  “Brigada</w:t>
        <w:br/>
        <w:t xml:space="preserve">   Investigadora”)[90].</w:t>
        <w:br/>
        <w:br/>
        <w:t>84. Mediante oficio No.  2756  de  23  de  noviembre  de  2011,  la  Brigada</w:t>
        <w:br/>
        <w:t xml:space="preserve">   Investigadora solicitó  a  la  Fundación  Documentación  y  Archivos  del</w:t>
        <w:br/>
        <w:t xml:space="preserve">   Arzobispado  de  Santiago,  “información  que  pudiera  existir  en   sus</w:t>
        <w:br/>
        <w:t xml:space="preserve">   archivos” relativa  a  la  detención  del  señor  García  Lucero[91].  La</w:t>
        <w:br/>
        <w:t xml:space="preserve">   Fundación respondió a dicha solicitud el 28 de noviembre de 2011, pero su</w:t>
        <w:br/>
        <w:t xml:space="preserve">   respuesta no fue enviada al Juzgado 34º sino hasta el 13 de diciembre  de</w:t>
        <w:br/>
        <w:t xml:space="preserve">   2011, después de que fue erróneamente enviada a otro destino[92].  En  el</w:t>
        <w:br/>
        <w:t xml:space="preserve">   Oficio No. 234-2011 informó</w:t>
        <w:br/>
        <w:br/>
        <w:t xml:space="preserve">    que en los archivos del Comité de Cooperación  para  la  Paz  en  Chile</w:t>
        <w:br/>
        <w:t xml:space="preserve">    (COPACHI) y posteriormente de la  Vicaría  de  la  Solidaridad,  consta</w:t>
        <w:br/>
        <w:t xml:space="preserve">    información [de] que [el señor] Leopoldo Guillermo  García  Lucero  […]</w:t>
        <w:br/>
        <w:t xml:space="preserve">    fue detenido el 7 de octubre de 1973, en  el  edificio  de  la  UNCTAD,</w:t>
        <w:br/>
        <w:t xml:space="preserve">    permaneciendo detenido en el Estadio Nacional, Estadio Chile  y  en  el</w:t>
        <w:br/>
        <w:t xml:space="preserve">    campamento de detenidos de Chacabuco.</w:t>
        <w:br/>
        <w:br/>
        <w:t>Además informó que el Decreto  No.  637  de  12  de  mayo  de  1975  dispuso</w:t>
        <w:br/>
        <w:t>“abandono obligado de personas que indica, cuya nómina incluye el nombre  de</w:t>
        <w:br/>
        <w:t>Leopoldo García Lucero”[93].</w:t>
        <w:br/>
        <w:br/>
        <w:t>85. El 5 de diciembre de 2011 la Brigada  Investigadora  informó  sobre  las</w:t>
        <w:br/>
        <w:t xml:space="preserve">   diligencias realizadas, tales como la solicitud a la Fundación Archivo de</w:t>
        <w:br/>
        <w:t xml:space="preserve">   Arzobispo de Santiago (supra párr. 84) y de sus propias  investigaciones,</w:t>
        <w:br/>
        <w:t xml:space="preserve">   que derivaron en la identificación  de  un  presunto  responsable,  quién</w:t>
        <w:br/>
        <w:t xml:space="preserve">   habría sido el Comandante del Campo de Concentración de  Chacabuco  entre</w:t>
        <w:br/>
        <w:t xml:space="preserve">   1973 y 1974[94].</w:t>
        <w:br/>
        <w:br/>
        <w:t>86. El 23 de enero de 2012  la  Jueza  suplente  Cheryl  Fernández  Albornoz</w:t>
        <w:br/>
        <w:t xml:space="preserve">   dictó una resolución “[pi]di[endo] cuenta” a la Brigada Investigadora “de</w:t>
        <w:br/>
        <w:t xml:space="preserve">   la orden de investiga[ción]” que ella dictó el 9  de  noviembre  de  2011</w:t>
        <w:br/>
        <w:t xml:space="preserve">   (supra párr. 83)[95].</w:t>
        <w:br/>
        <w:br/>
        <w:t>87. El 9 de febrero de 2012 el abogado denunciante, señor Ricardi,  solicitó</w:t>
        <w:br/>
        <w:t xml:space="preserve">   al Juzgado 34° las siguientes diligencias: 1) se cite  a  declarar  a  un</w:t>
        <w:br/>
        <w:t xml:space="preserve">   posible  responsable  de  los  hechos;  2)  se  oficie  a  la   Fundación</w:t>
        <w:br/>
        <w:t xml:space="preserve">   Documentación y Archivos del Arzobispado de Santiago para  que  envíe  al</w:t>
        <w:br/>
        <w:t xml:space="preserve">   Juzgado 34º “la documentación completa relativa [al señor] García Lucero,</w:t>
        <w:br/>
        <w:t xml:space="preserve">   y 3) “se oficie a la Secretaría General de la Presidencia de la República</w:t>
        <w:br/>
        <w:t xml:space="preserve">   para que remita […] al [Juzgado 34º t]oda  la  información  relativa  [al</w:t>
        <w:br/>
        <w:t xml:space="preserve">   señor] García Lucero que obre  en  la  ‘Comisión  Nacional  de  Verdad  y</w:t>
        <w:br/>
        <w:t xml:space="preserve">   Reconciliación’”[96]. El 15 de febrero de 2012 la Jueza hizo a lugar a la</w:t>
        <w:br/>
        <w:t xml:space="preserve">   primera  solicitud,  esto  es,  cita  a  declarar,  por  correos  y  bajo</w:t>
        <w:br/>
        <w:t xml:space="preserve">   apercibimiento  de  arresto,  al  quien  fue   indicado   como   presunto</w:t>
        <w:br/>
        <w:t xml:space="preserve">   responsable de los hechos (supra párr. 85), para el día 28 de febrero  de</w:t>
        <w:br/>
        <w:t xml:space="preserve">   2012. Al resto del petitorio resolvió que “[n]o ha lugar por ahora”[97].</w:t>
        <w:br/>
        <w:br/>
        <w:t>88. El 13 de marzo de 2012  el  señor  Ricardi  solicitó  autorización  para</w:t>
        <w:br/>
        <w:t xml:space="preserve">   actuar como agente oficioso en favor del señor Leopoldo García Lucero, en</w:t>
        <w:br/>
        <w:t xml:space="preserve">   consideración a que éste “se encuentra  temporalmente  imposibilitado  de</w:t>
        <w:br/>
        <w:t xml:space="preserve">   actuar en autos, de designar abogado  patrocinante  y  en  definitiva  de</w:t>
        <w:br/>
        <w:t xml:space="preserve">   ejercer sus derechos[,] ya que actualmente reside en Inglaterra y  no  ha</w:t>
        <w:br/>
        <w:t xml:space="preserve">   sido posible contactarlo”. Además solicitó,  inter  alia,  oficiar  a  la</w:t>
        <w:br/>
        <w:t xml:space="preserve">   “Policía de Investigaciones” para  averiguar  el  paradero  del  presunto</w:t>
        <w:br/>
        <w:t xml:space="preserve">   responsable de los hechos, y que se “despache exhorto internacional a  la</w:t>
        <w:br/>
        <w:t xml:space="preserve">   Comisión Interamericana” para que ésta informe el  domicilio  actual  del</w:t>
        <w:br/>
        <w:t xml:space="preserve">   señor García Lucero[98]. El 20 de marzo de 2012 el Juzgado  34°  autorizó</w:t>
        <w:br/>
        <w:t xml:space="preserve">   al señor Ricardi a actuar como agente oficioso “por el término de 90 días</w:t>
        <w:br/>
        <w:t xml:space="preserve">   a contar de esta fecha”, y ordenó oficiar a la Policía  y  el  “desp[acho</w:t>
        <w:br/>
        <w:t xml:space="preserve">   del] exhorto internacional” a la Comisión Interamericana[99].  A  efectos</w:t>
        <w:br/>
        <w:t xml:space="preserve">   de que se realice el último acto indicado, en la misma fecha  el  Juzgado</w:t>
        <w:br/>
        <w:t xml:space="preserve">   34º emitió un exhorto a la Corte Suprema[100].</w:t>
        <w:br/>
        <w:br/>
        <w:t>89. El 23 de marzo de 2012, mediante oficio No. 199-2012,  Claudio  Valdivia</w:t>
        <w:br/>
        <w:t xml:space="preserve">   Rivas, Director General de la  Corporación  de  Asistencia  Judicial  del</w:t>
        <w:br/>
        <w:t xml:space="preserve">   Región Metropolitana, informó a Andrés Vega Alvarado,  Jefe  de  Gabinete</w:t>
        <w:br/>
        <w:t xml:space="preserve">   del Ministerio de Justicia, sobre las gestiones realizadas en el caso del</w:t>
        <w:br/>
        <w:t xml:space="preserve">   señor Leopoldo García Lucero y los pasos procesales a  seguir.  En  dicho</w:t>
        <w:br/>
        <w:t xml:space="preserve">   documento señaló  que  el  Juzgado  34º  solicitó  a  la  Corporación  de</w:t>
        <w:br/>
        <w:t xml:space="preserve">   Asistencia Judicial que  se  cite  al  funcionario  a  cargo  del  centro</w:t>
        <w:br/>
        <w:t xml:space="preserve">   “Chacabuco” en la época de la detención del señor  García  Lucero,  quien</w:t>
        <w:br/>
        <w:t xml:space="preserve">   fue citado para el 28 de febrero de 2012 sin que compareciera, “ya que no</w:t>
        <w:br/>
        <w:t xml:space="preserve">   le llegó la citación por haber cambiado su  domicilio”.  Indicó  asimismo</w:t>
        <w:br/>
        <w:t xml:space="preserve">   que el 13 de marzo de 2012, previa audiencia con la  Jueza  Suplente  del</w:t>
        <w:br/>
        <w:t xml:space="preserve">   Juzgado 34º, el señor Ricardi hizo las solicitudes antes indicadas (supra</w:t>
        <w:br/>
        <w:t xml:space="preserve">   párr.  88).  Además  informó  sobre  “[l]os  problemas  que  conlleva  la</w:t>
        <w:br/>
        <w:t xml:space="preserve">   inactividad de[l señor] García Lucero en  el  proceso”,  ya  que  “el  no</w:t>
        <w:br/>
        <w:t xml:space="preserve">   contar  con  un  mandato  [de  él]  para  poder  tener  patrocinio”,  les</w:t>
        <w:br/>
        <w:t xml:space="preserve">   “imposibilita […] querellar[se] y […] realizar otra serie de  actuaciones</w:t>
        <w:br/>
        <w:t xml:space="preserve">   procesales derivadas de lo anterior, […] dificulta[ndo] la tramitación  y</w:t>
        <w:br/>
        <w:t xml:space="preserve">   éxito de la gestión”. Explicó que ante la falta de dicho mandato y  hasta</w:t>
        <w:br/>
        <w:t xml:space="preserve">   que se acogiera la solicitud de actuar como  agente  oficioso  existe  la</w:t>
        <w:br/>
        <w:t xml:space="preserve">   posibilidad del sobreseimiento del caso,  el  cual  no  podrían  rebatir.</w:t>
        <w:br/>
        <w:t xml:space="preserve">   Finalmente, reiteró la necesidad “en el corto plazo” de  tomar  “contacto</w:t>
        <w:br/>
        <w:t xml:space="preserve">   de forma directa con el [señor García Lucero], o al menos,  mantener  una</w:t>
        <w:br/>
        <w:t xml:space="preserve">   comunicación fluida con [las representantes] para  poder  seguir  con  la</w:t>
        <w:br/>
        <w:t xml:space="preserve">   denuncia interpuesta”[101].</w:t>
        <w:br/>
        <w:br/>
        <w:t>90. El 30 de marzo de  2012  las  representantes,  vía  correo  electrónico,</w:t>
        <w:br/>
        <w:t xml:space="preserve">   informaron a agentes del Estado que</w:t>
        <w:br/>
        <w:br/>
        <w:t xml:space="preserve">    [el señor]  Leopoldo  [García  Lucero]  y  su  familia  [les]  ha[bían]</w:t>
        <w:br/>
        <w:t xml:space="preserve">    indicado que no se van a querellar en la causa recientemente abierta en</w:t>
        <w:br/>
        <w:t xml:space="preserve">    Chile debido a que consideran que el proceso actualmente en curso no es</w:t>
        <w:br/>
        <w:t xml:space="preserve">    adecuado y/o efectivo para esclarecer, dentro de un  tiempo  razonable,</w:t>
        <w:br/>
        <w:t xml:space="preserve">    su tortura y detención, al igual que para calificar,  por  ejemplo,  el</w:t>
        <w:br/>
        <w:t xml:space="preserve">    lugar donde se encuentran sus ahorros, etc.[102].</w:t>
        <w:br/>
        <w:br/>
        <w:t>91. El 6 de junio de  2012  el  abogado  denunciante,  señor  Ricardi,  como</w:t>
        <w:br/>
        <w:t xml:space="preserve">   agente oficioso del señor García Lucero, dedujo querella criminal por los</w:t>
        <w:br/>
        <w:t xml:space="preserve">   delitos “de torturas, lesiones y amenazas  cometidas  en  perjuicio  de[l</w:t>
        <w:br/>
        <w:t xml:space="preserve">   señor] García Lucero […] en contra de todos quienes resulten responsables</w:t>
        <w:br/>
        <w:t xml:space="preserve">   de los hechos durante la investigación”, con base en los  hechos  que  se</w:t>
        <w:br/>
        <w:t xml:space="preserve">   detallan en el escrito, ocurridos a partir  de  la  detención  del  señor</w:t>
        <w:br/>
        <w:t xml:space="preserve">   García Lucero el 16 de septiembre de 1973 y que, según se  señala  en  el</w:t>
        <w:br/>
        <w:t xml:space="preserve">   mismo escrito, constituyen los</w:t>
        <w:br/>
        <w:br/>
        <w:t xml:space="preserve">    delitos de detención ilegal, tortura o tormentos o apremios ilegítimos,</w:t>
        <w:br/>
        <w:t xml:space="preserve">    lesiones, amenazas y violencias  innecesarias[,]  contemplados  en  los</w:t>
        <w:br/>
        <w:t xml:space="preserve">    art[ículos] 150, 150 A, 150 B, 395 y siguientes pertinentes y  296  del</w:t>
        <w:br/>
        <w:t xml:space="preserve">    C[ódigo] Penal y [en  el]  art[ículo]  330  del  C[ódigo]  de  Justicia</w:t>
        <w:br/>
        <w:t xml:space="preserve">    Militar.</w:t>
        <w:br/>
        <w:br/>
        <w:t>Por ello solicitó que,</w:t>
        <w:br/>
        <w:br/>
        <w:t xml:space="preserve">    de  conformidad  a  las  normas  señaladas,  al  artículo  19   de   la</w:t>
        <w:br/>
        <w:t xml:space="preserve">    Constitución Política de la República, a la “Convención  Interamericana</w:t>
        <w:br/>
        <w:t xml:space="preserve">    para [P]revenir y [S]ancionar la [T]ortura” y a la  “Convención  contra</w:t>
        <w:br/>
        <w:t xml:space="preserve">    la  Tortura   y   Otros   Tratos   o   Penas   Crueles,   Inhumanos   o</w:t>
        <w:br/>
        <w:t xml:space="preserve">    Degradantes”[,se]   orden[en]   las    diligencias    conducentes    al</w:t>
        <w:br/>
        <w:t xml:space="preserve">    esclarecimiento de los  hechos,  asegurar  la  persona  del  o  de  los</w:t>
        <w:br/>
        <w:t xml:space="preserve">    delincuentes, las responsabilidades pecuniarias y  el  castigo  de  los</w:t>
        <w:br/>
        <w:t xml:space="preserve">    culpables.</w:t>
        <w:br/>
        <w:br/>
        <w:t>En lo  pertinente,  el  “Primer  Otro  sí”  requirió  acumular  la  querella</w:t>
        <w:br/>
        <w:t>interpuesta con los “autos rol No. 1261-2011” (supra párr.  83),  sobre  los</w:t>
        <w:br/>
        <w:t>mismos hechos, y en el “Tercer Otro  sí”   pidió  la  “práctica  de  [otras]</w:t>
        <w:br/>
        <w:t>diligencias” con “el fin de establecer de mejor manera los hechos”[103].</w:t>
        <w:br/>
        <w:br/>
        <w:t>92. El 7 de junio de 2012, se tuvo por interpuesta la  querella,  se  ordenó</w:t>
        <w:br/>
        <w:t xml:space="preserve">   acumular los autos y se dio orden a la Brigada Investigadora para cumplir</w:t>
        <w:br/>
        <w:t xml:space="preserve">   las  diligencias  solicitadas[104].  Respecto  a  ellas,  consta  en   el</w:t>
        <w:br/>
        <w:t xml:space="preserve">   expediente la “orden de investigar” emitida por el Juzgado 34° y dirigida</w:t>
        <w:br/>
        <w:t xml:space="preserve">   a la Brigada Investigadora, la cual a su vez, emitió un oficio, el 25  de</w:t>
        <w:br/>
        <w:t xml:space="preserve">   julio de 2012, dirigido al Programa de Derechos  Humanos  del  Ministerio</w:t>
        <w:br/>
        <w:t xml:space="preserve">   del Interior, a la Contraloría General de República, y  al  Hipódromo  de</w:t>
        <w:br/>
        <w:t xml:space="preserve">   Chile, y el día siguiente a la  Jefatura  de  Estado  Mayor  General  del</w:t>
        <w:br/>
        <w:t xml:space="preserve">   Ejército de Chile, a la Secretaría General de la Armada de  Chile,  a  la</w:t>
        <w:br/>
        <w:t xml:space="preserve">   Jefatura de Estado Mayor General de  la  Fuerza  Aérea  de  Chile,  a  la</w:t>
        <w:br/>
        <w:t xml:space="preserve">   Subdirección General del Departamento de Derechos Humanos de  Carabineros</w:t>
        <w:br/>
        <w:t xml:space="preserve">   de  Chile,  y  a  la  Jefatura  Nacional  de  Delitos   contra   Derechos</w:t>
        <w:br/>
        <w:t xml:space="preserve">   Humanos[105].</w:t>
        <w:br/>
        <w:br/>
        <w:t>93. El 2 de agosto de 2012, en cumplimiento de las  diligencias  solicitadas</w:t>
        <w:br/>
        <w:t xml:space="preserve">   en la querella, el Juzgado 34° recibió una carta de la Sociedad Hipódromo</w:t>
        <w:br/>
        <w:t xml:space="preserve">   Chile S.A, en la que se informó la fecha  de  ingreso  y  último  día  de</w:t>
        <w:br/>
        <w:t xml:space="preserve">   trabajo del señor  García  Lucero,  acompañándose  carta  de  término  de</w:t>
        <w:br/>
        <w:t xml:space="preserve">   Contrato de Trabajo de fecha 7 de noviembre de 1973. De acuerdo al primer</w:t>
        <w:br/>
        <w:t xml:space="preserve">   documento referido, “[e]l [señor] García [Lucero] ingresó a trabajar [el]</w:t>
        <w:br/>
        <w:t xml:space="preserve">   1 de julio de 1971 y se puso término a su contrato [el] 7 de noviembre de</w:t>
        <w:br/>
        <w:t xml:space="preserve">   1973”[106].</w:t>
        <w:br/>
        <w:br/>
        <w:t>94.  El 7 de agosto de 2012 el Juzgado 34º recibió un informe de la  Brigada</w:t>
        <w:br/>
        <w:t xml:space="preserve">   Investigadora, en el cual  se  indicó  diversas  diligencias  practicadas</w:t>
        <w:br/>
        <w:t xml:space="preserve">   (supra párrs. 92 y 93). En dicho informe, además del presunto responsable</w:t>
        <w:br/>
        <w:t xml:space="preserve">   antes identificado (supra párr. 85), se “identificó”, sin indicar con que</w:t>
        <w:br/>
        <w:t xml:space="preserve">   carácter, a otras dos personas[107].</w:t>
        <w:br/>
        <w:br/>
        <w:t>95. El 20 de agosto de 2012, mediante resolución del 34° Juzgado, se citó  a</w:t>
        <w:br/>
        <w:t xml:space="preserve">   declarar a una de las personas identificadas en el informe de la  Brigada</w:t>
        <w:br/>
        <w:t xml:space="preserve">   Investigadora, y se dispuso despachar orden de arresto en  contra  de  la</w:t>
        <w:br/>
        <w:t xml:space="preserve">   persona  indicada  como  presunta  responsable  de  los  hechos,  por  no</w:t>
        <w:br/>
        <w:t xml:space="preserve">   comparecer a declarar “a pesar de [su] citación por correos”[108].  Dicha</w:t>
        <w:br/>
        <w:t xml:space="preserve">   orden, “contra quien se proced[ió] por el delito de desobediencia  a  las</w:t>
        <w:br/>
        <w:t xml:space="preserve">   órdenes del [Juzgado 34º,]” se emitió en esa misma fecha,  referida  “con</w:t>
        <w:br/>
        <w:t xml:space="preserve">   allanamiento de su habitación si fuere necesario”[109].</w:t>
        <w:br/>
        <w:br/>
        <w:t>96. El 24 de septiembre de 2012 el Juzgado 34° recibió el  Informe  Policial</w:t>
        <w:br/>
        <w:t xml:space="preserve">   No. 4248, respecto de  la  orden  de  arresto  dispuesta  por  éste,  con</w:t>
        <w:br/>
        <w:t xml:space="preserve">   instrucciones de asegurar la comparecencia del requerido. Consta en dicho</w:t>
        <w:br/>
        <w:t xml:space="preserve">   informe que el presunto responsable de los hechos “no fue  habido”  y  se</w:t>
        <w:br/>
        <w:t xml:space="preserve">   “solicit[ó] enviar nueva orden de arresto” en la  cual  “se  consigne  la</w:t>
        <w:br/>
        <w:t xml:space="preserve">   dirección que registra la cónyuge [del presunto responsable] y así  poder</w:t>
        <w:br/>
        <w:t xml:space="preserve">   establecer  si  [éste]  reside  en  dicho  domicilio   a   fin   de   ser</w:t>
        <w:br/>
        <w:t xml:space="preserve">   notificado”[110]. Por resolución del Juzgado 34° de 25 de  septiembre  de</w:t>
        <w:br/>
        <w:t xml:space="preserve">   2012, se dispuso despachar nueva orden de arresto en contra del  presunto</w:t>
        <w:br/>
        <w:t xml:space="preserve">   responsable, en el domicilio de su cónyuge[111].</w:t>
        <w:br/>
        <w:br/>
        <w:t>97. El 2 de octubre de 2012 el abogado querellante, señor Ricardi,  solicitó</w:t>
        <w:br/>
        <w:t xml:space="preserve">   al Juzgado 34°  conocer  lo  obrado  en  el  sumario  con  el  objeto  de</w:t>
        <w:br/>
        <w:t xml:space="preserve">   “colaborar con el éxito de  la  investigación  e  instar  por  su  pronto</w:t>
        <w:br/>
        <w:t xml:space="preserve">   término”. Mediante resolución de 8 de octubre de 2012 se hizo  lugar  tal</w:t>
        <w:br/>
        <w:t xml:space="preserve">   solicitud[112].</w:t>
        <w:br/>
        <w:br/>
        <w:t>98. El 16 de octubre de 2012 el Informe Policial No. 4580 fue  ingresado  al</w:t>
        <w:br/>
        <w:t xml:space="preserve">   Juzgado 34°, dando cuenta de la orden de  arresto  despachada  el  25  de</w:t>
        <w:br/>
        <w:t xml:space="preserve">   septiembre de ese año. Se informó que en el domicilio registrado a nombre</w:t>
        <w:br/>
        <w:t xml:space="preserve">   de la cónyuge del presunto responsable de los hechos no  se  encontró  al</w:t>
        <w:br/>
        <w:t xml:space="preserve">   requerido, y quien reside en él, señaló ser su suegra,  afirmó  que  hace</w:t>
        <w:br/>
        <w:t xml:space="preserve">   “varios años se encuentra viviendo en el extranjero, desconociendo en qué</w:t>
        <w:br/>
        <w:t xml:space="preserve">   país específicamente”[113].</w:t>
        <w:br/>
        <w:br/>
        <w:t>99. El 30 de octubre de 2012, el Juzgado  34º,  mediante  Oficio  No.  2896,</w:t>
        <w:br/>
        <w:t xml:space="preserve">   ordenó a la “Policía Internacional” de la “Policía de Investigaciones  de</w:t>
        <w:br/>
        <w:t xml:space="preserve">   Chile” informar “respecto de las salidas y entradas al país” del presunto</w:t>
        <w:br/>
        <w:t xml:space="preserve">   responsable de los hechos[114]. Ese mismo día rindió una  declaración  un</w:t>
        <w:br/>
        <w:t xml:space="preserve">   testigo, quien es médico cirujano, quién manifestó haber estado “detenido</w:t>
        <w:br/>
        <w:t xml:space="preserve">   por motivos políticos en el Estadio Nacional desde el 13 de septiembre de</w:t>
        <w:br/>
        <w:t xml:space="preserve">   1973 hasta que se cerró a mediados de noviembre de  1973”.  Señaló  haber</w:t>
        <w:br/>
        <w:t xml:space="preserve">   conocido al señor García Lucero, ya que por iniciativa propia los médicos</w:t>
        <w:br/>
        <w:t xml:space="preserve">   detenidos “atendía[n] a los heridos producto de  las  torturas”.  Declaró</w:t>
        <w:br/>
        <w:t xml:space="preserve">   haber atendido al señor García Lucero “después de  las  torturas  que  se</w:t>
        <w:br/>
        <w:t xml:space="preserve">   realizaban en los camarines”, y que “posteriormente […] trasladaron a los</w:t>
        <w:br/>
        <w:t xml:space="preserve">   detenidos del Estadio Nacional hasta la Oficina Salitrera  Chacabuco,  en</w:t>
        <w:br/>
        <w:t xml:space="preserve">   el medio del desierto de Atacama”, donde volvió a  ver  al  señor  García</w:t>
        <w:br/>
        <w:t xml:space="preserve">   Lucero. Luego de esa ocasión no lo volvió a ver hasta que, luego  de  que</w:t>
        <w:br/>
        <w:t xml:space="preserve">   el testigo se “fu[e] exiliado a Inglaterra”,  encontró  al  señor  García</w:t>
        <w:br/>
        <w:t xml:space="preserve">   Lucero en Londres. Se le preguntó si conoce al  presunto  responsable  de</w:t>
        <w:br/>
        <w:t xml:space="preserve">   los hechos y contestó “'es un  carajo'  [y  que]  recuerd[a]  que  cuando</w:t>
        <w:br/>
        <w:t xml:space="preserve">   lleg[ó] a Chacabuco el recibió a los  detenidos  y  [l]os  'atendió'  con</w:t>
        <w:br/>
        <w:t xml:space="preserve">   insultos y amedrentamientos”. También declaró que leyó la querella (supra</w:t>
        <w:br/>
        <w:t xml:space="preserve">   párr. 91) y “lo que señala […] es cierto”[115].</w:t>
        <w:br/>
        <w:br/>
        <w:t>100. El 9 de enero de 2013 el abogado querellante, señor  Ricardi,  solicitó</w:t>
        <w:br/>
        <w:t xml:space="preserve">   que “se pida cuenta”  del  oficio  enviado  a  la  Policía  Internacional</w:t>
        <w:br/>
        <w:t xml:space="preserve">   “atendido  el  tiempo  transcurrido  desde  que  fuera  solicitado”[116].</w:t>
        <w:br/>
        <w:t xml:space="preserve">   Seguido se acompaña al expediente el Oficio No.  13069,  de  fecha  3  de</w:t>
        <w:br/>
        <w:t xml:space="preserve">   diciembre de 2012, del Departamento  Control  Fronteras  de  la  Jefatura</w:t>
        <w:br/>
        <w:t xml:space="preserve">   Nacional  de  Extranjería  y   Policía   Internacional,   donde   constan</w:t>
        <w:br/>
        <w:t xml:space="preserve">   movimientos migratorios del supuesto responsable de  los  hechos  en  los</w:t>
        <w:br/>
        <w:t xml:space="preserve">   Estados Unidos de América y Argentina[117]. El 1  de  abril  de  2013  el</w:t>
        <w:br/>
        <w:t xml:space="preserve">   Juzgado 34° ordenó oficiar  a  la  Corte  Suprema  para  que  se  informe</w:t>
        <w:br/>
        <w:t xml:space="preserve">   “respecto del estado del exhorto internacional decretado en  autos”.[118]</w:t>
        <w:br/>
        <w:t xml:space="preserve">   El 2 de abril de 2013 el Juzgado 34º ordenó oficiar a  la  Interpol  para</w:t>
        <w:br/>
        <w:t xml:space="preserve">   que se establezca  el  lugar  efectivo  donde  se  encuentra  la  persona</w:t>
        <w:br/>
        <w:t xml:space="preserve">   requerida. Además ordenó se  oficie  a  Gendarmería  de  Chile  para  que</w:t>
        <w:br/>
        <w:t xml:space="preserve">   remitan antecedentes sobre detención del señor García Lucero  durante  la</w:t>
        <w:br/>
        <w:t xml:space="preserve">   época del régimen militar[119].</w:t>
        <w:br/>
        <w:br/>
        <w:t>101. El 3 de abril de 2013 el Juzgado 34º ordenó que se oficie al  Museo  de</w:t>
        <w:br/>
        <w:t xml:space="preserve">   la Memoria y los Derechos Humanos, para que informe “acerca de todos  los</w:t>
        <w:br/>
        <w:t xml:space="preserve">   antecedentes, políticos, de detención, etc., respecto de[l señor]  García</w:t>
        <w:br/>
        <w:t xml:space="preserve">   Lucero” que obren en su poder[120].</w:t>
        <w:br/>
        <w:br/>
        <w:t>102. De acuerdo con lo informado por el Estado a la Corte el 21 de abril  de</w:t>
        <w:br/>
        <w:t xml:space="preserve">   2013, al presentar sus alegatos finales  escritos,  “las  investigaciones</w:t>
        <w:br/>
        <w:t xml:space="preserve">   internas” están siendo tramitadas  por  la  justica  ordinaria,  ante  el</w:t>
        <w:br/>
        <w:t xml:space="preserve">   Juzgado 34°, bajo el rol N-1.261.2011, y  se  encuentran  “en  estado  de</w:t>
        <w:br/>
        <w:t xml:space="preserve">   sumario, a la espera de diligencias pendientes”.</w:t>
        <w:br/>
        <w:br/>
        <w:br/>
        <w:t>VII</w:t>
        <w:br/>
        <w:br/>
        <w:br/>
        <w:t>GARANTÍAS JUDICIALES Y PROTECCIÓN JUDICIAL, EN RELACIÓN CON LA OBLIGACIÓN</w:t>
        <w:br/>
        <w:t>GENERAL DE GARANTIZAR LOS DERECHOS HUMANOS Y EL DEBER DE ADECUAR LA</w:t>
        <w:br/>
        <w:t>LEGISLACIÓN INTERNA Y LOS DEBERES DE INVESTIGAR Y SANCIONAR ACTOS DE</w:t>
        <w:br/>
        <w:t>TORTURA Y GARANTIZAR UNA REPARACIÓN INTEGRAL POR LOS MISMOS</w:t>
        <w:br/>
        <w:br/>
        <w:br/>
        <w:t>A. Introducción</w:t>
        <w:br/>
        <w:br/>
        <w:t>103. En el presente caso, la Comisión y  las  representantes,  con  sustento</w:t>
        <w:br/>
        <w:t xml:space="preserve">   normativo parcialmente  disímil,  adujeron  que  el  Estado  vulneró  sus</w:t>
        <w:br/>
        <w:t xml:space="preserve">   obligaciones en relación con la investigación de los hechos sufridos  por</w:t>
        <w:br/>
        <w:t xml:space="preserve">   el señor García Lucero y la reparación de  los  daños  causados  por  los</w:t>
        <w:br/>
        <w:t xml:space="preserve">   mismos.</w:t>
        <w:br/>
        <w:br/>
        <w:t>104.  La  Comisión  Interamericana  sostuvo  que  se  dio  en  el  caso   la</w:t>
        <w:br/>
        <w:t xml:space="preserve">   vulneración a los derechos a las garantías y protección judiciales y a la</w:t>
        <w:br/>
        <w:t xml:space="preserve">   integridad  personal,  en  relación  con  el  deber  de  investigar,  “en</w:t>
        <w:br/>
        <w:t xml:space="preserve">   perjuicio  del  señor  García  Lucero  y  su  familia”,  a   partir   del</w:t>
        <w:br/>
        <w:t xml:space="preserve">   incumplimiento de  las  obligaciones  de  “garantizar”  los  “derechos  y</w:t>
        <w:br/>
        <w:t xml:space="preserve">   libertades reconocidos en [la  Convención]”,  así  como  de  “adecuar  la</w:t>
        <w:br/>
        <w:t xml:space="preserve">   legislación interna” respecto a la vigencia del  Decreto-Ley  No.  2.191.</w:t>
        <w:br/>
        <w:t xml:space="preserve">   Por ello, solicitó  a  la  Corte  que  declare  la  transgresión  de  los</w:t>
        <w:br/>
        <w:t xml:space="preserve">   artículos  8.1[121],  25.1[122],  5.1[123],  1.1[124]  y  2[125]  de   la</w:t>
        <w:br/>
        <w:t xml:space="preserve">   Convención Americana y 8[126] de la Convención Interamericana  contra  la</w:t>
        <w:br/>
        <w:t xml:space="preserve">   Tortura.</w:t>
        <w:br/>
        <w:br/>
        <w:t>105.  Por  su  parte,  las  representantes,  tanto  en   relación   con   la</w:t>
        <w:br/>
        <w:t xml:space="preserve">   investigación como respecto a la reparación, entendieron que Chile violó,</w:t>
        <w:br/>
        <w:t xml:space="preserve">   en perjuicio del señor García Lucero y  de  sus  familiares,  los  mismos</w:t>
        <w:br/>
        <w:t xml:space="preserve">   derechos indicados por la Comisión, pero “en relación con  el  [a]rtículo</w:t>
        <w:br/>
        <w:t xml:space="preserve">   1.1 de la Convención […] y los [a]rtículos  6[127],  8  y  9[128]  de  la</w:t>
        <w:br/>
        <w:t xml:space="preserve">   Convención Interamericana contra la Tortura”. También adujeron que Chile,</w:t>
        <w:br/>
        <w:t xml:space="preserve">   por la falta de adecuación de su derecho  interno,  en  relación  con  el</w:t>
        <w:br/>
        <w:t xml:space="preserve">   Decreto-Ley indicado por la Comisión, así como respecto a otras normas  y</w:t>
        <w:br/>
        <w:t xml:space="preserve">   medidas (infra  párrs.  143  y  144),  infringió  el  artículo  2  de  la</w:t>
        <w:br/>
        <w:t xml:space="preserve">   Convención Americana, y  los  artículos  1[129]  y  6  de  la  Convención</w:t>
        <w:br/>
        <w:t xml:space="preserve">   Interamericana contra la  Tortura[130].  Señalaron  que  el  Estado  está</w:t>
        <w:br/>
        <w:t xml:space="preserve">   obligado a brindar una reparación con base en los artículos 1.1 y  25  de</w:t>
        <w:br/>
        <w:t xml:space="preserve">   la Convención, y 9 de la Convención  Interamericana  contra  la  Tortura.</w:t>
        <w:br/>
        <w:t xml:space="preserve">   Luego, en sus alegatos finales escritos, afirmaron que “el derecho  a  la</w:t>
        <w:br/>
        <w:t xml:space="preserve">   reparación […] surge” de las normas mencionadas en conjunto  también  con</w:t>
        <w:br/>
        <w:t xml:space="preserve">   el artículo 8.1 de la Convención y que “Chile […] tiene la obligación  de</w:t>
        <w:br/>
        <w:t xml:space="preserve">   respetar[lo] y garantizar[lo…] sin discriminación […] y de acuerdo a  las</w:t>
        <w:br/>
        <w:t xml:space="preserve">   garantías generales establecidas  en  [dicho  a]rtículo  8”.  Mencionaron</w:t>
        <w:br/>
        <w:t xml:space="preserve">   también, dentro de  sus  alegaciones  sobre  el  fundamento  del  aducido</w:t>
        <w:br/>
        <w:t xml:space="preserve">   derecho a la reparación, que “[i]nclusive la Convención […] cuenta con el</w:t>
        <w:br/>
        <w:t xml:space="preserve">   [a]rtículo 63.1 sobre reparaciones”[131].</w:t>
        <w:br/>
        <w:br/>
        <w:t>106. El Estado, con base en argumentos que se detallan más  adelante  (infra</w:t>
        <w:br/>
        <w:t xml:space="preserve">   párrs. 118 a 120), negó su responsabilidad, indicando que</w:t>
        <w:br/>
        <w:br/>
        <w:t xml:space="preserve">       de oficio y por la vía  administrativa,  ha  desplegado  un  esfuerzo</w:t>
        <w:br/>
        <w:t xml:space="preserve">       serio, responsable y concreto, por investigar las violaciones  a  los</w:t>
        <w:br/>
        <w:t xml:space="preserve">       derechos humanos, acontecidas durante el régimen militar, alcanzar el</w:t>
        <w:br/>
        <w:t xml:space="preserve">       esclarecimiento de los hechos y reparar  a  las  presuntas  víctimas,</w:t>
        <w:br/>
        <w:t xml:space="preserve">       material e inmaterialmente; entre ellas, a[l señor]  Leopoldo  García</w:t>
        <w:br/>
        <w:t xml:space="preserve">       Lucero.</w:t>
        <w:br/>
        <w:br/>
        <w:t xml:space="preserve">                                      *</w:t>
        <w:br/>
        <w:br/>
        <w:t>107.  La  Corte  evaluará  en  los  siguientes  apartados   los   argumentos</w:t>
        <w:br/>
        <w:t xml:space="preserve">   presentados  en  relación  con  la  investigación  de  los  hechos  y  la</w:t>
        <w:br/>
        <w:t xml:space="preserve">   posibilidad de que el señor García Lucero y sus familiares  accedieran  a</w:t>
        <w:br/>
        <w:t xml:space="preserve">   recursos   que   les   permitieran   reclamar   medidas   de   reparación</w:t>
        <w:br/>
        <w:t xml:space="preserve">   individualizada.</w:t>
        <w:br/>
        <w:br/>
        <w:br/>
        <w:br/>
        <w:br/>
        <w:br/>
        <w:t xml:space="preserve">  Sobre la investigación de los hechos</w:t>
        <w:br/>
        <w:br/>
        <w:br/>
        <w:br/>
        <w:t xml:space="preserve">      B.1) Argumentos de la Comisión y de las partes</w:t>
        <w:br/>
        <w:br/>
        <w:br/>
        <w:t>108. La Comisión señaló “la  falta  de  investigación  de  oficio”  como  un</w:t>
        <w:br/>
        <w:t xml:space="preserve">   “componente central” que “comprometi[ó] la responsabilidad del Estado” en</w:t>
        <w:br/>
        <w:t xml:space="preserve">   el caso. Enfatizó que debe considerarse que el acto de  tortura  cometido</w:t>
        <w:br/>
        <w:t xml:space="preserve">   contra el señor García Lucero se enmarca en  un  “contexto  de  graves  y</w:t>
        <w:br/>
        <w:t xml:space="preserve">   masivas violaciones a los derechos humanos”.  Citando  la  jurisprudencia</w:t>
        <w:br/>
        <w:t xml:space="preserve">   del Tribunal y decisiones del Comité contra la Tortura de Naciones Unidas</w:t>
        <w:br/>
        <w:t xml:space="preserve">   (en adelante “Comité contra  la  Tortura”)  y  de  la  Corte  Europea  de</w:t>
        <w:br/>
        <w:t xml:space="preserve">   Derechos Humanos, afirmó que existe un deber estatal de iniciar de oficio</w:t>
        <w:br/>
        <w:t xml:space="preserve">   y de inmediato una investigación “imparcial, independiente y minuciosa[,]</w:t>
        <w:br/>
        <w:t xml:space="preserve">   a fin de  identificar  y  sancionar  a  los  responsables”  cuando  “toma</w:t>
        <w:br/>
        <w:t xml:space="preserve">   conocimiento de [actos de tortura]” o hay “indicios  razonables  de  [los</w:t>
        <w:br/>
        <w:t xml:space="preserve">   mismos]”. Resaltó que dicho  deber  “no  puede  estar  supeditado  a  una</w:t>
        <w:br/>
        <w:t xml:space="preserve">   denuncia”. Al respecto, adujo que el Estado tiene  “conocimiento  de  los</w:t>
        <w:br/>
        <w:t xml:space="preserve">   alegatos de falta de investigación por los actos de tortura en  perjuicio</w:t>
        <w:br/>
        <w:t xml:space="preserve">   del señor García Lucero al menos desde noviembre de 2004”. En ese mes  la</w:t>
        <w:br/>
        <w:t xml:space="preserve">   petición del caso fue trasladada a Chile, y se conoció el informe  de  la</w:t>
        <w:br/>
        <w:t xml:space="preserve">   Comisión Valech, que incluyó a  la  presunta  víctima  en  la  nómina  de</w:t>
        <w:br/>
        <w:t xml:space="preserve">   víctimas de tortura y “prisión política” y que, no obstante lo  anterior,</w:t>
        <w:br/>
        <w:t xml:space="preserve">   no  inició  una  investigación.  Luego,  en  sus  observaciones   finales</w:t>
        <w:br/>
        <w:t xml:space="preserve">   escritas,  afirmó  que  pese  a  que  “el  Estado  reconoció   que   tomó</w:t>
        <w:br/>
        <w:t xml:space="preserve">   conocimiento de los actos de tortura” en el año 2004,  “no  tomó  ninguna</w:t>
        <w:br/>
        <w:t xml:space="preserve">   medida para iniciar una investigación de oficio sino hasta el  año  2011.</w:t>
        <w:br/>
        <w:t xml:space="preserve">   Por otra parte, en constancias obrantes en el expediente del trámite ante</w:t>
        <w:br/>
        <w:t xml:space="preserve">   la Comisión, allegadas por  la  Comisión  a  la  Corte,  consta  la  nota</w:t>
        <w:br/>
        <w:t xml:space="preserve">   presentada por el señor García  Lucero  en  el  año  1993  a  autoridades</w:t>
        <w:br/>
        <w:t xml:space="preserve">   estatales en que describió los vejámenes que sufrió (supra párr. 75).</w:t>
        <w:br/>
        <w:br/>
        <w:t>109. La Comisión afirmó también que  la  investigación  abierta  en  el  año</w:t>
        <w:br/>
        <w:t xml:space="preserve">   2011, “hasta [e]l [21 de abril de 2013] no c[o]nta[ba] con una resolución</w:t>
        <w:br/>
        <w:t xml:space="preserve">   de primera instancia y […], según la información disponible, se encuentra</w:t>
        <w:br/>
        <w:t xml:space="preserve">   paralizada por un tema de competencia”[132]. Afirmó que “dicho proceso no</w:t>
        <w:br/>
        <w:t xml:space="preserve">   ha conducido a resultado alguno [,…e]n consecuencia […] tras  nueve  años</w:t>
        <w:br/>
        <w:t xml:space="preserve">   de haberse publicado el informe de la Comisión Valech […] el Estado no ha</w:t>
        <w:br/>
        <w:t xml:space="preserve">   adoptado las medidas mínimas para iniciar e impulsar una investigación de</w:t>
        <w:br/>
        <w:t xml:space="preserve">   oficio diligente”.</w:t>
        <w:br/>
        <w:br/>
        <w:t>110. Las representantes precisaron que Chile no inició  sino  hasta  el  año</w:t>
        <w:br/>
        <w:t xml:space="preserve">   2011 una investigación de oficio de  la  tortura  sufrida  por  el  señor</w:t>
        <w:br/>
        <w:t xml:space="preserve">   García Lucero, lo que  implicó  un  incumplimiento  de  sus  obligaciones</w:t>
        <w:br/>
        <w:t xml:space="preserve">   internacionales desde septiembre de 1988, cuando entró en vigor  para  el</w:t>
        <w:br/>
        <w:t xml:space="preserve">   Estado la Convención  Interamericana  contra  la  Tortura.  Al  respecto,</w:t>
        <w:br/>
        <w:t xml:space="preserve">   adujeron diversos argumentos,  entre  ellos,  que  “[e]l  [s]eñor  García</w:t>
        <w:br/>
        <w:t xml:space="preserve">   Lucero [fue] uno de los presos expulsados de Chile durante la dictadura a</w:t>
        <w:br/>
        <w:t xml:space="preserve">   través de un Decreto […] adoptado por el  régimen  [que]  contiene[…]  el</w:t>
        <w:br/>
        <w:t xml:space="preserve">   nombre de las  personas  expulsadas”.  Luego,  en  sus  alegatos  finales</w:t>
        <w:br/>
        <w:t xml:space="preserve">   escritos, indicaron que el Estado debió haber “actua[do]” al “recibir, en</w:t>
        <w:br/>
        <w:t xml:space="preserve">   1993 y 2004, motivos razonables para creer que el [s]eñor  García  Lucero</w:t>
        <w:br/>
        <w:t xml:space="preserve">   había sido torturado”. Así,  alegaron  que  “en  diciembre  de  1993  don</w:t>
        <w:br/>
        <w:t xml:space="preserve">   Leopoldo envió carta oficial al Programa de Reconocimiento  al  Exonerado</w:t>
        <w:br/>
        <w:t xml:space="preserve">   Político en Chile junto con la documentación requerida adjuntó una  carta</w:t>
        <w:br/>
        <w:t xml:space="preserve">   explicando detalladamente a las autoridades su situación de tortura y  de</w:t>
        <w:br/>
        <w:t xml:space="preserve">   prisión política”, y  que  los  días  23  y  28  de  noviembre  de  2004,</w:t>
        <w:br/>
        <w:t xml:space="preserve">   respectivamente, el Estado tomó conocimiento de  la  petición  presentada</w:t>
        <w:br/>
        <w:t xml:space="preserve">   por el señor García Lucero a la Comisión Interamericana y  se  emitió  el</w:t>
        <w:br/>
        <w:t xml:space="preserve">   informe de la Comisión Valech, que indica que él fue víctima de tortura y</w:t>
        <w:br/>
        <w:t xml:space="preserve">   prisión política.</w:t>
        <w:br/>
        <w:br/>
        <w:t>111. Agregaron que “Chile continúa sin actuar con la  debida  diligencia  en</w:t>
        <w:br/>
        <w:t xml:space="preserve">   la investigación de casos de tortura, lo  cual  afecta  el  acceso  a  la</w:t>
        <w:br/>
        <w:t xml:space="preserve">   justicia en el caso de[l señor García Lucero”. Al respecto, afirmaron, en</w:t>
        <w:br/>
        <w:t xml:space="preserve">   referencia a la “Corporación  de  Asistencia  Judicial”  que  “no  es  la</w:t>
        <w:br/>
        <w:t xml:space="preserve">   entidad idónea” y que  “la  investigación  ha  sido  iniciad[a]  por  una</w:t>
        <w:br/>
        <w:t xml:space="preserve">   institución  que  no  cuenta  ni  con  el   conocimiento,   ni   con   la</w:t>
        <w:br/>
        <w:t xml:space="preserve">   experiencia[,] ni con los recursos necesarios para litigar  el  caso  del</w:t>
        <w:br/>
        <w:t xml:space="preserve">   [s]eñor García Lucero, el cual reviste gran complejidad”, y adujeron  que</w:t>
        <w:br/>
        <w:t xml:space="preserve">   en Chile no existe “un organismo capacitado para impulsar y  promover  la</w:t>
        <w:br/>
        <w:t xml:space="preserve">   investigación de casos de sobrevivientes de tortura de la dictadura  como</w:t>
        <w:br/>
        <w:t xml:space="preserve">   si  lo  hay   para   desapariciones   y   ejecuciones   extrajudiciales”.</w:t>
        <w:br/>
        <w:t xml:space="preserve">   Manifestaron que advierten</w:t>
        <w:br/>
        <w:br/>
        <w:t>las siguientes violaciones específicas  dentro  de  la  investigación  penal</w:t>
        <w:br/>
        <w:t>[…]: (i) la autoridad investigadora carece de poderes para obtener  toda  la</w:t>
        <w:br/>
        <w:t>información necesaria para la investigación, en particular para  obtener  la</w:t>
        <w:br/>
        <w:t>información recogida por la  Comisión  Valech;  (ii)  [h]a  habido  dilación</w:t>
        <w:br/>
        <w:t>injustificada en la investigación debido a problemas de  competencia;  (iii)</w:t>
        <w:br/>
        <w:t>la investigación no ha sido adelantada con la debida diligencia ya que  solo</w:t>
        <w:br/>
        <w:t>se ha identificado a un posible autor de la tortura;  (iv)  [e]l  […]  único</w:t>
        <w:br/>
        <w:t>posible autor identificado no ha  comparecido  a  la  justicia  porque  [las</w:t>
        <w:br/>
        <w:t>autoridades] no tiene [su] dirección correcta; (v) tanto la  Corporación  de</w:t>
        <w:br/>
        <w:t>Asistencia Judicial como la Jueza del 34 Juzgado del Crimen de  Santiago  no</w:t>
        <w:br/>
        <w:t>tienen el conocimiento requerido para adelantar dichas causas[.]</w:t>
        <w:br/>
        <w:br/>
        <w:t>112. Adicionaron que</w:t>
        <w:br/>
        <w:br/>
        <w:t>la ausencia  de  un  sistema  para  la  realización  de  una  ‘investigación</w:t>
        <w:br/>
        <w:t>efectiva que permita identificar, juzgar y  sancionar  a  los  responsables,</w:t>
        <w:br/>
        <w:t>cuando existe denuncia o razón fundada para creer  que  se  ha  cometido  un</w:t>
        <w:br/>
        <w:t>acto de tortura’ viola la Convención […] en sus  [a]rtículos  8.1,  25.1  en</w:t>
        <w:br/>
        <w:t>conexión con [los] artículos 1.1 y 2 de la misma, y los artículos 6 y  8  de</w:t>
        <w:br/>
        <w:t>la C[onvención Interamericana contra la Tortura]”.</w:t>
        <w:br/>
        <w:br/>
        <w:t>113. Consideraron que deberían existir</w:t>
        <w:br/>
        <w:br/>
        <w:t xml:space="preserve">       otras medidas, que deberían tener carácter legal, para  permitir  que</w:t>
        <w:br/>
        <w:t xml:space="preserve">       la justicia pueda operar de manera  diligente[:  …l]as  entidades  de</w:t>
        <w:br/>
        <w:t xml:space="preserve">       justicia […]  deberían  contar  con  unidades  especializadas  en  el</w:t>
        <w:br/>
        <w:t xml:space="preserve">       esclarecimiento de casos de tortura [y] las víctimas  deberían  tener</w:t>
        <w:br/>
        <w:t xml:space="preserve">       acceso a representantes legales con conocimiento de la tortura.</w:t>
        <w:br/>
        <w:br/>
        <w:t>114. Además, expresaron, en relación con la  “denuncia  presentada”  que  la</w:t>
        <w:br/>
        <w:t xml:space="preserve">   misma</w:t>
        <w:br/>
        <w:br/>
        <w:t xml:space="preserve">     - […] no hace una adecuada calificación  jurídica  de  los  hechos,  al</w:t>
        <w:br/>
        <w:t xml:space="preserve">       denominarlos  simplemente  como  torturas,   lesiones   y   amenazas;</w:t>
        <w:br/>
        <w:t xml:space="preserve">       igualmente no menciona responsable alguno, no los asocia  a  procesos</w:t>
        <w:br/>
        <w:t xml:space="preserve">       penales vigentes en Chile por violaciones a los derechos  humanos  en</w:t>
        <w:br/>
        <w:t xml:space="preserve">       el mismo contexto criminal;</w:t>
        <w:br/>
        <w:t xml:space="preserve">     - […] invoca […] los artículos 150 A y B del Código Penal  que  no  son</w:t>
        <w:br/>
        <w:t xml:space="preserve">       aplicables a la época de los hechos, [y]</w:t>
        <w:br/>
        <w:t xml:space="preserve">     - […] utiliza  disposiciones  de  origen  militar  para  tipificar  los</w:t>
        <w:br/>
        <w:t xml:space="preserve">       ilícitos como constitutivos de violencia innecesaria  al  aplicar  el</w:t>
        <w:br/>
        <w:t xml:space="preserve">       artículo 330 del Código de Justicia Militar.</w:t>
        <w:br/>
        <w:br/>
        <w:t>115. Manifestaron que “[c]uando el Ministro en visita […] consideró  no  ser</w:t>
        <w:br/>
        <w:t xml:space="preserve">   competente para conocer del caso, el abogado Ricardi[, Abogado Jefe de la</w:t>
        <w:br/>
        <w:t xml:space="preserve">   Oficina Penal de la Corporación de Asistencia Judicial,] debió actuar  en</w:t>
        <w:br/>
        <w:t xml:space="preserve">   contra de dicha decisión  y  no  lo  hizo”,  y  que  “[l]a  investigación</w:t>
        <w:br/>
        <w:t xml:space="preserve">   realizada por la Policía de investigaciones de Chile al  parecer  no  fue</w:t>
        <w:br/>
        <w:t xml:space="preserve">   más allá de la mera información pública que existe sobre los hechos”.</w:t>
        <w:br/>
        <w:br/>
        <w:t>116. Las representantes señalaron que, en el marco de  la  investigación  en</w:t>
        <w:br/>
        <w:t xml:space="preserve">   curso, “el [s]eñor García Lucero no se querelló debido  a  que  considera</w:t>
        <w:br/>
        <w:t xml:space="preserve">   que [dicha] investigación […] no es adecuada  o  eficaz  para  lograr  la</w:t>
        <w:br/>
        <w:t xml:space="preserve">   justicia”. Aseveraron que, dado el deber estatal de investigar de oficio,</w:t>
        <w:br/>
        <w:t xml:space="preserve">   “no se puede sostener que la querella […] fuese esencial al caso para que</w:t>
        <w:br/>
        <w:t xml:space="preserve">   el mismo pudiese proceder”. Además dijeron que “el  señor  García  Lucero</w:t>
        <w:br/>
        <w:t xml:space="preserve">   siempre ha estado, y […] sigue  estando,  dispuesto  a  cooperar  con  la</w:t>
        <w:br/>
        <w:t xml:space="preserve">   investigación de su tortura siempre que el Estado garantice  las  medidas</w:t>
        <w:br/>
        <w:t xml:space="preserve">   necesarias para evitar cualquier [‘]retraumatización[´]”.  Indicaron  que</w:t>
        <w:br/>
        <w:t xml:space="preserve">   “hasta el [21 de abril de 2013] nadie [los] ha contactado con el  fin  de</w:t>
        <w:br/>
        <w:t xml:space="preserve">   solicitar que  [el  señor  García  Lucero]  rinda  un  testimonio  o  por</w:t>
        <w:br/>
        <w:t xml:space="preserve">   cualquier otra razón relacionada con la causa penal”.</w:t>
        <w:br/>
        <w:br/>
        <w:t>117. Por  último,  las  representantes  manifestaron  que  la  investigación</w:t>
        <w:br/>
        <w:t xml:space="preserve">   abierta de oficio para investigar la tortura  cometida  contra  el  señor</w:t>
        <w:br/>
        <w:t xml:space="preserve">   García  Lucero  “en  octubre  de   2011”   no   “exime   al   Estado   de</w:t>
        <w:br/>
        <w:t xml:space="preserve">   responsabilidad[,…] ya que Chile no cumplió con dicha  obligación  dentro</w:t>
        <w:br/>
        <w:t xml:space="preserve">   de un plazo razonable”.</w:t>
        <w:br/>
        <w:br/>
        <w:t>118. El Estado expresó que</w:t>
        <w:br/>
        <w:br/>
        <w:t xml:space="preserve">       desde el restablecimiento de la  democracia  [en]  el  año  1990,  ha</w:t>
        <w:br/>
        <w:t xml:space="preserve">       desarrollado un serio y responsable esfuerzo por investigar los actos</w:t>
        <w:br/>
        <w:t xml:space="preserve">       de violaciones a los derechos humanos acaecidas  durante  el  régimen</w:t>
        <w:br/>
        <w:t xml:space="preserve">       militar[. …] Fruto de este esfuerzo […]  es  que  el  señor  Leopoldo</w:t>
        <w:br/>
        <w:t xml:space="preserve">       García  [Lucero],  por  la  vía  administrativa,   ha   obtenido   el</w:t>
        <w:br/>
        <w:t xml:space="preserve">       esclarecimiento acerca de las violaciones a derechos  perpetradas  en</w:t>
        <w:br/>
        <w:t xml:space="preserve">       su contra[. …] Pero los esfuerzos del Estado […] no  cesaron,  y  fue</w:t>
        <w:br/>
        <w:t xml:space="preserve">       así como […] se inició una investigación a través  de  la  judicatura</w:t>
        <w:br/>
        <w:t xml:space="preserve">       penal, con el objeto de  procesar  y  condenar  a  las  personas  que</w:t>
        <w:br/>
        <w:t xml:space="preserve">       resulten responsables. Pero […] el impulso de todas estas acciones ha</w:t>
        <w:br/>
        <w:t xml:space="preserve">       radicado exclusivamente en el Estado.</w:t>
        <w:br/>
        <w:br/>
        <w:t>119. El Estado señaló que en octubre de 2011 se inició una investigación  de</w:t>
        <w:br/>
        <w:t xml:space="preserve">   oficio, que todavía está en etapa de “sumario, a la espera de diligencias</w:t>
        <w:br/>
        <w:t xml:space="preserve">   pendientes”. Advirtió que ni el señor García Lucero o sus  familiares  ni</w:t>
        <w:br/>
        <w:t xml:space="preserve">   sus representantes presentaron “denuncia alguna, ni  efectuaron  [alguna]</w:t>
        <w:br/>
        <w:t xml:space="preserve">   diligencia  en  Chile,  judicial  o  extrajudicial”,  y   que   la   “vía</w:t>
        <w:br/>
        <w:t xml:space="preserve">   jurisdiccional” fue iniciada “de oficio” por las autoridades chilenas. En</w:t>
        <w:br/>
        <w:t xml:space="preserve">   este  sentido,  el  Estado  indicó  que  al  acudirse   a   la   Comisión</w:t>
        <w:br/>
        <w:t xml:space="preserve">   Interamericana,  se  obvió   “el   carácter   subsidiario   del   Sistema</w:t>
        <w:br/>
        <w:t xml:space="preserve">   Interamericano”.</w:t>
        <w:br/>
        <w:br/>
        <w:t>120. Además, el Estado detalló las diligencias efectuadas  hasta  el  21  de</w:t>
        <w:br/>
        <w:t xml:space="preserve">   abril de 2013[133]. Afirmó que luego de iniciada  la  investigación,  las</w:t>
        <w:br/>
        <w:t xml:space="preserve">   presuntas víctimas  no  la  coadyuvaron,  y  por  el  contrario,  pese  a</w:t>
        <w:br/>
        <w:t xml:space="preserve">   contactos de las autoridades, fueron  reticentes  en  contribuir  con  el</w:t>
        <w:br/>
        <w:t xml:space="preserve">   proceso manifestando expresamente que no es su intención participar en el</w:t>
        <w:br/>
        <w:t xml:space="preserve">    procedimiento penal. Señaló también que “la con[s]tante  obstaculización</w:t>
        <w:br/>
        <w:t xml:space="preserve">   de sus representantes al acceso directo a la presunta víctima, impide que</w:t>
        <w:br/>
        <w:t xml:space="preserve">   las acciones incoadas puedan tener un resultado”. Sobre la  capacidad  de</w:t>
        <w:br/>
        <w:t xml:space="preserve">   los órganos respectivos para investigar casos de torturas, indicó que “no</w:t>
        <w:br/>
        <w:t xml:space="preserve">   es [el presente caso] la instancia para analizar en general, la capacidad</w:t>
        <w:br/>
        <w:t xml:space="preserve">   económica y técnica de las instituciones existentes, en la tramitación de</w:t>
        <w:br/>
        <w:t xml:space="preserve">   casos de tortura”.</w:t>
        <w:br/>
        <w:br/>
        <w:br/>
        <w:t xml:space="preserve">    B.2) Consideraciones de la Corte</w:t>
        <w:br/>
        <w:br/>
        <w:br/>
        <w:t>121. Los artículos 8 y 25 de la Convención  implican  que  las  víctimas  de</w:t>
        <w:br/>
        <w:t xml:space="preserve">   violaciones a derechos humanos cuenten con recursos judiciales  efectivos</w:t>
        <w:br/>
        <w:t xml:space="preserve">   que sean sustanciados de acuerdo al debido  proceso  legal  (infra  párr.</w:t>
        <w:br/>
        <w:t xml:space="preserve">   182). En relación con lo anterior, siendo pertinente  de  acuerdo  a  los</w:t>
        <w:br/>
        <w:t xml:space="preserve">   hechos en cuestión[134],  “el  derecho  de  acceso  a  la  justicia  debe</w:t>
        <w:br/>
        <w:t xml:space="preserve">   asegurar, en tiempo razonable, el derecho de las presuntas víctimas o sus</w:t>
        <w:br/>
        <w:t xml:space="preserve">   familiares a que se haga todo lo necesario para conocer la verdad  de  lo</w:t>
        <w:br/>
        <w:t xml:space="preserve">   sucedido y se sancione  a  los  eventuales  responsables”[135].  De  modo</w:t>
        <w:br/>
        <w:t xml:space="preserve">   consecuente, existe un deber estatal de investigar los hechos, que es una</w:t>
        <w:br/>
        <w:t xml:space="preserve">   obligación de medio y no de resultado, pero que debe ser asumida por  los</w:t>
        <w:br/>
        <w:t xml:space="preserve">   Estados como un deber jurídico propio y no  como  una  simple  formalidad</w:t>
        <w:br/>
        <w:t xml:space="preserve">   condenada de antemano a ser infructuosa,  o  como  una  mera  gestión  de</w:t>
        <w:br/>
        <w:t xml:space="preserve">   intereses particulares, que dependa de  la  iniciativa  procesal  de  las</w:t>
        <w:br/>
        <w:t xml:space="preserve">   víctimas o sus familiares,  o  de  la  aportación  privada  de  elementos</w:t>
        <w:br/>
        <w:t xml:space="preserve">   probatorios[136]. El deber mencionado, en relación con hechos tales  como</w:t>
        <w:br/>
        <w:t xml:space="preserve">   los que el Estado tuvo conocimiento a partir de la recepción de la  carta</w:t>
        <w:br/>
        <w:t xml:space="preserve">   suscrita por el señor García Lucero el 23 de  diciembre  de  1993  (supra</w:t>
        <w:br/>
        <w:t xml:space="preserve">   párr. 75, e infra párr. 126), se ve especificado y complementado  por  la</w:t>
        <w:br/>
        <w:t xml:space="preserve">   Convención Interamericana contra la Tortura que,  de  conformidad  a  sus</w:t>
        <w:br/>
        <w:t xml:space="preserve">   artículos 1, 6 y 8, impone los deberes de “realizar una investigación”  y</w:t>
        <w:br/>
        <w:t xml:space="preserve">   “sancionar”, en relación con actos de tortura.</w:t>
        <w:br/>
        <w:br/>
        <w:t>122. Conforme a esos deberes, una vez que las autoridades  estatales  tengan</w:t>
        <w:br/>
        <w:t xml:space="preserve">   conocimiento del hecho, deben “iniciar ex officio  y  sin  dilación,  una</w:t>
        <w:br/>
        <w:t xml:space="preserve">   investigación seria, imparcial y  efectiva”[137]  por  todos  los  medios</w:t>
        <w:br/>
        <w:t xml:space="preserve">   legales disponibles y orientada a la determinación de la verdad  y  a  la</w:t>
        <w:br/>
        <w:t xml:space="preserve">   persecución, captura, enjuiciamiento y  eventual  castigo  de  todos  los</w:t>
        <w:br/>
        <w:t xml:space="preserve">   responsables intelectuales y  materiales  de  los  hechos,  especialmente</w:t>
        <w:br/>
        <w:t xml:space="preserve">   cuando están o puedan estar involucrados agentes estatales[138].  Además,</w:t>
        <w:br/>
        <w:t xml:space="preserve">   en relación con  actos  de  tortura,  el  artículo  8  de  la  Convención</w:t>
        <w:br/>
        <w:t xml:space="preserve">   Interamericana  contra  la  Tortura  establece   que   las   “autoridades</w:t>
        <w:br/>
        <w:t xml:space="preserve">   proced[an] de oficio y de inmediato a realizar una investigación sobre el</w:t>
        <w:br/>
        <w:t xml:space="preserve">   caso”, cuando “exista denuncia o razón  fundada  para  creer  que  se  ha</w:t>
        <w:br/>
        <w:t xml:space="preserve">   cometido un acto de tortura en el ámbito de [la] jurisdicción [estatal]”.</w:t>
        <w:br/>
        <w:br/>
        <w:t>123. A fin de ponderar la conducta estatal  en  relación  con  el  deber  de</w:t>
        <w:br/>
        <w:t xml:space="preserve">   investigar  en  el  presente  caso,  cabe  señalar  que   la   falta   de</w:t>
        <w:br/>
        <w:t xml:space="preserve">   investigación de los hechos que configuren graves violaciones de derechos</w:t>
        <w:br/>
        <w:t xml:space="preserve">   humanos enmarcadas en patrones sistemáticos tiene especial gravedad, pues</w:t>
        <w:br/>
        <w:t xml:space="preserve">   puede revelar un incumplimiento de las obligaciones  internacionales  del</w:t>
        <w:br/>
        <w:t xml:space="preserve">   Estado, establecidas por normas inderogables[139].</w:t>
        <w:br/>
        <w:br/>
        <w:t xml:space="preserve">       B.2.1) Sobre el inicio de una investigación de oficio en forma</w:t>
        <w:br/>
        <w:t xml:space="preserve">       inmediata</w:t>
        <w:br/>
        <w:br/>
        <w:br/>
        <w:t>124. La Corte advierte que es una obligación del Estado no sólo iniciar  una</w:t>
        <w:br/>
        <w:t xml:space="preserve">   investigación de oficio,  sino  de  hacerlo  también,  como  expresamente</w:t>
        <w:br/>
        <w:t xml:space="preserve">   indica el artículo 8 de la Convención Interamericana contra  la  Tortura,</w:t>
        <w:br/>
        <w:t xml:space="preserve">   en forma “inmediata” a partir de que exista “razón  fundada”  para  creer</w:t>
        <w:br/>
        <w:t xml:space="preserve">   que se ha cometido un acto de tortura. Al respecto, la Corte ha dicho que</w:t>
        <w:br/>
        <w:br/>
        <w:br/>
        <w:br/>
        <w:t xml:space="preserve">       aún cuando los  actos  de  tortura  o  tratos  crueles,  inhumanos  o</w:t>
        <w:br/>
        <w:t xml:space="preserve">       degradantes  no  hayan  sido   denunciados   ante   las   autoridades</w:t>
        <w:br/>
        <w:t xml:space="preserve">       competentes por la propia  víctima,  en  todo  caso  en  que  existan</w:t>
        <w:br/>
        <w:t xml:space="preserve">       indicios de su ocurrencia, el Estado deberá iniciar de  oficio  y  de</w:t>
        <w:br/>
        <w:t xml:space="preserve">       inmediato una investigación imparcial, independiente y minuciosa  que</w:t>
        <w:br/>
        <w:t xml:space="preserve">       permita  determinar  la  naturaleza  y  el  origen  de  las  lesiones</w:t>
        <w:br/>
        <w:t xml:space="preserve">       advertidas,   identificar   a   los   responsables   e   iniciar   su</w:t>
        <w:br/>
        <w:t xml:space="preserve">       procesamiento[140].</w:t>
        <w:br/>
        <w:br/>
        <w:t>125. Dado lo anterior, el Tribunal considera que el argumento estatal  sobre</w:t>
        <w:br/>
        <w:t xml:space="preserve">   la falta de denuncia de los hechos y la circunstancia de haber acudido el</w:t>
        <w:br/>
        <w:t xml:space="preserve">   señor García Lucero y sus familiares a la Comisión Interamericana  (supra</w:t>
        <w:br/>
        <w:t xml:space="preserve">   párr. 119), no obsta al deber estatal de investigar[141].</w:t>
        <w:br/>
        <w:br/>
        <w:t>126. La Corte observa que el  Estado  tuvo  noticia  de  los  hechos  a  ser</w:t>
        <w:br/>
        <w:t xml:space="preserve">   investigados desde qué recibió la carta del señor García Lucero de  fecha</w:t>
        <w:br/>
        <w:t xml:space="preserve">   23 de diciembre de 1993, cuando él realizó la  solicitud  de  la  pensión</w:t>
        <w:br/>
        <w:t xml:space="preserve">   como  “exonerado  político”  (supra  párr.  75).  Dicha   situación   fue</w:t>
        <w:br/>
        <w:t xml:space="preserve">   reafirmada mediante la inclusión del nombre del señor García Lucero en un</w:t>
        <w:br/>
        <w:t xml:space="preserve">   listado del informe de la Comisión Valech que incorporaba también los  de</w:t>
        <w:br/>
        <w:t xml:space="preserve">   otras 27.153 personas señaladas como víctimas (supra párr.  72).  Además,</w:t>
        <w:br/>
        <w:t xml:space="preserve">   de conformidad con la caracterización de hechos indicada en el informe de</w:t>
        <w:br/>
        <w:t xml:space="preserve">   2004 de la Comisión Valech (supra párrs. 60 y 72),  los  hechos  sufridos</w:t>
        <w:br/>
        <w:t xml:space="preserve">   por el señor García Lucero entre el 16 de septiembre de 1973 y el  12  de</w:t>
        <w:br/>
        <w:t xml:space="preserve">   junio de 1975 podrían ser susceptibles de  ser  calificados  como  graves</w:t>
        <w:br/>
        <w:t xml:space="preserve">   violaciones de derechos humanos; además el Estado señaló que  los  hechos</w:t>
        <w:br/>
        <w:t xml:space="preserve">   cometidos contra el señor García Lucero pueden enmarcarse en la categoría</w:t>
        <w:br/>
        <w:t xml:space="preserve">   de crímenes de lesa humanidad  los  que,  según  dijo,  el  Estado  “debe</w:t>
        <w:br/>
        <w:t xml:space="preserve">   investigar y sancionar”[142].</w:t>
        <w:br/>
        <w:br/>
        <w:t>127. Teniendo en consideración todo lo indicado, resulta excesiva la  demora</w:t>
        <w:br/>
        <w:t xml:space="preserve">   del Estado en iniciar la investigación, considerando el  momento  en  que</w:t>
        <w:br/>
        <w:t xml:space="preserve">   tomó conocimiento de los hechos y  la  fecha  en  que  abrió  diligencias</w:t>
        <w:br/>
        <w:t xml:space="preserve">   investigativas. Al respecto, basta advertir  que  entre  el  conocimiento</w:t>
        <w:br/>
        <w:t xml:space="preserve">   estatal de los hechos, sucedido antes del 1 de diciembre de  1994  (supra</w:t>
        <w:br/>
        <w:t xml:space="preserve">   párr. 75) y el  inicio  del  procedimiento  el  7  de  octubre  de  2011,</w:t>
        <w:br/>
        <w:t xml:space="preserve">   transcurrieron al menos 16 años, 10 meses y 7 días. En  consecuencia,  la</w:t>
        <w:br/>
        <w:t xml:space="preserve">   Corte considera que el Estado ha faltado a su obligación de  iniciar  una</w:t>
        <w:br/>
        <w:t xml:space="preserve">   investigación de forma inmediata.</w:t>
        <w:br/>
        <w:br/>
        <w:br/>
        <w:br/>
        <w:br/>
        <w:br/>
        <w:t xml:space="preserve">       B.2.2) Respecto a la integridad personal</w:t>
        <w:br/>
        <w:br/>
        <w:br/>
        <w:t>128. El  Tribunal  nota  que  tanto  la  Comisión  como  las  representantes</w:t>
        <w:br/>
        <w:t xml:space="preserve">   alegaron la violación del derecho a la integridad personal reconocido  en</w:t>
        <w:br/>
        <w:t xml:space="preserve">   el artículo 5 de la Convención,  por  el  sufrimiento  causado  al  señor</w:t>
        <w:br/>
        <w:t xml:space="preserve">   García Lucero por la falta del Estado de llevar a cabo una  investigación</w:t>
        <w:br/>
        <w:t xml:space="preserve">   y la falta de garantizar el acceso a la justicia. Además, adujeron  dicha</w:t>
        <w:br/>
        <w:t xml:space="preserve">   violación en relación con el acceso a medidas de reparación[143].</w:t>
        <w:br/>
        <w:br/>
        <w:t>129. En  el  caso  sub  judice  se  ha  establecido  que  una  vez  que  las</w:t>
        <w:br/>
        <w:t xml:space="preserve">   autoridades estatales tuvieron conocimiento de  los  hechos  relacionados</w:t>
        <w:br/>
        <w:t xml:space="preserve">   con la “prisión política” y tortura sufridos por el señor García  Lucero,</w:t>
        <w:br/>
        <w:t xml:space="preserve">   no iniciaron ex officio y de manera inmediata una investigación, la  cual</w:t>
        <w:br/>
        <w:t xml:space="preserve">   fue abierta recién en el  año  2011.  Este  Tribunal  considera  que  las</w:t>
        <w:br/>
        <w:t xml:space="preserve">   alegaciones de  las  representantes  y  la  Comisión  están  directamente</w:t>
        <w:br/>
        <w:t xml:space="preserve">   vinculadas con tal omisión estatal, lo cual ya ha sido  examinado  en  el</w:t>
        <w:br/>
        <w:t xml:space="preserve">   apartado anterior a la luz de las garantías y protección  judiciales.  En</w:t>
        <w:br/>
        <w:t xml:space="preserve">   consecuencia, esta Corte estima que no es procedente pronunciarse  en  el</w:t>
        <w:br/>
        <w:t xml:space="preserve">   presente caso sobre otros alegatos que se refieren a  los  mismos  hechos</w:t>
        <w:br/>
        <w:t xml:space="preserve">   que  ya  han  sido  analizados   a   la   luz   de   otras   obligaciones</w:t>
        <w:br/>
        <w:t xml:space="preserve">   convencionales[144].  No  obstante,  el  Tribunal  tomará  en  cuenta  la</w:t>
        <w:br/>
        <w:t xml:space="preserve">   situación planteada al momento de fijar las reparaciones correspondientes</w:t>
        <w:br/>
        <w:t xml:space="preserve">   a favor  del  señor  García  Lucero.  Además  el  Tribunal  no  considera</w:t>
        <w:br/>
        <w:t xml:space="preserve">   pertinente pronunciarse sobre la alegación de la violación del artículo 5</w:t>
        <w:br/>
        <w:t xml:space="preserve">   en relación con el acceso a medidas de reparación, en atención a  lo  que</w:t>
        <w:br/>
        <w:t xml:space="preserve">   se decide sobre los procesos internos  para  el  reclamo  de  medidas  de</w:t>
        <w:br/>
        <w:t xml:space="preserve">   reparación (infra párr. 206).</w:t>
        <w:br/>
        <w:t xml:space="preserve">       B.2.3) Sobre las actuaciones seguidas en la investigación iniciada  a</w:t>
        <w:br/>
        <w:t xml:space="preserve">       partir del 7 de octubre de 2011</w:t>
        <w:br/>
        <w:br/>
        <w:t>130. Como se ha señalado, el Estado inició una investigación de oficio el  7</w:t>
        <w:br/>
        <w:t xml:space="preserve">   de octubre de 2011, luego de que el presente caso  fuera  sometido  a  la</w:t>
        <w:br/>
        <w:t xml:space="preserve">   Corte (supra párr. 81). En el marco de dicha investigación, además de las</w:t>
        <w:br/>
        <w:t xml:space="preserve">   actuaciones relativas a la formalización del inicio y  trámite,  y  a  la</w:t>
        <w:br/>
        <w:t xml:space="preserve">   determinación  de  las  autoridades  competentes,  se   dispusieron   las</w:t>
        <w:br/>
        <w:t xml:space="preserve">   siguientes acciones  dirigidas  concretamente  a  la  indagación  de  los</w:t>
        <w:br/>
        <w:t xml:space="preserve">   hechos:  expedición  de  oficios  para  recabar  información  a  diversas</w:t>
        <w:br/>
        <w:t xml:space="preserve">   entidades; recepción  de  información  brindada  por  el  Arzobispado  de</w:t>
        <w:br/>
        <w:t xml:space="preserve">   Santiago, por la Sociedad Hipódromo Chile S. A., y por el Departamento de</w:t>
        <w:br/>
        <w:t xml:space="preserve">   Control de Fronteras de la Jefatura Nacional  de  Extranjería  y  Policía</w:t>
        <w:br/>
        <w:t xml:space="preserve">   Internacional; citación a una persona presuntamente responsable – que fue</w:t>
        <w:br/>
        <w:t xml:space="preserve">   identificada  en  el  curso  de  la  investigación  –  para  que   preste</w:t>
        <w:br/>
        <w:t xml:space="preserve">   declaración; despacho de órdenes de arresto contra la misma persona,  por</w:t>
        <w:br/>
        <w:t xml:space="preserve">   su falta de comparecencia para rendir declaración; indagaciones sobre  el</w:t>
        <w:br/>
        <w:t xml:space="preserve">   domicilio del referido presunto responsable, así como sobre sus salidas e</w:t>
        <w:br/>
        <w:t xml:space="preserve">   ingresos al país; citación  a  un  testigo  para  prestar  declaración  y</w:t>
        <w:br/>
        <w:t xml:space="preserve">   posterior recepción de la  misma.  Asimismo,  constan  en  el  expediente</w:t>
        <w:br/>
        <w:t xml:space="preserve">   interno órdenes, emitidas en abril de 2013, para que se expidan oficios a</w:t>
        <w:br/>
        <w:t xml:space="preserve">   Interpol y a Gendarmería de Chile, el primero, respecto al paradero de la</w:t>
        <w:br/>
        <w:t xml:space="preserve">   persona presuntamente responsable que  fue  identificada,  y  el  segundo</w:t>
        <w:br/>
        <w:t xml:space="preserve">   relativo a los “antecedentes, políticos, de detención, etc. respecto de[l</w:t>
        <w:br/>
        <w:t xml:space="preserve">   señor] García Lucero” (supra párrs. 84, 87, 88, 92 a 95 y 98 a 101).</w:t>
        <w:br/>
        <w:br/>
        <w:t>131. Cabe observar que, contrariamente a lo afirmado en sus observaciones  y</w:t>
        <w:br/>
        <w:t xml:space="preserve">   alegatos  finales  escritos  por  la  Comisión  y   las   representantes,</w:t>
        <w:br/>
        <w:t xml:space="preserve">   respectivamente, en cuanto a que la investigación estaría “paralizada”  o</w:t>
        <w:br/>
        <w:t xml:space="preserve">   tendría una  “dilación  injustificada”  por  “problemas  de  competencia”</w:t>
        <w:br/>
        <w:t xml:space="preserve">   (supra párrs. 109 y 111), entre las últimas actuaciones que constan en el</w:t>
        <w:br/>
        <w:t xml:space="preserve">   expediente interno, según documentos allegados a la Corte por  el  Estado</w:t>
        <w:br/>
        <w:t xml:space="preserve">   en sus alegatos finales escritos el 21 de abril de  2013,  se  encuentran</w:t>
        <w:br/>
        <w:t xml:space="preserve">   órdenes emitidas los días 2 y  3  de  esos  mismos  mes  y  año  para  la</w:t>
        <w:br/>
        <w:t xml:space="preserve">   realización de acciones concretas de investigación (supra  párrs.  100  y</w:t>
        <w:br/>
        <w:t xml:space="preserve">   101). Esto evidencia que, de acuerdo  a  la  prueba  con  que  cuenta  el</w:t>
        <w:br/>
        <w:t xml:space="preserve">   Tribunal, la investigación está en curso. Los “problemas de  competencia”</w:t>
        <w:br/>
        <w:t xml:space="preserve">   no han  impedido  lo  anterior  ni  el  desarrollo  de  las  acciones  de</w:t>
        <w:br/>
        <w:t xml:space="preserve">   investigación antes indicadas.</w:t>
        <w:br/>
        <w:br/>
        <w:t>132. Las representantes, por su parte,  relacionaron  la  argüida  falta  de</w:t>
        <w:br/>
        <w:t xml:space="preserve">   diligencia también con la utilización de ciertos preceptos legales (supra</w:t>
        <w:br/>
        <w:t xml:space="preserve">   párr. 114). El último aspecto mencionado se vincula  a  aspectos  que  se</w:t>
        <w:br/>
        <w:t xml:space="preserve">   analizan más adelante sobre los alegados obstáculos normativos  acceso  a</w:t>
        <w:br/>
        <w:t xml:space="preserve">   la justicia (infra, párrs. 149 a 161). Otros alegatos se  relacionan  con</w:t>
        <w:br/>
        <w:t xml:space="preserve">   las aducidas carencias de algunas autoridades internas, en cuanto  a  sus</w:t>
        <w:br/>
        <w:t xml:space="preserve">   facultades,  conocimientos  y  capacidades  (supra  párrs.  111  a  113).</w:t>
        <w:br/>
        <w:t xml:space="preserve">   Respecto a estos últimos argumentos, el  Tribunal  no  estima  procedente</w:t>
        <w:br/>
        <w:t xml:space="preserve">   evaluarlos, dado que los mismos son genéricos y  no  surge  de  ellos  la</w:t>
        <w:br/>
        <w:t xml:space="preserve">   identificación puntual de aspectos concretos en  los  que  las  supuestas</w:t>
        <w:br/>
        <w:t xml:space="preserve">   carencias incidieran negativamente en la investigación[145].</w:t>
        <w:br/>
        <w:br/>
        <w:t>133. De otro lado, en este caso, a la luz de los argumentos de las partes  y</w:t>
        <w:br/>
        <w:t xml:space="preserve">   la Comisión y la prueba existente, no llega a advertirse  que  configuren</w:t>
        <w:br/>
        <w:t xml:space="preserve">   per se fallas a un actuar diligente, la omisión  de  algunas  actuaciones</w:t>
        <w:br/>
        <w:t xml:space="preserve">   que, a  entender  de  las  representantes,  serían  procedentes:  ciertas</w:t>
        <w:br/>
        <w:t xml:space="preserve">   indagaciones policiales, la “asociación” de la  investigación  a  ciertos</w:t>
        <w:br/>
        <w:t xml:space="preserve">   procesos penales, y el cuestionamiento de  una  decisión  de  competencia</w:t>
        <w:br/>
        <w:t xml:space="preserve">   (supra párr. 115).  En  este  sentido,  el  Tribunal  considera  que,  en</w:t>
        <w:br/>
        <w:t xml:space="preserve">   principio, compete a las autoridades internas determinar  la  procedencia</w:t>
        <w:br/>
        <w:t xml:space="preserve">   de medidas puntuales o concretas en el marco de la investigación.</w:t>
        <w:br/>
        <w:br/>
        <w:t>134. Por otra parte, en el marco de la ponderación del actuar estatal en  el</w:t>
        <w:br/>
        <w:t xml:space="preserve">   curso de la investigación del hecho  ilícito,  cabe  considerar  diversos</w:t>
        <w:br/>
        <w:t xml:space="preserve">   aspectos vinculados a la participación del  señor  García  Lucero  en  el</w:t>
        <w:br/>
        <w:t xml:space="preserve">   proceso. Respecto a lo anterior, la Corte observa  que  Claudio  Valdivia</w:t>
        <w:br/>
        <w:t xml:space="preserve">   Rivas, Director General de la Corporación de Asistencia  Judicial  de  la</w:t>
        <w:br/>
        <w:t xml:space="preserve">   Región Metropolitana,  en  su  declaración  rendida  mediante  affidávit,</w:t>
        <w:br/>
        <w:t xml:space="preserve">   afirmó que “[la] causa judicial […] ha experimentado dificultades  al  no</w:t>
        <w:br/>
        <w:t xml:space="preserve">   contar con la colaboración directa ni mandato judicial del [señor] García</w:t>
        <w:br/>
        <w:t xml:space="preserve">   Lucero”[146]. En el mismo sentido se expresó en  su  declaración  rendida</w:t>
        <w:br/>
        <w:t xml:space="preserve">   mediante affidávit José  Antonio  Ricardi  Romero,  Abogado  Jefe  de  la</w:t>
        <w:br/>
        <w:t xml:space="preserve">   Oficina Penal de la Corporación de Asistencia Judicial, indicando que “en</w:t>
        <w:br/>
        <w:t xml:space="preserve">   toda  investigación  criminal  resulta  indispensable   contar   con   la</w:t>
        <w:br/>
        <w:t xml:space="preserve">   colaboración del afectado, lo que en este caso no  ha  ocurrido”,  y  que</w:t>
        <w:br/>
        <w:t xml:space="preserve">   “present[ó] una querella por los hechos […] como  agente  oficioso,  vale</w:t>
        <w:br/>
        <w:t xml:space="preserve">   decir,  comprometiéndo[se]  a  que  el  [señor]  García  Lucero   o   sus</w:t>
        <w:br/>
        <w:t xml:space="preserve">   representantes iban a ratificar la querella[,] lo que  no  ha  ocurrido”.</w:t>
        <w:br/>
        <w:t xml:space="preserve">   Agregó que “el Tribunal [interno que interviene en la causa lo]  autorizó</w:t>
        <w:br/>
        <w:t xml:space="preserve">   para actuar como agente oficioso el 20 de [m]arzo  de  2012,  fijando  un</w:t>
        <w:br/>
        <w:t xml:space="preserve">   plazo de 90  días  para  que  esta  situación  fuera  ratificada  por  el</w:t>
        <w:br/>
        <w:t xml:space="preserve">   afectado”. Al  respecto,  el  Estado,  en  su  escrito  de  contestación,</w:t>
        <w:br/>
        <w:t xml:space="preserve">   advirtió que la  falta  de  “patrocinio  o  mandato  judicial  del  señor</w:t>
        <w:br/>
        <w:t xml:space="preserve">   Leopoldo García Lucero […] de acuerdo al ordenamiento jurídico  nacional,</w:t>
        <w:br/>
        <w:t xml:space="preserve">   puede provocar el sobreseimiento del caso”.</w:t>
        <w:br/>
        <w:br/>
        <w:t>135. Además, como prueba documental, el Estado allegó al Tribunal una  serie</w:t>
        <w:br/>
        <w:t xml:space="preserve">   de correos electrónicos, entre los que se encuentra uno mediante  el  que</w:t>
        <w:br/>
        <w:t xml:space="preserve">   autoridades vinculadas a la investigación remitieron a las representantes</w:t>
        <w:br/>
        <w:t xml:space="preserve">   “copia del expediente de juicio a que dio lugar la  denuncia  interpuesta</w:t>
        <w:br/>
        <w:t xml:space="preserve">   por la Corporación de  Asistencia  Judicial”[147]  y  otros  en  que  les</w:t>
        <w:br/>
        <w:t xml:space="preserve">   expresaron la importancia de tener contacto directo con el  señor  García</w:t>
        <w:br/>
        <w:t xml:space="preserve">   Lucero, así como que él otorgue “un mandato judicial  que  [les]  permita</w:t>
        <w:br/>
        <w:t xml:space="preserve">   actuar en [su] representación […] para presentar  una  querella  por  los</w:t>
        <w:br/>
        <w:t xml:space="preserve">   delitos cometidos, solicitar diligencias y […] actuar como  parte  en  el</w:t>
        <w:br/>
        <w:t xml:space="preserve">   juicio ejerciendo las actuaciones correspondientes y los recursos  a  que</w:t>
        <w:br/>
        <w:t xml:space="preserve">   haya  lugar”[148].  También  la  Policía  de  Investigaciones,  el  5  de</w:t>
        <w:br/>
        <w:t xml:space="preserve">   diciembre de 2011, indicó la pertinencia de “tomar contacto con el [señor</w:t>
        <w:br/>
        <w:t xml:space="preserve">   García Lucero] con la intención de conocer mayores detalles de los hechos</w:t>
        <w:br/>
        <w:t xml:space="preserve">   acontecidos”, y Claudio Valdivia Rivas  indicó  que  en  las  actuaciones</w:t>
        <w:br/>
        <w:t xml:space="preserve">   internas  “se  encuentra  un  exhorto  internacional  para   obtener   el</w:t>
        <w:br/>
        <w:t xml:space="preserve">   testimonio del [señor]  García  Lucero”.  Dentro  del  acervo  probatorio</w:t>
        <w:br/>
        <w:t xml:space="preserve">   consta un exhorto dirigido a la Corte Suprema para que envíe un exhorto a</w:t>
        <w:br/>
        <w:t xml:space="preserve">   la Comisión Interamericana a fin  de  que  brinde  información  sobre  el</w:t>
        <w:br/>
        <w:t xml:space="preserve">   domicilio del señor García Lucero (supra párr. 88).</w:t>
        <w:br/>
        <w:br/>
        <w:t>136. Por su parte, las representantes han manifestado  que  las  autoridades</w:t>
        <w:br/>
        <w:t xml:space="preserve">   no se han comunicado a fin de recabar la  declaración  del  señor  García</w:t>
        <w:br/>
        <w:t xml:space="preserve">   Lucero y que, sin perjuicio de su negativa a presentar una  querella,  él</w:t>
        <w:br/>
        <w:t xml:space="preserve">   se encuentra dispuesto a colaborar con éstas (supra párr. 116)[149].</w:t>
        <w:br/>
        <w:br/>
        <w:t>137. De conformidad con lo anterior, la Corte  constata  que  el  Estado  ha</w:t>
        <w:br/>
        <w:t xml:space="preserve">   posibilitado  la  participación  del  señor   Leopoldo   García   y   sus</w:t>
        <w:br/>
        <w:t xml:space="preserve">   representantes, pues ha permitido el acceso de éstos a las actuaciones  y</w:t>
        <w:br/>
        <w:t xml:space="preserve">   propiciado la intervención de los mismos, así como la  del  señor  García</w:t>
        <w:br/>
        <w:t xml:space="preserve">   Lucero directamente. Lo anterior, no obstante,  no  justificaría  que  la</w:t>
        <w:br/>
        <w:t xml:space="preserve">   falta de apersonamiento del señor García Lucero en el  proceso,  mediante</w:t>
        <w:br/>
        <w:t xml:space="preserve">   una  querella  o  cualquier  otro  acto,  generase  el  cierre   de   las</w:t>
        <w:br/>
        <w:t xml:space="preserve">   actuaciones, pues ello no se condice con el deber estatal de  conducirlas</w:t>
        <w:br/>
        <w:t xml:space="preserve">   de oficio. Ello no es óbice para tener presente que en el  curso  de  una</w:t>
        <w:br/>
        <w:t xml:space="preserve">   investigación de actos de tortura, el contacto de las autoridades con  la</w:t>
        <w:br/>
        <w:t xml:space="preserve">   víctima resulta trascedente. En este sentido, la Corte recuerda que en la</w:t>
        <w:br/>
        <w:t xml:space="preserve">   investigación de hechos que comprendan posibles actos de tortura  resulta</w:t>
        <w:br/>
        <w:t xml:space="preserve">   relevante que  las  autoridades  involucradas  obtengan  información  del</w:t>
        <w:br/>
        <w:t xml:space="preserve">   testimonio de la víctima y de exámenes forenses  físicos  y  psicológicos</w:t>
        <w:br/>
        <w:t xml:space="preserve">   practicados sobre ella[150]. Sin perjuicio de las  actuaciones  estatales</w:t>
        <w:br/>
        <w:t xml:space="preserve">   señaladas, de conformidad con la prueba allegada al  Tribunal  no  consta</w:t>
        <w:br/>
        <w:t xml:space="preserve">   que se hayan recabado el testimonio del señor  García  Lucero  o  que  se</w:t>
        <w:br/>
        <w:t xml:space="preserve">   hayan efectuado exámenes forenses. Estos actos se  encuentran  pendientes</w:t>
        <w:br/>
        <w:t xml:space="preserve">   de ser realizados en el marco de la investigación en curso.</w:t>
        <w:br/>
        <w:br/>
        <w:br/>
        <w:t xml:space="preserve">       B.2.4) Conclusión</w:t>
        <w:br/>
        <w:br/>
        <w:br/>
        <w:t>138. En consecuencia, debido a la excesiva demora del Estado en iniciar  una</w:t>
        <w:br/>
        <w:t xml:space="preserve">   investigación a partir de que tuvo conocimiento de los hechos de tortura,</w:t>
        <w:br/>
        <w:t xml:space="preserve">   esto es, antes del 1 de diciembre de 1994 (supra párrs. 75, 126  y  127),</w:t>
        <w:br/>
        <w:t xml:space="preserve">   este Tribunal considera que el Estado es responsable de la  violación  de</w:t>
        <w:br/>
        <w:t xml:space="preserve">   los derechos a las garantías  judiciales  y  a  la  protección  judicial,</w:t>
        <w:br/>
        <w:t xml:space="preserve">   reconocidos en los artículos 8.1 y 25.1 de la  Convención  Americana,  en</w:t>
        <w:br/>
        <w:t xml:space="preserve">   relación con  el  artículo  1.1  de  la  misma  y  con  las  obligaciones</w:t>
        <w:br/>
        <w:t xml:space="preserve">   establecidas en los artículos 1, 6 y 8 de  la  Convención  Interamericana</w:t>
        <w:br/>
        <w:t xml:space="preserve">   para Prevenir y Sancionar la Tortura, en  perjuicio  del  señor  Leopoldo</w:t>
        <w:br/>
        <w:t xml:space="preserve">   García Lucero.</w:t>
        <w:br/>
        <w:br/>
        <w:t>139. Por otra parte, sin perjuicio de diligencias pendientes de  realización</w:t>
        <w:br/>
        <w:t xml:space="preserve">   en la investigación abierta, la Corte, en las circunstancias propias  del</w:t>
        <w:br/>
        <w:t xml:space="preserve">   presente caso, no considera que la investigación iniciada el 7 de octubre</w:t>
        <w:br/>
        <w:t xml:space="preserve">   de 2011 haya sido conducida  de  modo  que  generase  la  responsabilidad</w:t>
        <w:br/>
        <w:t xml:space="preserve">   internacional del Estado por el menoscabo de los derechos a las garantías</w:t>
        <w:br/>
        <w:t xml:space="preserve">   y protección judiciales a partir de la inobservancia de pautas de  debida</w:t>
        <w:br/>
        <w:t xml:space="preserve">   diligencia.</w:t>
        <w:br/>
        <w:br/>
        <w:t>140. Dado que la investigación de los hechos es un deber  estatal  que  debe</w:t>
        <w:br/>
        <w:t xml:space="preserve">   ser ejercido de oficio (supra párr. 122), que se relaciona con actos  que</w:t>
        <w:br/>
        <w:t xml:space="preserve">   afectaron  al  señor  García  Lucero,  y  que  él  continúa  teniendo  la</w:t>
        <w:br/>
        <w:t xml:space="preserve">   posibilidad de ejercer la titularidad de sus derechos[151], la  Corte  no</w:t>
        <w:br/>
        <w:t xml:space="preserve">   considera vulnerados derechos de familiares del señor García Lucero.</w:t>
        <w:br/>
        <w:br/>
        <w:t>141. Debido a lo anteriormente determinado, la Corte  considera  innecesario</w:t>
        <w:br/>
        <w:t xml:space="preserve">   analizar los alegatos sobre la falta de  conducción  de  las  actuaciones</w:t>
        <w:br/>
        <w:t xml:space="preserve">   internas en un plazo razonable.</w:t>
        <w:br/>
        <w:br/>
        <w:br/>
        <w:t xml:space="preserve">  Sobre los alegados obstáculos normativos  a la investigación</w:t>
        <w:br/>
        <w:br/>
        <w:br/>
        <w:br/>
        <w:t xml:space="preserve">    C.1) Argumentos de la Comisión y de las partes</w:t>
        <w:br/>
        <w:br/>
        <w:br/>
        <w:br/>
        <w:t>142. La Comisión observó, como un “componente central” en relación  con  que</w:t>
        <w:br/>
        <w:t xml:space="preserve">   la responsabilidad del Estado se vea comprometida, es que Chile  mantiene</w:t>
        <w:br/>
        <w:t xml:space="preserve">   la vigencia de legislación de amnistía (Decreto – Ley  No. 2.191), que es</w:t>
        <w:br/>
        <w:t xml:space="preserve">   incompatible con la Convención Americana y que “tuvo un impacto directo y</w:t>
        <w:br/>
        <w:t xml:space="preserve">   necesario en la obstaculización del derecho a la  justicia  a  favor  del</w:t>
        <w:br/>
        <w:t xml:space="preserve">   señor García Lucero”.</w:t>
        <w:br/>
        <w:br/>
        <w:t>143. Las representantes expresaron, que “factores de carácter  estructural”,</w:t>
        <w:br/>
        <w:t xml:space="preserve">   incluyendo   diversa   normativa   interna,   impidieron   una   adecuada</w:t>
        <w:br/>
        <w:t xml:space="preserve">   investigación de actos de torturas. En ese sentido, notaron lo siguiente:</w:t>
        <w:br/>
        <w:t xml:space="preserve">   a) Chile no “ha removido [el] decreto [No.  2.191]  ni  ha  generado  una</w:t>
        <w:br/>
        <w:t xml:space="preserve">   política pública de carácter judicial […] para evitar  que  miembros  del</w:t>
        <w:br/>
        <w:t xml:space="preserve">   sistema de justicia continúen aplic[á]ndo[lo]”; b) que el artículo 15  de</w:t>
        <w:br/>
        <w:t xml:space="preserve">   la Ley No. 19.992 establece el secreto por un  período  de  50  años,  de</w:t>
        <w:br/>
        <w:t xml:space="preserve">   “documentos, testimonios y antecedentes aportados por las  víctimas  ante</w:t>
        <w:br/>
        <w:t xml:space="preserve">   la  “Comisión  Valech”[152],  por  lo  que  es  un  obstáculo   para   la</w:t>
        <w:br/>
        <w:t xml:space="preserve">   investigación, c) que los artículos 150 A  y  150  B  del  Código  Penal,</w:t>
        <w:br/>
        <w:t xml:space="preserve">   referidos al delito de “tormentos”, “no son aplicables a la época de  los</w:t>
        <w:br/>
        <w:t xml:space="preserve">   hechos, [el Estado se encuentra] cometiendo un básico y  serio  error  de</w:t>
        <w:br/>
        <w:t xml:space="preserve">   derecho por falta  de  vigencia  temporal  de  la  ley”,  al  iniciar  la</w:t>
        <w:br/>
        <w:t xml:space="preserve">   investigación con base en tales normas, y d) dichas normas y el  artículo</w:t>
        <w:br/>
        <w:t xml:space="preserve">   330 del Código de Justicia Militar, que tipifica el delito de “violencias</w:t>
        <w:br/>
        <w:t xml:space="preserve">   innecesarias”, son contrarias  al  derecho  internacional.  Al  respecto,</w:t>
        <w:br/>
        <w:t xml:space="preserve">   indicaron que la tipificación del delito de “tormento" no se ajusta a  la</w:t>
        <w:br/>
        <w:t xml:space="preserve">   definición de tortura de la Convención Interamericana contra la  Tortura.</w:t>
        <w:br/>
        <w:t xml:space="preserve">   Los artículos 150 A y B del Código Penal chileno  no  usan  las  palabras</w:t>
        <w:br/>
        <w:t xml:space="preserve">   “tortura” o “tratamientos crueles, inhumanos o degradantes” para  definir</w:t>
        <w:br/>
        <w:t xml:space="preserve">   la conducta punible, y el problema “no se reduce a uno de lenguaje ya que</w:t>
        <w:br/>
        <w:t xml:space="preserve">   la definición se queda claramente  corta  frente  a  los  requisitos  del</w:t>
        <w:br/>
        <w:t xml:space="preserve">   derecho internacional en la materia”. Además,  esbozaron  los  siguientes</w:t>
        <w:br/>
        <w:t xml:space="preserve">   motivos:</w:t>
        <w:br/>
        <w:br/>
        <w:t xml:space="preserve">       [e]l [a]rtículo 150 A aplica solamente en relación con  ‘una  persona</w:t>
        <w:br/>
        <w:t xml:space="preserve">       privada de libertad’ dejando por fuera otras  potenciales  víctimas[;</w:t>
        <w:br/>
        <w:t xml:space="preserve">       t]anto el Código Penal como el Código Penal  Militar  no  cobijan  la</w:t>
        <w:br/>
        <w:t xml:space="preserve">       tentativa de cometer  tortura[;  l]a  pena  aplicable  al  delito  de</w:t>
        <w:br/>
        <w:t xml:space="preserve">       tormentos como a[l] de violencias innecesarias no es  proporcional  a</w:t>
        <w:br/>
        <w:t xml:space="preserve">       la gravedad del delito  cometido  e  i]gualmente,  se  contempla  una</w:t>
        <w:br/>
        <w:t xml:space="preserve">       prescripción de 10 años para esta conducta punible, de acuerdo  a  la</w:t>
        <w:br/>
        <w:t xml:space="preserve">       estipulado en el [a]rtículo 97 del Código Penal.</w:t>
        <w:br/>
        <w:br/>
        <w:t>144. Además las representantes señalaron que existe en el artículo  103  del</w:t>
        <w:br/>
        <w:t xml:space="preserve">   Código Penal chileno, la figura de la “media prescripción”, y advirtieron</w:t>
        <w:br/>
        <w:t xml:space="preserve">   que atenúa la sanción penal en ciertas circunstancias.  La  norma,  según</w:t>
        <w:br/>
        <w:t xml:space="preserve">   consideraron, “dispone una atenuación de la cuantía de la  pena  ordenada</w:t>
        <w:br/>
        <w:t xml:space="preserve">   cuando concurren ciertos requisitos”, que hace que las  penas  aplicables</w:t>
        <w:br/>
        <w:t xml:space="preserve">   no sean proporcionales al delito[153].</w:t>
        <w:br/>
        <w:br/>
        <w:t>145.  El  Estado  objetó  los  cuestionamientos  de  jure  realizados  a  la</w:t>
        <w:br/>
        <w:t xml:space="preserve">   legislación chilena que hicieron los representantes, por  considerar,  en</w:t>
        <w:br/>
        <w:t xml:space="preserve">   lo pertinente, en relación con “el artículo 15 de la Ley No.  19.992  [y]</w:t>
        <w:br/>
        <w:t xml:space="preserve">   la media prescripción” que “ninguna mención se hace a los  mismos  en  el</w:t>
        <w:br/>
        <w:t xml:space="preserve">   acápite de ‘HECHOS PROBADOS’ [del Informe de Fondo], sólo en  el  acápite</w:t>
        <w:br/>
        <w:t xml:space="preserve">   relativo a la  ‘Posición  de  los  peticionarios’,  se  enuncian  algunos</w:t>
        <w:br/>
        <w:t xml:space="preserve">   alegatos que  las  presuntas  víctimas  realizan  contra  la  legislación</w:t>
        <w:br/>
        <w:t xml:space="preserve">   nacional”. Agregó que dichas peticiones “exceden el ámbito fáctico fijado</w:t>
        <w:br/>
        <w:t xml:space="preserve">   en la presentación del caso por la Comisión ([artículo] 40 letra  a)  del</w:t>
        <w:br/>
        <w:t xml:space="preserve">   Reglamento de la Corte)” y no es procedente argumentar en razón de  éstos</w:t>
        <w:br/>
        <w:t xml:space="preserve">   la violación de un derecho  de  la  Convención”.  En  cuanto  al  secreto</w:t>
        <w:br/>
        <w:t xml:space="preserve">   establecido por el artículo 15 de la Ley No. 19.992,  el  Estado  expresó</w:t>
        <w:br/>
        <w:t xml:space="preserve">   que el mismo fue establecido por ley y responde a fines válidos, que  son</w:t>
        <w:br/>
        <w:t xml:space="preserve">   el éxito de la investigación desarrollada por la Comisión Nacional  sobre</w:t>
        <w:br/>
        <w:t xml:space="preserve">   Prisión Política y Tortura y que la restricción busca la “prot[ección] de</w:t>
        <w:br/>
        <w:t xml:space="preserve">   los derechos a la vida privada e íntima de las personas que entregaron su</w:t>
        <w:br/>
        <w:t xml:space="preserve">   testimonio, que son las únicas titulares de  dicha  información”.  Agregó</w:t>
        <w:br/>
        <w:t xml:space="preserve">   que el fin de dicha comisión no es jurisdiccional.</w:t>
        <w:br/>
        <w:br/>
        <w:t>146. Acerca de la utilización de los artículos 150 A  y  150  B  del  Código</w:t>
        <w:br/>
        <w:t xml:space="preserve">   Penal en relación con su vigencia temporal, el Estado indicó que</w:t>
        <w:br/>
        <w:br/>
        <w:t xml:space="preserve">       el asunto planteado por los representantes […] no es  relevante  para</w:t>
        <w:br/>
        <w:t xml:space="preserve">       la tramitación del juicio interno de  investigación,  puesto  que  el</w:t>
        <w:br/>
        <w:t xml:space="preserve">       [t]ribunal [interno] que conoce el asunto, al formarse la  convicción</w:t>
        <w:br/>
        <w:t xml:space="preserve">       de que  ha  existido  una  conducta  delictual  y  que  en  ella  han</w:t>
        <w:br/>
        <w:t xml:space="preserve">       participado determinadas personas, procede a someterl[a]s a  proceso,</w:t>
        <w:br/>
        <w:t xml:space="preserve">       indicando los delitos, grados de participación y las  normas  penales</w:t>
        <w:br/>
        <w:t xml:space="preserve">       que han sido infringidas.  Lo  mismo  ocurre  al  momento  de  dictar</w:t>
        <w:br/>
        <w:t xml:space="preserve">       acusación en etapas posteriores del procedimiento.</w:t>
        <w:br/>
        <w:br/>
        <w:t>147. En cuanto  al  delito  de  “tormentos”,  el  Estado  manifestó  que  la</w:t>
        <w:br/>
        <w:t xml:space="preserve">   Comisión Interamericana no consideró  la  tipificación  del  delito  como</w:t>
        <w:br/>
        <w:t xml:space="preserve">   obstrucción o mecanismo de impunidad,  y  que  “[e]n  relación  [con]  la</w:t>
        <w:br/>
        <w:t xml:space="preserve">   investigación y condena de los crímenes de lesa  humanidad  ocurridos  en</w:t>
        <w:br/>
        <w:t xml:space="preserve">   [Chile], esta tipificación no ha significado una barrera para alcanzar la</w:t>
        <w:br/>
        <w:t xml:space="preserve">   justicia. […L]a actual descripción del tipo penal existente en el  delito</w:t>
        <w:br/>
        <w:t xml:space="preserve">   de tormentos no conlleva una situación de  indefensión  para  el  [s]eñor</w:t>
        <w:br/>
        <w:t xml:space="preserve">   García Lucero ni una vulneración  a  sus  derechos.  Además,  señaló  que</w:t>
        <w:br/>
        <w:t xml:space="preserve">   existen tres proyectos de ley que buscan adecuar  la  legislación  en  lo</w:t>
        <w:br/>
        <w:t xml:space="preserve">   relativo al delito de tortura, y que el 18 de julio de 2009 se aprobó  la</w:t>
        <w:br/>
        <w:t xml:space="preserve">   Ley No. 20.357 que tipifica crímenes de  lesa  humanidad  y  genocidio  y</w:t>
        <w:br/>
        <w:t xml:space="preserve">   crímenes y delito de  guerra,  que  sancionan  actos  de  tortura  cuando</w:t>
        <w:br/>
        <w:t xml:space="preserve">   encuadren en los crímenes señalados.</w:t>
        <w:br/>
        <w:br/>
        <w:t>148. Por otra parte, sobre la “media  prescripción”  el  Estado  indicó  que</w:t>
        <w:br/>
        <w:t xml:space="preserve">   esta figura es “un beneficio legal objetivo y general, que nada tiene que</w:t>
        <w:br/>
        <w:t xml:space="preserve">   ver con la prescripción  como  causal  de  extinción  de  responsabilidad</w:t>
        <w:br/>
        <w:t xml:space="preserve">   penal”, y que “en ningún caso es un impedimento para que se lleva a  cabo</w:t>
        <w:br/>
        <w:t xml:space="preserve">   la investigación judicial”.</w:t>
        <w:br/>
        <w:br/>
        <w:br/>
        <w:t xml:space="preserve">    C.2) Consideraciones de la Corte</w:t>
        <w:br/>
        <w:br/>
        <w:br/>
        <w:t>149. La Corte debe analizar si la  investigación  de  los  hechos  ha  visto</w:t>
        <w:br/>
        <w:t xml:space="preserve">   obstaculizado su desarrollo como consecuencia de  falencias  en  relación</w:t>
        <w:br/>
        <w:t xml:space="preserve">   con normativa interna o medidas de otro  carácter.  A  tal  efecto,  cabe</w:t>
        <w:br/>
        <w:t xml:space="preserve">   observar que, como ha señalado el Tribunal con anterioridad, el deber  de</w:t>
        <w:br/>
        <w:t xml:space="preserve">   investigar “adquiere particular y determinante intensidad  e  importancia</w:t>
        <w:br/>
        <w:t xml:space="preserve">   ante la gravedad de las violaciones cometidas”[154]. Por esta  razón,  en</w:t>
        <w:br/>
        <w:t xml:space="preserve">   el presente caso, dado que los hechos que deben ser  investigados  pueden</w:t>
        <w:br/>
        <w:t xml:space="preserve">   insertarse en una práctica sistemática enmarcada dentro de un contexto de</w:t>
        <w:br/>
        <w:t xml:space="preserve">   graves violaciones a los derechos humanos la obligación de investigar, en</w:t>
        <w:br/>
        <w:t xml:space="preserve">   forma acorde a lo indicado (supra  párr.  123),  no  puede  desecharse  o</w:t>
        <w:br/>
        <w:t xml:space="preserve">   condicionarse por actos o disposiciones normativas  internas  de  ninguna</w:t>
        <w:br/>
        <w:t xml:space="preserve">   índole[155]. Esto se vincula con el artículo 2 de la Convención, según el</w:t>
        <w:br/>
        <w:t xml:space="preserve">   cual los Estados Parte deben adoptar, con arreglo  a  sus  procedimientos</w:t>
        <w:br/>
        <w:t xml:space="preserve">   constitucionales  y  a  las  disposiciones  del  tratado,   las   medidas</w:t>
        <w:br/>
        <w:t xml:space="preserve">   legislativas  o  de  otro  carácter  que  fueren  necesarias  para  hacer</w:t>
        <w:br/>
        <w:t xml:space="preserve">   efectivos los derechos y libertades protegidos por éste[156].</w:t>
        <w:br/>
        <w:br/>
        <w:br/>
        <w:t xml:space="preserve">       C.2.1) Sobre el Decreto - Ley No. 2.191 de “[c]once[sión de]</w:t>
        <w:br/>
        <w:t xml:space="preserve">       amnistía”</w:t>
        <w:br/>
        <w:br/>
        <w:br/>
        <w:br/>
        <w:br/>
        <w:br/>
        <w:t>150. En la Sentencia sobre el caso Almonacid Arellano y otros Vs.  Chile  la</w:t>
        <w:br/>
        <w:t xml:space="preserve">   Corte declaró que “[a]l pretender amnistiar a los responsables de delitos</w:t>
        <w:br/>
        <w:t xml:space="preserve">   de lesa humanidad, el  Decreto-Ley  No.  2.191  es  incompatible  con  la</w:t>
        <w:br/>
        <w:t xml:space="preserve">   Convención Americana y, por tanto, carece de efectos jurídicos, a la  luz</w:t>
        <w:br/>
        <w:t xml:space="preserve">   de dicho tratado”[157]. Ordenó al Estado “asegurar[se] que el Decreto-Ley</w:t>
        <w:br/>
        <w:t xml:space="preserve">   No. 2.191 no siga  representando  un  obstáculo  para  la  investigación,</w:t>
        <w:br/>
        <w:t xml:space="preserve">   juzgamiento  y,  en  su  caso,  sanción  de  los  responsables  de  otras</w:t>
        <w:br/>
        <w:t xml:space="preserve">   violaciones similares [a las del caso]”, que trató  sobre  una  ejecución</w:t>
        <w:br/>
        <w:t xml:space="preserve">   extrajudicial[158]. En esa oportunidad, el Tribunal “llam[ó] la  atención</w:t>
        <w:br/>
        <w:t xml:space="preserve">   respecto a que [no] se encuentran excluidos de la  amnistía  crímenes  de</w:t>
        <w:br/>
        <w:t xml:space="preserve">   lesa humanidad como la […] tortura […], entre otros”[159]. En la etapa de</w:t>
        <w:br/>
        <w:t xml:space="preserve">   supervisión de cumplimiento de dicha Sentencia, el  Tribunal  aun  no  ha</w:t>
        <w:br/>
        <w:t xml:space="preserve">   declarado como acreditado el cumplimiento de la orden mencionada[160]. La</w:t>
        <w:br/>
        <w:t xml:space="preserve">   Corte considera pertinente, en el marco del presente caso, reiterar  que,</w:t>
        <w:br/>
        <w:t xml:space="preserve">   de conformidad a lo determinado en el caso Almonacid Arellano y otros Vs.</w:t>
        <w:br/>
        <w:t xml:space="preserve">   Chile el Decreto-Ley No. 2.191 no puede presentar un  obstáculo  para  el</w:t>
        <w:br/>
        <w:t xml:space="preserve">   desarrollo de acciones de investigación, juzgamiento  o  sanción  de  los</w:t>
        <w:br/>
        <w:t xml:space="preserve">   delitos respectivos. En este sentido,  recuerda  que  lo  determinado  al</w:t>
        <w:br/>
        <w:t xml:space="preserve">   respecto  en  la  Sentencia  mencionada  tiene  efectos   generales   que</w:t>
        <w:br/>
        <w:t xml:space="preserve">   trascienden el caso concreto[161].</w:t>
        <w:br/>
        <w:br/>
        <w:t>151. En el antecedente citado la Corte expresó que</w:t>
        <w:br/>
        <w:br/>
        <w:t xml:space="preserve">    [l]a obligación conforme al derecho internacional de enjuiciar y, si se</w:t>
        <w:br/>
        <w:t xml:space="preserve">    les declara culpables, castigar a  los  perpetradores  de  determinados</w:t>
        <w:br/>
        <w:t xml:space="preserve">    crímenes internacionales, entre los que se cuentan los crímenes de lesa</w:t>
        <w:br/>
        <w:t xml:space="preserve">    humanidad, se desprende de la obligación de garantía consagrada  en  el</w:t>
        <w:br/>
        <w:t xml:space="preserve">    artículo 1.1 de la Convención Americana. […]</w:t>
        <w:br/>
        <w:br/>
        <w:br/>
        <w:t xml:space="preserve">    Los crímenes de lesa humanidad producen la violación de  una  serie  de</w:t>
        <w:br/>
        <w:t xml:space="preserve">    derechos inderogables reconocidos en la Convención  Americana,  que  no</w:t>
        <w:br/>
        <w:t xml:space="preserve">    pueden quedar impunes[162].</w:t>
        <w:br/>
        <w:br/>
        <w:t>152.  También recordó la Corte, en esa oportunidad, que</w:t>
        <w:br/>
        <w:br/>
        <w:t xml:space="preserve">    ya había señalado en  el  caso  Barrios  Altos  [Vs.  Perú]  que,  “son</w:t>
        <w:br/>
        <w:t xml:space="preserve">    inadmisibles  las  disposiciones  de  amnistía,  las  disposiciones  de</w:t>
        <w:br/>
        <w:t xml:space="preserve">    prescripción y el establecimiento de excluyentes de responsabilidad que</w:t>
        <w:br/>
        <w:t xml:space="preserve">    pretendan impedir la investigación y sanción de los responsables de las</w:t>
        <w:br/>
        <w:t xml:space="preserve">    violaciones graves de los derechos humanos tales como la  tortura,  las</w:t>
        <w:br/>
        <w:t xml:space="preserve">    ejecuciones sumarias, extralegales o arbitrarias y  las  desapariciones</w:t>
        <w:br/>
        <w:t xml:space="preserve">    forzadas, todas ellas prohibidas por contravenir derechos  inderogables</w:t>
        <w:br/>
        <w:t xml:space="preserve">    reconocidos por el Derecho Internacional de los Derechos Humanos”[163].</w:t>
        <w:br/>
        <w:br/>
        <w:br/>
        <w:br/>
        <w:t>153. Ahora bien, sin  perjuicio  de  la  responsabilidad  internacional  del</w:t>
        <w:br/>
        <w:t xml:space="preserve">   Estado con base en el Decreto-Ley  No.  2.191  acreditada  en  la  citada</w:t>
        <w:br/>
        <w:t xml:space="preserve">   decisión sobre el  caso  Almonacid  Arellano  y  otros  Vs.  Chile,  debe</w:t>
        <w:br/>
        <w:t xml:space="preserve">   recordarse que, en relación con los hechos de ese caso, la Corte constató</w:t>
        <w:br/>
        <w:t xml:space="preserve">   que dicha norma había sido aplicada en los años 1997 y  1998,  impidiendo</w:t>
        <w:br/>
        <w:t xml:space="preserve">   el seguimiento de procesos penales[164]. Asimismo, constató que “[e]n los</w:t>
        <w:br/>
        <w:t xml:space="preserve">   últimos años [anteriores a septiembre de 2006] el Poder Judicial  chileno</w:t>
        <w:br/>
        <w:t xml:space="preserve">   ha inaplicado el Decreto-Ley No. 2.191 en  varios  casos”[165].  Ello  es</w:t>
        <w:br/>
        <w:t xml:space="preserve">   consecuente con lo señalado por las representantes, en el presente  caso,</w:t>
        <w:br/>
        <w:t xml:space="preserve">   en su escrito de solicitudes y argumentos, donde indicaron que entre  los</w:t>
        <w:br/>
        <w:t xml:space="preserve">   años 1998 y 2006 el Decreto-Ley No. 2.191 “emp[ezó] a ser usado con menos</w:t>
        <w:br/>
        <w:t xml:space="preserve">   frecuencia”.</w:t>
        <w:br/>
        <w:br/>
        <w:t>154. Luego que el Estado tomara conocimiento de actos de  tortura  cometidos</w:t>
        <w:br/>
        <w:t xml:space="preserve">   contra el señor García Lucero, la vigencia del Decreto-Ley No. 2.191 pudo</w:t>
        <w:br/>
        <w:t xml:space="preserve">   constituir un obstáculo  para  que  se  iniciara  una  investigación.  No</w:t>
        <w:br/>
        <w:t xml:space="preserve">   obstante, del acervo  probatorio  no  surge  evidencia  sobre  actos  que</w:t>
        <w:br/>
        <w:t xml:space="preserve">   denoten la aplicación concreta o incidencia  acreditada  del  Decreto-Ley</w:t>
        <w:br/>
        <w:t xml:space="preserve">   No. 2.191 en la investigación de los hechos de este caso. Por  lo  tanto,</w:t>
        <w:br/>
        <w:t xml:space="preserve">   no se ha comprobado que la mera vigencia del Decreto–Ley No. 2.191  fuera</w:t>
        <w:br/>
        <w:t xml:space="preserve">   la causa de falta de inicio, con anterioridad al 7 de octubre de 2011, de</w:t>
        <w:br/>
        <w:t xml:space="preserve">   una investigación sobre lo acontecido en el caso del señor García  Lucero</w:t>
        <w:br/>
        <w:t xml:space="preserve">   y tampoco se ha comprobado que, hasta ahora, afectara el desarrollo de la</w:t>
        <w:br/>
        <w:t xml:space="preserve">   investigación iniciada ese día. En cualquier  caso,  resulta  conveniente</w:t>
        <w:br/>
        <w:t xml:space="preserve">   resaltar que, en atención a lo determinado en  el  Fallo  sobre  el  caso</w:t>
        <w:br/>
        <w:t xml:space="preserve">   Almonacid Arellano y otros, la Corte estableció que “dada su  naturaleza,</w:t>
        <w:br/>
        <w:t xml:space="preserve">   el Decreto Ley No. 2.191 carece de efectos jurídicos y  no  puede  seguir</w:t>
        <w:br/>
        <w:t xml:space="preserve">   representando un obstáculo  para  la  investigación  de  los  hechos  que</w:t>
        <w:br/>
        <w:t xml:space="preserve">   constituyen este caso, ni para la identificación  y  el  castigo  de  los</w:t>
        <w:br/>
        <w:t xml:space="preserve">   responsables, ni puede tener igual o similar impacto  respecto  de  otros</w:t>
        <w:br/>
        <w:t xml:space="preserve">   casos de violación de los derechos consagrados en la Convención Americana</w:t>
        <w:br/>
        <w:t xml:space="preserve">   acontecidos en Chile[166]. Sin perjuicio de recordar lo señalado  en  esa</w:t>
        <w:br/>
        <w:t xml:space="preserve">   Sentencia, el Tribunal no estima procedente pronunciarse, en el  presente</w:t>
        <w:br/>
        <w:t xml:space="preserve">   caso, sobre la responsabilidad internacional del Estado como consecuencia</w:t>
        <w:br/>
        <w:t xml:space="preserve">   de la vigencia del Decreto-Ley No. 2.191.</w:t>
        <w:br/>
        <w:br/>
        <w:br/>
        <w:t xml:space="preserve">       C.2.2) Sobre el artículo 15 de la Ley No. 19.992</w:t>
        <w:br/>
        <w:br/>
        <w:br/>
        <w:t>155. El texto de artículo 15 de la Ley  No.  19.992  fue  indicado  por  las</w:t>
        <w:br/>
        <w:t xml:space="preserve">   representantes y no fue controvertido por el Estado ni la  Comisión[167].</w:t>
        <w:br/>
        <w:t xml:space="preserve">   La Corte nota que las representantes sostuvieron que el artículo 15 de la</w:t>
        <w:br/>
        <w:t xml:space="preserve">   Ley No. 19.992 constituye uno de los “obstáculos de carácter  estructural</w:t>
        <w:br/>
        <w:t xml:space="preserve">   en  el  sistema  legal  de  Chile  que  impiden  que  la   investigación,</w:t>
        <w:br/>
        <w:t xml:space="preserve">   persecución, sanción y debida reparación puedan avanzar  con  éxito”.  El</w:t>
        <w:br/>
        <w:t xml:space="preserve">   Tribunal advierte, por un lado, que no  consta  que  la  Comisión  en  su</w:t>
        <w:br/>
        <w:t xml:space="preserve">   Informe de Fondo se haya referido a dicho artículo. Por otro lado, que el</w:t>
        <w:br/>
        <w:t xml:space="preserve">   Estado objetó el cuestionamiento a dicha norma y consideró que no procede</w:t>
        <w:br/>
        <w:t xml:space="preserve">   declarar violación alguna con base en lo alegado por los representantes.</w:t>
        <w:br/>
        <w:br/>
        <w:t>156. A la vez,  el  Tribunal  hace  notar  que  las  representantes  en  sus</w:t>
        <w:br/>
        <w:t xml:space="preserve">   alegaciones  no  señalaron  de  manera  específica  qué  información,   o</w:t>
        <w:br/>
        <w:t xml:space="preserve">   documentos, testimonios o antecedentes protegidos por el artículo  15  de</w:t>
        <w:br/>
        <w:t xml:space="preserve">   la Ley 19.992 serían útiles para el avance de la investigación  del  caso</w:t>
        <w:br/>
        <w:t xml:space="preserve">   concreto. Por último, la Corte observa que el señor García Lucero  podría</w:t>
        <w:br/>
        <w:t xml:space="preserve">   bajo dicha ley tener acceso a los documentos, informes,  declaraciones  y</w:t>
        <w:br/>
        <w:t xml:space="preserve">   testimonios referentes  a  su  persona  e  incluso  darlos  a  conocer  o</w:t>
        <w:br/>
        <w:t xml:space="preserve">   proporcionarlos a terceros. Finalmente, este  Tribunal  constata  que  la</w:t>
        <w:br/>
        <w:t xml:space="preserve">   referida disposición no fue aplicada en este caso para negar  información</w:t>
        <w:br/>
        <w:t xml:space="preserve">   a autoridad judicial alguna, ni se advierte que  de  esa  u  otra  manera</w:t>
        <w:br/>
        <w:t xml:space="preserve">   haya,  hasta  el  momento,  constituido  un  obstáculo  que  generara  un</w:t>
        <w:br/>
        <w:t xml:space="preserve">   perjuicio concreto al desarrollo de las investigaciones.</w:t>
        <w:br/>
        <w:br/>
        <w:t>157. En consideración de lo expuesto y dado que la Corte no  puede  realizar</w:t>
        <w:br/>
        <w:t xml:space="preserve">   un análisis en abstracto del artículo 15 de la Ley No. 19.992, ya que  no</w:t>
        <w:br/>
        <w:t xml:space="preserve">   se aplicó o no tuvo efectos en el caso  en  concreto,  y  la  competencia</w:t>
        <w:br/>
        <w:t xml:space="preserve">   contenciosa de la Corte debe ser ejercida para resolver  casos  concretos</w:t>
        <w:br/>
        <w:t xml:space="preserve">   en que se alegue que  un  acto  del  Estado,  ejecutado  contra  personas</w:t>
        <w:br/>
        <w:t xml:space="preserve">   determinadas, es  contrario  a  la  Convención[168].  Por  lo  tanto,  el</w:t>
        <w:br/>
        <w:t xml:space="preserve">   Tribunal no estima procedente pronunciarse sobre el artículo 15 de la Ley</w:t>
        <w:br/>
        <w:t xml:space="preserve">   No. 19.992.</w:t>
        <w:br/>
        <w:br/>
        <w:br/>
        <w:t xml:space="preserve">       C.2.3) Sobre los artículos 150 A y 150 B del Código Penal y 330 del</w:t>
        <w:br/>
        <w:t xml:space="preserve">       Código de Justicia Militar</w:t>
        <w:br/>
        <w:br/>
        <w:br/>
        <w:t>158. Las representantes alegaron que los  artículos  “150  A  y  150  B  del</w:t>
        <w:br/>
        <w:t xml:space="preserve">   Código Penal no son aplicables a la época de los hechos, [por lo  que  el</w:t>
        <w:br/>
        <w:t xml:space="preserve">   Estado] está cometiendo […]  un  “error”  de  derecho  por  la  falta  de</w:t>
        <w:br/>
        <w:t xml:space="preserve">   vigencia temporal de la [L]ey”. En respuesta a ello, el Estado  manifestó</w:t>
        <w:br/>
        <w:t xml:space="preserve">   que lo  planteado  por  las  representantes  “no  es  relevante  para  la</w:t>
        <w:br/>
        <w:t xml:space="preserve">   tramitación del juicio interno de investigación”. Además mencionó que  se</w:t>
        <w:br/>
        <w:t xml:space="preserve">   aprobó la Ley No. 20.357, que tipifica la tortura en el marco de crímenes</w:t>
        <w:br/>
        <w:t xml:space="preserve">   de lesa humanidad, genocidio y crímenes de guerra, pero no surge  de  los</w:t>
        <w:br/>
        <w:t xml:space="preserve">   hechos que dicha ley esté siendo aplicada en la investigación iniciada en</w:t>
        <w:br/>
        <w:t xml:space="preserve">   el presente caso. Por  otra  parte,  luego  de  remitida  la  información</w:t>
        <w:br/>
        <w:t xml:space="preserve">   respectiva solicitada por la Corte, el Estado  indicó  que  la  redacción</w:t>
        <w:br/>
        <w:t xml:space="preserve">   actual del artículo 330  del  Código  de  Justicia  Militar  no  ha  sido</w:t>
        <w:br/>
        <w:t xml:space="preserve">   modificado desde el año 1970. Además, el Estado objetó el cuestionamiento</w:t>
        <w:br/>
        <w:t xml:space="preserve">   hecho por los  representantes  respecto  a  dichas  normas  y  consideró,</w:t>
        <w:br/>
        <w:t xml:space="preserve">   igualmente, que no procede declarar violación alguna con base en ello.</w:t>
        <w:br/>
        <w:br/>
        <w:t>159.  Al respecto, cabe señalar que la  Comisión  en  su  Informe  de  Fondo</w:t>
        <w:br/>
        <w:t xml:space="preserve">   aludió a los alegatos de las representantes en  el  sentido  de  que  los</w:t>
        <w:br/>
        <w:t xml:space="preserve">   artículos 150 A y 150 B del Código Penal chileno y el  artículo  330  del</w:t>
        <w:br/>
        <w:t xml:space="preserve">   Código Penal Militar adolecen de diversos problemas y que sostuvieron que</w:t>
        <w:br/>
        <w:t xml:space="preserve">   “esas disposiciones de derecho interno chileno violan los artículos  2  y</w:t>
        <w:br/>
        <w:t xml:space="preserve">   8.1 de la Convención Americana”. Sin embargo, la Comisión no se pronunció</w:t>
        <w:br/>
        <w:t xml:space="preserve">   sobre esa cuestión.  Por otra parte, pese a  señalar,  en  cuanto  a  los</w:t>
        <w:br/>
        <w:t xml:space="preserve">   artículos 150 A y 150 B del Código Penal,  el  aludido  “básico  y  serio</w:t>
        <w:br/>
        <w:t xml:space="preserve">   error de derecho” mencionado en su escrito de alegatos finales  escritos,</w:t>
        <w:br/>
        <w:t xml:space="preserve">   las  representantes  se  limitaron  a  efectuar  ese  señalamiento,   sin</w:t>
        <w:br/>
        <w:t xml:space="preserve">   desarrollar cuáles serían a su entender  las  normas  aplicables.  Además</w:t>
        <w:br/>
        <w:t xml:space="preserve">   argumentaron sobre aspectos puntuales relativos a esas  normas  así  como</w:t>
        <w:br/>
        <w:t xml:space="preserve">   respecto al artículo 330 del Código de Justicia  Militar,  que  harían  a</w:t>
        <w:br/>
        <w:t xml:space="preserve">   dichas  disposiciones  incompatibles  con   compromisos   internacionales</w:t>
        <w:br/>
        <w:t xml:space="preserve">   asumidos por el Estado. No  obstante,  no  indicaron  cómo,  en  relación</w:t>
        <w:br/>
        <w:t xml:space="preserve">   específica con los hechos del caso sub examine, generarían  un  perjuicio</w:t>
        <w:br/>
        <w:t xml:space="preserve">   la aducida restricción de las figuras penales a  actos  cometidos  contra</w:t>
        <w:br/>
        <w:t xml:space="preserve">   personas privadas de libertad o la falta de sanción de la tentativa.</w:t>
        <w:br/>
        <w:br/>
        <w:t>160.   Además,  no  surge  de  los  hechos  demostrados   que   la   aducida</w:t>
        <w:br/>
        <w:t xml:space="preserve">   prescripción de 10 años fuera aplicada o impidiera o  limitara  de  algún</w:t>
        <w:br/>
        <w:t xml:space="preserve">   modo la prosecución de la investigación  de  los  hechos  pertinentes  en</w:t>
        <w:br/>
        <w:t xml:space="preserve">   relación con el presente caso. De hecho, se advierte que no obstó  a  que</w:t>
        <w:br/>
        <w:t xml:space="preserve">   se realice la apertura interna de la investigación luego  de  más  de  36</w:t>
        <w:br/>
        <w:t xml:space="preserve">   años desde que el señor García Lucero saliera de Chile después  de  haber</w:t>
        <w:br/>
        <w:t xml:space="preserve">   sido expulsado del país. En cuanto a  los  alegatos  sobre  la  falta  de</w:t>
        <w:br/>
        <w:t xml:space="preserve">   proporcionalidad de penas aplicables, no surge del acervo probatorio  que</w:t>
        <w:br/>
        <w:t xml:space="preserve">   la norma sobre la llamada “media-prescripción” haya tenido aplicación  en</w:t>
        <w:br/>
        <w:t xml:space="preserve">   la investigación en curso, ni hay elementos suficientes  para  tener  por</w:t>
        <w:br/>
        <w:t xml:space="preserve">   acreditado que la misma derivaría de modo indefectible en  la  imposición</w:t>
        <w:br/>
        <w:t xml:space="preserve">   de penas faltas de proporcionalidad[169].</w:t>
        <w:br/>
        <w:br/>
        <w:t>161. Por lo expuesto,  el  Tribunal  no  encuentra  procedente  pronunciarse</w:t>
        <w:br/>
        <w:t xml:space="preserve">   sobre las alegaciones de las representantes sobre los artículos 150  A  y</w:t>
        <w:br/>
        <w:t xml:space="preserve">   150  B  del  Código  Penal,  330  del  Código  de  Justicia  Militar,  la</w:t>
        <w:br/>
        <w:t xml:space="preserve">   prescripción y la llamada “media-prescripción”. No obstante  lo  señalado</w:t>
        <w:br/>
        <w:t xml:space="preserve">   anteriormente, en cualquier caso, es pertinente advertir  que  un  actuar</w:t>
        <w:br/>
        <w:t xml:space="preserve">   diligente en la investigación de los hechos implica, inter alia,  que  el</w:t>
        <w:br/>
        <w:t xml:space="preserve">   Estado  aplique  normas  que,  de  ser  el  caso,  permitan   la   debida</w:t>
        <w:br/>
        <w:t xml:space="preserve">   investigación y, si procede, la sanción de los responsables.</w:t>
        <w:br/>
        <w:br/>
        <w:t xml:space="preserve">  Sobre los procesos internos para el reclamo de medidas de reparación</w:t>
        <w:br/>
        <w:br/>
        <w:br/>
        <w:br/>
        <w:t xml:space="preserve">    D.1) Argumentos de la Comisión y de las partes</w:t>
        <w:br/>
        <w:br/>
        <w:br/>
        <w:t>162. La Comisión  indicó  que  “toda  víctima  de  violaciones  de  derechos</w:t>
        <w:br/>
        <w:t xml:space="preserve">   humanos tiene el derecho a recibir una reparación integral por parte  del</w:t>
        <w:br/>
        <w:t xml:space="preserve">   Estado responsable”. Reconoció el programa de  reparaciones  implementado</w:t>
        <w:br/>
        <w:t xml:space="preserve">   por el Estado, pero afirmó que el mismo  “no  es  parte  del  objeto  del</w:t>
        <w:br/>
        <w:t xml:space="preserve">   presente caso, [dado que] no ha sido  ni  puede  ser  aplicado  al  señor</w:t>
        <w:br/>
        <w:t xml:space="preserve">   García Lucero”, quien “no ha recibido ninguna medida  de  reparación  por</w:t>
        <w:br/>
        <w:t xml:space="preserve">   parte de dicho programa”. No  obstante,  advirtió  que  el  señor  García</w:t>
        <w:br/>
        <w:t xml:space="preserve">   Lucero recibió un bono como compensación  por  la  tortura  sufrida,  mas</w:t>
        <w:br/>
        <w:t xml:space="preserve">   indicó que el mismo  “no  [es]  una  reparación  integral  para  el  caso</w:t>
        <w:br/>
        <w:t xml:space="preserve">   específico”, teniendo en cuenta que sufre de una discapacidad  permanente</w:t>
        <w:br/>
        <w:t xml:space="preserve">   como consecuencia [de dicha] tortura. Afirmó que en  “[e]l  caso  de  una</w:t>
        <w:br/>
        <w:t xml:space="preserve">   [víctima] con discapacidad permanente física y mental  […]  es  necesario</w:t>
        <w:br/>
        <w:t xml:space="preserve">   que los Estados adopten medidas de indemnización y rehabilitación”.</w:t>
        <w:br/>
        <w:br/>
        <w:t>163. Manifestó que el señor  García  Lucero  necesita  sesiones  de  terapia</w:t>
        <w:br/>
        <w:t xml:space="preserve">   psicológica, individuales y familiares, así  como  terapia  física,  como</w:t>
        <w:br/>
        <w:t xml:space="preserve">   medidas de rehabilitación, y que si bien el Estado desarrolló un  sistema</w:t>
        <w:br/>
        <w:t xml:space="preserve">   de reparación en materia de salud denominado “PRAIS”, la presunta víctima</w:t>
        <w:br/>
        <w:t xml:space="preserve">   no puede acceder al mismo, por no residir en el país. Expresó al respecto</w:t>
        <w:br/>
        <w:t xml:space="preserve">   que el derecho a “recibir una reparación integral” de  “toda  víctima  de</w:t>
        <w:br/>
        <w:t xml:space="preserve">   violaciones de derechos humanos” se  detenta  “sin  perjuicio  del  lugar</w:t>
        <w:br/>
        <w:t xml:space="preserve">   donde [la víctima] resida”. Adujo que “ha quedado sin controversia” en el</w:t>
        <w:br/>
        <w:t xml:space="preserve">   caso, que “el marco de reparaciones en Chile excluye a  las  personas  en</w:t>
        <w:br/>
        <w:t xml:space="preserve">   situación de exilio que no quieran o puedan retornar a Chile”. Agregó que</w:t>
        <w:br/>
        <w:t xml:space="preserve">   la “jurisprudencia de la Corte  […]  ha  indicado  que  las  reparaciones</w:t>
        <w:br/>
        <w:t xml:space="preserve">   tienen que satisfacerse aun en situación de exilio cuando la  persona  no</w:t>
        <w:br/>
        <w:t xml:space="preserve">   vive en el país”.</w:t>
        <w:br/>
        <w:br/>
        <w:t>164. Las representantes expresaron que  el  presente  “no  es  un  caso  […]</w:t>
        <w:br/>
        <w:t xml:space="preserve">   referido a la tortura sino […] de  acceso  a  la  justicia  y  reparación</w:t>
        <w:br/>
        <w:t xml:space="preserve">   adecuada”. Indicaron que “la denegación de justicia” no se  dio  solo  en</w:t>
        <w:br/>
        <w:t xml:space="preserve">   relación con la investigación, sino también por la falta  de  reparación,</w:t>
        <w:br/>
        <w:t xml:space="preserve">   que debe resarcir el daño en forma integral. Manifestaron que “[e]l señor</w:t>
        <w:br/>
        <w:t xml:space="preserve">   García  Lucero  no  ha  recibido  reparación  integral  por  su  tortura,</w:t>
        <w:br/>
        <w:t xml:space="preserve">   detención ilegal y exilio[,] ya que las  reparaciones  recibidas  no  son</w:t>
        <w:br/>
        <w:t xml:space="preserve">   adecuadas, no fueron prontas y no han sido efectivas[. …] Su esposa y sus</w:t>
        <w:br/>
        <w:t xml:space="preserve">   hijas no han sido reconocidas como víctimas y  no  han  recibido  ninguna</w:t>
        <w:br/>
        <w:t xml:space="preserve">   forma de reparación, entre otras razones por estar en el exilio”. Si bien</w:t>
        <w:br/>
        <w:t xml:space="preserve">   el señor García Lucero y su familia “reconocen el esfuerzo hecho  por  el</w:t>
        <w:br/>
        <w:t xml:space="preserve">   Estado […] para reparar a diversas víctimas  de  violaciones  a  derechos</w:t>
        <w:br/>
        <w:t xml:space="preserve">   humanos durante la dictadura militar  […]  consideran  que  las  diversas</w:t>
        <w:br/>
        <w:t xml:space="preserve">   políticas p[ú]blicas […] no han […] reparado de manera adecuada  […]  los</w:t>
        <w:br/>
        <w:t xml:space="preserve">   daños producidos”[170].</w:t>
        <w:br/>
        <w:br/>
        <w:t>165. Advirtieron las representantes  que  “[a]  primera  vista”  el  uso  de</w:t>
        <w:br/>
        <w:t xml:space="preserve">   “programa[s] de reparación” parece “irreconciliable” con el  “derecho  de</w:t>
        <w:br/>
        <w:t xml:space="preserve">   toda persona a la reparación por el daño sufrido”. No obstante, indicaron</w:t>
        <w:br/>
        <w:t xml:space="preserve">   que “pueden reconciliarse[, … e]n  la  medida  en  que  un  programa  […]</w:t>
        <w:br/>
        <w:t xml:space="preserve">   incluya diferentes formas de reparación (y no se limite  a  una  como  la</w:t>
        <w:br/>
        <w:t xml:space="preserve">   compensación) [dado que] gana en términos de complejidad[,] pero  también</w:t>
        <w:br/>
        <w:t xml:space="preserve">   en  su  posibilidad  de  reconocer  y  reparar  los  daños   individuales</w:t>
        <w:br/>
        <w:t xml:space="preserve">   producidos”. Refirieron que “todo programa de reparación debe construirse</w:t>
        <w:br/>
        <w:t xml:space="preserve">   sobre la base del principio de no discriminación”.  Advirtieron  que  las</w:t>
        <w:br/>
        <w:t xml:space="preserve">   “víctimas en las condiciones del [s]eñor García Lucero o [su esposa…]  no</w:t>
        <w:br/>
        <w:t xml:space="preserve">   tienen acceso al [Programa] PRAIS (salud) en el Reino Unido mientras  que</w:t>
        <w:br/>
        <w:t xml:space="preserve">   víctimas sobrevivientes de tortura que están en Chile, y sus familias  en</w:t>
        <w:br/>
        <w:t xml:space="preserve">   primer grado, s[í]  lo  tienen”.  Consideraron  que  "[e]ste  tratamiento</w:t>
        <w:br/>
        <w:t xml:space="preserve">   diferencial  es  injustificado”.  En  el  escrito  de  alegatos   finales</w:t>
        <w:br/>
        <w:t xml:space="preserve">   señalaron que “constituye tratamiento discriminatorio  en  violación  del</w:t>
        <w:br/>
        <w:t xml:space="preserve">   [a]rtículo 1.1 de la Convención Americana”. Expresaron que “[e]l  derecho</w:t>
        <w:br/>
        <w:t xml:space="preserve">   a una reparación adecuada […] no puede estar condicionado […] a  que  las</w:t>
        <w:br/>
        <w:t xml:space="preserve">   víctimas se encuentren en el territorio del Estado que debe reparar”.</w:t>
        <w:br/>
        <w:br/>
        <w:t>166. Indicaron que “hay un elemento que resulta fundamental para  el  enlace</w:t>
        <w:br/>
        <w:t xml:space="preserve">   entre la reparación colectiva y la reparación individual” y  es  que  “la</w:t>
        <w:br/>
        <w:t xml:space="preserve">   reparación de carácter colectivo o a través de programas de reparación no</w:t>
        <w:br/>
        <w:t xml:space="preserve">   puede substraer de la víctima su derecho a un recurso efectivo y adecuado</w:t>
        <w:br/>
        <w:t xml:space="preserve">   para alegar que elementos del programa de reparación violan su derecho  a</w:t>
        <w:br/>
        <w:t xml:space="preserve">   una reparación integral”. Señalaron que  los  artículos  8  y  25  de  la</w:t>
        <w:br/>
        <w:t xml:space="preserve">   Convención, así como el 9 de la Convención Interamericana para Prevenir y</w:t>
        <w:br/>
        <w:t xml:space="preserve">   Sancionar la Tortura obligan al Estado a asegurar  que  las  víctimas  de</w:t>
        <w:br/>
        <w:t xml:space="preserve">   tortura puedan iniciar “acciones  civiles  […]  para  obtener  reparación</w:t>
        <w:br/>
        <w:t xml:space="preserve">   integral”.</w:t>
        <w:br/>
        <w:br/>
        <w:t>167. En relación con lo anterior en su escrito de solicitudes  y  argumentos</w:t>
        <w:br/>
        <w:t xml:space="preserve">   adujeron que la vigencia del Decreto-Ley No. 2.191 y del artículo  15  de</w:t>
        <w:br/>
        <w:t xml:space="preserve">   la Ley No. 19.992 impedían, además del desarrollo  de  la  investigación,</w:t>
        <w:br/>
        <w:t xml:space="preserve">   las posibilidades de reclamar reparaciones.</w:t>
        <w:br/>
        <w:br/>
        <w:t>168. Señalaron que para tal reclamo una primera  vía  sería  un  “juicio  de</w:t>
        <w:br/>
        <w:t xml:space="preserve">   hacienda” contra el Estado, que según las representantes se trata  de  un</w:t>
        <w:br/>
        <w:t xml:space="preserve">   recurso  adecuado  pero  inefectivo  para  amparar  el  “derecho  a   una</w:t>
        <w:br/>
        <w:t xml:space="preserve">   reparación integral”. Agregaron que de una “multitud de juicios” de  este</w:t>
        <w:br/>
        <w:t xml:space="preserve">   tipo en relación con crímenes de la dictadura “solo uno ha prosperado”, y</w:t>
        <w:br/>
        <w:t xml:space="preserve">   que “la  razón  comúnmente  aludida  por  los  tribunales  chilenos  para</w:t>
        <w:br/>
        <w:t xml:space="preserve">   desestimar dichas acciones es la prescripción de la acción la cual es  de</w:t>
        <w:br/>
        <w:t xml:space="preserve">   [cuatro] años a partir de la  ocurrencia  del  delito  de  acuerdo  a  lo</w:t>
        <w:br/>
        <w:t xml:space="preserve">   establecido por el [a]rtículo 2332 del Código Civil”[171]. En lo que hace</w:t>
        <w:br/>
        <w:t xml:space="preserve">   a su  afirmación,  antes  señalada,  de  que  “los  tribunales  chilenos”</w:t>
        <w:br/>
        <w:t xml:space="preserve">   desestiman ciertas acciones, precisaron luego, en su escrito de  alegatos</w:t>
        <w:br/>
        <w:t xml:space="preserve">   finales que es “la Sala Constitucional  de  la  Corte  Suprema  [la  que]</w:t>
        <w:br/>
        <w:t xml:space="preserve">   constantemente […] rechaza  [demandas  de  indemnización  por  los  daños</w:t>
        <w:br/>
        <w:t xml:space="preserve">   resultantes del delito que no se dirimen en sede penal], siguiendo la […]</w:t>
        <w:br/>
        <w:t xml:space="preserve">   tesis […] de la prescriptibilidad de la acción civil derivada de crímenes</w:t>
        <w:br/>
        <w:t xml:space="preserve">   contra la humanidad”. Afirmaron que, por  el  contrario  dichas  demandas</w:t>
        <w:br/>
        <w:t xml:space="preserve">   “son por lo general acogidas por los tribunales de  primera  instancia  o</w:t>
        <w:br/>
        <w:t xml:space="preserve">   por las Cortes de Apelaciones”.</w:t>
        <w:br/>
        <w:br/>
        <w:t>169. Indicaron las representantes que otra vía posible es tratar de  obtener</w:t>
        <w:br/>
        <w:t xml:space="preserve">   reparación dentro del proceso penal “una vez [que] el mismo  culmina  con</w:t>
        <w:br/>
        <w:t xml:space="preserve">   una condena tanto contra el perpetrador como contra el Fisco”.  Esta  vía</w:t>
        <w:br/>
        <w:t xml:space="preserve">   tampoco es efectiva debido “a la aplicación de  estatutos  de  limitación</w:t>
        <w:br/>
        <w:t xml:space="preserve">   (sic) como la prescripción de la acción civil”. También manifestaron  que</w:t>
        <w:br/>
        <w:t xml:space="preserve">   después del año 2007 la Corte Suprema declaró procedente 27  demandas  de</w:t>
        <w:br/>
        <w:t xml:space="preserve">   indemnización, relacionadas a “crímenes perpetrados durante la  dictadura</w:t>
        <w:br/>
        <w:t xml:space="preserve">   militar” planteadas en el marco de procesos penales. Señalaron que, en el</w:t>
        <w:br/>
        <w:t xml:space="preserve">   caso hay una imposibilidad en relación con esta vía de reclamo  debido  a</w:t>
        <w:br/>
        <w:t xml:space="preserve">   la falta de investigación efectiva y adecuada de la tortura  y  detención</w:t>
        <w:br/>
        <w:t xml:space="preserve">   del señor García Lucero.</w:t>
        <w:br/>
        <w:br/>
        <w:t>170. Las representantes explicaron  que  asesoran  al  señor  García  Lucero</w:t>
        <w:br/>
        <w:t xml:space="preserve">   desde  el  año   1994,   y   que   consultaron   a   “organizaciones   no</w:t>
        <w:br/>
        <w:t xml:space="preserve">   gubernamentales” que “informa[ron] que no había  ninguna  posibilidad  de</w:t>
        <w:br/>
        <w:t xml:space="preserve">   hacer una demanda criminal ni presentar un caso civil”, por  lo  que  “se</w:t>
        <w:br/>
        <w:t xml:space="preserve">   centr[aron] en asesorar al señor García Lucero en  la  obtención  de  una</w:t>
        <w:br/>
        <w:t xml:space="preserve">   pensión en Chile [por su carácter de‘]exonerado político[’]”.</w:t>
        <w:br/>
        <w:br/>
        <w:t>171. Las representantes aclararon  que  el  texto  de  la  Ley  No.  19.234,</w:t>
        <w:br/>
        <w:t xml:space="preserve">   relativa a “exonerados políticos” establece,  según  la  literalidad  del</w:t>
        <w:br/>
        <w:t xml:space="preserve">   artículo 6 de la norma, que de arribarse a la “transacción” que prevé  la</w:t>
        <w:br/>
        <w:t xml:space="preserve">   ley “el interesado […] deberá renunciar a toda acción”. Por  otra  parte,</w:t>
        <w:br/>
        <w:t xml:space="preserve">   indicaron que  la  Ley  No.  19.992,  que  estableció  reparaciones  para</w:t>
        <w:br/>
        <w:t xml:space="preserve">   víctimas  de  “prisión  política”  y  tortura,   “no   incorpora   normas</w:t>
        <w:br/>
        <w:t xml:space="preserve">   semejantes” por lo que “las víctimas podrían hacer uso  de  los  recursos</w:t>
        <w:br/>
        <w:t xml:space="preserve">   existentes en el derecho chileno” para objetar  el  monto  de  reparación</w:t>
        <w:br/>
        <w:t xml:space="preserve">   asignado por dicha ley. No obstante, advirtieron que “esto no es posible,</w:t>
        <w:br/>
        <w:t xml:space="preserve">   toda  vez  que  ningún  juez   de   la   República   estaría   legitimado</w:t>
        <w:br/>
        <w:t xml:space="preserve">   constitucionalmente para revisar la legalidad de un monto establecido por</w:t>
        <w:br/>
        <w:t xml:space="preserve">   la ley”. Expresaron que  “[a]  pesar  de  esto  es  dable  considerar  la</w:t>
        <w:br/>
        <w:t xml:space="preserve">   posibilidad de utilizar un recurso de carácter  constitucional  para  […]</w:t>
        <w:br/>
        <w:t xml:space="preserve">   alegar que el monto de reparación no es  el  adecuado”.  En  ese  sentido</w:t>
        <w:br/>
        <w:t xml:space="preserve">   identificaron  dos  recursos:  “[l]a   inaplicabilidad   por   causa   de</w:t>
        <w:br/>
        <w:t xml:space="preserve">   inconstitucionalidad contemplada en el artículo 93, No.  6  de  la  Carta</w:t>
        <w:br/>
        <w:t xml:space="preserve">   Fundamental” y “la acción de  inconstitucionalidad”.  Sobre  el  primero,</w:t>
        <w:br/>
        <w:t xml:space="preserve">   consideraron que “[e]n Chile es  impensable  que  un  tribunal  del  país</w:t>
        <w:br/>
        <w:t xml:space="preserve">   acceda siquiera a conocer una reclamación contra  un  elemento  (en  [el]</w:t>
        <w:br/>
        <w:t xml:space="preserve">   caso un monto de reparación) fijado por  el  legislador  previamente.  De</w:t>
        <w:br/>
        <w:t xml:space="preserve">   hecho las facultades dadas al Tribunal Constitucional sobre  la  Ley  son</w:t>
        <w:br/>
        <w:t xml:space="preserve">   bastante limitadas”.  Sobre  el  segundo  afirmaron  que  “tampoco  sería</w:t>
        <w:br/>
        <w:t xml:space="preserve">   aplicable debido a que depende de que  haya  una  declaración  previa  de</w:t>
        <w:br/>
        <w:t xml:space="preserve">   inaplicabilidad de un precepto legal […] de acuerdo al artículo 93, No. 6</w:t>
        <w:br/>
        <w:t xml:space="preserve">   ya mencionado”. Las representantes consideraron que “se debe concluir que</w:t>
        <w:br/>
        <w:t xml:space="preserve">   no existen otros recursos judiciales o administrativos para  demandar  el</w:t>
        <w:br/>
        <w:t xml:space="preserve">   monto de la pensión o del bono, dependiendo del caso,  otorgados  por  la</w:t>
        <w:br/>
        <w:t xml:space="preserve">   [l]ey 19.992”.</w:t>
        <w:br/>
        <w:br/>
        <w:t>172. Por otra parte, en cuanto a la pensión por el  carácter  de  “exonerado</w:t>
        <w:br/>
        <w:t xml:space="preserve">   político”, sostuvieron que fue otorgada con “dilación injustificada”,  ya</w:t>
        <w:br/>
        <w:t xml:space="preserve">   que el señor García Lucero la recibe desde el 2000, “[siete] años después</w:t>
        <w:br/>
        <w:t xml:space="preserve">   de  haber  solicitado  la  protección  de  [sus  derechos].   Expresaron,</w:t>
        <w:br/>
        <w:t xml:space="preserve">   igualmente, que el señor García Lucero “recibe  esta  pensión  de  manera</w:t>
        <w:br/>
        <w:t xml:space="preserve">   retroactiva desde septiembre de 1998”.</w:t>
        <w:br/>
        <w:br/>
        <w:t>173. El Estado aseveró que</w:t>
        <w:br/>
        <w:br/>
        <w:t xml:space="preserve">       hoy es evidente y no es materia de discusión que  los  Estados  están</w:t>
        <w:br/>
        <w:t xml:space="preserve">       obligados a  reparar  a  las  víctimas  de  violaciones  de  derechos</w:t>
        <w:br/>
        <w:t xml:space="preserve">       humanos. Dicha obligación es un principio del  derecho  internacional</w:t>
        <w:br/>
        <w:t xml:space="preserve">       público y una  norma  acogida  por  el  sistema  convencional,  tanto</w:t>
        <w:br/>
        <w:t xml:space="preserve">       universal como regional[172].</w:t>
        <w:br/>
        <w:br/>
        <w:t>174. En relación con las reparaciones brindadas al señor García  Lucero,  el</w:t>
        <w:br/>
        <w:t xml:space="preserve">   Estado señaló que dado que el hecho ocurrió bajo el régimen  militar  que</w:t>
        <w:br/>
        <w:t xml:space="preserve">   gobernó  el  país  entre  los  años  1973   y   1990,   existen   ciertas</w:t>
        <w:br/>
        <w:t xml:space="preserve">   particularidades que  deben  ser  consideradas.  Así,  los  criterios  de</w:t>
        <w:br/>
        <w:t xml:space="preserve">   reparación “han debido ser redefinidos” en los “procesos de transición  a</w:t>
        <w:br/>
        <w:t xml:space="preserve">   la democracia, en que se ha debido hacer frente a violaciones  masivas  y</w:t>
        <w:br/>
        <w:t xml:space="preserve">   sistemáticas de derechos humanos”. Para “hacerse cargo de un  proceso  de</w:t>
        <w:br/>
        <w:t xml:space="preserve">   transición a la democracia”, la elaboración por parte del  Estado  de  un</w:t>
        <w:br/>
        <w:t xml:space="preserve">   “[p]rograma de [r]eparaciones” parece  un  medio  eficaz  para  articular</w:t>
        <w:br/>
        <w:t xml:space="preserve">   coordinadamente todos los esfuerzos que el Estado pueda llevar adelante”.</w:t>
        <w:br/>
        <w:t xml:space="preserve">   Expresó que “los programas cumplen con el requisito  de  la  integralidad</w:t>
        <w:br/>
        <w:t xml:space="preserve">   donde las medidas que  se  han  dispuesto  […]  contemplan  […]  aspectos</w:t>
        <w:br/>
        <w:t xml:space="preserve">   materiales, morales y sociales propios de un proceso  de  reparación  por</w:t>
        <w:br/>
        <w:t xml:space="preserve">   violaciones de  derechos  humanos”.  Aseveró  también,  haciendo  propias</w:t>
        <w:br/>
        <w:t xml:space="preserve">   consideraciones del Grupo de Trabajo  sobre  Desapariciones  Forzadas  de</w:t>
        <w:br/>
        <w:t xml:space="preserve">   Naciones Unidas, vertidas en un informe sobre la  visita  que  realizó  a</w:t>
        <w:br/>
        <w:t xml:space="preserve">   Chile en agosto de 2012, que</w:t>
        <w:br/>
        <w:br/>
        <w:t xml:space="preserve">       [e]n programas de reparaciones masivas,  donde  puede  ser  imposible</w:t>
        <w:br/>
        <w:t xml:space="preserve">       evaluar el daño sufrido  por  cada  víctima  individual  o  donde  la</w:t>
        <w:br/>
        <w:t xml:space="preserve">       reparación total del daño hecho sea semejantemente imposible, incluso</w:t>
        <w:br/>
        <w:t xml:space="preserve">       el programa más generoso no será suficiente si lo que se espera es la</w:t>
        <w:br/>
        <w:t xml:space="preserve">       reparación de todo el daño. Sin  embargo,  puede  otorgar  soluciones</w:t>
        <w:br/>
        <w:t xml:space="preserve">       concretas a algunos de los problemas que se derivan del daño sufrido.</w:t>
        <w:br/>
        <w:br/>
        <w:br/>
        <w:br/>
        <w:t>175. El Estado enfatizó que en Chile se desarrollaron diversas acciones  que</w:t>
        <w:br/>
        <w:t xml:space="preserve">   fueron valoradas positivamente por la Corte en su sentencia sobre el caso</w:t>
        <w:br/>
        <w:t xml:space="preserve">   Almonacid Arellano y otros[173]. Adujo que “[e]l sistema de  reparaciones</w:t>
        <w:br/>
        <w:t xml:space="preserve">   implementado en Chile se ajusta a los estándares  internacionales  en  la</w:t>
        <w:br/>
        <w:t xml:space="preserve">   materia”, el cual “abarca diversas aristas, entre las  que  se  destacan:</w:t>
        <w:br/>
        <w:t xml:space="preserve">   salud, previsión social, educación, vivienda, memoria, verdad y justicia”</w:t>
        <w:br/>
        <w:t xml:space="preserve">   y afirmó que dicho sistema abarca “dos dimensiones de  reparaciones”.  La</w:t>
        <w:br/>
        <w:t xml:space="preserve">   primera “tiene que ver con una dimensión más bien colectiva en virtud  de</w:t>
        <w:br/>
        <w:t xml:space="preserve">   la cual se han establecido, además de otros beneficios,  reparaciones  de</w:t>
        <w:br/>
        <w:t xml:space="preserve">   índole económica, cuyo monto es igual para todas las víctimas  que  hayan</w:t>
        <w:br/>
        <w:t xml:space="preserve">   sido calificadas por las [c]omisiones a las que  se  les  ha  encomendado</w:t>
        <w:br/>
        <w:t xml:space="preserve">   dicha labor”. La segunda “tiene que ver con  una  perspectiva  individual</w:t>
        <w:br/>
        <w:t xml:space="preserve">   […] supone la consideración de elementos individuales”, y se  enlaza  con</w:t>
        <w:br/>
        <w:t xml:space="preserve">   medidas relativas “al ámbito de la salud”, vinculadas al programa  PRAIS,</w:t>
        <w:br/>
        <w:t xml:space="preserve">   como también a la educación y a la vivienda. Así, “las víctimas  que  por</w:t>
        <w:br/>
        <w:t xml:space="preserve">   razón de prisión política  o  tortura,  vieron  impedidos  sus  estudios,</w:t>
        <w:br/>
        <w:t xml:space="preserve">   tienen derecho a que el Estado  les  garantice  la  continuidad  de  [los</w:t>
        <w:br/>
        <w:t xml:space="preserve">   mismos]”.  Además,  “se  establecen  medidas  que  buscan  favorecer   la</w:t>
        <w:br/>
        <w:t xml:space="preserve">   adquisición de una vivienda para quienes no la posean, así como obras  de</w:t>
        <w:br/>
        <w:t xml:space="preserve">   mejoramiento para propietarios y  propietarias  de  viviendas  sociales”.</w:t>
        <w:br/>
        <w:t xml:space="preserve">   Respecto al caso, afirmó que el señor García Lucero es una de las  tantas</w:t>
        <w:br/>
        <w:t xml:space="preserve">   personas beneficiadas por las diversas medidas de reparación, por lo  que</w:t>
        <w:br/>
        <w:t xml:space="preserve">   no se han violado sus derechos[174].</w:t>
        <w:br/>
        <w:br/>
        <w:t>176. El Estado adujo también que “[d]urante el período 1973–1990 […]  muchos</w:t>
        <w:br/>
        <w:t xml:space="preserve">   chilenos sufrieron el exilio. […] Cuando pudieron volver, el  Estado  fue</w:t>
        <w:br/>
        <w:t xml:space="preserve">   en su ayuda de distinta manera”.  Indicó  al  respecto  diversas  medidas</w:t>
        <w:br/>
        <w:t xml:space="preserve">   legislativas mediante las que “creo la Oficina Nacional de  Retorno;  […]</w:t>
        <w:br/>
        <w:t xml:space="preserve">   otorgó ciertas franquicias aduaneras  a  los  retornados,  y  […]  otorgó</w:t>
        <w:br/>
        <w:t xml:space="preserve">   beneficios a los deudores del Banco del Estado que obtuvieron créditos en</w:t>
        <w:br/>
        <w:t xml:space="preserve">   el marco del programa de créditos  para  el  establecimiento  por  cuenta</w:t>
        <w:br/>
        <w:t xml:space="preserve">   propia de chilenos retornados”. Explicó que  “[los]  criterios  generales</w:t>
        <w:br/>
        <w:t xml:space="preserve">   [del sistema de reparación] suponen la presencia  de  la  víctima  en  el</w:t>
        <w:br/>
        <w:t xml:space="preserve">   país”, y que “el sistema está basado en que la víctima regrese al país  o</w:t>
        <w:br/>
        <w:t xml:space="preserve">   esté en el país[, …p]orque de lo que se trata es  de  reinsertar  a  esas</w:t>
        <w:br/>
        <w:t xml:space="preserve">   víctimas en el país del cual tuvieron que  salir  obligadamente”.  Afirmó</w:t>
        <w:br/>
        <w:t xml:space="preserve">   también que “desde el retorno a la democracia en Chile [en] el año  1990,</w:t>
        <w:br/>
        <w:t xml:space="preserve">   no existen personas en condición de exilio”. En ese sentido,  señaló  que</w:t>
        <w:br/>
        <w:t xml:space="preserve">   además de las reparaciones monetarias  que  recibió  y  recibe  el  señor</w:t>
        <w:br/>
        <w:t xml:space="preserve">   García Lucero, hay otras “en forma de prestaciones  particulares  en  las</w:t>
        <w:br/>
        <w:t xml:space="preserve">   áreas de salud, educación o viviendas [que] se encuentran  sujetas  a  la</w:t>
        <w:br/>
        <w:t xml:space="preserve">   residencia en Chile de [él] y/o su familia”. Expresó que</w:t>
        <w:br/>
        <w:br/>
        <w:t xml:space="preserve">       lo ideal sería que el señor García  Lucero  pudiera  viajar  a  Chile</w:t>
        <w:br/>
        <w:t xml:space="preserve">       porque ahí sería beneficiario él y su familia de todo el  sistema  de</w:t>
        <w:br/>
        <w:t xml:space="preserve">       reparación que existe en Chile y que lamentablemente […] es imposible</w:t>
        <w:br/>
        <w:t xml:space="preserve">       extenderlo a los exiliados que todavía viven en el extranjero por una</w:t>
        <w:br/>
        <w:t xml:space="preserve">       cuestión de temas prácticos y además de recursos,  porque  había  que</w:t>
        <w:br/>
        <w:t xml:space="preserve">       extraer recursos de los programas que se  aplican  en  Santiago  para</w:t>
        <w:br/>
        <w:t xml:space="preserve">       poder atender situaciones de chilenos que viven en el exterior.</w:t>
        <w:br/>
        <w:br/>
        <w:t>177. El Estado agregó  que  el  programa  de  reparaciones  implementado  en</w:t>
        <w:br/>
        <w:t xml:space="preserve">   Chile, “puede ser compatible con  la  posibilidad  de  que  las  víctimas</w:t>
        <w:br/>
        <w:t xml:space="preserve">   puedan  recurrir  a  instancias  judiciales,   ya   sean   nacionales   o</w:t>
        <w:br/>
        <w:t xml:space="preserve">   internacionales, con el objeto de plantear  sus  demandas  de  reparación</w:t>
        <w:br/>
        <w:t xml:space="preserve">   individualmente. En este sentido, […] debe contemplar la  legitimidad  de</w:t>
        <w:br/>
        <w:t xml:space="preserve">   estos caminos individuales y establecer las compatibilidades que permitan</w:t>
        <w:br/>
        <w:t xml:space="preserve">   acceder a los beneficios de uno y otro procedimiento”. Consideró  también</w:t>
        <w:br/>
        <w:t xml:space="preserve">   que “los hechos denunciados por el [señor] García Lucero […] deberían ser</w:t>
        <w:br/>
        <w:t xml:space="preserve">   calificados como crímenes de lesa humanidad, lo  que  de  acuerdo  a  los</w:t>
        <w:br/>
        <w:t xml:space="preserve">   tratados internacionales vigentes, generan responsabilidad del Estado con</w:t>
        <w:br/>
        <w:t xml:space="preserve">   la consecuente obligación de reparar, que  debe  ser  perseguida  en  los</w:t>
        <w:br/>
        <w:t xml:space="preserve">   tribunales internos.  No obstante,  también  indicó  que  en  tanto  “las</w:t>
        <w:br/>
        <w:t xml:space="preserve">   pensiones”  que  recibe  el  señor   García   Lucero   “constituyen   una</w:t>
        <w:br/>
        <w:t xml:space="preserve">   indemnización civil derivada del reconocimiento  de  responsabilidad  del</w:t>
        <w:br/>
        <w:t xml:space="preserve">   Estado, por las violaciones masivas y sistemáticas  de  derechos  humanos</w:t>
        <w:br/>
        <w:t xml:space="preserve">   ocurridas en la dictadura”, entonces “no procede jurídicamente  solicitar</w:t>
        <w:br/>
        <w:t xml:space="preserve">   una nueva indemnización por los mismos hechos en contra del Fisco”.</w:t>
        <w:br/>
        <w:br/>
        <w:t>178. Pese a lo anterior, aseveró que existe  la  posibilidad  de  establecer</w:t>
        <w:br/>
        <w:t xml:space="preserve">   una demanda contra el Estado, señalando que al  respecto  “no  existe  un</w:t>
        <w:br/>
        <w:t xml:space="preserve">   texto único [legal] que sistematice la responsabilidad del  Estado,  sino</w:t>
        <w:br/>
        <w:t xml:space="preserve">   que más bien ésta se encuentra consagrada en distintas  normas  de  rango</w:t>
        <w:br/>
        <w:t xml:space="preserve">   constitucional (tratados internacionales en materia de derechos  humanos)</w:t>
        <w:br/>
        <w:t xml:space="preserve">   y legal”. Entre esas normas, mencionó los  “artículos  748  [a]  752  del</w:t>
        <w:br/>
        <w:t xml:space="preserve">   Código  de  Procedimiento  Civil”,  que  regulan  el  “procedimiento   de</w:t>
        <w:br/>
        <w:t xml:space="preserve">   Hacienda”, que es “un procedimiento escrito tramitado bajo las reglas del</w:t>
        <w:br/>
        <w:t xml:space="preserve">   procedimiento ordinario civil de mayor cuantía”. Según  el  Estado,  este</w:t>
        <w:br/>
        <w:t xml:space="preserve">   procedimiento  “ha  demostrado  ser  una  vía  eficaz  para  obtener  una</w:t>
        <w:br/>
        <w:t xml:space="preserve">   indemnización civil”.</w:t>
        <w:br/>
        <w:br/>
        <w:t>179. Aclaró, al respecto, en cuanto a “la  prescripción”  que,  “no  debería</w:t>
        <w:br/>
        <w:t xml:space="preserve">   operar respecto de todas las acciones destinadas a obtener indemnización,</w:t>
        <w:br/>
        <w:t xml:space="preserve">   sin considerar o distinguir la naturaleza de la causa  que  da  origen  a</w:t>
        <w:br/>
        <w:t xml:space="preserve">   dicha acción”. Indicó que, “[e]n este sentido”  los  hechos  en  cuestión</w:t>
        <w:br/>
        <w:t xml:space="preserve">   serían “crímenes de  lesa  humanidad”.  Especificó,  en  respuesta  a  un</w:t>
        <w:br/>
        <w:t xml:space="preserve">   requerimiento del Tribunal  para  que  remita  la  norma  que  regula  la</w:t>
        <w:br/>
        <w:t xml:space="preserve">   prescripción de las acciones civiles, que</w:t>
        <w:br/>
        <w:br/>
        <w:br/>
        <w:t xml:space="preserve">       [e]n relación a las disposiciones legales que regulan la prescripción</w:t>
        <w:br/>
        <w:t xml:space="preserve">       de las acciones civiles, es preciso señalar que en Chile la fuente de</w:t>
        <w:br/>
        <w:t xml:space="preserve">       la  responsabilidad  civil  está   dada   por   normas   de   derecho</w:t>
        <w:br/>
        <w:t xml:space="preserve">       internacional de los derechos humanos, que se  encuentran  plenamente</w:t>
        <w:br/>
        <w:t xml:space="preserve">       incorporadas al derecho  interno,  conforme  a  lo  dispuesto  en  el</w:t>
        <w:br/>
        <w:t xml:space="preserve">       artículo 5º de la Constitución Política de la República[. …] En  este</w:t>
        <w:br/>
        <w:t xml:space="preserve">       sentido […] el criterio rector en materia  de  responsabilidad  civil</w:t>
        <w:br/>
        <w:t xml:space="preserve">       […]  se  encuentra  regulado  en  normas  y  principios  del  derecho</w:t>
        <w:br/>
        <w:t xml:space="preserve">       internacional de los derechos humanos[175].</w:t>
        <w:br/>
        <w:br/>
        <w:br/>
        <w:t>180. El Estado detalló que,</w:t>
        <w:br/>
        <w:br/>
        <w:t xml:space="preserve">       [d]e acuerdo con un informe preparado por la Procuraduría Criminal de</w:t>
        <w:br/>
        <w:t xml:space="preserve">       la Procuraduría Fiscal de Santiago hay  93  causas  fiscales  en  las</w:t>
        <w:br/>
        <w:t xml:space="preserve">       cuales existen  sentencias  definitivas  [que]  se  pronuncian  sobre</w:t>
        <w:br/>
        <w:t xml:space="preserve">       delitos vinculados con torturas ocurridas durante el gobierno militar</w:t>
        <w:br/>
        <w:t xml:space="preserve">       y,  en  su  caso,  sobre  las   correspondientes   demandas   civiles</w:t>
        <w:br/>
        <w:t xml:space="preserve">       presentadas […], [e]n lo civil, en los  casos  en  que  se  optó  por</w:t>
        <w:br/>
        <w:t xml:space="preserve">       ejercer la acción civil conjuntamente con  la  penal,  hay  una  gran</w:t>
        <w:br/>
        <w:t xml:space="preserve">       mayoría de sentencias en las cuales se acog[ió] la referida acción.</w:t>
        <w:br/>
        <w:br/>
        <w:br/>
        <w:t>181. También especificó el Estado que en el mismo informe,</w:t>
        <w:br/>
        <w:br/>
        <w:t xml:space="preserve">       se han  identificado  202  causas  civiles  que  dicen  relación  con</w:t>
        <w:br/>
        <w:t xml:space="preserve">       violaciones a los derechos  humanos  ocurridas  durante  el  gobierno</w:t>
        <w:br/>
        <w:t xml:space="preserve">       militar. De dichas  causas,  19  dicen  relación  exclusivamente  con</w:t>
        <w:br/>
        <w:t xml:space="preserve">       torturas a civiles  y  torturas  a  funcionarios.  Algunas  de  estas</w:t>
        <w:br/>
        <w:t xml:space="preserve">       últimas  han  terminado  por  sentencias   definitivas   de   primera</w:t>
        <w:br/>
        <w:t xml:space="preserve">       instancia, no ejecutoriadas aún, en las cuales  se  ha  condenado  al</w:t>
        <w:br/>
        <w:t xml:space="preserve">       Fisco a pagar sendas indemnizaciones a favor de las víctimas.</w:t>
        <w:br/>
        <w:br/>
        <w:br/>
        <w:t xml:space="preserve">    D.2) Consideraciones de la Corte</w:t>
        <w:br/>
        <w:br/>
        <w:br/>
        <w:t>182. En la medida en que los derechos convencionales implican, frente  a  su</w:t>
        <w:br/>
        <w:t xml:space="preserve">   transgresión, el deber estatal de hacer  posible  la  reparación  de  las</w:t>
        <w:br/>
        <w:t xml:space="preserve">   violaciones a dichos derechos[176], será necesaria la existencia  de  los</w:t>
        <w:br/>
        <w:t xml:space="preserve">   medios legales e institucionales que  permitan a las  personas  afectadas</w:t>
        <w:br/>
        <w:t xml:space="preserve">   reclamar la reparación. Esto vincula, en general, el  deber  de  reparar,</w:t>
        <w:br/>
        <w:t xml:space="preserve">   con la existencia de mecanismos administrativos o judiciales  idóneos  y,</w:t>
        <w:br/>
        <w:t xml:space="preserve">   por  lo  tanto,  con  el  derecho  de  las  víctimas  a  acceder   a   la</w:t>
        <w:br/>
        <w:t xml:space="preserve">   justicia[177], que tiene asidero  convencional  en  los  derechos  a  las</w:t>
        <w:br/>
        <w:t xml:space="preserve">   garantías y protección judiciales plasmados en los artículos 8 y 25 de la</w:t>
        <w:br/>
        <w:t xml:space="preserve">   Convención Americana[178]. En virtud de dichas normas, “los Estados están</w:t>
        <w:br/>
        <w:t xml:space="preserve">   obligados a suministrar recursos judiciales […] efectivos a las  víctimas</w:t>
        <w:br/>
        <w:t xml:space="preserve">   de violaciones de los derechos humanos, que  deben  ser  sustanciados  de</w:t>
        <w:br/>
        <w:t xml:space="preserve">   conformidad  con  las  reglas  del  debido  proceso  legal”[179].  “Dicha</w:t>
        <w:br/>
        <w:t xml:space="preserve">   efectividad supone que, además de la existencia formal de  los  recursos,</w:t>
        <w:br/>
        <w:t xml:space="preserve">   éstos den resultados o respuestas a las violaciones de derechos, lo  cual</w:t>
        <w:br/>
        <w:t xml:space="preserve">   implica que el recurso sea idóneo para combatir la violación, y  que  sea</w:t>
        <w:br/>
        <w:t xml:space="preserve">   efectiva su aplicación por la  autoridad  competente”[180].  Ello  deberá</w:t>
        <w:br/>
        <w:t xml:space="preserve">   implicar, según el caso, que los recursos sean aptos para lograr no  solo</w:t>
        <w:br/>
        <w:t xml:space="preserve">   el cese de la violación o su amenaza, sino también la reparación  de  las</w:t>
        <w:br/>
        <w:t xml:space="preserve">   consecuencias  de  la  vulneración,  incluyendo,  de  ser   posible,   la</w:t>
        <w:br/>
        <w:t xml:space="preserve">   restitución o restablecimiento del derecho.  Al  respecto,  la  Corte  ha</w:t>
        <w:br/>
        <w:t xml:space="preserve">   indicado que “la efectividad de  los  recursos  internos  debe  evaluarse</w:t>
        <w:br/>
        <w:t xml:space="preserve">   integralmente tomando en cuenta […] si en el caso  particular  existieron</w:t>
        <w:br/>
        <w:t xml:space="preserve">   vías internas que garantizaran un verdadero acceso  a  la  justicia  para</w:t>
        <w:br/>
        <w:t xml:space="preserve">   reclamar la reparación de la violación”[181].</w:t>
        <w:br/>
        <w:br/>
        <w:t>183. El Tribunal ha  señalado,  en  el  marco  del  análisis  de  casos  que</w:t>
        <w:br/>
        <w:t xml:space="preserve">   involucraban graves violaciones a derechos humanos[182], que “el deber de</w:t>
        <w:br/>
        <w:t xml:space="preserve">   reparar es uno propio del Estado, por lo que si bien las víctimas  o  sus</w:t>
        <w:br/>
        <w:t xml:space="preserve">   familiares deben tener amplias oportunidades también en  la  búsqueda  de</w:t>
        <w:br/>
        <w:t xml:space="preserve">   una justa compensación, este deber no puede descansar  exclusivamente  en</w:t>
        <w:br/>
        <w:t xml:space="preserve">   su  iniciativa  procesal  o  en  la  aportación  privada   de   elementos</w:t>
        <w:br/>
        <w:t xml:space="preserve">   probatorios”[183]. Esto debe ser entendido considerando que en este  tipo</w:t>
        <w:br/>
        <w:t xml:space="preserve">   de  casos,  la  reparación  debida  involucra  el  deber  del  Estado  de</w:t>
        <w:br/>
        <w:t xml:space="preserve">   investigar de oficio las violaciones cometidas[184] (supra párr. 122). De</w:t>
        <w:br/>
        <w:t xml:space="preserve">   conformidad con lo anterior, en los casos respectivos, existe un  vínculo</w:t>
        <w:br/>
        <w:t xml:space="preserve">   entre la obligación  de  investigar,  la  posibilidad  de  acceso  a  una</w:t>
        <w:br/>
        <w:t xml:space="preserve">   adecuada reparación y los derechos de las  víctimas  de  las  violaciones</w:t>
        <w:br/>
        <w:t xml:space="preserve">   acaecidas a acceder a la justicia. No  obstante,  también  otro  tipo  de</w:t>
        <w:br/>
        <w:t xml:space="preserve">   procesos administrativos o judiciales,  tales  como  los  disciplinarios,</w:t>
        <w:br/>
        <w:t xml:space="preserve">   contencioso-administrativos  o  civiles,  pueden  ser   susceptibles   de</w:t>
        <w:br/>
        <w:t xml:space="preserve">   resultar útiles o  eficaces  para  coadyuvar  al  establecimiento  de  la</w:t>
        <w:br/>
        <w:t xml:space="preserve">   verdad,  la  determinación  de  los  alcances   y   dimensiones   de   la</w:t>
        <w:br/>
        <w:t xml:space="preserve">   responsabilidad   estatal   y   la   reparación   de   las    violaciones</w:t>
        <w:br/>
        <w:t xml:space="preserve">   acaecidas[185]. En ese sentido, no debe  supeditarse  la  posibilidad  de</w:t>
        <w:br/>
        <w:t xml:space="preserve">   obtener medidas de reparación  al  inicio,  prosecución  o  resultado  de</w:t>
        <w:br/>
        <w:t xml:space="preserve">   procesos penales, pues ello puede limitar o condicionar de forma excesiva</w:t>
        <w:br/>
        <w:t xml:space="preserve">   dicha posibilidad y, por lo tanto, resultar en una privación del  derecho</w:t>
        <w:br/>
        <w:t xml:space="preserve">   de las víctimas a acceder a la justicia[186].</w:t>
        <w:br/>
        <w:br/>
        <w:t>184. De acuerdo a lo dicho, debe dejarse sentado que es  procedente  que  el</w:t>
        <w:br/>
        <w:t xml:space="preserve">   Tribunal examine si, de modo independiente  a  la  investigación  de  los</w:t>
        <w:br/>
        <w:t xml:space="preserve">   hechos y los reclamos que pudieran hacerse en ese marco, el señor  García</w:t>
        <w:br/>
        <w:t xml:space="preserve">   Lucero, así  como  sus  familiares,  tuvieron  acceso  a  otras  vías  de</w:t>
        <w:br/>
        <w:t xml:space="preserve">   reclamación.</w:t>
        <w:br/>
        <w:br/>
        <w:t>185. Ahora bien, en el caso, las posibilidades de reclamo no  se  han  visto</w:t>
        <w:br/>
        <w:t xml:space="preserve">   ceñidas a la posibilidad de acciones individuales,  sino  que  el  Estado</w:t>
        <w:br/>
        <w:t xml:space="preserve">   estableció un programa administrativo de reparación, y  el  señor  García</w:t>
        <w:br/>
        <w:t xml:space="preserve">   Lucero recibió prestaciones en virtud del mismo. El Estado adujo que esta</w:t>
        <w:br/>
        <w:t xml:space="preserve">   circunstancia hace improcedentes  otros  reclamos  de  reparación  (supra</w:t>
        <w:br/>
        <w:t xml:space="preserve">   párrs. 174  y  175),  y  las  representantes  manifestaron  una  posición</w:t>
        <w:br/>
        <w:t xml:space="preserve">   diversa, aduciendo la inexistencia de recursos  efectivos  para  reclamar</w:t>
        <w:br/>
        <w:t xml:space="preserve">   una reparación integral. Por lo tanto, la Corte debe examinar, a  la  luz</w:t>
        <w:br/>
        <w:t xml:space="preserve">   del deber estatal de reparar violaciones a derechos humanos,  el  vínculo</w:t>
        <w:br/>
        <w:t xml:space="preserve">   entre el derecho de acceder a la justicia, fundado en los derechos a  las</w:t>
        <w:br/>
        <w:t xml:space="preserve">   garantías y  protección  judiciales,  y  a  la  existencia  de  programas</w:t>
        <w:br/>
        <w:t xml:space="preserve">   administrativos de reparación. Ello, para determinar si resultaba  en  el</w:t>
        <w:br/>
        <w:t xml:space="preserve">   caso procedente que el señor García Lucero y sus familiares accedieran  a</w:t>
        <w:br/>
        <w:t xml:space="preserve">   recursos para reclamar individualmente medidas de  reparación  y,  en  su</w:t>
        <w:br/>
        <w:t xml:space="preserve">   caso, ponderar si los mismos fueron proveídos por el Estado. Debido a que</w:t>
        <w:br/>
        <w:t xml:space="preserve">   el Estado, conforme a la legislación dictada después de 1990,  estableció</w:t>
        <w:br/>
        <w:t xml:space="preserve">   a favor de tales  personas  beneficios  y  un  “derecho”  relacionados  a</w:t>
        <w:br/>
        <w:t xml:space="preserve">   medidas de rehabilitación (supra  párr.  73),  este  Tribunal  tendrá  en</w:t>
        <w:br/>
        <w:t xml:space="preserve">   consideración que Chile reconoció en el año 2004 al señor  García  Lucero</w:t>
        <w:br/>
        <w:t xml:space="preserve">   como una de las personas que fue víctima de tortura y “prisión  política”</w:t>
        <w:br/>
        <w:t xml:space="preserve">   durante el gobierno de la dictadura militar.</w:t>
        <w:br/>
        <w:br/>
        <w:br/>
        <w:br/>
        <w:t xml:space="preserve">       D.2.1) Los programas administrativos de reparación y los  derechos  a</w:t>
        <w:br/>
        <w:t xml:space="preserve">       las garantías y protección judiciales</w:t>
        <w:br/>
        <w:br/>
        <w:t>186. En el ámbito del derecho internacional se han emitido  documentos  cuyo</w:t>
        <w:br/>
        <w:t xml:space="preserve">   eje son los derechos de las personas en tanto víctimas de actos ilícitos.</w:t>
        <w:br/>
        <w:t xml:space="preserve">   Así, cabe citar la “Declaración sobre  los  principios  fundamentales  de</w:t>
        <w:br/>
        <w:t xml:space="preserve">   justicia para  las  víctimas  de  delitos  y  abuso  de  poder”[187],  el</w:t>
        <w:br/>
        <w:t xml:space="preserve">   “Conjunto de principios para la protección y la promoción de los derechos</w:t>
        <w:br/>
        <w:t xml:space="preserve">   humanos mediante la lucha contra la impunidad”[188], o los “Principios  y</w:t>
        <w:br/>
        <w:t xml:space="preserve">   directrices básicos sobre el  derecho  de  las  víctimas  de  violaciones</w:t>
        <w:br/>
        <w:t xml:space="preserve">   manifiestas de las normas  internacionales  de  derechos  humanos  y  del</w:t>
        <w:br/>
        <w:t xml:space="preserve">   derecho  internacional  humanitario  a  interponer  recursos  y   obtener</w:t>
        <w:br/>
        <w:t xml:space="preserve">   reparaciones”[189] (en adelante, “Principios  Básicos”).  De  este  modo,</w:t>
        <w:br/>
        <w:t xml:space="preserve">   puede advertirse una tendencia en el ámbito del derecho  internacional  a</w:t>
        <w:br/>
        <w:t xml:space="preserve">   reconocer  a  las  personas  víctimas  de  actos  ilícitos  como  sujetos</w:t>
        <w:br/>
        <w:t xml:space="preserve">   titulares de derechos en tal carácter, inclusive respecto  a  medidas  de</w:t>
        <w:br/>
        <w:t xml:space="preserve">   reparación y el derecho de acceso a  la  justicia  en  relación  con  las</w:t>
        <w:br/>
        <w:t xml:space="preserve">   mismas, inclusive  la  Corte  Internacional  de  Justicia,  que  es  sólo</w:t>
        <w:br/>
        <w:t xml:space="preserve">   competente en litigios ante Estados ha  efectuado  señalamientos  en  tal</w:t>
        <w:br/>
        <w:t xml:space="preserve">   sentido[190]. Sobre esto último, los citados “Principios Básicos” indican</w:t>
        <w:br/>
        <w:t xml:space="preserve">   que</w:t>
        <w:br/>
        <w:br/>
        <w:t xml:space="preserve">    [l]a víctima de una violación manifiesta de las normas  internacionales</w:t>
        <w:br/>
        <w:t xml:space="preserve">    de derechos humanos […] tendrá un acceso igual a  un  recurso  judicial</w:t>
        <w:br/>
        <w:t xml:space="preserve">    efectivo, conforme a lo previsto en  el  derecho  internacional.  Otros</w:t>
        <w:br/>
        <w:t xml:space="preserve">    recursos  de  que  dispone  la  víctima  son  el   acceso   a   órganos</w:t>
        <w:br/>
        <w:t xml:space="preserve">    administrativos y de otra índole, así como a mecanismos, modalidades  y</w:t>
        <w:br/>
        <w:t xml:space="preserve">    procedimientos utilizados conforme al derecho interno. Las obligaciones</w:t>
        <w:br/>
        <w:t xml:space="preserve">    resultantes del derecho  internacional  para  asegurar  el  derecho  al</w:t>
        <w:br/>
        <w:t xml:space="preserve">    acceso a la justicia y a un procedimiento  justo  e  imparcial  deberán</w:t>
        <w:br/>
        <w:t xml:space="preserve">    reflejarse en el derecho interno”.</w:t>
        <w:br/>
        <w:br/>
        <w:t>187. En relación con la tortura, en el marco del Sistema  Interamericano  la</w:t>
        <w:br/>
        <w:t xml:space="preserve">   protección contra tales actos previstos en la Convención Americana,  “así</w:t>
        <w:br/>
        <w:t xml:space="preserve">   como ‘el corpus juris  internacional  en  materia  de  protección  de  la</w:t>
        <w:br/>
        <w:t xml:space="preserve">   integridad personal’”, se ve reforzada por la  Convención  Interamericana</w:t>
        <w:br/>
        <w:t xml:space="preserve">   contra  la  Tortura[191].  Este  tratado,  en   materia   específica   de</w:t>
        <w:br/>
        <w:t xml:space="preserve">   reparación, expresa en su artículo 9 el  “comprom[iso]”  de  los  Estados</w:t>
        <w:br/>
        <w:t xml:space="preserve">   Partes   de  “incorporar  en  sus  legislaciones  nacionales  normas  que</w:t>
        <w:br/>
        <w:t xml:space="preserve">   garanticen una compensación adecuada para  las  víctimas  del  delito  de</w:t>
        <w:br/>
        <w:t xml:space="preserve">   tortura”. Dicho mandato complementa, en lo pertinente, la  obligación  de</w:t>
        <w:br/>
        <w:t xml:space="preserve">   adoptar las disposiciones necesarias para hacer  efectivos  los  derechos</w:t>
        <w:br/>
        <w:t xml:space="preserve">   convencionales, establecido en el artículo 2 de la Convención Americana.</w:t>
        <w:br/>
        <w:br/>
        <w:t>188. A efectos de determinar el alcance de las obligaciones estatales en  lo</w:t>
        <w:br/>
        <w:t xml:space="preserve">   atinente a la reparación de actos de  tortura,  es  pertinente  tener  en</w:t>
        <w:br/>
        <w:t xml:space="preserve">   consideración la Convención contra la Tortura  y  Otros  Tratos  o  Penas</w:t>
        <w:br/>
        <w:t xml:space="preserve">   Crueles,  Inhumanos  o  Degradantes[192],  tratado  del  cual  Chile   es</w:t>
        <w:br/>
        <w:t xml:space="preserve">   Parte[193]. En relación con su artículo 14, que versa sobre el  deber  de</w:t>
        <w:br/>
        <w:t xml:space="preserve">   garantizar medidas de reparación[194], el Comité  contra  la  Tortura  ha</w:t>
        <w:br/>
        <w:t xml:space="preserve">   expresado que “el concepto amplio de reparación abarca la restitución, la</w:t>
        <w:br/>
        <w:t xml:space="preserve">   indemnización, la rehabilitación, la satisfacción y las garantías  de  no</w:t>
        <w:br/>
        <w:t xml:space="preserve">   repetición y se refiere a  todas  las  medidas  necesarias  para  obtener</w:t>
        <w:br/>
        <w:t xml:space="preserve">   reparaciones”[195]. Señaló también el Comité que</w:t>
        <w:br/>
        <w:br/>
        <w:t xml:space="preserve">       [l]a reparación debe ser suficiente, efectiva y completa[, y que  los</w:t>
        <w:br/>
        <w:t xml:space="preserve">       Estados], al determinar las medidas de reparación y resarcimiento que</w:t>
        <w:br/>
        <w:t xml:space="preserve">       se ofrezcan o concedan a las víctimas de la tortura, deben tener  […]</w:t>
        <w:br/>
        <w:t xml:space="preserve">       en cuenta las características propias y las  circunstancias  de  cada</w:t>
        <w:br/>
        <w:t xml:space="preserve">       caso  y  que  la  reparación  debe  ajustarse   a   las   necesidades</w:t>
        <w:br/>
        <w:t xml:space="preserve">       particulares de la víctima y ser proporcional a la  gravedad  de  las</w:t>
        <w:br/>
        <w:t xml:space="preserve">       transgresiones cometidas contra ella[196].</w:t>
        <w:br/>
        <w:br/>
        <w:t>189. Por otra parte,  la  Corte  ha  indicado  que  “de  existir  mecanismos</w:t>
        <w:br/>
        <w:t xml:space="preserve">   nacionales para determinar formas de reparación,  esos  procedimientos  y</w:t>
        <w:br/>
        <w:t xml:space="preserve">   [sus]  resultados  deben  ser  valorados”  y  que,  a  tal  efecto,  debe</w:t>
        <w:br/>
        <w:t xml:space="preserve">   considerarse  si  los  mismos  “satisfacen  criterios   de   objetividad,</w:t>
        <w:br/>
        <w:t xml:space="preserve">   razonabilidad y  efectividad”[197].  En  relación  con  Chile,  la  Corte</w:t>
        <w:br/>
        <w:t xml:space="preserve">   constató la existencia de diversas medidas[198] y, apreciándolas, expresó</w:t>
        <w:br/>
        <w:t xml:space="preserve">   que “valora positivamente la política  de  reparación  de  violaciones  a</w:t>
        <w:br/>
        <w:t xml:space="preserve">   derechos humanos adelantada por el Estado”[199]. En el presente caso,  el</w:t>
        <w:br/>
        <w:t xml:space="preserve">   señor García Lucero recibió el 14 de junio de 2006, por  su  carácter  de</w:t>
        <w:br/>
        <w:t xml:space="preserve">   víctima de tortura y “prisión política” un bono único, de conformidad con</w:t>
        <w:br/>
        <w:t xml:space="preserve">   la Ley No. 19.992 y de su Reglamento, al  haber  optado  por  recibir  la</w:t>
        <w:br/>
        <w:t xml:space="preserve">   pensión por “exonerado político” (supra párr. 79). Además, en su  calidad</w:t>
        <w:br/>
        <w:t xml:space="preserve">   de “exonerado político”, recibió: a) una pensión mensual en el año  2000,</w:t>
        <w:br/>
        <w:t xml:space="preserve">   bajo la Ley No. 19.234 (supra párr.  77),  y  b)  un  bono  compensatorio</w:t>
        <w:br/>
        <w:t xml:space="preserve">   extraordinario  de  conformidad  con  la  Ley  No.  20.134  (supra  párr.</w:t>
        <w:br/>
        <w:t xml:space="preserve">   78)[200].</w:t>
        <w:br/>
        <w:br/>
        <w:t>190.  La  Corte  no  puede  analizar  si  las  reparaciones  referidas   son</w:t>
        <w:br/>
        <w:t xml:space="preserve">   “suficientes, efectivas y completas”, dado que tal examen debería  partir</w:t>
        <w:br/>
        <w:t xml:space="preserve">   de analizar los daños generados por los actos cuya  ejecución  comenzó  a</w:t>
        <w:br/>
        <w:t xml:space="preserve">   partir de la detención del señor García Lucero el  16  de  septiembre  de</w:t>
        <w:br/>
        <w:t xml:space="preserve">   1973 y, en todo caso, antes del 11 de marzo de 1990 (supra párr. 36). Sin</w:t>
        <w:br/>
        <w:t xml:space="preserve">   perjuicio de  ello,  debe  advertirse  que  la  existencia  de  programas</w:t>
        <w:br/>
        <w:t xml:space="preserve">   administrativos de reparación debe ser compatible  con  las  obligaciones</w:t>
        <w:br/>
        <w:t xml:space="preserve">   estatales bajo la Convención Americana y otras normas internacionales  y,</w:t>
        <w:br/>
        <w:t xml:space="preserve">   por ello, no puede derivar en un menoscabo al deber estatal de garantizar</w:t>
        <w:br/>
        <w:t xml:space="preserve">   el “libre y pleno ejercicio” de los derechos a las garantías y protección</w:t>
        <w:br/>
        <w:t xml:space="preserve">   judiciales, en los términos de los  artículos  1.1,  25.1  y  8.1  de  la</w:t>
        <w:br/>
        <w:t xml:space="preserve">   Convención,   respectivamente.   En   otros   términos,   los   programas</w:t>
        <w:br/>
        <w:t xml:space="preserve">   administrativos de reparación u otras medidas o acciones normativas o  de</w:t>
        <w:br/>
        <w:t xml:space="preserve">   otro carácter que  coexistan  con  los  mismos,  no  pueden  generar  una</w:t>
        <w:br/>
        <w:t xml:space="preserve">   obstrucción a la posibilidad de que las víctimas, de  conformidad  a  los</w:t>
        <w:br/>
        <w:t xml:space="preserve">   derechos a las garantías y protección judiciales, interpongan acciones en</w:t>
        <w:br/>
        <w:t xml:space="preserve">   reclamo   de   reparaciones.   Dada   esta   relación   entre   programas</w:t>
        <w:br/>
        <w:t xml:space="preserve">   administrativos de reparación y la posibilidad de interponer acciones  en</w:t>
        <w:br/>
        <w:t xml:space="preserve">   reclamo  de  reparaciones,  es  pertinente  que  la  Corte  examine   los</w:t>
        <w:br/>
        <w:t xml:space="preserve">   argumentos de las representantes al respecto, así como los del Estado.</w:t>
        <w:br/>
        <w:br/>
        <w:t>191. En esta línea, cabe tener en  consideración  lo  dicho  por  el  Comité</w:t>
        <w:br/>
        <w:t xml:space="preserve">   contra la Tortura, que  ha  indicado  que  “[e]l  Estado  que  de  manera</w:t>
        <w:br/>
        <w:t xml:space="preserve">   oportuna […] no permita que se incoe un procedimiento civil  en  relación</w:t>
        <w:br/>
        <w:t xml:space="preserve">   con casos de denuncias  de  tortura  puede  estar  negando  de  facto  la</w:t>
        <w:br/>
        <w:t xml:space="preserve">   reparación”, y que</w:t>
        <w:br/>
        <w:br/>
        <w:t xml:space="preserve">       los Estados partes han de promulgar leyes que ofrezcan expresamente a</w:t>
        <w:br/>
        <w:t xml:space="preserve">       las víctimas de tortura un recurso efectivo y reconozcan su derecho a</w:t>
        <w:br/>
        <w:t xml:space="preserve">       obtener una reparación apropiada, que incluya una indemnización y  la</w:t>
        <w:br/>
        <w:t xml:space="preserve">       rehabilitación más completa posible. Esa  legislación  debe  permitir</w:t>
        <w:br/>
        <w:t xml:space="preserve">       ejercer tal derecho a título individual y asegurar que se disponga de</w:t>
        <w:br/>
        <w:t xml:space="preserve">       un recurso judicial.  Si  bien  las  reparaciones  colectivas  y  los</w:t>
        <w:br/>
        <w:t xml:space="preserve">       programas administrativos de  reparación  pueden  ser  una  forma  de</w:t>
        <w:br/>
        <w:t xml:space="preserve">       resarcimiento aceptable, esos programas no pueden dejar sin efecto el</w:t>
        <w:br/>
        <w:t xml:space="preserve">       derecho individual a un recurso efectivo y a obtener reparación[201].</w:t>
        <w:br/>
        <w:br/>
        <w:br/>
        <w:t>192. La Corte constata lo indicado  por  las  representantes  sobre  que,  a</w:t>
        <w:br/>
        <w:t xml:space="preserve">   diferencia de la regulación sobre beneficios a “exonerados políticos”, la</w:t>
        <w:br/>
        <w:t xml:space="preserve">   Ley No. 19.992, que estableció reparaciones para víctimas  de  tortura  y</w:t>
        <w:br/>
        <w:t xml:space="preserve">   “prisión política”, no incorporó disposiciones que establecieran que,  de</w:t>
        <w:br/>
        <w:t xml:space="preserve">   accederse a las  reparaciones  respectivas,  las  personas  beneficiarias</w:t>
        <w:br/>
        <w:t xml:space="preserve">   renunciaban a la posibilidad de entablar otras acciones. De acuerdo a  lo</w:t>
        <w:br/>
        <w:t xml:space="preserve">   que se indicó (supra párr. 190), resulta conforme  a  la  observancia  de</w:t>
        <w:br/>
        <w:t xml:space="preserve">   derechos convencionales  que  el  establecimiento  de  sistemas  internos</w:t>
        <w:br/>
        <w:t xml:space="preserve">   administrativos o colectivos de reparación no impida a  las  víctimas  el</w:t>
        <w:br/>
        <w:t xml:space="preserve">   ejercicio  de  acciones  jurisdiccionales  en  reclamo  de   medidas   de</w:t>
        <w:br/>
        <w:t xml:space="preserve">   reparación. Debe entonces examinarse si el  señor  García  Lucero  o  sus</w:t>
        <w:br/>
        <w:t xml:space="preserve">   familiares pudieron acceder a recursos procedentes para realizar reclamos</w:t>
        <w:br/>
        <w:t xml:space="preserve">   relativos a medidas de reparación.</w:t>
        <w:br/>
        <w:br/>
        <w:t xml:space="preserve">       D.2.2) Acceso a recursos para reclamar medidas de  reparación  en  el</w:t>
        <w:br/>
        <w:t xml:space="preserve">       presente caso</w:t>
        <w:br/>
        <w:br/>
        <w:t>193. Las representantes, así  como  la  Comisión,  han  manifestado  que  la</w:t>
        <w:br/>
        <w:t xml:space="preserve">   compensación otorgada por  el  Estado  al  señor  García  Lucero  resultó</w:t>
        <w:br/>
        <w:t xml:space="preserve">   insuficiente a efectos de proveer una “reparación integral” en este  caso</w:t>
        <w:br/>
        <w:t xml:space="preserve">   y, en ese sentido, tuvieron en consideración que el señor  García  Lucero</w:t>
        <w:br/>
        <w:t xml:space="preserve">   no pudo acceder a medidas de rehabilitación  (supra  párrs.  162,  164  y</w:t>
        <w:br/>
        <w:t xml:space="preserve">   165). Como se indicó, la Corte no analizará si las prestaciones otorgadas</w:t>
        <w:br/>
        <w:t xml:space="preserve">   y establecidas en beneficio  del  señor  García  Lucero  conllevaron  una</w:t>
        <w:br/>
        <w:t xml:space="preserve">   reparación completa o integral. No obstante, evaluará si existe  sustento</w:t>
        <w:br/>
        <w:t xml:space="preserve">   para determinar si él o sus familiares se vieron privados de sus derechos</w:t>
        <w:br/>
        <w:t xml:space="preserve">   a las garantías y protección judiciales.</w:t>
        <w:br/>
        <w:br/>
        <w:t>194. Por otra parte, la Corte no considera pertinente analizar los  alegatos</w:t>
        <w:br/>
        <w:t xml:space="preserve">   de las representantes sobre: a) la aducida imposibilidad de que  mediante</w:t>
        <w:br/>
        <w:t xml:space="preserve">   recursos de la jurisdicción interna se cuestione el monto de reparaciones</w:t>
        <w:br/>
        <w:t xml:space="preserve">   que recibió el señor García Lucero[202], ya que no explicaron  el  motivo</w:t>
        <w:br/>
        <w:t xml:space="preserve">   de  su  afirmación  sobre  por  qué  los  jueces  chilenos  no   estarían</w:t>
        <w:br/>
        <w:t xml:space="preserve">   legitimados para revisar un monto establecido por ley (supra párr.  171).</w:t>
        <w:br/>
        <w:t xml:space="preserve">   No aclararon si su afirmación se trataba de su opinión jurídica o  de  un</w:t>
        <w:br/>
        <w:t xml:space="preserve">   dato pretendidamente objetivo, ni ofrecieron prueba al respecto;  b)  los</w:t>
        <w:br/>
        <w:t xml:space="preserve">   “recursos de carácter constitucional”, alegato que fue introducido recién</w:t>
        <w:br/>
        <w:t xml:space="preserve">   en los alegatos finales  escritos  (supra  párr.  171),  por  lo  que  es</w:t>
        <w:br/>
        <w:t xml:space="preserve">   extemporáneo y el Estado no tuvo oportunidad de  controvertirlos;  c)  la</w:t>
        <w:br/>
        <w:t xml:space="preserve">   supuesta “dilación injustificada” en la obtención, por  parte  del  señor</w:t>
        <w:br/>
        <w:t xml:space="preserve">   García Lucero, de la pensión por el carácter de “exonerado político”,  ya</w:t>
        <w:br/>
        <w:t xml:space="preserve">   que no brindaron argumentos,  información  ni  elementos  de  prueba  que</w:t>
        <w:br/>
        <w:t xml:space="preserve">   permitan evaluar cómo se desarrolló el trámite respectivo, y  d)  que  la</w:t>
        <w:br/>
        <w:t xml:space="preserve">   aducida vigencia del Decreto-Ley No. 2.191 y del artículo 15  de  la  Ley</w:t>
        <w:br/>
        <w:t xml:space="preserve">   No. 19.992 impedían, además  del  desarrollo  de  la  investigación,  las</w:t>
        <w:br/>
        <w:t xml:space="preserve">   posibilidades de reclamar reparaciones (supra párr. 143). La Corte ya  se</w:t>
        <w:br/>
        <w:t xml:space="preserve">   pronunció en relación con dichas normas y se remite a lo  determinado  al</w:t>
        <w:br/>
        <w:t xml:space="preserve">   respecto (supra párrs. 154 y 157).</w:t>
        <w:br/>
        <w:br/>
        <w:t xml:space="preserve">         D.2.2.1) Las medidas  de  compensación  y  de  rehabilitación  como</w:t>
        <w:br/>
        <w:t xml:space="preserve">         “derechos” tutelables en el presente caso</w:t>
        <w:br/>
        <w:br/>
        <w:t>195. De conformidad a  los  artículos  25.1  y  8.1  de  la  Convención  los</w:t>
        <w:br/>
        <w:t xml:space="preserve">   derechos  señalados  rigen  en  relación  con,  inter   alia,   “derechos</w:t>
        <w:br/>
        <w:t xml:space="preserve">   fundamentales reconocidos por […] la ley”, y “derechos […] de orden civil</w:t>
        <w:br/>
        <w:t xml:space="preserve">   o […] de cualquier otro carácter”. De acuerdo a lo expuesto anteriormente</w:t>
        <w:br/>
        <w:t xml:space="preserve">   (supra  párrs. 124 a 127 y 138), en tanto que Chile reconoció en 2004  el</w:t>
        <w:br/>
        <w:t xml:space="preserve">   carácter de víctima de “prisión política”  y  tortura  del  señor  García</w:t>
        <w:br/>
        <w:t xml:space="preserve">   Lucero, resulta pertinente  la  obligación  del  Estado  de  posibilitar,</w:t>
        <w:br/>
        <w:t xml:space="preserve">   mediante las normas correspondientes, que aquél viera “garanti[zada]” una</w:t>
        <w:br/>
        <w:t xml:space="preserve">   “compensación  adecuada”  a  su  favor  (supra  párr.  182).  Además,  la</w:t>
        <w:br/>
        <w:t xml:space="preserve">   legislación interna determinó en beneficio de un grupo de personas  entre</w:t>
        <w:br/>
        <w:t xml:space="preserve">   las que se  incluye  el  señor  García  Lucero  medidas  relativas  a  la</w:t>
        <w:br/>
        <w:t xml:space="preserve">   rehabilitación (supra párr. 73). En ese sentido, en el 2004  la  Ley  No.</w:t>
        <w:br/>
        <w:t xml:space="preserve">   19.992 estableció un “derecho” a la “rehabilitación física” en  beneficio</w:t>
        <w:br/>
        <w:t xml:space="preserve">   de víctimas de “prisión política” y tortura reconocidas como tales por la</w:t>
        <w:br/>
        <w:t xml:space="preserve">   Comisión  Valech,  y   dispuso   también   medidas   educativas   en   su</w:t>
        <w:br/>
        <w:t xml:space="preserve">   beneficio[203].</w:t>
        <w:br/>
        <w:br/>
        <w:t>196. Adicionalmente,  en  relación  con  las  medidas  referidas,  la  Corte</w:t>
        <w:br/>
        <w:t xml:space="preserve">   observa que los  “Principios  Básicos”  (supra  párr.  186)  señalan  que</w:t>
        <w:br/>
        <w:t xml:space="preserve">   “[c]onforme al derecho interno y al derecho internacional, y teniendo  en</w:t>
        <w:br/>
        <w:t xml:space="preserve">   cuenta las circunstancias de cada caso, se debería dar a las víctimas  de</w:t>
        <w:br/>
        <w:t xml:space="preserve">   violaciones manifiestas de las normas internacionales de derechos humanos</w:t>
        <w:br/>
        <w:t xml:space="preserve">   […], de forma apropiada y proporcional a la gravedad de la violación y  a</w:t>
        <w:br/>
        <w:t xml:space="preserve">   las circunstancias de cada caso, una reparación plena y efectiva  […]  en</w:t>
        <w:br/>
        <w:t xml:space="preserve">   […] formas [que incluyen] indemnización [y] rehabilitación”.  La  primera</w:t>
        <w:br/>
        <w:t xml:space="preserve">   “ha de concederse, de forma apropiada y proporcional a la gravedad de  la</w:t>
        <w:br/>
        <w:t xml:space="preserve">   violación y a las circunstancias de cada caso, por todos  los  perjuicios</w:t>
        <w:br/>
        <w:t xml:space="preserve">   económicamente evaluables”, y la  segunda  “ha  de  incluir  la  atención</w:t>
        <w:br/>
        <w:t xml:space="preserve">   médica  y  psicológica,  así  como  servicios   jurídicos   y   sociales”</w:t>
        <w:br/>
        <w:t xml:space="preserve">   (Principios 18, 20 y 21). El  Comité  de  Derechos  Humanos  de  Naciones</w:t>
        <w:br/>
        <w:t xml:space="preserve">   Unidas, a propósito del artículo 7 del Pacto  Internacional  de  Derechos</w:t>
        <w:br/>
        <w:t xml:space="preserve">   Civiles y Políticos relativo a  la  prohibición  de  la  tortura,  señaló</w:t>
        <w:br/>
        <w:t xml:space="preserve">   que “los Estados no pueden privar a los particulares del  derecho  a  una</w:t>
        <w:br/>
        <w:t xml:space="preserve">   reparación efectiva, incluida la indemnización y  la  rehabilitación  más</w:t>
        <w:br/>
        <w:t xml:space="preserve">   completa posible”[204]. En efecto la reparación por violación de derechos</w:t>
        <w:br/>
        <w:t xml:space="preserve">   humanos incluye la rehabilitación  lo  cual  debe  incluir  “la  atención</w:t>
        <w:br/>
        <w:t xml:space="preserve">   médica y psicológica, así  como  servicios  jurídicos  y  sociales”[205].</w:t>
        <w:br/>
        <w:t xml:space="preserve">   Además como se refirió (supra párr. 188), el Comité contra la Tortura  ha</w:t>
        <w:br/>
        <w:t xml:space="preserve">   señalado el derecho de víctimas de tortura a obtener “una indemnización”,</w:t>
        <w:br/>
        <w:t xml:space="preserve">   así como “la rehabilitación más completa  posible”  y,  en  relación  con</w:t>
        <w:br/>
        <w:t xml:space="preserve">   ello, un “recurso judicial”.</w:t>
        <w:br/>
        <w:br/>
        <w:t>197. Ahora bien, en relación con los beneficios educativos y el “derecho”  a</w:t>
        <w:br/>
        <w:t xml:space="preserve">   la “rehabilitación física” dispuestos por la Ley No. 19.992, es un  hecho</w:t>
        <w:br/>
        <w:t xml:space="preserve">   que las prestaciones respectivas son  de  acceso  para  personas  que  se</w:t>
        <w:br/>
        <w:t xml:space="preserve">   encuentran en territorio chileno[206],  y  que  siendo  el  señor  García</w:t>
        <w:br/>
        <w:t xml:space="preserve">   Lucero titular del “derecho” mencionado, no puede disfrutar del mismo  en</w:t>
        <w:br/>
        <w:t xml:space="preserve">   tanto se encuentra fuera de Chile. Dicha Ley reconoció como beneficiarios</w:t>
        <w:br/>
        <w:t xml:space="preserve">   a todas las personas reconocidas como víctimas en  la  nómina  que  forma</w:t>
        <w:br/>
        <w:t xml:space="preserve">   parte del Informe  de  la  Comisión  Valech,  y  omitió  hacer  cualquier</w:t>
        <w:br/>
        <w:t xml:space="preserve">   distinción al respecto. La Corte toma nota de la  controversia  entre  la</w:t>
        <w:br/>
        <w:t xml:space="preserve">   Comisión y las partes sobre si la circunstancia mencionada conlleva o  no</w:t>
        <w:br/>
        <w:t xml:space="preserve">   una responsabilidad estatal, mas no se pronunciará al respecto,  pues  en</w:t>
        <w:br/>
        <w:t xml:space="preserve">   el marco de su competencia temporal no examinará el hecho generador, como</w:t>
        <w:br/>
        <w:t xml:space="preserve">   es la tortura, ni sus consecuencias jurídicas ni el daño  producido,  por</w:t>
        <w:br/>
        <w:t xml:space="preserve">   consiguiente tampoco las necesidades de rehabilitación del  señor  García</w:t>
        <w:br/>
        <w:t xml:space="preserve">   Lucero (supra párr. 37)[207] y, por lo tanto,  no  puede  evaluar  si  el</w:t>
        <w:br/>
        <w:t xml:space="preserve">   Estado debe o no realizar acciones a tal efecto. No obstante, si bien  el</w:t>
        <w:br/>
        <w:t xml:space="preserve">   Tribunal no puede ponderar la suficiencia del contenido prestacional  del</w:t>
        <w:br/>
        <w:t xml:space="preserve">   “derecho” y  los  beneficios  educativos  aludidos,  advierte  que  puede</w:t>
        <w:br/>
        <w:t xml:space="preserve">   considerar si, en relación con los mismos, el señor  García  Lucero  pudo</w:t>
        <w:br/>
        <w:t xml:space="preserve">   acceder a recursos que hicieran posible el planteo de  los  reclamos  que</w:t>
        <w:br/>
        <w:t xml:space="preserve">   considerase correspondientes. En este sentido,  es  posible  evaluar  con</w:t>
        <w:br/>
        <w:t xml:space="preserve">   independencia de la ponderación del referido hecho generador del daño si,</w:t>
        <w:br/>
        <w:t xml:space="preserve">   luego del 21 de  agosto  de  1990,  el  Estado  incurrió  en  acciones  u</w:t>
        <w:br/>
        <w:t xml:space="preserve">   omisiones que imposibilitaran la interposición de  acciones  adecuadas  y</w:t>
        <w:br/>
        <w:t xml:space="preserve">   procedentes para realizar los reclamos aludidos. Es  en  este  delimitado</w:t>
        <w:br/>
        <w:t xml:space="preserve">   aspecto que, en el caso, puede considerarse si surgió la  responsabilidad</w:t>
        <w:br/>
        <w:t xml:space="preserve">   internacional del Estado, en relación con la posibilidad de  reclamos  de</w:t>
        <w:br/>
        <w:t xml:space="preserve">   medidas de reparación, en forma independiente al citado  hecho  generador</w:t>
        <w:br/>
        <w:t xml:space="preserve">   del daño primigenio.</w:t>
        <w:br/>
        <w:br/>
        <w:t>198. Por lo expuesto, la Corte considera procedente examinar si  el  Estado,</w:t>
        <w:br/>
        <w:t xml:space="preserve">   en  lo  atinente  a  las  posibilidades  de  reclamos  sobre  medidas  de</w:t>
        <w:br/>
        <w:t xml:space="preserve">   compensación y rehabilitación, observó los derechos  a  las  garantías  y</w:t>
        <w:br/>
        <w:t xml:space="preserve">   protección judiciales.</w:t>
        <w:br/>
        <w:br/>
        <w:br/>
        <w:br/>
        <w:br/>
        <w:br/>
        <w:t xml:space="preserve">         D.2.2.2) Las posibilidades de efectuar  reclamos  en  relación  con</w:t>
        <w:br/>
        <w:t xml:space="preserve">         medidas de reparación</w:t>
        <w:br/>
        <w:br/>
        <w:br/>
        <w:t>199. De los hechos probados no se  desprende  que  el  señor  García  Lucero</w:t>
        <w:br/>
        <w:t xml:space="preserve">   intentara, por sí mismo ni por medio de sus representantes, luego del  21</w:t>
        <w:br/>
        <w:t xml:space="preserve">   de agosto de 1993, en la jurisdicción interna, acción alguna para obtener</w:t>
        <w:br/>
        <w:t xml:space="preserve">   una “reparación integral” ni para reclamar  por  la  falta  de  acceso  a</w:t>
        <w:br/>
        <w:t xml:space="preserve">   medidas de reparación previstas en la Ley No. 19.992 por residir fuera de</w:t>
        <w:br/>
        <w:t xml:space="preserve">   Chile. Tampoco se desprende que el hecho de que el  señor  García  Lucero</w:t>
        <w:br/>
        <w:t xml:space="preserve">   residiera en el Reino Unido implicara, en el caso, una imposibilidad para</w:t>
        <w:br/>
        <w:t xml:space="preserve">   intentar acciones legales en su país de origen[208]. El Tribunal advierte</w:t>
        <w:br/>
        <w:t xml:space="preserve">   que el señor García Lucero estuvo en Chile en el año 1993  para  realizar</w:t>
        <w:br/>
        <w:t xml:space="preserve">   gestiones tendientes  a  la  obtención  de  su  pensión  como  “exonerado</w:t>
        <w:br/>
        <w:t xml:space="preserve">   político”[209], la  cual  obtuvo  en  el  año  2000  y  que  percibe  con</w:t>
        <w:br/>
        <w:t xml:space="preserve">   retroactividad a septiembre de 1998, por lo que el señor  García  Lucero,</w:t>
        <w:br/>
        <w:t xml:space="preserve">   pese  a  residir  en  el  Reino  Unido,  pudo  acceder   a   reparaciones</w:t>
        <w:br/>
        <w:t xml:space="preserve">   administrativas. Además, visitó el país en otras oportunidades[210], él y</w:t>
        <w:br/>
        <w:t xml:space="preserve">   sus familiares se encuentran asesorados  legalmente  desde  el  año  1994</w:t>
        <w:br/>
        <w:t xml:space="preserve">   (supra  párr.  170)  y  por  medio  de  sus   representantes   obtuvieron</w:t>
        <w:br/>
        <w:t xml:space="preserve">   orientación legal  de  diversas  organizaciones  de  la  sociedad  civil,</w:t>
        <w:br/>
        <w:t xml:space="preserve">   chilenas e internacionales[211].</w:t>
        <w:br/>
        <w:br/>
        <w:t>200. La Corte ha determinado, desde sus primeras decisiones, que un  recurso</w:t>
        <w:br/>
        <w:t xml:space="preserve">   es  formalmente adecuado cuando es “idóne[o]”, en el “sistema de  derecho</w:t>
        <w:br/>
        <w:t xml:space="preserve">   interno”, para  “proteger  la  situación  jurídica  infringida”[212].  En</w:t>
        <w:br/>
        <w:t xml:space="preserve">   relación  con  la  reparación  de  víctimas  de  torturas,  los  recursos</w:t>
        <w:br/>
        <w:t xml:space="preserve">   adecuados que el Estado debe  proveer  deben  posibilitar  el  reclamo  y</w:t>
        <w:br/>
        <w:t xml:space="preserve">   acceso a medidas que contemplen la compensación y la rehabilitación[213].</w:t>
        <w:br/>
        <w:br/>
        <w:t>201. Las partes y la Comisión han mencionado dos  recursos[214]  para  hacer</w:t>
        <w:br/>
        <w:t xml:space="preserve">   los reclamos para obtener una reparación: a) la  demanda  judicial  civil</w:t>
        <w:br/>
        <w:t xml:space="preserve">   mediante el “juicio de hacienda”[215], y  b)  el  reclamo  de  reparación</w:t>
        <w:br/>
        <w:t xml:space="preserve">   civil en el proceso penal[216]. Sin embargo, no precisaron si a través de</w:t>
        <w:br/>
        <w:t xml:space="preserve">   tales recursos  puede  reclamarse  tanto  medidas  de  compensación  como</w:t>
        <w:br/>
        <w:t xml:space="preserve">   medidas de rehabilitación, ni si, de ser el caso,  estas  últimas  pueden</w:t>
        <w:br/>
        <w:t xml:space="preserve">   solicitarse en forma de prestaciones directas o por medio del reclamo  de</w:t>
        <w:br/>
        <w:t xml:space="preserve">   un monto de dinero equivalente al costo de las mismas. Las representantes</w:t>
        <w:br/>
        <w:t xml:space="preserve">   señalaron que el “juicio  de  hacienda”  es  adecuado  para  “amparar  el</w:t>
        <w:br/>
        <w:t xml:space="preserve">   derecho a una reparación integral” (supra párr. 168), y no indicaron  que</w:t>
        <w:br/>
        <w:t xml:space="preserve">   el reclamo en sede penal no sea adecuado para tal fin.</w:t>
        <w:br/>
        <w:br/>
        <w:t>202.  Según  manifestaron  las  representantes,  pese  a  lo  anterior,  los</w:t>
        <w:br/>
        <w:t xml:space="preserve">   recursos  internos  no  serían   aptos   para   efectuar   los   reclamos</w:t>
        <w:br/>
        <w:t xml:space="preserve">   pertinentes[217]. El Tribunal destaca que el Estado no consintió  que  no</w:t>
        <w:br/>
        <w:t xml:space="preserve">   hubiera recursos idóneos. Aseveró que “las presuntas víctimas  jamás  han</w:t>
        <w:br/>
        <w:t xml:space="preserve">   requerido o motivado gestión alguna en Chile, judicial  o  extrajudicial,</w:t>
        <w:br/>
        <w:t xml:space="preserve">   tendiente a la […] reparación […] de los actos de tortura […], por lo que</w:t>
        <w:br/>
        <w:t xml:space="preserve">   no se puede hablar de  denegación  de  justicia”,  y  alegó  que  por  lo</w:t>
        <w:br/>
        <w:t xml:space="preserve">   anterior   se   “obvi[ó]   el   carácter   subsidiario    del    [Sistema</w:t>
        <w:br/>
        <w:t xml:space="preserve">   Interamericano]” (supra párr. 119).  Dado  que  está  acreditado  que  la</w:t>
        <w:br/>
        <w:t xml:space="preserve">   presunta víctima o sus familiares no han actuado en el ámbito interno, la</w:t>
        <w:br/>
        <w:t xml:space="preserve">   Corte debe examinar si en este  marco  se  advierte  la  inexistencia  de</w:t>
        <w:br/>
        <w:t xml:space="preserve">   recursos aptos para efectuar los reclamos correspondientes.</w:t>
        <w:br/>
        <w:br/>
        <w:t>203. Además, las representantes han manifestado que los  recursos  señalados</w:t>
        <w:br/>
        <w:t xml:space="preserve">   carecen de “efectividad”, dada la aplicación de un plazo de  prescripción</w:t>
        <w:br/>
        <w:t xml:space="preserve">   para presentar acciones civiles que, según refirieron, el  artículo  2332</w:t>
        <w:br/>
        <w:t xml:space="preserve">   del Código Civil establece en “4 años  a  partir  de  la  ocurrencia  del</w:t>
        <w:br/>
        <w:t xml:space="preserve">   delito”. Cabe resaltar que la Corte solicitó al Estado la remisión de  la</w:t>
        <w:br/>
        <w:t xml:space="preserve">   normativa que regula la prescripción de acciones civiles y, en respuesta,</w:t>
        <w:br/>
        <w:t xml:space="preserve">   el Estado adujo que “[e]n relación [con] las  disposiciones  legales  que</w:t>
        <w:br/>
        <w:t xml:space="preserve">   regulan la prescripción de las acciones civiles, es preciso  señalar  que</w:t>
        <w:br/>
        <w:t xml:space="preserve">   en Chile la fuente de la responsabilidad civil está dada por  normas  del</w:t>
        <w:br/>
        <w:t xml:space="preserve">   derecho internacional de los derechos humanos”.  No  obstante,  la  Corte</w:t>
        <w:br/>
        <w:t xml:space="preserve">   toma nota de la información presentada por las  representantes  sobre  el</w:t>
        <w:br/>
        <w:t xml:space="preserve">   artículo 2332 del Código Civil, la cual no fue controvertida.</w:t>
        <w:br/>
        <w:br/>
        <w:t>204. De acuerdo a lo informado por las representantes, esta Corte  nota  que</w:t>
        <w:br/>
        <w:t xml:space="preserve">   aun cuando el artículo 2332 del Código Civil establece la prescripción en</w:t>
        <w:br/>
        <w:t xml:space="preserve">   cuatro años desde la ocurrencia del delito, los tribunales  internos  han</w:t>
        <w:br/>
        <w:t xml:space="preserve">   admitido demandas relacionadas con delitos cometidos durante  el  régimen</w:t>
        <w:br/>
        <w:t xml:space="preserve">   militar relacionados con violaciones de derechos humanos[218]. Es así que</w:t>
        <w:br/>
        <w:t xml:space="preserve">   los mismos representantes indicaron,  en  su  escrito  de  solicitudes  y</w:t>
        <w:br/>
        <w:t xml:space="preserve">   argumentos, que una acción civil bajo el “juicio de  hacienda”  planteada</w:t>
        <w:br/>
        <w:t xml:space="preserve">   en relación con violaciones  a  derechos  humanos  cometidas  durante  el</w:t>
        <w:br/>
        <w:t xml:space="preserve">   régimen militar prosperó ante la Corte Suprema. También señalaron, en esa</w:t>
        <w:br/>
        <w:t xml:space="preserve">   oportunidad,  que  eran  “decisiones  minoritarias  dentro  del   sistema</w:t>
        <w:br/>
        <w:t xml:space="preserve">   justicia chileno” aquellas que “dejar[ron] por sentado que  la  excepción</w:t>
        <w:br/>
        <w:t xml:space="preserve">   de prescripción de la acción civil en contra del Estado es improcedente”.</w:t>
        <w:br/>
        <w:t xml:space="preserve">   No obstante, en  sus  alegatos  finales  escritos  señalaron  que  “[l]as</w:t>
        <w:br/>
        <w:t xml:space="preserve">   demandas de indemnización […] que no se dirimen  en  sede  penal  por  lo</w:t>
        <w:br/>
        <w:t xml:space="preserve">   general son acogidas por los tribunales de primera instancia  o  por  las</w:t>
        <w:br/>
        <w:t xml:space="preserve">   Cortes de Apelaciones”. También indicaron que después  del  año  2007  la</w:t>
        <w:br/>
        <w:t xml:space="preserve">   Corte  Suprema  declaró  procedentes  27   demandas   de   indemnización,</w:t>
        <w:br/>
        <w:t xml:space="preserve">   relacionadas  a  “crímenes  perpetrados  durante  la  dictadura  militar”</w:t>
        <w:br/>
        <w:t xml:space="preserve">   planteadas en el marco de procesos penales.</w:t>
        <w:br/>
        <w:br/>
        <w:t>205. Por otra parte, en lo que se refiere a la  posibilidad  de  una  acción</w:t>
        <w:br/>
        <w:t xml:space="preserve">   civil resarcitoria en el marco del proceso penal, la Corte se remite a lo</w:t>
        <w:br/>
        <w:t xml:space="preserve">   señalado  en  relación  con  la  falta  de  diligencia  del  Estado  para</w:t>
        <w:br/>
        <w:t xml:space="preserve">   investigar de inmediato los hechos, por lo que quedan comprendidos en tal</w:t>
        <w:br/>
        <w:t xml:space="preserve">   incumplimiento obstáculos al reclamo  de  medidas  de  reparación  en  el</w:t>
        <w:br/>
        <w:t xml:space="preserve">   ámbito penal (supra párr. 138). Pese a que, en términos generales, pueden</w:t>
        <w:br/>
        <w:t xml:space="preserve">   ser pertinentes las consideraciones efectuadas sobre la  prescripción  de</w:t>
        <w:br/>
        <w:t xml:space="preserve">   acciones civiles en relación con  los  posibles  reclamos  de  reparación</w:t>
        <w:br/>
        <w:t xml:space="preserve">   incoados en sede penal, no resulta necesario analizar la cuestión en este</w:t>
        <w:br/>
        <w:t xml:space="preserve">   caso.</w:t>
        <w:br/>
        <w:br/>
        <w:t xml:space="preserve">         D.2.2.3) Conclusión</w:t>
        <w:br/>
        <w:br/>
        <w:t>206. De lo expuesto, la Corte concluye que, además de la acción civil en  el</w:t>
        <w:br/>
        <w:t xml:space="preserve">   marco del proceso penal, el señor García Lucero contaba con el “juicio de</w:t>
        <w:br/>
        <w:t xml:space="preserve">   hacienda”, recurso que no intentó. Tampoco consta  que  el  señor  García</w:t>
        <w:br/>
        <w:t xml:space="preserve">   Lucero, pese a encontrarse privado del acceso a determinadas  medidas  de</w:t>
        <w:br/>
        <w:t xml:space="preserve">   reparación previstas en la Ley No. 19.992 por residir en el Reino  Unido,</w:t>
        <w:br/>
        <w:t xml:space="preserve">   intentara en  la  vía  judicial  o  administrativa  reclamo  alguno  para</w:t>
        <w:br/>
        <w:t xml:space="preserve">   cuestionar  su  imposibilidad  de  gozar   de   tales   beneficios.   Las</w:t>
        <w:br/>
        <w:t xml:space="preserve">   representantes han manifestado que, en general, los tribunales de primera</w:t>
        <w:br/>
        <w:t xml:space="preserve">   instancia  y  las  Cortes  de  Apelaciones   acogen   las   demandas   de</w:t>
        <w:br/>
        <w:t xml:space="preserve">   indemnización (supra párr. 204), sin justificar por qué en este caso ello</w:t>
        <w:br/>
        <w:t xml:space="preserve">   no ocurriría, o  por  qué  no  sería  admisible  reclamación  alguna.  Al</w:t>
        <w:br/>
        <w:t xml:space="preserve">   respecto, tampoco la Comisión presentó  alegaciones  en  ese  sentido.  A</w:t>
        <w:br/>
        <w:t xml:space="preserve">   partir de ello, y siendo que no consta que el señor García Lucero  o  sus</w:t>
        <w:br/>
        <w:t xml:space="preserve">   familiares hayan intentado reclamos,  la  Corte  no  encuentra  elementos</w:t>
        <w:br/>
        <w:t xml:space="preserve">   suficientes, con el grado de certeza requerido, que le permitan  concluir</w:t>
        <w:br/>
        <w:t xml:space="preserve">   en el presente caso que la  regulación  interna  de  la  prescripción  de</w:t>
        <w:br/>
        <w:t xml:space="preserve">   acciones civiles generara un  impedimento  a  la  posibilidad  del  señor</w:t>
        <w:br/>
        <w:t xml:space="preserve">   García Lucero o sus familiares de efectuar reclamos.  Por  lo  tanto,  la</w:t>
        <w:br/>
        <w:t xml:space="preserve">   Corte no encuentra acreditado que el Estado sea responsable, en  relación</w:t>
        <w:br/>
        <w:t xml:space="preserve">   con las posibilidades de efectuar reclamos de medidas de reparación en el</w:t>
        <w:br/>
        <w:t xml:space="preserve">   presente caso, de la vulneración  de  los  derechos  a  las  garantías  y</w:t>
        <w:br/>
        <w:t xml:space="preserve">   protección judiciales, reconocidos en los artículos  8.1  y  25.1  de  la</w:t>
        <w:br/>
        <w:t xml:space="preserve">   Convención Americana, en relación con el artículo 1.1 del  tratado  y  la</w:t>
        <w:br/>
        <w:t xml:space="preserve">   obligación contenida en el artículo 9  de  la  Convención  Interamericana</w:t>
        <w:br/>
        <w:t xml:space="preserve">   contra la Tortura.</w:t>
        <w:br/>
        <w:br/>
        <w:br/>
        <w:br/>
        <w:t>VIII</w:t>
        <w:br/>
        <w:br/>
        <w:br/>
        <w:t>DERECHO DE CIRCULACIÓN Y DE RESIDENCIA</w:t>
        <w:br/>
        <w:br/>
        <w:br/>
        <w:br/>
        <w:br/>
        <w:t xml:space="preserve">  A.  Argumentos de la Comisión y de las partes</w:t>
        <w:br/>
        <w:br/>
        <w:br/>
        <w:t>207. En la audiencia  pública  las  representantes  expresaron  que  “podría</w:t>
        <w:br/>
        <w:t xml:space="preserve">   alegar[se] que la situación de don  Leopoldo  y  su  familia  constituyen</w:t>
        <w:br/>
        <w:t xml:space="preserve">   adicionalmente  una  violación  del  artículo   22   de   la   Convención</w:t>
        <w:br/>
        <w:t xml:space="preserve">   Americana[219] debido al exilio que  han  tenido  que  padecer”.  En  sus</w:t>
        <w:br/>
        <w:t xml:space="preserve">   alegatos finales escritos señalaron que la Corte</w:t>
        <w:br/>
        <w:br/>
        <w:t xml:space="preserve">       tiene jurisdicción para adjudicar [responsabilidad  internacional  al</w:t>
        <w:br/>
        <w:t xml:space="preserve">       Estado] sobre el  exilio  como  constitutivo  de  una  violación  del</w:t>
        <w:br/>
        <w:t xml:space="preserve">       [a]rtículo 22, en particular su numeral 5. Esto debido a que Chile ha</w:t>
        <w:br/>
        <w:t xml:space="preserve">       sabido que [el señor García Lucero] est[á] en el exilio, al menos con</w:t>
        <w:br/>
        <w:t xml:space="preserve">       noticia razonable, particular y específica de  la  misma  desde  1993</w:t>
        <w:br/>
        <w:t xml:space="preserve">       cuando [él] aplic[ó]  a  los  beneficios  de  la  Ley  de  Exonerados</w:t>
        <w:br/>
        <w:t xml:space="preserve">       Políticos, ante lo cual Chile ha continuado negándole a  él  y  a  su</w:t>
        <w:br/>
        <w:t xml:space="preserve">       familia las condiciones que eran necesarias para poder volver.</w:t>
        <w:br/>
        <w:br/>
        <w:t>208. Agregaron que “el retorno debe realizarse en condiciones  de  seguridad</w:t>
        <w:br/>
        <w:t xml:space="preserve">   jurídica, física y material, incluido el acceso  a  la  tierra  y  a  los</w:t>
        <w:br/>
        <w:t xml:space="preserve">   medios de subsistencia. […] Chile, con la ausencia absoluta de  políticas</w:t>
        <w:br/>
        <w:t xml:space="preserve">   de reparación para exiliados, dejó de cumplir con estos estándares”.</w:t>
        <w:br/>
        <w:br/>
        <w:br/>
        <w:br/>
        <w:t xml:space="preserve">  B.  Consideraciones de la Corte</w:t>
        <w:br/>
        <w:br/>
        <w:br/>
        <w:t>209. La Corte advierte que la Comisión no consideró la violación al  derecho</w:t>
        <w:br/>
        <w:t xml:space="preserve">   de circulación y residencia en su escrito de sometimiento del  caso  ante</w:t>
        <w:br/>
        <w:t xml:space="preserve">   la Corte ni en el Informe de Fondo. No obstante, las presuntas víctimas o</w:t>
        <w:br/>
        <w:t xml:space="preserve">   sus representantes pueden invocar derechos distintos de los  comprendidos</w:t>
        <w:br/>
        <w:t xml:space="preserve">   por la Comisión, sobre la base de los hechos presentados  por  ésta[220].</w:t>
        <w:br/>
        <w:t xml:space="preserve">   Las representantes,  en  su  escrito  de  solicitudes  y  argumentos,  no</w:t>
        <w:br/>
        <w:t xml:space="preserve">   alegaron dicha violación, sino que lo hicieron  luego,  en  la  audiencia</w:t>
        <w:br/>
        <w:t xml:space="preserve">   pública y en sus alegatos finales escritos.</w:t>
        <w:br/>
        <w:br/>
        <w:t>210. Dado que la argumentación específica del artículo 22 de  la  Convención</w:t>
        <w:br/>
        <w:t xml:space="preserve">   Americana fue presentada por  las  representantes  extemporáneamente,  la</w:t>
        <w:br/>
        <w:t xml:space="preserve">   Corte concluye que no corresponde  emitir  un  pronunciamiento  sobre  la</w:t>
        <w:br/>
        <w:t xml:space="preserve">   alegada responsabilidad internacional del Estado con base en la  presunta</w:t>
        <w:br/>
        <w:t xml:space="preserve">   violación del referido artículo.</w:t>
        <w:br/>
        <w:br/>
        <w:br/>
        <w:t>IX</w:t>
        <w:br/>
        <w:br/>
        <w:br/>
        <w:t>REPARACIONES</w:t>
        <w:br/>
        <w:br/>
        <w:br/>
        <w:t>(Aplicación del artículo 63.1 de la Convención Americana)</w:t>
        <w:br/>
        <w:br/>
        <w:br/>
        <w:t>211. Sobre la base de lo dispuesto en el  artículo  63.1  de  la  Convención</w:t>
        <w:br/>
        <w:t xml:space="preserve">   Americana, la Corte  ha  dicho  que  toda  violación  de  una  obligación</w:t>
        <w:br/>
        <w:t xml:space="preserve">   internacional que haya producido daño  comporta  el  deber  de  repararlo</w:t>
        <w:br/>
        <w:t xml:space="preserve">   adecuadamente y que esa disposición recoge una norma consuetudinaria  que</w:t>
        <w:br/>
        <w:t xml:space="preserve">   constituye uno de los principios fundamentales del Derecho  Internacional</w:t>
        <w:br/>
        <w:t xml:space="preserve">   contemporáneo sobre responsabilidad de un Estado  (supra  pie  de  página</w:t>
        <w:br/>
        <w:t xml:space="preserve">   176)[221]. En el presente caso la Corte ha considerado  la  necesidad  de</w:t>
        <w:br/>
        <w:t xml:space="preserve">   otorgar diversas medidas de reparación, a fin de  garantizar  el  derecho</w:t>
        <w:br/>
        <w:t xml:space="preserve">   conculcado y resarcir los daños de manera íntegra.</w:t>
        <w:br/>
        <w:br/>
        <w:t>212. Debe señalarse que este Tribunal ha establecido  que  las  reparaciones</w:t>
        <w:br/>
        <w:t xml:space="preserve">   deben tener un nexo causal con  los  hechos  del  caso,  las  violaciones</w:t>
        <w:br/>
        <w:t xml:space="preserve">   declaradas, los daños acreditados, así como las medidas solicitadas  para</w:t>
        <w:br/>
        <w:t xml:space="preserve">   reparar los daños respectivos. Por lo tanto,  la  Corte  deberá  observar</w:t>
        <w:br/>
        <w:t xml:space="preserve">   dicha  concurrencia  para   pronunciarse   debidamente   y   conforme   a</w:t>
        <w:br/>
        <w:t xml:space="preserve">   derecho[222].</w:t>
        <w:br/>
        <w:br/>
        <w:t>213. La Corte valora el esfuerzo hecho por Chile en la implementación de  un</w:t>
        <w:br/>
        <w:t xml:space="preserve">   programa de reparaciones (supra párr. 189). El Tribunal  notó,  asimismo,</w:t>
        <w:br/>
        <w:t xml:space="preserve">   que el señor García Lucero recibió determinadas medidas de reparación  en</w:t>
        <w:br/>
        <w:t xml:space="preserve">   virtud de dicho sistema (supra párr. 189). Tales medidas fueron otorgadas</w:t>
        <w:br/>
        <w:t xml:space="preserve">   como forma de reparación, al considerarse al  señor  García  Lucero  como</w:t>
        <w:br/>
        <w:t xml:space="preserve">   “exonerado político”, y debido al reconocimiento del Estado en el informe</w:t>
        <w:br/>
        <w:t xml:space="preserve">   de la Comisión Valech de la tortura sufrida por él entre los años 1973  y</w:t>
        <w:br/>
        <w:t xml:space="preserve">   1975. Dichos hechos, fueron tenidos como “antecedentes”  en  la  presente</w:t>
        <w:br/>
        <w:t xml:space="preserve">   Sentencia y no fueron analizados por este Tribunal, ya que se  encuentran</w:t>
        <w:br/>
        <w:t xml:space="preserve">   fuera de su competencia temporal. Por lo que las  violaciones  declaradas</w:t>
        <w:br/>
        <w:t xml:space="preserve">   en la presente Sentencia tienen sustento fáctico en los hechos  ocurridos</w:t>
        <w:br/>
        <w:t xml:space="preserve">   con posterioridad al reconocimiento de la competencia contenciosa de este</w:t>
        <w:br/>
        <w:t xml:space="preserve">   Tribunal relacionados con el acceso a la justicia (supra párr. 138).  Por</w:t>
        <w:br/>
        <w:t xml:space="preserve">   ello, la Corte no tendrá en cuenta los montos de dinero ya recibidos  por</w:t>
        <w:br/>
        <w:t xml:space="preserve">   el señor García Lucero, o dispuestos a su favor, a efectos de  determinar</w:t>
        <w:br/>
        <w:t xml:space="preserve">   las  reparaciones  correspondientes  por  las  vulneraciones  a  derechos</w:t>
        <w:br/>
        <w:t xml:space="preserve">   establecidas en la presente Sentencia.</w:t>
        <w:br/>
        <w:br/>
        <w:t>214. De acuerdo con las consideraciones  expuestas  sobre  el  fondo  y  las</w:t>
        <w:br/>
        <w:t xml:space="preserve">   violaciones a la Convención Americana declaradas en el Capítulo  VII,  el</w:t>
        <w:br/>
        <w:t xml:space="preserve">   Tribunal  procederá  a  analizar  las  pretensiones  presentadas  por  la</w:t>
        <w:br/>
        <w:t xml:space="preserve">   Comisión y las representantes, así como los argumentos del Estado,  a  la</w:t>
        <w:br/>
        <w:t xml:space="preserve">   luz de los criterios fijados en su  jurisprudencia  en  relación  con  la</w:t>
        <w:br/>
        <w:t xml:space="preserve">   naturaleza y alcance de la  obligación  de  reparar,  con  el  objeto  de</w:t>
        <w:br/>
        <w:t xml:space="preserve">   disponer las medidas dirigidas a  reparar  los  daños  ocasionados  a  la</w:t>
        <w:br/>
        <w:t xml:space="preserve">   víctima[223].</w:t>
        <w:br/>
        <w:br/>
        <w:br/>
        <w:t xml:space="preserve">  Parte Lesionada</w:t>
        <w:br/>
        <w:br/>
        <w:br/>
        <w:t>215. El Tribunal reitera que se considera parte lesionada, en  los  términos</w:t>
        <w:br/>
        <w:t xml:space="preserve">   del artículo 63.1 de la Convención, a quien ha sido declarado víctima  de</w:t>
        <w:br/>
        <w:t xml:space="preserve">   la violación de algún derecho reconocido en la misma. Por lo tanto,  esta</w:t>
        <w:br/>
        <w:t xml:space="preserve">   Corte considera  como  “parte  lesionada”  a  Leopoldo  Guillermo  García</w:t>
        <w:br/>
        <w:t xml:space="preserve">   Lucero, quién en su carácter de víctima de las violaciones declaradas  en</w:t>
        <w:br/>
        <w:t xml:space="preserve">   el Capítulo VII será considerado beneficiario  de  las  reparaciones  que</w:t>
        <w:br/>
        <w:t xml:space="preserve">   ordene el Tribunal.</w:t>
        <w:br/>
        <w:br/>
        <w:br/>
        <w:t xml:space="preserve">  B.  Obligación de investigar los hechos e identificar y, en su caso,</w:t>
        <w:br/>
        <w:t xml:space="preserve">  sancionar a los responsables</w:t>
        <w:br/>
        <w:br/>
        <w:br/>
        <w:br/>
        <w:t xml:space="preserve">    B.1) Argumentos de la Comisión y de las partes</w:t>
        <w:br/>
        <w:br/>
        <w:br/>
        <w:t>216.  La  Comisión  solicitó  que  la  Corte  ordene   que   Chile   proceda</w:t>
        <w:br/>
        <w:t xml:space="preserve">   “inmediatamente a investigar de manera imparcial, efectiva y dentro de un</w:t>
        <w:br/>
        <w:t xml:space="preserve">   plazo razonable los hechos […], con el objeto de esclarecerlos de  manera</w:t>
        <w:br/>
        <w:t xml:space="preserve">   completa,  identificar  a  los  autores  e  imponer  las  sanciones   que</w:t>
        <w:br/>
        <w:t xml:space="preserve">   correspondan”. La Comisión especificó que la Corte  ordene  “adoptar  las</w:t>
        <w:br/>
        <w:t xml:space="preserve">   acciones necesarias para dejar sin efecto de manera permanente el Decreto-</w:t>
        <w:br/>
        <w:t xml:space="preserve">   Ley No. 2191.</w:t>
        <w:br/>
        <w:br/>
        <w:t>217. Las representantes solicitaron que se “ordene  de  manera  explícita  a</w:t>
        <w:br/>
        <w:t xml:space="preserve">   Chile el investigar, perseguir y  castigar  de  manera  diligente  a  los</w:t>
        <w:br/>
        <w:t xml:space="preserve">   perpetradores de la tortura, detención arbitraria y  expulsión  del  país</w:t>
        <w:br/>
        <w:t xml:space="preserve">   del [s]eñor García Lucero”. Además, las representantes solicitaron  a  la</w:t>
        <w:br/>
        <w:t xml:space="preserve">   Corte que</w:t>
        <w:br/>
        <w:br/>
        <w:t xml:space="preserve">       claramente exprese el  deber  que  tiene  el  Estado  de  investigar,</w:t>
        <w:br/>
        <w:t xml:space="preserve">       perseguir y castigar a través de la justicia ordinaria (y no militar)</w:t>
        <w:br/>
        <w:t xml:space="preserve">       a los perpetradores de dichos crímenes; de  aplicar  penas  que  sean</w:t>
        <w:br/>
        <w:t xml:space="preserve">       proporcionales a la gravedad de los crímenes cometidos y no  utilizar</w:t>
        <w:br/>
        <w:t xml:space="preserve">       estatutos de limitación, u otros mecanismos encubiertos de  impunidad</w:t>
        <w:br/>
        <w:br/>
        <w:br/>
        <w:br/>
        <w:t>218. Para concluir, las representantes pidieron que se mantuviese  informado</w:t>
        <w:br/>
        <w:t xml:space="preserve">   al  señor  García  Lucero  y  a  su  familia  sobre   el   progreso   del</w:t>
        <w:br/>
        <w:t xml:space="preserve">   procedimiento.</w:t>
        <w:br/>
        <w:br/>
        <w:t>219.  El  Estado  expresó  que  si  la  Corte  declara  su   responsabilidad</w:t>
        <w:br/>
        <w:t xml:space="preserve">   internacional por la vulneración a uno o más derechos de  la  Convención,</w:t>
        <w:br/>
        <w:t xml:space="preserve">   al momento de resolver las medidas de reparación procedentes,  considere,</w:t>
        <w:br/>
        <w:t xml:space="preserve">   entre otros, “el vínculo causal existente entre  los  hechos  objeto  del</w:t>
        <w:br/>
        <w:t xml:space="preserve">   juicio, la violaciones alegadas y el  daño  en  que  se  fundamentan  las</w:t>
        <w:br/>
        <w:t xml:space="preserve">   medidas  de  reparación  solicitadas.”  Agregó  que  Chile  en  el   caso</w:t>
        <w:br/>
        <w:t xml:space="preserve">   específico  del  señor  García  Lucero  “sí  cumplió  con  su  deber   de</w:t>
        <w:br/>
        <w:t xml:space="preserve">   investigar, y continúa haciéndolo en la medida  de  lo  posible”,  y  que</w:t>
        <w:br/>
        <w:t xml:space="preserve">   dicho señor se ha visto favorecido con medidas de reparación.</w:t>
        <w:br/>
        <w:br/>
        <w:br/>
        <w:t xml:space="preserve">    B.2) Consideraciones de la Corte</w:t>
        <w:br/>
        <w:br/>
        <w:br/>
        <w:t>220. La Corte estableció en la presente Sentencia que el  Estado  violó  los</w:t>
        <w:br/>
        <w:t xml:space="preserve">   artículos  8.1 y 25.1 de la Convención  Americana,  en  relación  con  el</w:t>
        <w:br/>
        <w:t xml:space="preserve">   artículo 1.1 de la misma, y con  las  obligaciones  establecidas  en  los</w:t>
        <w:br/>
        <w:t xml:space="preserve">   artículos 1, 6 y 8 de la Convención Interamericana contra la Tortura,  en</w:t>
        <w:br/>
        <w:t xml:space="preserve">   el tanto que  resultó  excesiva  la  demora  del  Estado  en  iniciar  la</w:t>
        <w:br/>
        <w:t xml:space="preserve">   investigación de los hechos ocurridos al señor García Lucero entre el  16</w:t>
        <w:br/>
        <w:t xml:space="preserve">   de septiembre de 1973 y el 12 de junio de 1975, de los que el Estado tomó</w:t>
        <w:br/>
        <w:t xml:space="preserve">   conocimiento a partir de  la  recepción  de  la  comunicación  de  23  de</w:t>
        <w:br/>
        <w:t xml:space="preserve">   diciembre de 1993 (supra párr. 75). Como  consecuencia  de  lo  anterior,</w:t>
        <w:br/>
        <w:t xml:space="preserve">   este Tribunal dispone que el Estado debe  continuar  y  concluir,  en  un</w:t>
        <w:br/>
        <w:t xml:space="preserve">   plazo razonable, con la investigación de dichos hechos en la jurisdicción</w:t>
        <w:br/>
        <w:t xml:space="preserve">   ordinaria,  sustentándola   en   la   normativa   interna   que   permita</w:t>
        <w:br/>
        <w:t xml:space="preserve">   efectivamente  identificar,  juzgar  y,  en  su  caso,  sancionar  a  los</w:t>
        <w:br/>
        <w:t xml:space="preserve">   responsables, tomando en  cuenta  que  los  referidos  hechos  ocurrieron</w:t>
        <w:br/>
        <w:t xml:space="preserve">   dentro de un patrón sistemático de violaciones de derechos humanos.</w:t>
        <w:br/>
        <w:br/>
        <w:t>221. Asimismo, por  las  particularidades  del  caso,  es  relevante  en  la</w:t>
        <w:br/>
        <w:t xml:space="preserve">   investigación penal recabar el testimonio de  la  víctima  y  hacerle  un</w:t>
        <w:br/>
        <w:t xml:space="preserve">   examen forense físico y  psicológico  (supra  párr.  137).  Además,  cabe</w:t>
        <w:br/>
        <w:t xml:space="preserve">   señalar que la investigación se realice de conformidad con  la  normativa</w:t>
        <w:br/>
        <w:t xml:space="preserve">   internacional correspondiente, en particular, con la Convención Americana</w:t>
        <w:br/>
        <w:t xml:space="preserve">   y con la Convención Interamericana contra la  Tortura,  respecto  de  las</w:t>
        <w:br/>
        <w:t xml:space="preserve">   cuales Chile es Estado parte.</w:t>
        <w:br/>
        <w:br/>
        <w:t>222. Por otro lado, de conformidad a lo indicado  sobre  la  posibilidad  de</w:t>
        <w:br/>
        <w:t xml:space="preserve">   una acción civil en el marco de la  investigación  de  los  hechos  y  el</w:t>
        <w:br/>
        <w:t xml:space="preserve">   proceso penal respectivo (supra párr. 205), el  Estado  debe  posibilitar</w:t>
        <w:br/>
        <w:t xml:space="preserve">   que, llegado el caso, el  señor  García  Lucero  interponga  reclamos  de</w:t>
        <w:br/>
        <w:t xml:space="preserve">   medidas de reparación previstos por la normativa interna aplicable.</w:t>
        <w:br/>
        <w:br/>
        <w:t>223. Asimismo, en el marco del presente caso el  Decreto-Ley  No.  2.191  no</w:t>
        <w:br/>
        <w:t xml:space="preserve">   puede presentar un obstáculo para el desarrollo de las acciones dirigidas</w:t>
        <w:br/>
        <w:t xml:space="preserve">   a investigar, juzgar y, en su caso,  sancionar  a  los  responsables.  Al</w:t>
        <w:br/>
        <w:t xml:space="preserve">   respecto, cabe recordar que el Estado debe actuar en el presente caso  de</w:t>
        <w:br/>
        <w:t xml:space="preserve">   conformidad con lo indicado en el caso Almonacid  Arellano  y  otros  Vs.</w:t>
        <w:br/>
        <w:t xml:space="preserve">   Chile (supra párr. 154).</w:t>
        <w:br/>
        <w:br/>
        <w:br/>
        <w:t xml:space="preserve">  C.  Medidas satisfacción y rehabilitación</w:t>
        <w:br/>
        <w:br/>
        <w:br/>
        <w:t>224. La jurisprudencia internacional,  y  en  particular  de  la  Corte,  ha</w:t>
        <w:br/>
        <w:t xml:space="preserve">   establecido reiteradamente que la sentencia constituye per se  una  forma</w:t>
        <w:br/>
        <w:t xml:space="preserve">   de reparación[224]. No obstante, considerando las circunstancias del caso</w:t>
        <w:br/>
        <w:t xml:space="preserve">   y las afectaciones a la  víctima  derivadas  de  las  violaciones  de  la</w:t>
        <w:br/>
        <w:t xml:space="preserve">   Convención  Americana  declaradas  en  su  perjuicio,  la  Corte   estima</w:t>
        <w:br/>
        <w:t xml:space="preserve">   pertinente determinar las siguientes medidas de reparación.</w:t>
        <w:br/>
        <w:br/>
        <w:br/>
        <w:t xml:space="preserve">    C.1) Medida de satisfacción: publicación y difusión de la Sentencia</w:t>
        <w:br/>
        <w:br/>
        <w:br/>
        <w:br/>
        <w:t xml:space="preserve">       C.1.1) Argumentos de la Comisión y de las partes</w:t>
        <w:br/>
        <w:br/>
        <w:br/>
        <w:t>225. Las representantes solicitaron a la Corte que ordene al  Presidente  de</w:t>
        <w:br/>
        <w:t xml:space="preserve">   Chile, señor Sebastián Piñera, “dirigir una carta privada al señor García</w:t>
        <w:br/>
        <w:t xml:space="preserve">   Lucero pidiéndole disculpas a él, a su esposa la señora Elena [García]  y</w:t>
        <w:br/>
        <w:t xml:space="preserve">   al resto de su núcleo familiar, en nombre del [E]stado, por  la  gravedad</w:t>
        <w:br/>
        <w:t xml:space="preserve">   de las violaciones a los derechos humanos y por el sufrimiento  producido</w:t>
        <w:br/>
        <w:t xml:space="preserve">   como resultado de la  acción  e  inacción  estatal  durante  casi  cuatro</w:t>
        <w:br/>
        <w:t xml:space="preserve">   décadas.” La Comisión, sin perjuicio  de  solicitar  que  se  “[r]epar[e]</w:t>
        <w:br/>
        <w:t xml:space="preserve">   integral y adecuadamente a[l señor] García [Lucero] y su familia por  las</w:t>
        <w:br/>
        <w:t xml:space="preserve">   violaciones a los derechos humanos”, no se refirió  puntualmente  a  esta</w:t>
        <w:br/>
        <w:t xml:space="preserve">   medida. Por su parte, el Estado objetó dicha medida.</w:t>
        <w:br/>
        <w:br/>
        <w:br/>
        <w:t xml:space="preserve">       C.1.2) Consideraciones de la Corte</w:t>
        <w:br/>
        <w:br/>
        <w:br/>
        <w:t>226. La Corte  estima  pertinente  disponer,  como  lo  ha  hecho  en  otros</w:t>
        <w:br/>
        <w:t xml:space="preserve">   casos[225], que el Estado publique, en un plazo de  6  meses,  contado  a</w:t>
        <w:br/>
        <w:t xml:space="preserve">   partir de la notificación de la presente Sentencia: a) el resumen oficial</w:t>
        <w:br/>
        <w:t xml:space="preserve">   de la presente Sentencia elaborado por la Corte, por una sola vez  en  el</w:t>
        <w:br/>
        <w:t xml:space="preserve">   diario oficial, y b) la presente Sentencia en su  integridad,  disponible</w:t>
        <w:br/>
        <w:t xml:space="preserve">   por un período de un año, en un sitio  web  oficial  accesible  desde  el</w:t>
        <w:br/>
        <w:t xml:space="preserve">   extranjero.</w:t>
        <w:br/>
        <w:br/>
        <w:br/>
        <w:t xml:space="preserve">    C.2) Rehabilitación</w:t>
        <w:br/>
        <w:br/>
        <w:br/>
        <w:br/>
        <w:t xml:space="preserve">       C.2.1) Argumentos de la Comisión y de las partes</w:t>
        <w:br/>
        <w:br/>
        <w:br/>
        <w:t>227. La Comisión solicitó  a  la  Corte  que  ordene  al  Estado  “[r]eparar</w:t>
        <w:br/>
        <w:t xml:space="preserve">   integral y adecuadamente  al  señor  García  Lucero  y  su  familia  […],</w:t>
        <w:br/>
        <w:t xml:space="preserve">   atendiendo a su situación particular, al encontrarse exiliado y sufrir de</w:t>
        <w:br/>
        <w:t xml:space="preserve">   una discapacidad permanente”. Pidió que la Corte  asegure  que  “Leopoldo</w:t>
        <w:br/>
        <w:t xml:space="preserve">   García  Lucero  y  su  familia  tengan  acceso  al   tratamiento   médico</w:t>
        <w:br/>
        <w:t xml:space="preserve">   psiquiátrico/psicológico necesarios para atender a su recuperación física</w:t>
        <w:br/>
        <w:t xml:space="preserve">   y mental en el centro de atención especializada de su escogencia,  o  los</w:t>
        <w:br/>
        <w:t xml:space="preserve">   medios para obtenerlo”.</w:t>
        <w:br/>
        <w:br/>
        <w:t>228. Las representantes solicitaron que se provea al  señor  García  Lucero,</w:t>
        <w:br/>
        <w:t xml:space="preserve">   así como a su esposa, “de  la  compra  de  un  seguro  médico  que  cubra</w:t>
        <w:br/>
        <w:t xml:space="preserve">   [padecimientos] pre-existen[tes] […] y  que  sea  efectivo  en  el  Reino</w:t>
        <w:br/>
        <w:t xml:space="preserve">   Unido”. Asimismo, puntualizaron que “[d]e  no haber  seguros  que  cubran</w:t>
        <w:br/>
        <w:t xml:space="preserve">   pre-existencias, la […] Corte deberá ordenarle al Estado de  Chile  pagar</w:t>
        <w:br/>
        <w:t xml:space="preserve">   por los costos de  aquellos  tratamientos  no  cubiertos  por  el  seguro</w:t>
        <w:br/>
        <w:t xml:space="preserve">   médico”. Las representantes afirmaron que esta era la forma más viable de</w:t>
        <w:br/>
        <w:t xml:space="preserve">   proveer al señor García Lucero con una medida de  rehabilitación  por  la</w:t>
        <w:br/>
        <w:t xml:space="preserve">   falta de reparar los actos de tortura que sea pronta, efectiva y de buena</w:t>
        <w:br/>
        <w:t xml:space="preserve">   calidad,  teniendo  en  cuenta  su  situación  de  vulnerabilidad.   Para</w:t>
        <w:br/>
        <w:t xml:space="preserve">   concluir, las representantes también solicitaron que el Estado otorgue un</w:t>
        <w:br/>
        <w:t xml:space="preserve">   subsidio de vivienda como medida de rehabilitación.</w:t>
        <w:br/>
        <w:br/>
        <w:t>229. En lo relativo a las medidas de rehabilitación,  el  Estado  objetó  la</w:t>
        <w:br/>
        <w:t xml:space="preserve">   solicitud de tratamientos médicos presentada por la Comisión  y  por  las</w:t>
        <w:br/>
        <w:t xml:space="preserve">   representantes.  Señaló  que  las  representantes  fundan  su   solicitud</w:t>
        <w:br/>
        <w:t xml:space="preserve">   “principalmente, en los efectos de los actos de tortura, y no  tanto,  en</w:t>
        <w:br/>
        <w:t xml:space="preserve">   el presunto incumplimiento  por  parte  del  Estado  de  los  deberes  de</w:t>
        <w:br/>
        <w:t xml:space="preserve">   investigar y reparar a las víctimas”. Además,  como  ya  se  dijo  (supra</w:t>
        <w:br/>
        <w:t xml:space="preserve">   párr. 73), adujo que sería imposible aplicar  el  Programa  PRAIS  en  el</w:t>
        <w:br/>
        <w:t xml:space="preserve">   exterior de Chile.</w:t>
        <w:br/>
        <w:br/>
        <w:br/>
        <w:t xml:space="preserve">       C.2.2) Consideraciones de la Corte</w:t>
        <w:br/>
        <w:br/>
        <w:br/>
        <w:t>230. La Corte nota que las representantes y la Comisión, en sus  solicitudes</w:t>
        <w:br/>
        <w:t xml:space="preserve">   de medidas tendientes a brindar tratamiento médico  y  psicológico  a  la</w:t>
        <w:br/>
        <w:t xml:space="preserve">   víctima, alegaron daños que podrían estar vinculados a hechos  que  están</w:t>
        <w:br/>
        <w:t xml:space="preserve">   fuera de la competencia temporal del Tribunal y sobre los que, por  ello,</w:t>
        <w:br/>
        <w:t xml:space="preserve">   éste no se ha pronunciado.</w:t>
        <w:br/>
        <w:br/>
        <w:t>231. Sin perjuicio de ello, la Corte nota que  el  señor  García  Lucero  se</w:t>
        <w:br/>
        <w:t xml:space="preserve">   encuentra  en  una  situación  de  especial  vulnerabilidad[226].  En  lo</w:t>
        <w:br/>
        <w:t xml:space="preserve">   referente, el Tribunal observa que  está  probado  que  el  señor  García</w:t>
        <w:br/>
        <w:t xml:space="preserve">   Lucero tiene una edad avanzada  de  79  años  y  sufre  una  discapacidad</w:t>
        <w:br/>
        <w:t xml:space="preserve">   permanente. Asimismo, no ha sido un  hecho  controvertido  que  el  señor</w:t>
        <w:br/>
        <w:t xml:space="preserve">   García Lucero ha sido víctima de tortura y “prisión política”,  como  fue</w:t>
        <w:br/>
        <w:t xml:space="preserve">   reconocido por la Comisión Valech, lo cual  le  habría  causado  secuelas</w:t>
        <w:br/>
        <w:t xml:space="preserve">   físicas y psicológicas. De hecho, el Tribunal toma nota de que el  Estado</w:t>
        <w:br/>
        <w:t xml:space="preserve">   ha reconocido en el año 2004 que el señor García  Lucero  es  víctima  de</w:t>
        <w:br/>
        <w:t xml:space="preserve">   tortura y ha afirmado que no es su intención “rehu[ir] de  su  obligación</w:t>
        <w:br/>
        <w:t xml:space="preserve">   de reparar el daño causado  a  la  salud  física  y  psicológica  de  don</w:t>
        <w:br/>
        <w:t xml:space="preserve">   Leopoldo”. Además,  el  Estado  ha  implementado  políticas  públicas  de</w:t>
        <w:br/>
        <w:t xml:space="preserve">   reparación dirigidas a víctimas  de  tortura  y  “prisión  política”  que</w:t>
        <w:br/>
        <w:t xml:space="preserve">   implican medidas de rehabilitación. Sin embargo, el señor  García  Lucero</w:t>
        <w:br/>
        <w:t xml:space="preserve">   reside en  el  Reino  Unido  y  por  ende,  de  hecho,  no  tiene  acceso</w:t>
        <w:br/>
        <w:t xml:space="preserve">   actualmente a dichos programas.</w:t>
        <w:br/>
        <w:br/>
        <w:t>232. Además, el Tribunal aprecia que el Estado haya  suministrado  al  señor</w:t>
        <w:br/>
        <w:t xml:space="preserve">   García Lucero un “equipo  médico”  ‘Multistim  Sensor’  para  tratar  sus</w:t>
        <w:br/>
        <w:t xml:space="preserve">   dolencias.</w:t>
        <w:br/>
        <w:br/>
        <w:t>233. Tomando en cuenta las consideraciones realizadas anteriormente,  y  las</w:t>
        <w:br/>
        <w:t xml:space="preserve">   particularidades del presente caso, la Corte  valora  la  iniciativa  del</w:t>
        <w:br/>
        <w:t xml:space="preserve">   Estado de adoptar medidas tendientes a mejorar  el  bienestar  del  señor</w:t>
        <w:br/>
        <w:t xml:space="preserve">   García Lucero y exhorta al Estado a proporcionarle discrecionalmente  una</w:t>
        <w:br/>
        <w:t xml:space="preserve">   suma de dinero en libras esterlinas razonablemente adecuado para sufragar</w:t>
        <w:br/>
        <w:t xml:space="preserve">   los gastos de sus tratamientos médicos y psicológicos en el lugar  de  su</w:t>
        <w:br/>
        <w:t xml:space="preserve">   residencia actual en el Reino Unido.</w:t>
        <w:br/>
        <w:br/>
        <w:br/>
        <w:t xml:space="preserve">  Garantías de no repetición solicitadas por la Comisión y las</w:t>
        <w:br/>
        <w:t xml:space="preserve">  representantes</w:t>
        <w:br/>
        <w:br/>
        <w:br/>
        <w:br/>
        <w:t xml:space="preserve">    D.1) Argumentos de la Comisión y de las partes</w:t>
        <w:br/>
        <w:br/>
        <w:br/>
        <w:t>234. La Comisión  solicitó  que  la  Corte  ordene  que  Chile  adopte  “las</w:t>
        <w:br/>
        <w:t xml:space="preserve">   acciones necesarias para dejar sin efecto de manera permanente el Decreto</w:t>
        <w:br/>
        <w:t xml:space="preserve">   Ley No. 2191 […] de  manera  que  no  represente  un  obstáculo  para  la</w:t>
        <w:br/>
        <w:t xml:space="preserve">   investigación, juzgamiento y sanción de los responsables  de  violaciones</w:t>
        <w:br/>
        <w:t xml:space="preserve">   similares ocurridas en Chile y los derechos de las víctimas a la  verdad,</w:t>
        <w:br/>
        <w:t xml:space="preserve">   justicia y reparación”.</w:t>
        <w:br/>
        <w:br/>
        <w:t>235.  Las  representantes  solicitaron  como  medidas   de   no   repetición</w:t>
        <w:br/>
        <w:t xml:space="preserve">   relacionadas con el derecho a la reparación y el derecho al acceso  a  la</w:t>
        <w:br/>
        <w:t xml:space="preserve">   justicia que: a) “se declare inconstitucional el artículo 15  de  la  Ley</w:t>
        <w:br/>
        <w:t xml:space="preserve">   No. 19.992 de 2004 sobre el secreto por 50 años de la información  recaba</w:t>
        <w:br/>
        <w:t xml:space="preserve">   por la Comisión Valech”; b) se pronuncie  sobre  la  inaplicación  de  la</w:t>
        <w:br/>
        <w:t xml:space="preserve">   media prescripción o prescripción gradual u otros beneficios penales como</w:t>
        <w:br/>
        <w:t xml:space="preserve">   la buena conducta en casos de crímenes de lesa humanidad; c) se pronuncie</w:t>
        <w:br/>
        <w:t xml:space="preserve">   sobre  “la  obligación  internacional  de  los  Estados  en  el  tema  de</w:t>
        <w:br/>
        <w:t xml:space="preserve">   proporcionalidad de la pena en relación con la violación  cometida  y  el</w:t>
        <w:br/>
        <w:t xml:space="preserve">   referirse a estos beneficios de  la  ley  penal  chilena  constituye  una</w:t>
        <w:br/>
        <w:t xml:space="preserve">   oportunidad para establecer lineamientos al respecto”; d) se “incorpor[e]</w:t>
        <w:br/>
        <w:t xml:space="preserve">   un recurso sencillo y efectivo dentro de [el] sistema jurídico  [chileno]</w:t>
        <w:br/>
        <w:t xml:space="preserve">   que permita a víctimas de tortura u otros tratamientos crueles, inhumanos</w:t>
        <w:br/>
        <w:t xml:space="preserve">   o degradantes, solicitar y acceder a una reparación efectiva y adecuada”;</w:t>
        <w:br/>
        <w:t xml:space="preserve">   e) se “remue[van] los obstáculos de jure que impiden el ejercicio  de  la</w:t>
        <w:br/>
        <w:t xml:space="preserve">   acción civil para  reclamar  daños  y  perjuicios”;  f)  se  reforme  “el</w:t>
        <w:br/>
        <w:t xml:space="preserve">   contenido de la prescripción de la acción civil cuando la misma aplica  a</w:t>
        <w:br/>
        <w:t xml:space="preserve">   crímenes de lesa humanidad como la tortura”, y g) se “cre[e]  una  unidad</w:t>
        <w:br/>
        <w:t xml:space="preserve">   especializada en la investigación de casos de tortura y detención  ilegal</w:t>
        <w:br/>
        <w:t xml:space="preserve">   que tuvieron lugar durante la dictadura”.</w:t>
        <w:br/>
        <w:br/>
        <w:t>236. El Estado objetó las medidas solicitadas y en  lo  que  se  refiere  al</w:t>
        <w:br/>
        <w:t xml:space="preserve">   Decreto-Ley No. 2.191 señaló que “no tiene aplicación práctica en  Chile,</w:t>
        <w:br/>
        <w:t xml:space="preserve">   por cuanto los Tribunales de Justicia del país, han sostenido  de  manera</w:t>
        <w:br/>
        <w:t xml:space="preserve">   uniforme que […] no es aplicable respecto de crímenes y  simples  delitos</w:t>
        <w:br/>
        <w:t xml:space="preserve">   que vulneren derechos humanos.” Además, Chile informó a la Corte  de  que</w:t>
        <w:br/>
        <w:t xml:space="preserve">   el Estado “ha  estudiado  diversas  vías  para  que  dicho  cuerpo  legal</w:t>
        <w:br/>
        <w:t xml:space="preserve">   formalmente deje de  producir  efectos  jurídicos  en  [su]  ordenamiento</w:t>
        <w:br/>
        <w:t xml:space="preserve">   normativo”.</w:t>
        <w:br/>
        <w:br/>
        <w:br/>
        <w:br/>
        <w:br/>
        <w:t xml:space="preserve">    D.2) Consideraciones de la Corte</w:t>
        <w:br/>
        <w:br/>
        <w:br/>
        <w:t>237. La Corte no considera  necesario  pronunciarse  sobre  las  medidas  de</w:t>
        <w:br/>
        <w:t xml:space="preserve">   reparación  solicitadas  en   relación   con   los   alegatos   reseñados</w:t>
        <w:br/>
        <w:t xml:space="preserve">   anteriormente, y se remite a lo resuelto  en  la  presente  Sentencia  al</w:t>
        <w:br/>
        <w:t xml:space="preserve">   respecto.</w:t>
        <w:br/>
        <w:br/>
        <w:br/>
        <w:t xml:space="preserve">  Indemnizaciones compensatorias</w:t>
        <w:br/>
        <w:br/>
        <w:br/>
        <w:br/>
        <w:t xml:space="preserve">    E.1) Daños materiales e inmateriales</w:t>
        <w:br/>
        <w:br/>
        <w:br/>
        <w:br/>
        <w:t xml:space="preserve">       E.1.1) Argumentos de la Comisión y de las partes</w:t>
        <w:br/>
        <w:br/>
        <w:br/>
        <w:t>238. La Comisión  no  se  refirió  puntualmente  a  medidas  pecuniarias  de</w:t>
        <w:br/>
        <w:t xml:space="preserve">   reparación, pero solicitó que se repare en forma integral y  adecuada  al</w:t>
        <w:br/>
        <w:t xml:space="preserve">   señor García Lucero y su familia.</w:t>
        <w:br/>
        <w:br/>
        <w:t>239. Las representantes alegaron que la pensión  y  el  bono  extraordinario</w:t>
        <w:br/>
        <w:t xml:space="preserve">   que ha recibido el señor García Lucero como “exonerado político”  no  son</w:t>
        <w:br/>
        <w:t xml:space="preserve">   adecuados para reparar el daño pecuniario que  se  le  ha  causado,  como</w:t>
        <w:br/>
        <w:t xml:space="preserve">   consecuencia de “la pérdida de la pensión a la que habría accedido él, de</w:t>
        <w:br/>
        <w:t xml:space="preserve">   no haber sido detenido, torturado y expulsado de su país”. Por tanto, las</w:t>
        <w:br/>
        <w:t xml:space="preserve">   representantes solicitaron a la Corte que ordene al Estado  reajustar  la</w:t>
        <w:br/>
        <w:t xml:space="preserve">   pensión que recibe el señor García Lucero. Advirtieron que  dicha  medida</w:t>
        <w:br/>
        <w:t xml:space="preserve">   puede también fungir como reparación por los  daños  ocasionados  por  la</w:t>
        <w:br/>
        <w:t xml:space="preserve">   pérdida del empleo que el señor García Lucero tenía en Chile.</w:t>
        <w:br/>
        <w:br/>
        <w:t>240. Asimismo, las representantes señalaron a la Corte que el  señor  García</w:t>
        <w:br/>
        <w:t xml:space="preserve">   Lucero desconoce qué le sucedió a los ahorros que  tenía  en  una  cuenta</w:t>
        <w:br/>
        <w:t xml:space="preserve">   bancaria chilena. Las representantes solicitaron al Tribunal  que  ordene</w:t>
        <w:br/>
        <w:t xml:space="preserve">   al Estado “determinar el destino  de  dichos  ahorros  y  devolverlos  al</w:t>
        <w:br/>
        <w:t xml:space="preserve">   [s]eñor García Lucero con el interés bancario aplicable durante todos los</w:t>
        <w:br/>
        <w:t xml:space="preserve">   años en que este dejó de tener acceso a los mismos”, y se  le  transfiera</w:t>
        <w:br/>
        <w:t xml:space="preserve">   el importe en libras al Reino Unido sin tener que asumir costo alguno.</w:t>
        <w:br/>
        <w:br/>
        <w:t>241. Por otra parte, las  representantes  sostuvieron  que  “el  sufrimiento</w:t>
        <w:br/>
        <w:t xml:space="preserve">   causado tanto al [s]eñor García  Lucero  como  a  su  esposa  Elena  como</w:t>
        <w:br/>
        <w:t xml:space="preserve">   resultado de la denegación de justicia y la falta de reparación  adecuada</w:t>
        <w:br/>
        <w:t xml:space="preserve">   deben ser igualmente fuente de reparación debido  al  daño  causado.”  En</w:t>
        <w:br/>
        <w:t xml:space="preserve">   este sentido, los representantes solicitaron a la Corte a que se ordene a</w:t>
        <w:br/>
        <w:t xml:space="preserve">   Chile el pago de 30.000,00  GBP  (treinta  mil  libras  esterlinas)  como</w:t>
        <w:br/>
        <w:t xml:space="preserve">   compensación por “daños no pecuniarios” causados al señor García  Lucero.</w:t>
        <w:br/>
        <w:t xml:space="preserve">   Las representantes explicaron que dicha compensación es adecuada, ya  que</w:t>
        <w:br/>
        <w:t xml:space="preserve">   “[d]ebe notarse que don Leopoldo debe ser resarcido  debido  a  que  [é]l</w:t>
        <w:br/>
        <w:t xml:space="preserve">   perdió, como causa directa del accionar de Chile, las  oportunidades  que</w:t>
        <w:br/>
        <w:t xml:space="preserve">   de otra manera hubiese  tenido  para  desarrollar  su  vida  dignamente”.</w:t>
        <w:br/>
        <w:t xml:space="preserve">   Agregaron que el Estado debe indemnizar con  20.000,00  GBP  (veinte  mil</w:t>
        <w:br/>
        <w:t xml:space="preserve">   libras esterlinas) a la  señora  García  Lucero  por  los  daños  morales</w:t>
        <w:br/>
        <w:t xml:space="preserve">   sufridos raíz de la expulsión de Chile de  su  esposo,  así  como  “haber</w:t>
        <w:br/>
        <w:t xml:space="preserve">   tenido que dedicar su vida de tiempo completo a  […]  su  cuidado  […]  y</w:t>
        <w:br/>
        <w:t xml:space="preserve">   haber tenido que alejarse físicamente de su familia en Chile,  sin  tener</w:t>
        <w:br/>
        <w:t xml:space="preserve">   la posibilidad de regresar a su país natal y sin contar con los  recursos</w:t>
        <w:br/>
        <w:t xml:space="preserve">   económicos para visitar su país después de la caída  de  la  dictadura  o</w:t>
        <w:br/>
        <w:t xml:space="preserve">   para asistir al entierro de su madre”.</w:t>
        <w:br/>
        <w:br/>
        <w:t>242. El Estado se opuso a la solicitud  de  las  representantes  de  que  se</w:t>
        <w:br/>
        <w:t xml:space="preserve">   ordenen medidas de reparación relativas al pago de una  compensación  por</w:t>
        <w:br/>
        <w:t xml:space="preserve">   los daños no pecuniarios, los cuales,  según  alegó,  se  fundamentan  en</w:t>
        <w:br/>
        <w:t xml:space="preserve">   hechos distintos a los deberes de investigar y reparar la  tortura  desde</w:t>
        <w:br/>
        <w:t xml:space="preserve">   que estos eran exigibles al Estado, como es el  sufrimiento  causado  por</w:t>
        <w:br/>
        <w:t xml:space="preserve">   actos de tortura y sus efectos, así como por el exilio del  señor  García</w:t>
        <w:br/>
        <w:t xml:space="preserve">   Lucero.</w:t>
        <w:br/>
        <w:br/>
        <w:br/>
        <w:t xml:space="preserve">       E.1.2) Consideraciones de la Corte</w:t>
        <w:br/>
        <w:br/>
        <w:br/>
        <w:t>243. El Tribunal ha establecido que el daño material supone  la  “pérdida  o</w:t>
        <w:br/>
        <w:t xml:space="preserve">   detrimento de los ingresos de las víctimas,  los  gastos  efectuados  con</w:t>
        <w:br/>
        <w:t xml:space="preserve">   motivo de los hechos y  las  consecuencias  de  carácter  pecuniario  que</w:t>
        <w:br/>
        <w:t xml:space="preserve">   tengan un nexo causal con  los  hechos  del  caso”[227].  A  su  vez,  ha</w:t>
        <w:br/>
        <w:t xml:space="preserve">   desarrollado en su jurisprudencia el concepto de  daño  inmaterial  y  ha</w:t>
        <w:br/>
        <w:t xml:space="preserve">   establecido que este “puede  comprender  tanto  los  sufrimientos  y  las</w:t>
        <w:br/>
        <w:t xml:space="preserve">   aflicciones causados a la víctima directa y a sus allegados, el menoscabo</w:t>
        <w:br/>
        <w:t xml:space="preserve">   de  valores  muy  significativos  para  las  personas,   así   como   las</w:t>
        <w:br/>
        <w:t xml:space="preserve">   alteraciones, de carácter no pecuniario, en las condiciones de existencia</w:t>
        <w:br/>
        <w:t xml:space="preserve">   de la víctima o su familia”[228].</w:t>
        <w:br/>
        <w:br/>
        <w:t>244.  La  Corte  considera  que  los  daños  materiales  aducidos  por   las</w:t>
        <w:br/>
        <w:t xml:space="preserve">   representantes se  vinculan con hechos sobre los que el  Tribunal  no  se</w:t>
        <w:br/>
        <w:t xml:space="preserve">   pronunció, por estar los mismos fuera de su competencia  temporal  (supra</w:t>
        <w:br/>
        <w:t xml:space="preserve">   párrs. 36 y 37). Asimismo,  no  se  encuentran  acreditadas  afectaciones</w:t>
        <w:br/>
        <w:t xml:space="preserve">   patrimoniales en virtud de los hechos que  generaron  la  responsabilidad</w:t>
        <w:br/>
        <w:t xml:space="preserve">   internacional  del  Estado  por  las  violaciones  a   derechos   humanos</w:t>
        <w:br/>
        <w:t xml:space="preserve">   declaradas  en  esta  Sentencia.  Por  lo  tanto,  la   Corte   considera</w:t>
        <w:br/>
        <w:t xml:space="preserve">   improcedente  disponer  medidas  compensatorias  por  concepto  de  daños</w:t>
        <w:br/>
        <w:t xml:space="preserve">   materiales.</w:t>
        <w:br/>
        <w:br/>
        <w:t>245.  Además,  las  representantes  han   aducido   una   serie   de   daños</w:t>
        <w:br/>
        <w:t xml:space="preserve">   inmateriales. El Tribunal observa que los mismos tienen por  sustento  la</w:t>
        <w:br/>
        <w:t xml:space="preserve">   alegada incidencia de  la  “denegación  de  justicia”  y  de  “reparación</w:t>
        <w:br/>
        <w:t xml:space="preserve">   adecuada” en el daño “moral” del señor  García  Lucero,  vinculado  a  su</w:t>
        <w:br/>
        <w:t xml:space="preserve">   permanencia fuera de Chile. En tales términos, resulta difícil  deslindar</w:t>
        <w:br/>
        <w:t xml:space="preserve">   claramente aquellos daños inmateriales causados por los  actos  ocurridos</w:t>
        <w:br/>
        <w:t xml:space="preserve">   fuera de la  competencia  temporal  del  Tribunal  de  aquellos  que  han</w:t>
        <w:br/>
        <w:t xml:space="preserve">   sucedido dentro de su  competencia  y  respecto  de  los  cuales  se  han</w:t>
        <w:br/>
        <w:t xml:space="preserve">   declarado violaciones a derechos convencionales.</w:t>
        <w:br/>
        <w:br/>
        <w:t>246. No obstante lo anterior, la Corte ha constatado  diversas  afectaciones</w:t>
        <w:br/>
        <w:t xml:space="preserve">   a los derechos humanos en relación con la vulneración de las garantías  y</w:t>
        <w:br/>
        <w:t xml:space="preserve">   protección judiciales, en  perjuicio  del  señor  García  Lucero.  Se  ha</w:t>
        <w:br/>
        <w:t xml:space="preserve">   acreditado que Estado incurrió en una demora  excesiva  para  iniciar  la</w:t>
        <w:br/>
        <w:t xml:space="preserve">   investigación, después de más de 16 años de tener noticia de los  hechos.</w:t>
        <w:br/>
        <w:t xml:space="preserve">   Ello, de acuerdo a las particularidades de este  caso,  y  de  la  prueba</w:t>
        <w:br/>
        <w:t xml:space="preserve">   existente, ha adquirido características y consecuencias propias. En  este</w:t>
        <w:br/>
        <w:t xml:space="preserve">   sentido, el señor García Lucero hace cuarenta años  espera  que  se  haga</w:t>
        <w:br/>
        <w:t xml:space="preserve">   justicia. Él es, además, una persona de edad avanzada, pues tiene  de  79</w:t>
        <w:br/>
        <w:t xml:space="preserve">   años,  y  sufre  una  discapacidad  permanente.  En  este  marco,   puede</w:t>
        <w:br/>
        <w:t xml:space="preserve">   recordarse que la Corte ha tenido oportunidad de considerar  la  especial</w:t>
        <w:br/>
        <w:t xml:space="preserve">   importancia de la celeridad de los procesos judiciales  en  relación  con</w:t>
        <w:br/>
        <w:t xml:space="preserve">   personas en situación de vulnerabilidad,  como  lo  es  una  persona  con</w:t>
        <w:br/>
        <w:t xml:space="preserve">   discapacidad, dada la incidencia particular que la demora puede tener  en</w:t>
        <w:br/>
        <w:t xml:space="preserve">   tales  individuos.  En  ese   sentido,   ha   tenido   en   consideración</w:t>
        <w:br/>
        <w:t xml:space="preserve">   jurisprudencia del Tribunal Europeo de Derechos Humanos que consideró que</w:t>
        <w:br/>
        <w:t xml:space="preserve">   la avanzada edad de personas vinculadas a un proceso judicial  conllevaba</w:t>
        <w:br/>
        <w:t xml:space="preserve">   el requerimiento de una especial diligencia  de  las  autoridades  en  la</w:t>
        <w:br/>
        <w:t xml:space="preserve">   resolución del proceso respectivo[229]. Además, se destaca el hecho de la</w:t>
        <w:br/>
        <w:t xml:space="preserve">   residencia del señor García Lucero fuera de Chile y que él se ve de hecho</w:t>
        <w:br/>
        <w:t xml:space="preserve">   impedido de acceder a medidas de  reparación  accesibles  en  Chile,  las</w:t>
        <w:br/>
        <w:t xml:space="preserve">   cuales podrían paliar las afectaciones  que  pudieron  derivarse  de  las</w:t>
        <w:br/>
        <w:t xml:space="preserve">   violaciones a derechos humanos declaradas en la  presente  Sentencia.  Al</w:t>
        <w:br/>
        <w:t xml:space="preserve">   respecto, si bien el Tribunal no se pronunció sobre la alegada  violación</w:t>
        <w:br/>
        <w:t xml:space="preserve">   al derecho a la integridad personal  por  los  motivos  señalados  en  la</w:t>
        <w:br/>
        <w:t xml:space="preserve">   presente  Sentencia  (supra  párr.  129),  estimó  pertinente  tener   en</w:t>
        <w:br/>
        <w:t xml:space="preserve">   consideración “la situación planteada” respecto al señor  García  Lucero,</w:t>
        <w:br/>
        <w:t xml:space="preserve">   en tanto advierte las características propias que presenta la  demora  de</w:t>
        <w:br/>
        <w:t xml:space="preserve">   procesos judiciales en relación con sus efectos posibles  sobre  personas</w:t>
        <w:br/>
        <w:t xml:space="preserve">   en la situación del  señor  García  Lucero.  En  consecuencia,  la  Corte</w:t>
        <w:br/>
        <w:t xml:space="preserve">   considera pertinente fijar, en equidad, la suma de 20.000.00 GBP  (veinte</w:t>
        <w:br/>
        <w:t xml:space="preserve">   mil libras esterlinas) a favor del  señor  Leopoldo  García  Lucero,  por</w:t>
        <w:br/>
        <w:t xml:space="preserve">   concepto de compensación por el daño inmaterial ocasionado.</w:t>
        <w:br/>
        <w:br/>
        <w:br/>
        <w:t xml:space="preserve">  Costas y gastos</w:t>
        <w:br/>
        <w:br/>
        <w:br/>
        <w:t>247. Como ya lo ha  señalado  la  Corte  en  oportunidades  anteriores,  las</w:t>
        <w:br/>
        <w:t xml:space="preserve">   costas y gastos están comprendidos  dentro  del  concepto  de  reparación</w:t>
        <w:br/>
        <w:t xml:space="preserve">   establecido en el artículo  63.1  de  la  Convención  Americana[230].  El</w:t>
        <w:br/>
        <w:t xml:space="preserve">   Tribunal observa, sin embargo, que las representantes han “renuncia[do] a</w:t>
        <w:br/>
        <w:t xml:space="preserve">   su derecho de reclamar costas legales por el litigio del presente  caso”.</w:t>
        <w:br/>
        <w:t xml:space="preserve">   Por tanto, la Corte considera que las costas y gastos del litigio no  son</w:t>
        <w:br/>
        <w:t xml:space="preserve">   objeto de disputa y no es necesario que se pronuncie sobre este punto.</w:t>
        <w:br/>
        <w:br/>
        <w:br/>
        <w:t xml:space="preserve">   Modalidad de cumplimiento de los pagos ordenados</w:t>
        <w:br/>
        <w:br/>
        <w:br/>
        <w:t>248. El Estado deberá efectuar el pago de la indemnización por  concepto  de</w:t>
        <w:br/>
        <w:t xml:space="preserve">   daño inmaterial establecida en la presente Sentencia  al  señor  Leopoldo</w:t>
        <w:br/>
        <w:t xml:space="preserve">   García Lucero, dentro del plazo  de  un  año,  contado  a  partir  de  la</w:t>
        <w:br/>
        <w:t xml:space="preserve">   notificación del presente  Fallo,  en  los  términos  de  los  siguientes</w:t>
        <w:br/>
        <w:t xml:space="preserve">   párrafos. En caso de fallecimiento de la víctima con anterioridad al pago</w:t>
        <w:br/>
        <w:t xml:space="preserve">   de la cantidad respectiva, esta  se  entregará  a  sus  derechohabientes,</w:t>
        <w:br/>
        <w:t xml:space="preserve">   conforme al derecho interno aplicable.</w:t>
        <w:br/>
        <w:br/>
        <w:t>249. El Estado deberá cumplir con las obligaciones  monetarias  mediante  el</w:t>
        <w:br/>
        <w:t xml:space="preserve">   pago en libras esterlinas.</w:t>
        <w:br/>
        <w:br/>
        <w:t>250. Si por causas atribuibles al beneficiario de las  indemnizaciones  o  a</w:t>
        <w:br/>
        <w:t xml:space="preserve">   sus derechohabientes no fuese posible el pago de la cantidad  determinada</w:t>
        <w:br/>
        <w:t xml:space="preserve">   dentro del plazo indicado, el Estado consignará dicho monto a su favor en</w:t>
        <w:br/>
        <w:t xml:space="preserve">   una cuenta o  certificado  de  depósito  en  una  institución  financiera</w:t>
        <w:br/>
        <w:t xml:space="preserve">   chilena,  en  libras  esterlinas  en  las  condiciones  financieras   más</w:t>
        <w:br/>
        <w:t xml:space="preserve">   favorables que permitan la legislación y la práctica bancaria. Si al cabo</w:t>
        <w:br/>
        <w:t xml:space="preserve">   de diez años el monto asignado no ha sido  reclamado,  la  cantidad  será</w:t>
        <w:br/>
        <w:t xml:space="preserve">   devuelta al Estado con los intereses devengados.</w:t>
        <w:br/>
        <w:br/>
        <w:t>251. La cantidad asignada en la presente  Sentencia,  bajo  el  concepto  de</w:t>
        <w:br/>
        <w:t xml:space="preserve">   indemnización del daño inmaterial, deberá ser entregada al señor Leopoldo</w:t>
        <w:br/>
        <w:t xml:space="preserve">   García Lucero en  forma  íntegra,  conforme  a  lo  establecido  en  esta</w:t>
        <w:br/>
        <w:t xml:space="preserve">   Sentencia, y no podrá ser afectada o condicionada  por  motivos  fiscales</w:t>
        <w:br/>
        <w:t xml:space="preserve">   actuales o futuros ni por descuentos por cargos financieros o bancarios.</w:t>
        <w:br/>
        <w:br/>
        <w:t>252. En caso de que el Estado incurriera en mora, deberá  pagar  un  interés</w:t>
        <w:br/>
        <w:t xml:space="preserve">   sobre la cantidad adeudada correspondiente al interés bancario  moratorio</w:t>
        <w:br/>
        <w:t xml:space="preserve">   en Chile.</w:t>
        <w:br/>
        <w:br/>
        <w:t xml:space="preserve">                                      *</w:t>
        <w:br/>
        <w:t>253. Conforme a su práctica constante,  la  Corte  se  reserva  la  facultad</w:t>
        <w:br/>
        <w:t xml:space="preserve">   inherente a sus atribuciones y derivada, asimismo, del artículo 65 de  la</w:t>
        <w:br/>
        <w:t xml:space="preserve">   Convención  Americana,  de  supervisar  el  cumplimiento  íntegro  de  la</w:t>
        <w:br/>
        <w:t xml:space="preserve">   presente Sentencia. El caso se dará por concluido una vez que  el  Estado</w:t>
        <w:br/>
        <w:t xml:space="preserve">   haya dado cabal cumplimiento a lo dispuesto en el presente fallo.</w:t>
        <w:br/>
        <w:br/>
        <w:t>254. Dentro del plazo de un año, contado a  partir  de  la  notificación  de</w:t>
        <w:br/>
        <w:t xml:space="preserve">   esta Sentencia, el Estado deberá rendir a la Corte un informe  sobre  las</w:t>
        <w:br/>
        <w:t xml:space="preserve">   medidas adoptadas para cumplirla.</w:t>
        <w:br/>
        <w:br/>
        <w:br/>
        <w:br/>
        <w:br/>
        <w:br/>
        <w:t>X</w:t>
        <w:br/>
        <w:br/>
        <w:br/>
        <w:t>PUNTOS RESOLUTIVOS</w:t>
        <w:br/>
        <w:br/>
        <w:br/>
        <w:br/>
        <w:br/>
        <w:t>255. Por tanto,</w:t>
        <w:br/>
        <w:br/>
        <w:br/>
        <w:t>LA CORTE</w:t>
        <w:br/>
        <w:br/>
        <w:t>decide,</w:t>
        <w:br/>
        <w:br/>
        <w:t>por unanimidad,</w:t>
        <w:br/>
        <w:br/>
        <w:t>Desestimar parcialmente la excepción preliminar interpuesta por el Estado</w:t>
        <w:br/>
        <w:t>relativa a la falta de competencia temporal y material de la Corte, en los</w:t>
        <w:br/>
        <w:t>términos de los párrafos 24 a 42 de la presente Sentencia.</w:t>
        <w:br/>
        <w:br/>
        <w:br/>
        <w:t>DECLARA,</w:t>
        <w:br/>
        <w:br/>
        <w:br/>
        <w:t>por unanimidad, que:</w:t>
        <w:br/>
        <w:br/>
        <w:br/>
        <w:t>El Estado es responsable por la violación de los derechos  a  las  garantías</w:t>
        <w:br/>
        <w:t>judiciales y a la protección judicial, reconocidos en los  artículos  8.1  y</w:t>
        <w:br/>
        <w:t>25.1 de la Convención Americana sobre Derechos Humanos, en relación  con  el</w:t>
        <w:br/>
        <w:t>artículo 1.1 de  la  misma  y  con  las  obligaciones  establecidas  en  los</w:t>
        <w:br/>
        <w:t>artículos 1,  6  y  8  de  la  Convención  Interamericana  para  Prevenir  y</w:t>
        <w:br/>
        <w:t>Sancionar la Tortura,  en  perjuicio  de  Leopoldo  García  Lucero,  por  la</w:t>
        <w:br/>
        <w:t>excesiva demora en  iniciar  una  investigación,  en  los  términos  de  los</w:t>
        <w:br/>
        <w:t>párrafos 121 a 127 y 138 de la presente Sentencia.</w:t>
        <w:br/>
        <w:br/>
        <w:t>El Estado no  es  responsable  por  la  violación  de  los  derechos  a  las</w:t>
        <w:br/>
        <w:t>garantías y protección judiciales, reconocidos en los artículos 8.1  y  25.1</w:t>
        <w:br/>
        <w:t>de la Convención Americana  sobre  Derechos  Humanos,  en  relación  con  el</w:t>
        <w:br/>
        <w:t>artículo 1.1 de la misma y el artículo 9  de  la  Convención  Interamericana</w:t>
        <w:br/>
        <w:t>para Prevenir y Sancionar la Tortura, en relación con las  posibilidades  de</w:t>
        <w:br/>
        <w:t>reclamo de medidas de reparación, en los términos de los párrafos 194 y  199</w:t>
        <w:br/>
        <w:t>a 206 de la presente Sentencia.</w:t>
        <w:br/>
        <w:br/>
        <w:t>No corresponde emitir un pronunciamiento sobre  la  alegada  responsabilidad</w:t>
        <w:br/>
        <w:t>internacional del Estado con  base  en  el  presunto  incumplimiento  de  la</w:t>
        <w:br/>
        <w:t>obligación de adoptar disposiciones de derecho  interno  establecida  en  el</w:t>
        <w:br/>
        <w:t>artículo 2 de  la  Convención  Americana  sobre  Derechos  Humanos,  en  los</w:t>
        <w:br/>
        <w:t>términos de los párrafos 150 a 161 de la presente  Sentencia.  No  obstante,</w:t>
        <w:br/>
        <w:t>la Corte reafirma lo dispuesto en la Sentencia del caso  Almonacid  Arellano</w:t>
        <w:br/>
        <w:t>y otros, en la cual estableció que “dada su naturaleza, el Decreto  Ley  No.</w:t>
        <w:br/>
        <w:t>2.191 carece de  efectos  jurídicos  y  no  puede  seguir  representando  un</w:t>
        <w:br/>
        <w:t>obstáculo para la investigación de los hechos que constituyen este caso,  ni</w:t>
        <w:br/>
        <w:t>para la identificación y el castigo de  los  responsables,  ni  puede  tener</w:t>
        <w:br/>
        <w:t>igual o similar  impacto  respecto  de  otros  casos  de  violación  de  los</w:t>
        <w:br/>
        <w:t>derechos consagrados en la Convención Americana acontecidos en Chile”.</w:t>
        <w:br/>
        <w:br/>
        <w:t>No corresponde emitir un pronunciamiento sobre  la  alegada  responsabilidad</w:t>
        <w:br/>
        <w:t>internacional del Estado con base en la presunta violación de  los  derechos</w:t>
        <w:br/>
        <w:t>a la integridad personal, y de circulación y de  residencia  reconocidos  en</w:t>
        <w:br/>
        <w:t>los artículos 5.1 y 22 de la Convención Americana  sobre  Derechos  Humanos,</w:t>
        <w:br/>
        <w:t>en los términos de los párrafos 129, 209 y 210 de la presente Sentencia.</w:t>
        <w:br/>
        <w:br/>
        <w:br/>
        <w:t>Y DISPONE</w:t>
        <w:br/>
        <w:br/>
        <w:t>por unanimidad,  que:</w:t>
        <w:br/>
        <w:br/>
        <w:t>Esta Sentencia constituye per se una forma de reparación.</w:t>
        <w:br/>
        <w:br/>
        <w:t>El  Estado  debe  continuar  y  concluir,  en   un   plazo   razonable,   la</w:t>
        <w:br/>
        <w:t>investigación de los hechos ocurridos al señor García Lucero entre el 16  de</w:t>
        <w:br/>
        <w:t>septiembre de 1973 y el 12 de junio de 1975, a partir  del  momento  de  los</w:t>
        <w:br/>
        <w:t>que  tomó  conocimiento  el  Estado,  sin  que  el  Decreto-Ley  No.   2.191</w:t>
        <w:br/>
        <w:t>constituya un obstáculo  para  el  desarrollo  de  dicha  investigación,  de</w:t>
        <w:br/>
        <w:t>conformidad con lo señalado en  los  párrafos  220  a  223  de  la  presente</w:t>
        <w:br/>
        <w:t>Sentencia.</w:t>
        <w:br/>
        <w:br/>
        <w:t>El Estado debe realizar las publicaciones que se indican en el  párrafo  226</w:t>
        <w:br/>
        <w:t>del presente Fallo, en  el  plazo  de  6  meses,  contado  a  partir  de  la</w:t>
        <w:br/>
        <w:t>notificación de la presente Sentencia.</w:t>
        <w:br/>
        <w:br/>
        <w:t>El Estado debe pagar dentro del plazo de un año,  contado  a  partir  de  la</w:t>
        <w:br/>
        <w:t>notificación del presente Fallo, la cantidad fijada  por  concepto  de  daño</w:t>
        <w:br/>
        <w:t>inmaterial ocasionado a  Leopoldo  García  Lucero,  de  conformidad  con  lo</w:t>
        <w:br/>
        <w:t>señalado en los párrafos 243 a 246 de la presente Sentencia.</w:t>
        <w:br/>
        <w:br/>
        <w:t>No corresponde ordenar el pago de  costas  y  gastos  del  litigio,  en  los</w:t>
        <w:br/>
        <w:t>términos del párrafo 247 de la presente Sentencia.</w:t>
        <w:br/>
        <w:br/>
        <w:t>El Estado debe, dentro  del  plazo  de  un  año,  contado  a  partir  de  la</w:t>
        <w:br/>
        <w:t>notificación de esta Sentencia, rendir al  Tribunal  un  informe  sobre  las</w:t>
        <w:br/>
        <w:t>medidas adoptadas para cumplir con la misma.</w:t>
        <w:br/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br/>
        <w:br/>
        <w:br/>
        <w:br/>
        <w:t>Redactada en español e inglés, haciendo fe el texto en español, en San</w:t>
        <w:br/>
        <w:t>José, Costa Rica, el 28 de agosto de 2013.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t>Manuel  E.  Ventura   Robles                                         Alberto</w:t>
        <w:br/>
        <w:t>Pérez Pérez</w:t>
        <w:br/>
        <w:br/>
        <w:br/>
        <w:br/>
        <w:t>Roberto                              F.                               Caldas</w:t>
        <w:br/>
        <w:t xml:space="preserve">   Humberto Antonio Sierra Porto</w:t>
        <w:br/>
        <w:br/>
        <w:br/>
        <w:br/>
        <w:t xml:space="preserve">                      Eduardo Ferrer Mac-Gregor Poisot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(     De conformidad con  el  artículo  19.1  del  Reglamento  de  la  Corte</w:t>
        <w:br/>
        <w:t>Interamericana aplicable al presente  caso,  que  establece  que  “[e]n  los</w:t>
        <w:br/>
        <w:t>casos a que hace referencia el artículo 44 de la Convención, los  Jueces  no</w:t>
        <w:br/>
        <w:t>podrán participar en su conocimiento y deliberación, cuando sean  nacionales</w:t>
        <w:br/>
        <w:t>del Estado demandado”, el Juez Eduardo Vio Grossi, de nacionalidad  chilena,</w:t>
        <w:br/>
        <w:t>no participó en la tramitación del presente caso ni  en  la  deliberación  y</w:t>
        <w:br/>
        <w:t>firma de esta Sentencia.</w:t>
        <w:br/>
        <w:br/>
        <w:br/>
        <w:t>[1]   De acuerdo al artículo 2.25 del Reglamento de la Corte la expresión</w:t>
        <w:br/>
        <w:t>“presunta víctima” significa la persona de la cual se alega han sido</w:t>
        <w:br/>
        <w:t>violados los derechos protegidos en la Convención o en otro tratado del</w:t>
        <w:br/>
        <w:t>Sistema Interamericano. En el presente caso si bien en el Estado reconoció</w:t>
        <w:br/>
        <w:t>que el señor García Lucero es víctima de tortura, para el examen que</w:t>
        <w:br/>
        <w:t>realizará este Tribunal entenderá que es presunta víctima de las alegadas</w:t>
        <w:br/>
        <w:t>violaciones señaladas por la Comisión y las representantes por la</w:t>
        <w:br/>
        <w:t>vulneración por parte del Estado de determinadas normas de la Convención</w:t>
        <w:br/>
        <w:t>Americana y la Convención Interamericana para Prevenir y Sancionar la</w:t>
        <w:br/>
        <w:t>Tortura.</w:t>
        <w:br/>
        <w:br/>
        <w:t>[2]   Ver infra párr. 61 de la presente Sentencia respecto a María  Elena  y</w:t>
        <w:br/>
        <w:t>Gloria Klug, y a Francisca Rocío García Illanes.</w:t>
        <w:br/>
        <w:t>[3]   En el cual admitió el caso en cuanto a las presuntas violaciones de</w:t>
        <w:br/>
        <w:t>los derechos consagrados en los artículos 8 y 25 de la Convención, en</w:t>
        <w:br/>
        <w:t>concordancia con los artículos 1.1 y 2 de dicho tratado.</w:t>
        <w:br/>
        <w:br/>
        <w:t>[4]   Informe de Fondo No. 23/11, Caso 12.519, García Lucero y  su  familia,</w:t>
        <w:br/>
        <w:t>23 de marzo de 2011 (Expediente de anexos al Informe de Fondo, Tomo  I,  fs.</w:t>
        <w:br/>
        <w:t>12 a 43).</w:t>
        <w:br/>
        <w:t>[5]   Cfr. Caso García  Lucero y otras Vs. Chile. Resolución del  Presidente</w:t>
        <w:br/>
        <w:t>de   la   Corte   de   14   de   febrero    de    2013.    Disponible    en:</w:t>
        <w:br/>
        <w:t>www.corteidh.or.cr/docs/asuntos/garcíalucero_14_02_13.pdf.</w:t>
        <w:br/>
        <w:br/>
        <w:t>[6]   A esta audiencia comparecieron: a)  por  la  Comisión  Interamericana:</w:t>
        <w:br/>
        <w:t>Silvia Serrano Guzmán, asesora  legal;  b)  por  las  representantes:  Lorna</w:t>
        <w:br/>
        <w:t>McGregor, Juan Pablo Delgado, Clara  Sandoval,  la  presunta  víctima  Elena</w:t>
        <w:br/>
        <w:t>García y el psicólogo de las presuntas víctimas Cristian Peña, y c)  por  el</w:t>
        <w:br/>
        <w:t>Estado: Miguel Ángel González  Morales,  Agente,  y  Jorge  Castro  Pereira,</w:t>
        <w:br/>
        <w:t>Agente Alterno.</w:t>
        <w:br/>
        <w:br/>
        <w:t>[7]   A saber: a) “copia de las normas  sustantivas  y  procedimentales  que</w:t>
        <w:br/>
        <w:t>regulan la investigación en curso sobre los  actos  que  habría  sufrido  el</w:t>
        <w:br/>
        <w:t>señor García Lucero, incluyendo aquellas que tipifican los  delitos  que  se</w:t>
        <w:br/>
        <w:t>están investigando, y las referentes a  la  posibilidad  de  interponer  una</w:t>
        <w:br/>
        <w:t>acción civil en el juicio penal; b) copia de la normas relativas al  “juicio</w:t>
        <w:br/>
        <w:t>de hacienda” y toda otra que se vincule con la posibilidad de  reclamar,  al</w:t>
        <w:br/>
        <w:t>Estado o a particulares, indemnizaciones pecuniarias u otro tipo de  medidas</w:t>
        <w:br/>
        <w:t>de reparación, por hechos tales como los que las representantes  aducen  que</w:t>
        <w:br/>
        <w:t>padeció el señor García Lucero; c)  copia  completa  y  actualizada  de  las</w:t>
        <w:br/>
        <w:t>actuaciones de la investigación de los hechos que habría  sufrido  el  señor</w:t>
        <w:br/>
        <w:t>García Lucero”.</w:t>
        <w:br/>
        <w:br/>
        <w:t>[8]   Cfr. Caso Hilaire, Constantine y  Benjamin  y  otros  Vs.  Trinidad  y</w:t>
        <w:br/>
        <w:t>Tobago. Fondo, Reparaciones y Costas. Sentencia de  21  de  junio  de  2002.</w:t>
        <w:br/>
        <w:t>Serie C No. 94, párrs. 17 y 18, y Caso Masacres de Río Negro Vs.  Guatemala.</w:t>
        <w:br/>
        <w:t>Excepción Preliminar, Fondo,  Reparaciones  y  Costas.  Sentencia  de  4  de</w:t>
        <w:br/>
        <w:t>septiembre de 2012. Serie C No. 250, párr. 35.</w:t>
        <w:br/>
        <w:br/>
        <w:t>[9]   En el Informe  de  Admisibilidad  la  Comisión,  al  caracterizar  los</w:t>
        <w:br/>
        <w:t>hechos  alegados,  indicó  que  en  “la  petición  se  plantean   cuestiones</w:t>
        <w:br/>
        <w:t>referentes a la supuesta denegación de justicia por la falta  de  reparación</w:t>
        <w:br/>
        <w:t>civil de una víctima de  graves  violaciones  a  sus  derechos  humanos  que</w:t>
        <w:br/>
        <w:t>habrían sido cobijadas por impunidad penal a través  la  aplicación  de  una</w:t>
        <w:br/>
        <w:t>ley de amnistía”. También se señaló que los peticionarios aclararon  en  sus</w:t>
        <w:br/>
        <w:t>presentaciones ante la Comisión, que el objeto de su denuncia “se  concentra</w:t>
        <w:br/>
        <w:t>en tres cuestiones: a) la no derogación –  y  consecuente  mantenimiento  en</w:t>
        <w:br/>
        <w:t>vigencia – del Decreto-Ley No.  2.191  […];  b)  la  falta  de  juzgamiento,</w:t>
        <w:br/>
        <w:t>identificación de los responsables, y sanción a los autores de [los]  hechos</w:t>
        <w:br/>
        <w:t>[…], y c) la falta de  reparación  civil  para  las  víctimas  de  tortura”.</w:t>
        <w:br/>
        <w:t>Disponible en: www.cidh.oas.org/annualrep/20055p/Chile350.02pm.htm</w:t>
        <w:br/>
        <w:br/>
        <w:t>[10]  Caso Masacres de Río Negro Vs. Guatemala, supra, párr. 36.</w:t>
        <w:br/>
        <w:br/>
        <w:t>[11]  La Corte, además, aclaró que la “declaración” realizada por  Chile  al</w:t>
        <w:br/>
        <w:t>ratificar la Convención, no constituye una reserva (Caso Almonacid  Arellano</w:t>
        <w:br/>
        <w:t>y otros Vs. Chile. Excepciones Preliminares, Fondo, Reparaciones  y  Costas.</w:t>
        <w:br/>
        <w:t>Sentencia de 26 de septiembre de 2006. Serie C No.  154,  párrs.  43,  44  y</w:t>
        <w:br/>
        <w:t>45).</w:t>
        <w:br/>
        <w:br/>
        <w:t>[12]  Cfr. Caso Hermanas Serrano Cruz. Excepciones  Preliminares.  Sentencia</w:t>
        <w:br/>
        <w:t>de 23 de noviembre de 2004. Serie C No. 118, párr. 73. En el mismo  sentido,</w:t>
        <w:br/>
        <w:t>Caso Masacres de Río Negro Vs. Guatemala, supra, párr. 35.</w:t>
        <w:br/>
        <w:br/>
        <w:t>[13]   Cfr.  Caso  de  la  Comunidad  Moiwana  Vs.   Suriname.   Excepciones</w:t>
        <w:br/>
        <w:t>Preliminares, Fondo, Reparaciones y Costas. Sentencia 15 de junio  de  2005.</w:t>
        <w:br/>
        <w:t>Serie  C  No.  124,  párr.  43;  Caso  Garibaldi  Vs.  Brasil.   Excepciones</w:t>
        <w:br/>
        <w:t>Preliminares, Fondo, Reparaciones y Costas. Sentencia de  23  de  septiembre</w:t>
        <w:br/>
        <w:t>de 2009. Serie C No. 203, párr. 23; Caso De la Masacre de las Dos Erres  Vs.</w:t>
        <w:br/>
        <w:t>Guatemala. Excepción Preliminar, Fondo, Reparaciones y Costas. Sentencia  de</w:t>
        <w:br/>
        <w:t>24 de noviembre de 2009. Serie C No. 211, párrs. 47 y 48,  y  Caso  Masacres</w:t>
        <w:br/>
        <w:t>de Río Negro Vs. Guatemala, supra, párr. 39.</w:t>
        <w:br/>
        <w:br/>
        <w:t>[14]  Cfr. Caso Genie Lacayo Vs. Nicaragua. Excepciones Preliminares.</w:t>
        <w:br/>
        <w:t>Sentencia de 27 de enero de 1995. Serie C No. 21, párrs. 21, 25 y 26.</w:t>
        <w:br/>
        <w:br/>
        <w:t>[15]  Cfr. Caso de la Comunidad Moiwana Vs. Suriname, supra, párrs. 43 y</w:t>
        <w:br/>
        <w:t>44.</w:t>
        <w:br/>
        <w:br/>
        <w:t>[16]  Cfr. Caso García Prieto y Otro Vs. El Salvador. Excepciones</w:t>
        <w:br/>
        <w:t>Preliminares, Fondo, Reparaciones y Costas. Sentencia de 20 de noviembre</w:t>
        <w:br/>
        <w:t>2007. Serie C No. 168, párrs. 31, 45 y 46.</w:t>
        <w:br/>
        <w:br/>
        <w:t>[17]  Cfr. Caso Almonacid Arellano y otros Vs. Chile, supra, párrs. 48 a</w:t>
        <w:br/>
        <w:t>51.</w:t>
        <w:br/>
        <w:br/>
        <w:t>[18]  Cfr. Caso Masacres de Río Negro Vs. Guatemala, supra, párrs. 35, 38 y</w:t>
        <w:br/>
        <w:t>39.</w:t>
        <w:br/>
        <w:br/>
        <w:t>[19]  Cfr. Caso de las Hermanas Serrano Cruz Vs. El Salvador,  supra,  párr.</w:t>
        <w:br/>
        <w:t>84, y Caso De la Masacre de las Dos Erres Vs. Guatemala, supra, párr. 47.</w:t>
        <w:br/>
        <w:br/>
        <w:t>[20]  Caso Alfonso Martin del Campo Dodd Vs. México. Excepciones</w:t>
        <w:br/>
        <w:t>Preliminares. Sentencia de 3 de septiembre de 2004. Serie C No. 113, párr.</w:t>
        <w:br/>
        <w:t>78.</w:t>
        <w:br/>
        <w:br/>
        <w:t>[21]  Tales como, por ejemplo, las medidas cuya necesidad fue alegada y que</w:t>
        <w:br/>
        <w:t>refieren a tratamiento médico o psicológico/psiquiátrico, y a la</w:t>
        <w:br/>
        <w:t>discapacidad permanente del señor García Lucero.</w:t>
        <w:br/>
        <w:br/>
        <w:t>[22]  Cfr. Caso Ticona Estrada y otros Vs. Bolivia. Fondo, Reparaciones y</w:t>
        <w:br/>
        <w:t>Costas. Sentencia de 27 de noviembre de 2008. Serie C No. 191, párrs. 93 a</w:t>
        <w:br/>
        <w:t>97.</w:t>
        <w:br/>
        <w:br/>
        <w:t>[23]  En este sentido, puede recordarse lo señalado por el Tribunal en</w:t>
        <w:br/>
        <w:t>relación con el Caso de las Hermanas Serrano Cruz Vs. El Salvador: “Dado</w:t>
        <w:br/>
        <w:t>que la Corte carece de competencia para conocer de los hechos o actos</w:t>
        <w:br/>
        <w:t>anteriores o con principio de ejecución anterior al 6 de junio de 1995 […],</w:t>
        <w:br/>
        <w:t>el aspecto sustancial de la controversia en este caso ante el Tribunal no</w:t>
        <w:br/>
        <w:t>es si las hermanas Serrano Cruz fueron hechas desaparecer por el Estado,</w:t>
        <w:br/>
        <w:t>sino si los procesos internos permitieron que se garantizara un acceso a la</w:t>
        <w:br/>
        <w:t>justicia conforme a los estándares previstos en la Convención Americana”.</w:t>
        <w:br/>
        <w:t>Además, en la Sentencia mencionada la Corte recordó también que en su Fallo</w:t>
        <w:br/>
        <w:t>de 23 de noviembre de 2004 sobre excepciones preliminares en ese caso</w:t>
        <w:br/>
        <w:t>“resolvió que no es competente para conocer los hechos o actos sucedidos</w:t>
        <w:br/>
        <w:t>antes del 6 de junio de 1995, fecha en que el Estado […] reconoci[ó] la</w:t>
        <w:br/>
        <w:t>competencia de la Corte, y tampoco […] es competente para conocer de los</w:t>
        <w:br/>
        <w:t>hechos o actos cuyo principio de ejecución es anterior al 6 de junio de</w:t>
        <w:br/>
        <w:t>1995 y que se prolonguen con posterioridad a dicha fecha”. Además, […]</w:t>
        <w:br/>
        <w:t>resolvió que tenía competencia para conocer de ‘las alegadas violaciones a</w:t>
        <w:br/>
        <w:t>los artículos 8 y 25 de la Convención, en relación con el artículo 1.1 de</w:t>
        <w:br/>
        <w:t>la misma, y sobre cualquier otra violación cuyos hechos o principio de</w:t>
        <w:br/>
        <w:t>ejecución sean posteriores’ a la fecha en que el Estado reconoció la</w:t>
        <w:br/>
        <w:t>competencia de la Corte. […] En consecuencia, la Corte resolvió que no se</w:t>
        <w:br/>
        <w:t>pronunciaría sobre la supuesta desaparición forzada de Ernestina y Erlinda</w:t>
        <w:br/>
        <w:t>Serrano Cruz que se alega ocurrió en junio de 1982 y, consecuentemente,</w:t>
        <w:br/>
        <w:t>sobre ninguno de los alegatos que sustentan violaciones relacionadas con</w:t>
        <w:br/>
        <w:t>dicha desaparición”. (Caso de las Hermanas Serrano Cruz Vs. El Salvador.</w:t>
        <w:br/>
        <w:t>Fondo, Reparaciones y Costas. Sentencia de 1 de marzo de 2005. Serie C No.</w:t>
        <w:br/>
        <w:t>120, párrs. 55 y 26, respectivamente). Este Tribunal nota que el citado</w:t>
        <w:br/>
        <w:t>caso presenta analogía con el presente dado que, pese a versar sobre actos</w:t>
        <w:br/>
        <w:t>de desaparición forzada, en ese caso la Corte no tenía competencia para</w:t>
        <w:br/>
        <w:t>referirse a actos cuyo “principio de ejecución” fuera anterior al</w:t>
        <w:br/>
        <w:t>reconocimiento de competencia el Tribunal. Es decir, el carácter permanente</w:t>
        <w:br/>
        <w:t>o continuado de la desaparición forzada no fue el aspecto que motivó la</w:t>
        <w:br/>
        <w:t>referida aseveración de la Corte.</w:t>
        <w:br/>
        <w:br/>
        <w:t>[24]   En el párrafo 50 de esa Sentencia la Corte  indicó:  “En  lo  que  se</w:t>
        <w:br/>
        <w:t>refiere a la vigencia del Decreto-Ley No. 2.191, no puede  alegarse  que  el</w:t>
        <w:br/>
        <w:t>principio de ejecución del supuesto incumplimiento  del  artículo  2  de  la</w:t>
        <w:br/>
        <w:t>Convención Americana se haya dado con la promulgación de  éste  en  1978,  y</w:t>
        <w:br/>
        <w:t>que por ende la Corte no  tiene  competencia  para  conocer  ese  hecho.  El</w:t>
        <w:br/>
        <w:t>principio de ejecución del supuesto incumplimiento  del  artículo  2  de  la</w:t>
        <w:br/>
        <w:t>Convención Americana se produce cuando el Estado  se  obligó  a  adecuar  su</w:t>
        <w:br/>
        <w:t>legislación interna a  la  Convención,  es  decir,  al  momento  en  que  la</w:t>
        <w:br/>
        <w:t>ratificó”. Caso Almonacid Arellano y otros Vs. Chile,  supra,  párrs.  49  y</w:t>
        <w:br/>
        <w:t>50.</w:t>
        <w:br/>
        <w:br/>
        <w:t>[25]        En el mismo sentido se ha pronunciado  el  Tribunal  al  decidir</w:t>
        <w:br/>
        <w:t>sobre el caso Masacres de Río Negro Vs. Guatemala, supra, párr. 39.</w:t>
        <w:br/>
        <w:br/>
        <w:t>[26]  Al respecto, manifestó que “al momento en que las  presuntas  víctimas</w:t>
        <w:br/>
        <w:t>presentaron su petición a la C[omisión]  ([el  20]  de  mayo  de  2002),  la</w:t>
        <w:br/>
        <w:t>Comisión Valech aún no publicaba su informe […] (28 de noviembre  de  2004),</w:t>
        <w:br/>
        <w:t>por lo que a falta de una denuncia de los hechos por parte de la víctima,  a</w:t>
        <w:br/>
        <w:t>la fecha no existían razones fundadas que permitieran al Estado […]  conocer</w:t>
        <w:br/>
        <w:t>acerca de los crímenes perpetrados en contra de Leopoldo García  [Lucero]  e</w:t>
        <w:br/>
        <w:t>iniciar de  oficio,  en  virtud  de  dichos  antecedentes,  las  respectivas</w:t>
        <w:br/>
        <w:t>acciones judiciales.  Además,  señaló  que  el  señor  “García  [Lucero]  ha</w:t>
        <w:br/>
        <w:t>preferido acudir directamente ante el Sistema  Interamericano,  obviando  el</w:t>
        <w:br/>
        <w:t>carácter subsidiario del mismo”.</w:t>
        <w:br/>
        <w:br/>
        <w:t>[27]  En el Informe de Admisibilidad del caso se señaló que “[e]l Estado  no</w:t>
        <w:br/>
        <w:t>alegó la falta de agotamiento de los recursos internos […] en  las  primeras</w:t>
        <w:br/>
        <w:t>etapas  del  procedimiento”  ante  la  Comisión.  Cfr.  Informe  No.  58/05.</w:t>
        <w:br/>
        <w:t>Petición  350/02.  Admisibilidad.  Leopoldo  García  Lucero.  Chile.  12  de</w:t>
        <w:br/>
        <w:t>octubre      de       2005,       párr.       43.       Disponible       en:</w:t>
        <w:br/>
        <w:t>www.cidh.oas.org/annualrep/20055p/Chile350.02pm.htm</w:t>
        <w:br/>
        <w:br/>
        <w:t>[28]   Cfr.  Caso  Masacre  de  Santo  Domingo  Vs.  Colombia.   Excepciones</w:t>
        <w:br/>
        <w:t>Preliminares, Fondo y Reparaciones. Sentencia de 30  de  noviembre  de  2012</w:t>
        <w:br/>
        <w:t>Serie C No. 259, párr. 34. Véase  asimismo,  Caso  Velásquez  Rodríguez  Vs.</w:t>
        <w:br/>
        <w:t>Honduras. Excepciones Preliminares. Sentencia de 26 de junio de 1987.  Serie</w:t>
        <w:br/>
        <w:t>C No. 1, párr. 88; Caso Grande Vs.  Argentina.  Excepciones  Preliminares  y</w:t>
        <w:br/>
        <w:t>Fondo. Sentencia de 31 de agosto de 2011. Serie  C  No.  231,  nota  pie  de</w:t>
        <w:br/>
        <w:t>página 14, y  Caso Díaz Peña Vs.  Venezuela.  Excepción  Preliminar,  Fondo,</w:t>
        <w:br/>
        <w:t>Reparaciones y Costas. Sentencia de 26 de junio de 2012. Serie  C  No.  244,</w:t>
        <w:br/>
        <w:t>párr. 114.</w:t>
        <w:br/>
        <w:br/>
        <w:t>[29]  Artículos 46, 47, 48, 50, 51, 57 y 58 del Reglamento.</w:t>
        <w:br/>
        <w:br/>
        <w:t>[30]  Cfr. Caso  de  la  “Panel  Blanca”  (Paniagua  Morales  y  otros)  Vs.</w:t>
        <w:br/>
        <w:t>Guatemala. Reparaciones y Costas. Sentencia de 25 de mayo de 2001.  Serie  C</w:t>
        <w:br/>
        <w:t>No.  76,  párr.  51,  y  Caso  Suárez  Peralta  Vs.   Ecuador.   Excepciones</w:t>
        <w:br/>
        <w:t>Preliminares, Fondo y Reparaciones. Sentencia de 21 de mayo de  2013.  Serie</w:t>
        <w:br/>
        <w:t>C No. 261, párr. 30.</w:t>
        <w:br/>
        <w:br/>
        <w:t>[31]  El Estado durante la  reunión  previa  informó  que,  por  razones  de</w:t>
        <w:br/>
        <w:t>fuerza mayor, el testigo José Antonio Ricardi Romero no podría  concurrir  a</w:t>
        <w:br/>
        <w:t>la audiencia pública, contrariamente a lo  previsto  en  la  Resolución  del</w:t>
        <w:br/>
        <w:t>Presidente de 14 de febrero de 2013. Dado lo anterior, se determinó  que  el</w:t>
        <w:br/>
        <w:t>señor Ricardi rindiera su  declaración  por  medio  de  affidávit.  Mediante</w:t>
        <w:br/>
        <w:t>comunicación de 21 de marzo de 2013, siguiendo instrucciones del  Presidente</w:t>
        <w:br/>
        <w:t>de la Corte, se otorgó a las representantes un plazo  que  vencía  el  1  de</w:t>
        <w:br/>
        <w:t>abril de 2013 para  remitir  a  la  Corte  por  escrito  las  preguntas  que</w:t>
        <w:br/>
        <w:t>consideraran pertinente formular al declarante, y se requirió al  Estado  la</w:t>
        <w:br/>
        <w:t>presentación del affidávit a más tardar el 10 de abril de  2013.  El  28  de</w:t>
        <w:br/>
        <w:t>marzo de 2013 las preguntas fueron presentadas por las representantes, y  el</w:t>
        <w:br/>
        <w:t>2 de abril de 2013 fueron trasladadas al Estado, para  que  el  testigo  las</w:t>
        <w:br/>
        <w:t>respondiera. El  10  de  abril  de  2013  el  Estado  presentó  el  referido</w:t>
        <w:br/>
        <w:t>affidávit.</w:t>
        <w:br/>
        <w:br/>
        <w:t>[32]  El 26 de febrero de 2013 las  representantes  informaron  al  Tribunal</w:t>
        <w:br/>
        <w:t>que la señora Cath Collins, debido a  motivos  de  fuerza  mayor,  no  podía</w:t>
        <w:br/>
        <w:t>asistir a la audiencia pública y solicitaron que rindiera su  peritaje  ante</w:t>
        <w:br/>
        <w:t>fedatario  público.  Mediante  comunicación  de  1  de  marzo  de  2013   la</w:t>
        <w:br/>
        <w:t>Secretaría, siguiendo instrucciones  del  Presidente,  determinó  que  dicha</w:t>
        <w:br/>
        <w:t>señora rindiera su declaración por affidávit,  y  se  otorgó  al  Estado  un</w:t>
        <w:br/>
        <w:t>plazo que vencía el 6 de marzo de 2013 para remitir a la Corte  por  escrito</w:t>
        <w:br/>
        <w:t>las preguntas que considerara pertinente formularle, las  cuales  no  fueron</w:t>
        <w:br/>
        <w:t>presentadas. El 13 de marzo  de  2013  dicha  señora  presentó  el  referido</w:t>
        <w:br/>
        <w:t>affidávit.</w:t>
        <w:br/>
        <w:br/>
        <w:t>[33]  Cfr. Caso Velásquez Rodríguez Vs. Honduras. Fondo. Sentencia de 29  de</w:t>
        <w:br/>
        <w:t>julio de 1988. Serie C No. 4, párr. 140, y Caso Suárez Peralta Vs.  Ecuador,</w:t>
        <w:br/>
        <w:t>supra, párr. 32.</w:t>
        <w:br/>
        <w:br/>
        <w:t>[34]  Cfr. Caso Velásquez Rodríguez, Fondo, supra, párr. 146, y Caso  Suárez</w:t>
        <w:br/>
        <w:t>Peralta Vs. Ecuador, supra, párr. 33.</w:t>
        <w:br/>
        <w:br/>
        <w:t>[35]  Las representantes remitieron una nota de prensa de “Emol”, de fecha</w:t>
        <w:br/>
        <w:t>26 de enero de 2011, titulada “Fiscal de la Corte de Apelaciones presenta</w:t>
        <w:br/>
        <w:t>más de 700 querellas por violaciones a DD.HH” (Expediente de anexos al</w:t>
        <w:br/>
        <w:t>escrito de solicitudes y argumentos, Tomo II, fs. 2366 y 2367). Además, en</w:t>
        <w:br/>
        <w:t>el trámite ante la Comisión un artículo prensa de fecha 10 de diciembre de</w:t>
        <w:br/>
        <w:t>2004, publicado por el periódico “Liberación”, titulado: “Entregan los</w:t>
        <w:br/>
        <w:t>nombres de mil 900 torturadores y cómplices” (Expediente ante la Comisión,</w:t>
        <w:br/>
        <w:t>Tomo I, f. 520).</w:t>
        <w:br/>
        <w:br/>
        <w:t>[36]  Cfr. Caso Escué Zapata Vs. Colombia.  Fondo,  Reparaciones  y  Costas.</w:t>
        <w:br/>
        <w:t>Sentencia de 4 de julio de 2007. Serie C No. 165, párr. 26, y  Caso  Masacre</w:t>
        <w:br/>
        <w:t>de Santo Domingo Vs. Colombia, supra, párr. 43.</w:t>
        <w:br/>
        <w:br/>
        <w:t>[37]   Cfr.  Caso  Loayza  Tamayo  Vs.  Perú.  Fondo.  Sentencia  de  17  de</w:t>
        <w:br/>
        <w:t>septiembre de 1997. Serie C No. 33, párr. 43, y Caso  Mendoza  y  otros  Vs.</w:t>
        <w:br/>
        <w:t>Argentina.  Excepciones  Preliminares,   Fondo,   Reparaciones   y   Costas.</w:t>
        <w:br/>
        <w:t>Sentencia de 14 de mayo de 2013. Serie C No. 260, párr. 54.</w:t>
        <w:br/>
        <w:br/>
        <w:t>[38]  Cfr. Caso Loayza Tamayo, Vs. Perú. Fondo,  supra,  párr.  43,  y  Caso</w:t>
        <w:br/>
        <w:t>Suárez Peralta Vs. Ecuador, supra, párr. 37.</w:t>
        <w:br/>
        <w:t>[39]  Caso Almonacid Arellano y otros Vs. Chile, supra, párr. 82.3.</w:t>
        <w:br/>
        <w:br/>
        <w:t>[40]  Caso Almonacid Arellano y otros Vs. Chile, supra, párr. 82.4.</w:t>
        <w:br/>
        <w:br/>
        <w:t>[41]  Caso Almonacid Arellano y otros Vs. Chile, supra, párr. 82.5.</w:t>
        <w:br/>
        <w:br/>
        <w:t>[42]  Caso Almonacid Arellano y otros Vs. Chile, supra, párr. 82.6.</w:t>
        <w:br/>
        <w:br/>
        <w:t>[43]  Informe de la Comisión Nacional sobre Prisión Política y Tortura  para</w:t>
        <w:br/>
        <w:t>el Esclarecimiento de la  Verdad  acerca  de  las  Violaciones  de  Derechos</w:t>
        <w:br/>
        <w:t>Humanos en Chile “Comisión Valech”, 2004 Capítulo IV (Expediente  de  anexos</w:t>
        <w:br/>
        <w:t>al Informe de Fondo, Tomo I, Anexo 1, fs. 51 a 76).</w:t>
        <w:br/>
        <w:br/>
        <w:t>[44]  Cédula de identidad expedida por  el  Servicio  de  Registro  Civil  e</w:t>
        <w:br/>
        <w:t>Identificación de Chile,  y  pasaporte  del  señor  Leopoldo  García  Lucero</w:t>
        <w:br/>
        <w:t>(Expediente de anexos al escrito de solicitudes y  argumentos,  fs.  1553  y</w:t>
        <w:br/>
        <w:t>1554).</w:t>
        <w:br/>
        <w:br/>
        <w:t>[45]  Pasaporte de la señora Elena García (Expediente de anexos  al  escrito</w:t>
        <w:br/>
        <w:t>de solicitudes y argumentos, Tomo I, f. 1551).</w:t>
        <w:br/>
        <w:br/>
        <w:t>[46]  Informes Psiquiátricos de Leopoldo García Lucero y  de  Elena  García,</w:t>
        <w:br/>
        <w:t>elaborados  por  la   Dra.  Nuria  Gené-Cos   (LMS,   MRCPsych,   Consultant</w:t>
        <w:br/>
        <w:t>Psychiatrist, Trauma  Specialist  &amp;  Section  12  Approved  Doctor),  11  de</w:t>
        <w:br/>
        <w:t>diciembre de 2007 (Expediente de anexos al Informe de Fondo, Tomo  1,  Anexo</w:t>
        <w:br/>
        <w:t>17, fs. 207 a 258).</w:t>
        <w:br/>
        <w:br/>
        <w:t>[47]  Declaración del señor Leopoldo García Lucero rendida el  20  de  marzo</w:t>
        <w:br/>
        <w:t>de 2013 en la audiencia pública ante la Corte, y declaración presentada  por</w:t>
        <w:br/>
        <w:t>los peticionarios  en  la  audiencia  pública  ante  la  Comisión  celebrada</w:t>
        <w:br/>
        <w:t>durante el 133 Período de Sesiones, el 27 de octubre  de  2008   (Expediente</w:t>
        <w:br/>
        <w:t>de  anexos  al  Informe  de   Fondo,   Anexo   4),   Audio   disponible   en</w:t>
        <w:br/>
        <w:t>http://www.oas.org/es/cidh/audiencias/advanced.aspx?long=es,   y    denuncia</w:t>
        <w:br/>
        <w:t>presentada por José Antonio Ricardi Romero ante la Corte de  Apelaciones  de</w:t>
        <w:br/>
        <w:t>Santiago de 7 de octubre  de  2011  (Expediente  de  anexos  al  escrito  de</w:t>
        <w:br/>
        <w:t>contestación, Anexo 9, fs. 2760 a 2766).</w:t>
        <w:br/>
        <w:br/>
        <w:t>[48]  Nota de fecha 23 de diciembre de 1973 (sic), dirigida por el señor</w:t>
        <w:br/>
        <w:t>García Lucero al Departamento del Programa de Reconocimiento al Exonerado</w:t>
        <w:br/>
        <w:t>Político del Ministerio del Interior de la República de Chile. (Expediente</w:t>
        <w:br/>
        <w:t>ante la Comisión, Tomo I, fs. 739 y 740). La Comisión señaló que el 16 de</w:t>
        <w:br/>
        <w:t>septiembre de 1973 fue detenido el señor García Lucero, lo cual indicó</w:t>
        <w:br/>
        <w:t>tanto en el escrito de sometimiento del caso como en los Informes de</w:t>
        <w:br/>
        <w:t>Admisibilidad No. 58/05 y Fondo No. 23/11. Igualmente las representantes en</w:t>
        <w:br/>
        <w:t>diversos escritos, entre ellos, la petición inicial ante la Comisión de</w:t>
        <w:br/>
        <w:t>fecha 15 de mayo de 2002 (Expediente de anexos al Informe de Fondo, Tomo I,</w:t>
        <w:br/>
        <w:t>Anexo 3, fs. 91 a 120), como en el escrito de solicitudes y argumentos, han</w:t>
        <w:br/>
        <w:t>indicado que en esa misma fecha fue detenido el señor García Lucero. El</w:t>
        <w:br/>
        <w:t>Estado no contradijo lo aseverado por ellos.  Sin perjuicio de lo anterior,</w:t>
        <w:br/>
        <w:t>cabe señalar, que el Estado aportó como prueba una comunicación que</w:t>
        <w:br/>
        <w:t>menciona que el señor García Lucero habría sido detenido entre los meses de</w:t>
        <w:br/>
        <w:t>septiembre de 1973 y junio de 1975, pero en esa nota se agrega que en los</w:t>
        <w:br/>
        <w:t>archivos de la Fundación Documentación y Archivos de la Vicaria de la</w:t>
        <w:br/>
        <w:t>Solidaridad del Arzobispado de Santiago consta que dicho señor fue detenido</w:t>
        <w:br/>
        <w:t>el 7 de octubre de 1973 en el edificio UNCTAD, y permaneció detenido en el</w:t>
        <w:br/>
        <w:t>Estadio Nacional de Chile y campamento de detenidos de Chacabuco (Cfr.</w:t>
        <w:br/>
        <w:t>Carta de 28 de noviembre de 2011 de María Paz Vergara Low, Secretaria</w:t>
        <w:br/>
        <w:t>Ejecutiva de la Fundación Documentación y Archivos de la Vicaria de la</w:t>
        <w:br/>
        <w:t>Solidaridad del Arzobispado de Santiago al Ministro en Visita</w:t>
        <w:br/>
        <w:t>Extraordinaria del 34° Juzgado del Crimen de Santiago (Expediente de</w:t>
        <w:br/>
        <w:t>anexos al escrito de contestación, Anexo 9, f. 2773).</w:t>
        <w:br/>
        <w:br/>
        <w:t>[49]  Petición inicial ante la Comisión, supra, y  denuncia  presentada  por</w:t>
        <w:br/>
        <w:t>José Antonio Ricardi Romero, supra.</w:t>
        <w:br/>
        <w:br/>
        <w:t>[50]  Mientras estuvo en la Comisaría  fue  torturado  de  diversas  maneras</w:t>
        <w:br/>
        <w:t>(tanto física como psicológicamente): atándole manos y pies, vendándole  los</w:t>
        <w:br/>
        <w:t>ojos, golpeándole la cabeza y sumergiéndolo en agua; todo lo  anterior  cada</w:t>
        <w:br/>
        <w:t>dos o tres horas. Su cuerpo fue brutalmente golpeado. Fue golpeado  por  uno</w:t>
        <w:br/>
        <w:t>de los carabineros con la culata  de  un  revolver  o  fusil  dejandole  una</w:t>
        <w:br/>
        <w:t>cicatriz en el rostro. Por ese golpe  casi  perdió  la  visión  de  un  ojo.</w:t>
        <w:br/>
        <w:t>Además, le amenazaron constantemente con que matarían a su hija  delante  de</w:t>
        <w:br/>
        <w:t>él. Fue permanentemente interrogado sobre el paradero de  líderes  políticos</w:t>
        <w:br/>
        <w:t>de la Unidad Popular. En el Estadio Nacional la tortura se  intensificó,  lo</w:t>
        <w:br/>
        <w:t>ataban de las manos a un palo de madera y  lo  elevaban  con  una  grúa;  le</w:t>
        <w:br/>
        <w:t>aplicaban descargas eléctricas con una “picana”, luego de sumergirlo  en  un</w:t>
        <w:br/>
        <w:t>barreño de agua. Debido a los golpes  perdió  toda  su  dentadura  y  se  le</w:t>
        <w:br/>
        <w:t>fracturó su brazo izquierdo. Cfr.  Petición  inicial  de  los  peticionarios</w:t>
        <w:br/>
        <w:t>ante a la Comisión, supra, y denuncia presentada por  José  Antonio  Ricardi</w:t>
        <w:br/>
        <w:t>Romero, supra. En sus propios términos el señor García  Lucero  indicó:  “me</w:t>
        <w:br/>
        <w:t>botaron los dientes, [...] me paralizaron el  brazo,  la  columna,  ha  sido</w:t>
        <w:br/>
        <w:t>totalmente un  desastre”.  Declaración  del  señor  Leopoldo  García  Lucero</w:t>
        <w:br/>
        <w:t>rendida ante la Corte, supra.</w:t>
        <w:br/>
        <w:br/>
        <w:t>[51]  Según las representantes fue operado de urgencia por una hernia en  la</w:t>
        <w:br/>
        <w:t>ingle, producto de las torturas sufridas en el  Estadio  Nacional,  y  donde</w:t>
        <w:br/>
        <w:t>sólo le permitió ver a su  familia  dos  veces  (Petición  inicial  ante  la</w:t>
        <w:br/>
        <w:t>Comisión, supra, y denuncia presentada  por  José  Antonio  Ricardi  Romero,</w:t>
        <w:br/>
        <w:t>supra).</w:t>
        <w:br/>
        <w:br/>
        <w:t>[52]  Cfr. Petición inicial ante la Comisión, supra, y  denuncia  presentada</w:t>
        <w:br/>
        <w:t>por José Antonio Ricardi Romero, supra).</w:t>
        <w:br/>
        <w:br/>
        <w:t>[53]  Cfr. Petición inicial ante  la  Comisión,  supra.  Las  representantes</w:t>
        <w:br/>
        <w:t>citaron como fuente en su escrito de solicitudes y argumentos, el  siguiente</w:t>
        <w:br/>
        <w:t>documento emitido por  la  Comisión  “Informe  sobre  la  Situación  de  los</w:t>
        <w:br/>
        <w:t>Derechos Humanos en  Chile,  1985,  capítulo  VI,  párr.  13”,  pero  no  lo</w:t>
        <w:br/>
        <w:t>presentaron como prueba.  Sin  embargo,  el  documento  está  disponible  en</w:t>
        <w:br/>
        <w:t>http://www.cidh.org/countryrep/Chile85sp/Indice.htm, e indica que “el  6  de</w:t>
        <w:br/>
        <w:t>noviembre de 1973, se public[ó] en el Diario Oficial el Decreto Ley  81,  el</w:t>
        <w:br/>
        <w:t>cual somet[ió] el derecho a vivir en  Chile  a  la  discrecionalidad  de  la</w:t>
        <w:br/>
        <w:t>autoridad administrativa[,] faculta[ndo] al Presidente de la República  para</w:t>
        <w:br/>
        <w:t>disponer la expulsión  o  abandono  del  país  de  personas,  extranjeros  o</w:t>
        <w:br/>
        <w:t>nacionales”. Ver también la carta de fecha 28 de noviembre de 2011 de  María</w:t>
        <w:br/>
        <w:t>Paz Vergara Low, supra, en la cual consta que el “Decreto No. 637 de  12  de</w:t>
        <w:br/>
        <w:t>mayo de 1975 […] disp[uso] “abandono obligado  de  personas”  incluyendo  al</w:t>
        <w:br/>
        <w:t>señor García Lucero (Expediente de anexos al escrito de contestación,  Anexo</w:t>
        <w:br/>
        <w:t>9, f. 336).</w:t>
        <w:br/>
        <w:br/>
        <w:t>[54]  Carta de María Elena Klug de 8 de enero de 2011 (Expediente de  anexos</w:t>
        <w:br/>
        <w:t>al escrito de solicitudes y argumentos, Tomo  II,  Anexo  VII,  fs.  2283  a</w:t>
        <w:br/>
        <w:t>2293). De un matrimonio anterior de la  señora  Elena  García  nacieron  sus</w:t>
        <w:br/>
        <w:t>hijas María Elena Klug y Gloria Klug, quienes han  convivido  con  el  señor</w:t>
        <w:br/>
        <w:t>García Lucero (supra párr. 61).</w:t>
        <w:br/>
        <w:br/>
        <w:t>[55]  Decreto-Ley No. 2.191 de 18 de abril de 1978, Artículo  1  (Expediente</w:t>
        <w:br/>
        <w:t>de anexos al escrito de solicitudes y argumentos,  Tomo  I,  Anexo  IV,  fs.</w:t>
        <w:br/>
        <w:t>2247 a 2248).</w:t>
        <w:br/>
        <w:br/>
        <w:t>[56]  Cfr. Informe de  la  Comisión  Nacional  de  Verdad  y  Reconciliación</w:t>
        <w:br/>
        <w:t>(Informe Rettig), disponible  en  el  sitio  de  internet  del  Programa  de</w:t>
        <w:br/>
        <w:t>Derechos Humanos  del  Ministerio  del  Interior  y  Seguridad  Pública  del</w:t>
        <w:br/>
        <w:t>Gobierno de Chile:  http://www.ddhh.gov.cl/ddhh_rettig.html  (Expediente  de</w:t>
        <w:br/>
        <w:t>anexos al Informe de Fondo, Tomo I, Anexo 5, f. 122). Véase  también  “Tabla</w:t>
        <w:br/>
        <w:t>leyes y medidas de reparación en  Chile  1991  –  2011”,  publicado  por  el</w:t>
        <w:br/>
        <w:t>Observatorio  de  Derechos  Humanos  de  la   Universidad   Diego   Portales</w:t>
        <w:br/>
        <w:t>(Expediente de anexos al escrito  de  contestación,  fs.  2744  a  2759),  e</w:t>
        <w:br/>
        <w:t>“Historia del Programa”, disponible en el sitio de internet del Programa  de</w:t>
        <w:br/>
        <w:t>Derechos Humanos  del  Ministerio  del  Interior  y  Seguridad  Pública  del</w:t>
        <w:br/>
        <w:t>Gobierno     de     Chile(     http://www.ddhh.gov.cl/historia_programa.html</w:t>
        <w:br/>
        <w:t>(Expediente de anexos al Informe de Fondo, Tomo I, Anexo 8, fs. 146 a 150).</w:t>
        <w:br/>
        <w:br/>
        <w:t>[57]  Cfr. “Historia del Programa”, supra.  Véase  además  Comunicación  del</w:t>
        <w:br/>
        <w:t>Estado recibida el 28 de abril  de  2009  por  la  Comisión  (Expediente  de</w:t>
        <w:br/>
        <w:t>anexos al Informe de  Fondo,  Tomo  I,  Anexo  6,  fs.  124  a  140).  Sobre</w:t>
        <w:br/>
        <w:t>información contenida en dicha comunicación la Comisión, en  el  Informe  de</w:t>
        <w:br/>
        <w:t>Fondo, indicó: “[a]legato del Estado, no controvertido  por  los  [entonces]</w:t>
        <w:br/>
        <w:t>peticionarios;  tampoco  surge  del  expediente  [ante  la   Comisión]   una</w:t>
        <w:br/>
        <w:t>conclusión contraria”. Ver también “Tabla leyes y medidas de  reparación  en</w:t>
        <w:br/>
        <w:t>Chile 1991 – 2011”, supra.</w:t>
        <w:br/>
        <w:br/>
        <w:t>[58]  Cfr. “Historia del Programa”, supra. Allí se indica  que  el  Programa</w:t>
        <w:br/>
        <w:t>Continuación Ley 19.123 fue establecido por el Decreto Supremo No.  1005  de</w:t>
        <w:br/>
        <w:t>25 de abril de 1997 y que el mismo, entre otras acciones, se “aboc[ó]  a  la</w:t>
        <w:br/>
        <w:t>tarea de atender centenares de procesos judiciales en tramitación  iniciados</w:t>
        <w:br/>
        <w:t>en tribunales en todo el país, ya sea en  forma  directa,  como  denunciante</w:t>
        <w:br/>
        <w:t>y/o parte coadyuvante, o bien indirectamente, a  través  de  la  entrega  de</w:t>
        <w:br/>
        <w:t>información solicitada por  los  jueces.  Desde  el  año  2001  el  Programa</w:t>
        <w:br/>
        <w:t>Continuación Ley 19.123 pasó a ser  el  Programa  de  Derechos  Humanos  del</w:t>
        <w:br/>
        <w:t>Ministerio del Interior (Cfr. Comunicación del  Estado  recibida  el  28  de</w:t>
        <w:br/>
        <w:t>abril de 2009 por la Comisión, supra). Las representantes indicaron  que  el</w:t>
        <w:br/>
        <w:t>Decreto Supremo No. 1005 creó la “Oficina de Derechos  Humanos”  y  adujeron</w:t>
        <w:br/>
        <w:t>que “[a]unque [la misma] tiene la capacidad jurídica de llevar  procesos  de</w:t>
        <w:br/>
        <w:t>carácter judicial, y ha sido esencial  para  promover  la  investigación  de</w:t>
        <w:br/>
        <w:t>casos de desaparición y ejecución en Chile, su  jurisdicción  excluye  casos</w:t>
        <w:br/>
        <w:t>de víctimas sobrevivientes de tortura”.</w:t>
        <w:br/>
        <w:br/>
        <w:t>[59]  Ley No. 19.992, promulgada el 17 de diciembre de 2004 y publicada el</w:t>
        <w:br/>
        <w:t>24 de los mismos mes y año, artículos 9 y 10. El artículo 9 citado remite a</w:t>
        <w:br/>
        <w:t>la Ley No. 19.980, disponiendo que se agregue en el “inciso primero de [su]</w:t>
        <w:br/>
        <w:t>artículo séptimo […]” (referido al “objeto” del Programa PRAIS), un</w:t>
        <w:br/>
        <w:t>apartado (con la letra “d”) indicando (como beneficiarios de la “atención</w:t>
        <w:br/>
        <w:t>médica reparadora” prevista) a “[a]quellas [personas] que se individualizan</w:t>
        <w:br/>
        <w:t>en la Nómina de Personas Reconocidas como Víctimas, que forma parte del</w:t>
        <w:br/>
        <w:t>Informe de la Comisión Nacional sobre Prisión Política y Tortura, creada</w:t>
        <w:br/>
        <w:t>por el decreto supremo No. 1.040, de 2003, del Ministerio del Interior”</w:t>
        <w:br/>
        <w:t>(Expediente de anexos al Informe de Fondo, Tomo I, Anexo 15, fs. 200 a 205,</w:t>
        <w:br/>
        <w:t>y expediente de anexos al escrito de solicitudes y argumentos, Tomo I,</w:t>
        <w:br/>
        <w:t>Anexo 3, fs. 2241 a 2246).</w:t>
        <w:br/>
        <w:br/>
        <w:t>[60]  En cuanto al concepto de “exonerado político”, las leyes respectivas</w:t>
        <w:br/>
        <w:t>no contienen una definición concreta o explícita del término. Sin embargo,</w:t>
        <w:br/>
        <w:t>de su lectura se podría desprender que cuando se hace referencia a</w:t>
        <w:br/>
        <w:t>“exonerados políticos” se están refiriendo a personas que “cesa[ron] en sus</w:t>
        <w:br/>
        <w:t>funciones laborales” por motivos políticos. Así, el artículo 1 de la Ley</w:t>
        <w:br/>
        <w:t>No. 20.134 que “[c]oncede un bono extraordinario a los exonerados por</w:t>
        <w:br/>
        <w:t>motivos políticos que indica”, alude a “trabajadores del sector privado y</w:t>
        <w:br/>
        <w:t>de las empresas autónomas del Estado, exonerados por motivos políticos</w:t>
        <w:br/>
        <w:t>entre el 11 de septiembre de 1973 y el 29 de septiembre de 1975”</w:t>
        <w:br/>
        <w:t>(Expediente de anexos al Informe de Fondo, Tomo I, Anexo 7, fs. 142 a144).</w:t>
        <w:br/>
        <w:t>Por otra parte, el artículo 7 de la Ley No. 19.234, que “[e]stablece</w:t>
        <w:br/>
        <w:t>beneficios previsionales por gracia para personas exoneradas por motivos</w:t>
        <w:br/>
        <w:t>políticos”, establece que “[p]ara acreditar la calidad de exonerado</w:t>
        <w:br/>
        <w:t>político […] los interesados deberán presentar una solicitud dirigida al</w:t>
        <w:br/>
        <w:t>Presidente de la República, por intermedio del Ministerio del Interior,</w:t>
        <w:br/>
        <w:t>dentro del plazo de un año contado desde la fecha de publicación de esta</w:t>
        <w:br/>
        <w:t>ley. En dicha solicitud, indicarán las circunstancias de la exoneración,</w:t>
        <w:br/>
        <w:t>especialmente las relativas a sus motivos políticos, que se acreditaran en</w:t>
        <w:br/>
        <w:t>la forma que se indica en los artículos siguientes, así como su situación</w:t>
        <w:br/>
        <w:t>previsional en el momento de producirse la cesación de sus funciones, todo</w:t>
        <w:br/>
        <w:t>en la forma que se indique en el reglamento que, en uso de sus</w:t>
        <w:br/>
        <w:t>atribuciones, dicte el Presidente de la República” (Expediente de anexos al</w:t>
        <w:br/>
        <w:t>Informe de Fondo, Tomo I, Anexo 12, fs. 176 a 190).</w:t>
        <w:br/>
        <w:br/>
        <w:t>[61]  Cfr.  “Leyes  que  regulan  la  pensión  y  bono  extraordinario  como</w:t>
        <w:br/>
        <w:t>exonerado político” (Expediente  de  anexos  al  escrito  de  solicitudes  y</w:t>
        <w:br/>
        <w:t>argumentos, Tomo I, Anexo 2, fs. 2223 a 2240). Ni las partes ni la  Comisión</w:t>
        <w:br/>
        <w:t>aportaron prueba relativa a la  fecha  de  la  publicación  de  la  Ley  No.</w:t>
        <w:br/>
        <w:t>19.582.</w:t>
        <w:br/>
        <w:br/>
        <w:t>[62]  Comunicación del Estado recibida  el  28  de  abril  de  2009  por  la</w:t>
        <w:br/>
        <w:t>Comisión, supra.</w:t>
        <w:br/>
        <w:br/>
        <w:t>[63]  El monto de USD$3.009.90 (tres mil nueve dólares de los Estados</w:t>
        <w:br/>
        <w:t>Unidos de América con noventa centavos) fue indicado por la Comisión en el</w:t>
        <w:br/>
        <w:t>Informe de Fondo. Las representantes, por su parte, expresaron en su</w:t>
        <w:br/>
        <w:t>escrito de solicitudes y argumentos que la “suma original” de ese bono era</w:t>
        <w:br/>
        <w:t>de $1.900.000 (un millón novecientos mil pesos chilenos), e indicaron que</w:t>
        <w:br/>
        <w:t>ese monto, con descuentos, fue recibido por el señor García Lucero (infra</w:t>
        <w:br/>
        <w:t>párr. 78 y nota a pie de página 79). Luego, en su escrito de alegatos</w:t>
        <w:br/>
        <w:t>finales señalaron la misma suma como equivalente a “USD$4.025,4” (cuatro</w:t>
        <w:br/>
        <w:t>mil veinticinco dólares de los Estados Unidos de América con cuarenta</w:t>
        <w:br/>
        <w:t>centavos).</w:t>
        <w:br/>
        <w:br/>
        <w:t>[64]  Ley No. 20.134 que “[c]oncede un bono extraordinario a los  exonerados</w:t>
        <w:br/>
        <w:t>por motivos políticos que indica”, supra. La  norma  establece  textualmente</w:t>
        <w:br/>
        <w:t>en su artículo 1º: “Concédese, por una sola vez, un bono extraordinario,  de</w:t>
        <w:br/>
        <w:t>acuerdo a los tramos que se indican en el artículo 3º de  esta  ley,  a  los</w:t>
        <w:br/>
        <w:t>[…] exonerados por motivos políticos [aludidos en la supra  nota  a  pie  de</w:t>
        <w:br/>
        <w:t>página 60], a quienes se les concedió pensión no contributiva conforme a  lo</w:t>
        <w:br/>
        <w:t>dispuesto en el inciso tercero del artículo 12 de la  ley  Nº  19.234,  como</w:t>
        <w:br/>
        <w:t>también a los beneficiarios de pensiones de sobrevivencia originadas en  las</w:t>
        <w:br/>
        <w:t>pensiones  no  contributivas  descritas.  Todas   las   personas   señaladas</w:t>
        <w:br/>
        <w:t>precedentemente deberán  haber  percibido  la  referida  pensión  al  28  de</w:t>
        <w:br/>
        <w:t>febrero de 2005 y a la fecha de publicación de esta ley”.</w:t>
        <w:br/>
        <w:br/>
        <w:t>[65]  Cfr. Comunicación del Estado recibida el 28 de abril de  2009  por  la</w:t>
        <w:br/>
        <w:t>Comisión, supra. Véase también “Tabla  leyes  y  medidas  de  reparación  en</w:t>
        <w:br/>
        <w:t>Chile  1991  –  2011”,  supra.  Ni  las  partes  ni  la  Comisión  aportaron</w:t>
        <w:br/>
        <w:t>información relativa a la fecha de la publicación de las Leyes  No.  18.994,</w:t>
        <w:br/>
        <w:t>19.128 y 19.740.</w:t>
        <w:br/>
        <w:br/>
        <w:t>[66]  Cfr. Comunicación del Estado recibida el 28 de abril de  2009  por  la</w:t>
        <w:br/>
        <w:t>Comisión, supra.</w:t>
        <w:br/>
        <w:br/>
        <w:t>[67]  Cfr. Comunicación del Estado recibida el 28 de abril de  2009  por  la</w:t>
        <w:br/>
        <w:t>Comisión, supra.</w:t>
        <w:br/>
        <w:br/>
        <w:t>[68]  Cfr. Comunicación del Estado recibida el 28 de abril de 2009 por la</w:t>
        <w:br/>
        <w:t>Comisión, supra.</w:t>
        <w:br/>
        <w:br/>
        <w:t>[69]  Tabla leyes y medidas de reparación en  Chile  1991  –  2011”,  supra.</w:t>
        <w:br/>
        <w:t>Cabe señalar que el Estado mencionó el 10 de noviembre  como  fecha  en  que</w:t>
        <w:br/>
        <w:t>fue entregado el Informe.  Por  su  parte,  la  Comisión  señaló  el  28  de</w:t>
        <w:br/>
        <w:t>noviembre como fecha en que se hizo público dicho informe.</w:t>
        <w:br/>
        <w:br/>
        <w:t>[70]  Cfr. Informe de la Comisión Valech (Expediente de anexos al escrito</w:t>
        <w:br/>
        <w:t>de solicitudes y argumentos, Tomo I, Anexo 1, fs. 1568 a 2222).</w:t>
        <w:br/>
        <w:br/>
        <w:t>[71]  Cfr.  Ley  No.  19.992,  supra.  Véase  también  el  Reglamento  sobre</w:t>
        <w:br/>
        <w:t>concesión y pago de pensión y  bonos  establecidos  en  la  Ley  No  19.992,</w:t>
        <w:br/>
        <w:t>publicado en el Diario Oficial el 14 de marzo de 2005 (Expediente de  anexos</w:t>
        <w:br/>
        <w:t>al Informe de Fondo, Tomo I, Anexo 16. La  Comisión  no  adjuntó  copia  del</w:t>
        <w:br/>
        <w:t>documento,  pero  indicó  un  sitio  de  internet  para  acceder  al  mismo:</w:t>
        <w:br/>
        <w:t>http://www.archivochile.com/Poder_Dominante/pod_publi_parl/PDparlamento0012.</w:t>
        <w:br/>
        <w:t>pdf).</w:t>
        <w:br/>
        <w:br/>
        <w:t>[72]  Declaración testimonial de María Luisa Sepúlveda rendida el 11 de</w:t>
        <w:br/>
        <w:t>marzo de 2013 mediante affidávit (Expediente de Fondo, Tomo II, fs. 576 a</w:t>
        <w:br/>
        <w:t>625).</w:t>
        <w:br/>
        <w:br/>
        <w:t>[73]  El Estado expresó en cuanto al artículo 15 de la  Ley  No.19.992,  que</w:t>
        <w:br/>
        <w:t>“mediante esta disposición no se hace más  que  conferir  al  declarante  el</w:t>
        <w:br/>
        <w:t>derecho a  expresar  la  información  que  él  posea,  otorgando  el  debido</w:t>
        <w:br/>
        <w:t>resguardo legal a los integrantes de la Comisión [Valech.  F]ue  esta  norma</w:t>
        <w:br/>
        <w:t>justamente la que contribuyó en gran medida al  éxito  de  la  investigación</w:t>
        <w:br/>
        <w:t>desarrollada por la Comisión Valech en relación [con] los hechos de  tortura</w:t>
        <w:br/>
        <w:t>y prisión política  ocurridos  durante  el  régimen  militar,  así  como  la</w:t>
        <w:br/>
        <w:t>adopción de un plan de medidas de reparación en beneficio  de  las  víctimas</w:t>
        <w:br/>
        <w:t>de estos crímenes y  sus  familias,  entre  los  que  se  incluye  al  señor</w:t>
        <w:br/>
        <w:t>Leopoldo García”.</w:t>
        <w:br/>
        <w:br/>
        <w:t>[74]  Cfr. Nota de fecha 23 de diciembre de  1973  (sic),  dirigida  por  el</w:t>
        <w:br/>
        <w:t>señor García Lucero  al  Departamento  del  Programa  de  Reconocimiento  al</w:t>
        <w:br/>
        <w:t>Exonerado Político del Ministerio del Interior de  la  República  de  Chile,</w:t>
        <w:br/>
        <w:t>supra. Respecto a la solicitud presentada por el señor García Lucero  consta</w:t>
        <w:br/>
        <w:t>también una  nota  de  1  de  diciembre  de  1994,  dirigida  a  él  por  el</w:t>
        <w:br/>
        <w:t>Coordinador Nacional del Programa de Reconocimiento al  Exonerado  Político,</w:t>
        <w:br/>
        <w:t>señor Humberto Lagos Schuffeneger, quien  indicó  que  “[Han]  recibido  sus</w:t>
        <w:br/>
        <w:t>antecedentes en los que solicita acogerse  a  los  beneficios  previsionales</w:t>
        <w:br/>
        <w:t>que establece la Ley No. 19.234, para  aquellas  personas  que  obtengan  la</w:t>
        <w:br/>
        <w:t>calificación de exonerado político” (Expediente ante la  Comisión,  Tomo  I,</w:t>
        <w:br/>
        <w:t>f. 746).</w:t>
        <w:br/>
        <w:br/>
        <w:t>[75]   Cfr. “Prueba de reconocimiento como exonerado  político”  (Expediente</w:t>
        <w:br/>
        <w:t>de anexos al escrito de solicitudes y argumentos, Tomo  II,  Anexo  29,  fs.</w:t>
        <w:br/>
        <w:t>2685 a 2687), Decreto Exento No. 49 de 6 de febrero de 1996, y carta  de  13</w:t>
        <w:br/>
        <w:t>de febrero de 1996,  dirigida  al  señor  García  Lucero,  suscrita  por  el</w:t>
        <w:br/>
        <w:t>Coordinador Nacional del Programa de Reconocimiento al  Exonerado  Político,</w:t>
        <w:br/>
        <w:t>señor Humberto Lagos  Schuffeneger  (Expediente  de  anexos  al  escrito  de</w:t>
        <w:br/>
        <w:t>solicitudes y argumentos, Tomo II, Anexo 29 fs. 2685 y 2686).</w:t>
        <w:br/>
        <w:br/>
        <w:t>[76]  La pensión mensual  del  señor  García  Lucero  “a  partir  del  1  de</w:t>
        <w:br/>
        <w:t>septiembre de 1998” era de  $79.776.00  (setenta  y  nueve  mil  setecientos</w:t>
        <w:br/>
        <w:t>setenta  y  seis  pesos  chilenos)  (Cfr.  “Prueba  de  reconocimiento  como</w:t>
        <w:br/>
        <w:t>exonerado político”, supra; Certificado emitido en  enero  de  2001  por  el</w:t>
        <w:br/>
        <w:t>Coordinador Nacional del Programa de Reconocimiento al  Exonerado  Político,</w:t>
        <w:br/>
        <w:t>señor Humberto Lagos Schuffeneger).  El  Estado  indicó  que  dicha  pensión</w:t>
        <w:br/>
        <w:t>mensual, por el monto indicado, “se concedi[ó] al [señor] García Lucero”  el</w:t>
        <w:br/>
        <w:t>“13 de octubre de 2000”, pero que “devengó desde el […] 1 de  septiembre  de</w:t>
        <w:br/>
        <w:t>1998”, y que el monto aludido es “equivalente  aproximadamente”  a  “US$140”</w:t>
        <w:br/>
        <w:t>(ciento cuarenta dólares de los Estados Unidos de América)  “de  la  época”.</w:t>
        <w:br/>
        <w:t>(Comunicación del Estado de 1 de octubre de 2009, recibida por  la  Comisión</w:t>
        <w:br/>
        <w:t>el 5 de octubre siguiente. Expediente de anexos al Informe  de  Fondo,  Tomo</w:t>
        <w:br/>
        <w:t>I, Anexo  10, fs. 154 a 159), y para  diciembre  de  2008  era  de  $133.059</w:t>
        <w:br/>
        <w:t>(ciento treinta y tres mil  cincuenta  y  nueve  pesos  chilenos  con  cinco</w:t>
        <w:br/>
        <w:t>centésimos) (Cfr. Certificación del Instituto de Normalización  Previsional,</w:t>
        <w:br/>
        <w:t>Unidad  de  Liquidación  de  Pensiones   Exonerados,   documento   anexo   a</w:t>
        <w:br/>
        <w:t>comunicación del Estado recibida el 5 de octubre de 2009  por  la  Comisión.</w:t>
        <w:br/>
        <w:t>Expediente de anexos al Informe de Fondo, Tomo I, Anexo  9,  f.  152).  Para</w:t>
        <w:br/>
        <w:t>febrero  de  2011  ascendía  a  $136.439.00  (ciento  treinta  y  seis   mil</w:t>
        <w:br/>
        <w:t>cuatrocientos treinta  y  nueve  pesos  chilenos),  de  los  cuales  recibía</w:t>
        <w:br/>
        <w:t>$126.888.00  (ciento  veintiséis  mil  ochocientos  ochenta  y  ocho   pesos</w:t>
        <w:br/>
        <w:t>chilenos), ya que $9.551.00 (nueve  mil  quinientos  cincuenta  y  un  pesos</w:t>
        <w:br/>
        <w:t>chilenos) eran descontados para el Fondo Nacional de Saludo  (FONASA)  (Cfr.</w:t>
        <w:br/>
        <w:t>Liquidación de pago emitida por el banco BBVA, con “fecha  de  pago”  17  de</w:t>
        <w:br/>
        <w:t>febrero  de  2011.  Expediente  de  anexos  al  escrito  de  solicitudes   y</w:t>
        <w:br/>
        <w:t>argumentos, Tomo II, Anexo 26, f. 2642). En  relación  con  el  monto  total</w:t>
        <w:br/>
        <w:t>recibido  para  esta  pensión,  según   el   cálculo   realizado   por   las</w:t>
        <w:br/>
        <w:t>representantes, el señor García Lucero había recibido entre  el  2000  y  el</w:t>
        <w:br/>
        <w:t>2008 la suma de USD$14.880.00 (catorce mil ochocientos  ochenta  dólares  de</w:t>
        <w:br/>
        <w:t>los Estados Unidos de América) (Cfr. Comunicación de  los  peticionarios  de</w:t>
        <w:br/>
        <w:t>19 de diciembre de 2008, recibida por la Comisión el 22 de los mismos mes  y</w:t>
        <w:br/>
        <w:t>año. Expediente de anexos al Informe de Fondo, Tomo I, Anexo 11, fs.  161  a</w:t>
        <w:br/>
        <w:t>174).  Mientras  que  según  el  cálculo  realizado  por  el  Estado  habría</w:t>
        <w:br/>
        <w:t>recibido, para octubre del año 2009, un total de USD$25.500.00  (veinticinco</w:t>
        <w:br/>
        <w:t>mil quinientos dólares de los Estados Unidos de América) (Cfr.  Comunicación</w:t>
        <w:br/>
        <w:t>del Estado de 1 de octubre de  2009,  recibida  por  la  Comisión  el  5  de</w:t>
        <w:br/>
        <w:t>octubre siguiente, supra). La Certificación dl  Instituto  de  Normalización</w:t>
        <w:br/>
        <w:t>Previsional,  Unidad  de  Liquidación  de   Pensiones   Exonerados,   supra,</w:t>
        <w:br/>
        <w:t>establece que entre septiembre de 1998 y diciembre de 2008 se  cancelaron  a</w:t>
        <w:br/>
        <w:t>favor del señor García Lucero $14.188.016 (catorce millones  ciento  ochenta</w:t>
        <w:br/>
        <w:t>y ocho mil pesos  chilenos  con  un  céntimo)  más  $234.626,00  (doscientos</w:t>
        <w:br/>
        <w:t>treinta  y  cuatro  mil  seiscientos   veintiséis   pesos   chilenos)   como</w:t>
        <w:br/>
        <w:t>“aguinaldo”, y $993.161,00 (novecientos noventa y tres mil ciento sesenta  y</w:t>
        <w:br/>
        <w:t>un pesos chilenos) fueron  descontados  para  el  Fondo  Nacional  de  Salud</w:t>
        <w:br/>
        <w:t>(FONASA).</w:t>
        <w:br/>
        <w:br/>
        <w:t>[77]  La Comisión señaló que existe una discrepancia en relación con el  día</w:t>
        <w:br/>
        <w:t>y mes del año 2000 en el cual habría sido aprobada  la  pensión.  El  Estado</w:t>
        <w:br/>
        <w:t>indicó que fue desde el 13 de octubre de 2000 (Cfr. Comunicación del  Estado</w:t>
        <w:br/>
        <w:t>de 1 de  octubre  de  2009,  recibida  por  la  Comisión  el  5  de  octubre</w:t>
        <w:br/>
        <w:t>siguiente, supra), mientras que los peticionarios indicaron  a  la  Comisión</w:t>
        <w:br/>
        <w:t>que fue desde el 22 de mayo de 2000 (Cfr. Comunicación de los  peticionarios</w:t>
        <w:br/>
        <w:t>de 19 de diciembre de 2008, recibida por la Comisión el  22  de  los  mismos</w:t>
        <w:br/>
        <w:t>mes y año, supra). Sin embargo, ambos concordaron en  que  el  señor  García</w:t>
        <w:br/>
        <w:t>Lucero recibe la pensión de manera retroactiva desde el 1 de  septiembre  de</w:t>
        <w:br/>
        <w:t>1998.</w:t>
        <w:br/>
        <w:br/>
        <w:t>[78]  Cfr. “Prueba de reconocimiento como exonerado  político”:  Certificado</w:t>
        <w:br/>
        <w:t>emitido en enero de 2001, supra.</w:t>
        <w:br/>
        <w:br/>
        <w:t>[79]   Cfr. Comunicación de los peticionarios de 19 de  diciembre  de  2008,</w:t>
        <w:br/>
        <w:t>recibida por la Comisión el 22 del mismo mes, supra, y comunicación  de  los</w:t>
        <w:br/>
        <w:t>peticionarios de 10 de diciembre de 2009 (sic), recibida por la Comisión  el</w:t>
        <w:br/>
        <w:t>9 de los  mismos mes y año (Expediente de anexos al Informe de  Fondo,  Tomo</w:t>
        <w:br/>
        <w:t>I, Anexo 13, fs. 192 a 194).  Los peticionarios indicaron que “el  pago  del</w:t>
        <w:br/>
        <w:t>bono extraordinario tuvo lugar […] por un total  de  1,900,000”  (un  millón</w:t>
        <w:br/>
        <w:t>novecientos mil pesos chilenos), pero que “la suma real consignada”  fue  de</w:t>
        <w:br/>
        <w:t>$1.759.057.00 (un millón setecientos  cincuenta  y  nueve  mil  cincuenta  y</w:t>
        <w:br/>
        <w:t>siete pesos chilenos), ya que se descontaron  $140.943.00  (ciento  cuarenta</w:t>
        <w:br/>
        <w:t>mil novecientos cuarenta y tres pesos chilenos) debido a  impuestos.  Existe</w:t>
        <w:br/>
        <w:t>discrepancia entre las partes sobre si el monto descontado por  concepto  de</w:t>
        <w:br/>
        <w:t>impuestos fue devuelto o no. Ante la Comisión  Interamericana  el  Estado  y</w:t>
        <w:br/>
        <w:t>los peticionarios sostuvieron, respectivamente, una y otra afirmación  (Cfr.</w:t>
        <w:br/>
        <w:t>Comunicación del Estado de 1 de octubre de 2009, recibida  por  la  Comisión</w:t>
        <w:br/>
        <w:t>el 5 de octubre siguiente, supra, y comunicación de los peticionarios de  10</w:t>
        <w:br/>
        <w:t>de diciembre de 2009 (sic), recibida por la Comisión el  9  del  mismo  mes,</w:t>
        <w:br/>
        <w:t>supra).</w:t>
        <w:br/>
        <w:br/>
        <w:t>[80]  El Estado indicó en su escrito de contestación que “de acuerdo  a  […]</w:t>
        <w:br/>
        <w:t>información entregada por el Instituto de  Previsión  Social,  en  junio  de</w:t>
        <w:br/>
        <w:t>2006, en la cuenta de  ahorro  del  [señor  García  Lucero]  del  Banco  del</w:t>
        <w:br/>
        <w:t>Estado, se depositó la suma  de  [$3.000.000,00  (]tres  millones  de  pesos</w:t>
        <w:br/>
        <w:t>[chilenos)], lo que equivale, aproximadamente, a unos […]  US$5.535”  (cinco</w:t>
        <w:br/>
        <w:t>mil quinientos treinta y cinco dólares de Estados  Unidos  de  América)  “de</w:t>
        <w:br/>
        <w:t>aquella época, correspondientes al bono contemplado en la Ley  No.  19.992”.</w:t>
        <w:br/>
        <w:t>Las representantes, durante el trámite ante la  Comisión,  adujeron  que  el</w:t>
        <w:br/>
        <w:t>bono fue equivalente a USD$  5.847,93  (cinco  mil  ochocientos  cuarenta  y</w:t>
        <w:br/>
        <w:t>siete dólares de Estados Unidos de América  con  noventa  y  tres  centavos)</w:t>
        <w:br/>
        <w:t>(Cfr. Comunicación  de  los  peticionarios  de  19  de  diciembre  de  2008,</w:t>
        <w:br/>
        <w:t>recibida por la Comisión el 22 del mismo mes, supra).</w:t>
        <w:br/>
        <w:br/>
        <w:t>[81]  Cfr. Informes Psiquiátricos de  Leopoldo  García  Lucero  y  de  Elena</w:t>
        <w:br/>
        <w:t>García, elaborados por la  Dra.  Nuria  Gené-Cos,  Consultora  Psiquiátrica,</w:t>
        <w:br/>
        <w:t>supra.</w:t>
        <w:br/>
        <w:br/>
        <w:t>[82]  Cfr. Comunicación de Guy’s and St. Thomas’ NHS, NHS  Foundation  Trust</w:t>
        <w:br/>
        <w:t>de 11 de diciembre de 2007, dirigida a  las  representantes  (Expediente  de</w:t>
        <w:br/>
        <w:t>anexos al Informe de Fondo, Tomo I, Anexo 19, fs. 263 y 264).</w:t>
        <w:br/>
        <w:br/>
        <w:t>[83]  Cfr. Informes Psiquiátricos de  Leopoldo  García  Lucero  y  de  Elena</w:t>
        <w:br/>
        <w:t>García, elaborados por la  Dra.  Nuria  Gené-Cos,  Consultora  Psiquiátrica,</w:t>
        <w:br/>
        <w:t>supra; declaración del señor Leopoldo  García  Lucero,  presentada  por  los</w:t>
        <w:br/>
        <w:t>peticionarios  en  la  audiencia  pública  ante  la   Comisión,   supra,   y</w:t>
        <w:br/>
        <w:t>comunicación de  Guy’s and St. Thomas’ NHS, supra.</w:t>
        <w:br/>
        <w:br/>
        <w:t>[84]  Cfr. Informes Psiquiátricos de  Leopoldo  García  Lucero  y  de  Elena</w:t>
        <w:br/>
        <w:t>García, elaborados por la  Dra.  Nuria  Gené-Cos,  Consultora  Psiquiátrica,</w:t>
        <w:br/>
        <w:t>supra.</w:t>
        <w:br/>
        <w:br/>
        <w:t>[85]  De acuerdo al artículo 2 de la  Ley  17.995  las  “Corporacion[es]  de</w:t>
        <w:br/>
        <w:t>Asistencia Judicial” de las regiones que  indica  la  norma  son  organismos</w:t>
        <w:br/>
        <w:t>estatales con  “personalidad  jurídica”  que  tienen  como  objeto  “prestar</w:t>
        <w:br/>
        <w:t>asistencia jurídica y judicial gratuita  a  personas  de  escasos  recursos.</w:t>
        <w:br/>
        <w:t>Además [de],  proporcionar  [...]  los  medios  para  efectuar  la  práctica</w:t>
        <w:br/>
        <w:t>necesaria para el ejercicio de la profesión a los postulantes a  obtener  el</w:t>
        <w:br/>
        <w:t>título de abogado” (Cfr. Ley 17.996. Expediente  de  anexos  al  escrito  de</w:t>
        <w:br/>
        <w:t>solicitudes y argumentos, Tomo II, Anexo 11, fs. 2317 a 2319).</w:t>
        <w:br/>
        <w:br/>
        <w:t>[86]  Denuncia presentada por José Antonio Ricardi Romero, supra.</w:t>
        <w:br/>
        <w:br/>
        <w:t>[87]  Resolución de 11 de octubre de 2011 del  Presidente  de  la  Corte  de</w:t>
        <w:br/>
        <w:t>Apelaciones de Santiago, señor Juan Eduardo Fuentes  Belmar  (Expediente  de</w:t>
        <w:br/>
        <w:t>anexos al escrito de contestación, Anexo 9, f. 2767).</w:t>
        <w:br/>
        <w:br/>
        <w:t>[88]   Por  medio  de  dicha  acta,  según  indicó  el  Ministro  en  Visita</w:t>
        <w:br/>
        <w:t>Extraordinaria, señor Mario Carroza Espinosa, se lo  designó  para  “conocer</w:t>
        <w:br/>
        <w:t>‘aquellos procesos sobre violación de los Derechos Humanos que hayan  tenido</w:t>
        <w:br/>
        <w:t>lugar entre el 11  de  septiembre  de  1973  y  el  10  de  marzo  de  1990,</w:t>
        <w:br/>
        <w:t>relacionados con la muerte y  la  desaparición  de  personas’”  y  ello  “no</w:t>
        <w:br/>
        <w:t>comprend[e] tipos delictuales como las torturas, las  lesiones  o  amenazas”</w:t>
        <w:br/>
        <w:t>(Resolución de 13 de octubre de 2011 del Ministro en Visita  Extraordinaria,</w:t>
        <w:br/>
        <w:t>señor  Mario  Carroza  Espinosa.  Expediente  de  anexos   al   escrito   de</w:t>
        <w:br/>
        <w:t>contestación, Anexo 9, fs. 2768 a 2770).</w:t>
        <w:br/>
        <w:br/>
        <w:t>[89]   Resolución  de  13  de  octubre  de  2011  del  Ministro  en   Visita</w:t>
        <w:br/>
        <w:t>Extraordinaria, señor Mario Carroza Espinosa, supra.</w:t>
        <w:br/>
        <w:br/>
        <w:t>[90]  Cfr. Resolución de 9 de noviembre de 2011 de  la  Jueza  Suplente  del</w:t>
        <w:br/>
        <w:t>Juzgado  34º,  señora  Cheryl  Fernández  Albornoz,  y  comunicación  de   9</w:t>
        <w:br/>
        <w:t>noviembre de 2011 de la  Jueza  Suplente  del  Juzgado  34º,  señora  Cheryl</w:t>
        <w:br/>
        <w:t>Fernández Albornoz dirigida al señor Comisario de la  Brigada  Investigadora</w:t>
        <w:br/>
        <w:t>de Delitos contra los Derechos Humanos de la Policía de  Investigaciones  de</w:t>
        <w:br/>
        <w:t>Chile (Expediente de anexos al escrito de contestación, Anexo 9, fs. 2777  y</w:t>
        <w:br/>
        <w:t>2776, respectivamente).</w:t>
        <w:br/>
        <w:br/>
        <w:t>[91]  Cfr. Oficio No. 2756 de 23 de noviembre de 2011 dirigido a la</w:t>
        <w:br/>
        <w:t>Fundación Documentación y Archivos del Arzobispado de Santiago, firmado por</w:t>
        <w:br/>
        <w:t>el Jefe de la Brigada Investigadora de Delitos Contra los Derechos Humanos,</w:t>
        <w:br/>
        <w:t>Subprefecto Tomás Vivanco Fuentes (Expediente de anexos al escrito de</w:t>
        <w:br/>
        <w:t>contestación, Anexo 9, f. 2774).</w:t>
        <w:br/>
        <w:br/>
        <w:t>[92]  Cfr. Oficio No.  234-2011  de  13  de  diciembre  de  2011  del  señor</w:t>
        <w:br/>
        <w:t>Alejandro Madrid Croharé, Ministro en Visita Extraordinaria al  Juzgado  34º</w:t>
        <w:br/>
        <w:t>(Expediente de anexos al escrito de contestación, Anexo 9, f. 2772).</w:t>
        <w:br/>
        <w:br/>
        <w:t>[93]  Carta de 28 de noviembre de 2011 de María Paz Vergara Low, supra.  Ver</w:t>
        <w:br/>
        <w:t>en cuanto a la fecha de detención del señor García Lucero,  supra  nota  pie</w:t>
        <w:br/>
        <w:t>de página 48.</w:t>
        <w:br/>
        <w:br/>
        <w:t>[94]  Cfr. Informe de la Brigada Investigadora de 5 de  diciembre  de  2011,</w:t>
        <w:br/>
        <w:t>dirigido al Juzgado 34º (Expediente de anexos al  escrito  de  contestación,</w:t>
        <w:br/>
        <w:t>Anexo 9, fs. 2780 a 2783).</w:t>
        <w:br/>
        <w:br/>
        <w:t>[95]  Cfr. Resolución de 23 de enero de 2012 de Cheryl  Fernández  Albornoz,</w:t>
        <w:br/>
        <w:t>Jueza  Suplente  del  Juzgado  34º  (Expediente  de  anexos  al  escrito  de</w:t>
        <w:br/>
        <w:t>contestación, Anexo 9, f. 2784).</w:t>
        <w:br/>
        <w:br/>
        <w:t>[96]  Cfr. Escrito de 9 de febrero de 2012 del abogado José Antonio  Ricardi</w:t>
        <w:br/>
        <w:t>Romero de la Corporación de Asistencia Judicial al  34º  Juzgado  (Anexos  a</w:t>
        <w:br/>
        <w:t>los alegatos finales escritos del Estado, Anexo 3, f. 1164).</w:t>
        <w:br/>
        <w:br/>
        <w:t>[97]   Cfr. Resolución  de  15  de  febrero  de  2012  de  Cheryl  Fernández</w:t>
        <w:br/>
        <w:t>Albornoz, Jueza Suplente del Juzgado 34º  (Anexos  a  los  alegatos  finales</w:t>
        <w:br/>
        <w:t>escritos del Estado, Anexo 3, f. 1165).</w:t>
        <w:br/>
        <w:br/>
        <w:t>[98]   Cfr. Escrito de 13 de marzo de 2012 del abogado José Antonio  Ricardi</w:t>
        <w:br/>
        <w:t>Romero de la Corporación de Asistencia Judicial al Juzgado 34º  Juzgado  del</w:t>
        <w:br/>
        <w:t>Crimen de Santiago (Anexos a  los  alegatos  finales  escritos  del  Estado,</w:t>
        <w:br/>
        <w:t>Anexo 3, fs. 1167 y 1168).</w:t>
        <w:br/>
        <w:br/>
        <w:t>[99]  Cfr. Resolución de 20 de marzo de 2012 de  Ximena  Sumonte  Contreras,</w:t>
        <w:br/>
        <w:t>Jueza Suplente del Juzgado 34º (Anexos a los alegatos finales  escritos  del</w:t>
        <w:br/>
        <w:t>Estado, Anexo 3, f. 1174).</w:t>
        <w:br/>
        <w:br/>
        <w:t>[100] Cfr. Exhorto No. 2026 de 20 de marzo de 2012, firmado por Ximena</w:t>
        <w:br/>
        <w:t>Sumonte Contreras, Jueza Suplente y Christian Cid Díaz, Secretario</w:t>
        <w:br/>
        <w:t>Subrogante, dirigido al señor Rubén Ballesteros Carcamo, Presidente de la</w:t>
        <w:br/>
        <w:t>Corte Suprema (Anexos a los escritos finales del Estado, Anexo 3, fs. 1175</w:t>
        <w:br/>
        <w:t>a 1779).</w:t>
        <w:br/>
        <w:br/>
        <w:t>[101] Cfr. Oficio No. 199-2012  de  23  de  marzo  de  2012  a  Andrés  Vega</w:t>
        <w:br/>
        <w:t>Alvarado, Jefe  de  Gabinete  del  Ministerio  de  Justicia,  Ministerio  de</w:t>
        <w:br/>
        <w:t>Justicia, de Claudio Valdivia Rivas, Director General de la  Corporación  de</w:t>
        <w:br/>
        <w:t>Asistencia Judicial, Región Metropolitana (Expediente de anexos  al  escrito</w:t>
        <w:br/>
        <w:t>de contestación, Anexo 9, fs. 2787 a 2789).</w:t>
        <w:br/>
        <w:br/>
        <w:t>[102] Correo electrónico  de  30  de  marzo  de  2012,  dirigido  por  Clara</w:t>
        <w:br/>
        <w:t>Sandoval-Villalba a Jorge Castro Pereira (Expediente de  anexos  al  escrito</w:t>
        <w:br/>
        <w:t>de contestación, Anexo 1, f. 2688).</w:t>
        <w:br/>
        <w:br/>
        <w:t>[103] Cfr. Querella interpuesta el 6 de junio de 2012 por  el  abogado  José</w:t>
        <w:br/>
        <w:t>Antonio Ricardi Romero de la Corporación de Asistencia Judicial  al  Juzgado</w:t>
        <w:br/>
        <w:t>34º (Anexos a los alegatos finales escritos del Estado, Anexo 3, fs. 1180  a</w:t>
        <w:br/>
        <w:t>1185). Las otras diligencias solicitadas en ese acto,  según  consta  en  el</w:t>
        <w:br/>
        <w:t>documento indicado, son: “orden[ar] a la Brigada [Investigadora]  proceda  a</w:t>
        <w:br/>
        <w:t>ubicar y citar”  al  presunto  responsable  identificado;  “[s]e  oficie  al</w:t>
        <w:br/>
        <w:t>Ministerio del Interior, a fin de  que  remita  copia  de  los  decretos  de</w:t>
        <w:br/>
        <w:t>Detención y Expulsión del país de[l señor] García Lucero”;  “[s]e  oficie  a</w:t>
        <w:br/>
        <w:t>la Dirección General de Carabineros de Chile para que informe la  nómina  de</w:t>
        <w:br/>
        <w:t>oficiales que cumplían funciones en [una]  Comisaría  [indicada]  el  16  de</w:t>
        <w:br/>
        <w:t>septiembre de 1973”; [s]e oficie a [diversas entidades]  con  el  objeto  de</w:t>
        <w:br/>
        <w:t>que remitan todos  los  antecedentes  políticos  […]  existentes  sobre  [el</w:t>
        <w:br/>
        <w:t>señor] García Lucero; [s]e oficie a la Brigada [Investigadora] a fin de  que</w:t>
        <w:br/>
        <w:t>remita […] los antecedentes allí reunidos  sobre  [el  presunto  responsable</w:t>
        <w:br/>
        <w:t>identificado y] a fin de ubicar y citar a declarar en  autos  a  [un  medico</w:t>
        <w:br/>
        <w:t>identificado], y “[s]e oficie al  Hipódromo  de  Chile  […]  a  fin  de  que</w:t>
        <w:br/>
        <w:t>informe la fecha de ingreso y último día de  trabajo  que  registra  en  esa</w:t>
        <w:br/>
        <w:t>entidad [el señor] García Lucero”.</w:t>
        <w:br/>
        <w:br/>
        <w:t>[104] Cfr. Resolución de 7 de junio de 2012 de  Cheryl  Fernández  Albornoz,</w:t>
        <w:br/>
        <w:t>Jueza Suplente del Juzgado 34º (Anexos a los alegatos finales  escritos  del</w:t>
        <w:br/>
        <w:t>Estado, Anexo 3, f. 1186).</w:t>
        <w:br/>
        <w:br/>
        <w:t>[105] Cfr. Orden de investigar de  7  de  junio  de  2012,  emitida  por  el</w:t>
        <w:br/>
        <w:t>Juzgado 34°, dirigida a la Brigada Investigadora, y oficios de 25  y  26  de</w:t>
        <w:br/>
        <w:t>julio emitidos por la Brigada Investigadora al Programa de Derechos  Humanos</w:t>
        <w:br/>
        <w:t>del Ministerio del Interior, a  la  Contraloría  General  de  República,  al</w:t>
        <w:br/>
        <w:t>Hipódromo de Chile, a la Jefatura de Estado Mayor General  del  Ejército  de</w:t>
        <w:br/>
        <w:t>Chile, a la Secretaría General de la Armada  de  Chile,  a  la  Jefatura  de</w:t>
        <w:br/>
        <w:t>Estado Mayor General de la Fuerza Aérea de Chile, a la Subdirección  General</w:t>
        <w:br/>
        <w:t>del Departamento de  Derechos  Humanos  de  Carabineros  de  Chile  y  a  la</w:t>
        <w:br/>
        <w:t>Jefatura Nacional de Delitos contra Derechos Humanos (Anexos a los  alegatos</w:t>
        <w:br/>
        <w:t>finales escritos del Estado, Anexo 3, f. 1199 a 1211).</w:t>
        <w:br/>
        <w:br/>
        <w:t>[106] Cfr. Carta de 31 de julio de 2012 de la Sociedad Hipódromo Chile</w:t>
        <w:br/>
        <w:t>S.A., firmada por el señor Luis Ignacio Salas Maturana, Gerente, recibida</w:t>
        <w:br/>
        <w:t>por el Juzgado 34º el 2 de agosto de 2012, y carta de despido de 7 de</w:t>
        <w:br/>
        <w:t>noviembre de 1973, firmada por Ricardo Echeverría Verdara, Jefe del</w:t>
        <w:br/>
        <w:t>Departamento de Personal de la Sociedad Hipódromo Chile S. A, dirigida al</w:t>
        <w:br/>
        <w:t>señor García Lucero (Anexos a los alegatos finales del Estado, Anexo 3, fs.</w:t>
        <w:br/>
        <w:t>1197 y 1198).</w:t>
        <w:br/>
        <w:br/>
        <w:t>[107] Cfr. Informe Policial No. 3498/00 de 6 de agosto de 2012, emitido por</w:t>
        <w:br/>
        <w:t>la Brigada Investigadora, recibido el 7 de agosto de 2012 por el Juzgado</w:t>
        <w:br/>
        <w:t>34º (Anexos a los alegatos finales escritos del Estado, Anexo 3, fs. 1200 a</w:t>
        <w:br/>
        <w:t>1203).</w:t>
        <w:br/>
        <w:br/>
        <w:t>[108] Cfr. Resolución de 20 de agosto de 2012 de Cheryl Fernández  Albornoz,</w:t>
        <w:br/>
        <w:t>Jueza Suplente del Juzgado 34º (Anexos a los alegatos finales  escritos  del</w:t>
        <w:br/>
        <w:t>Estado, Anexo 3, f. 1217).</w:t>
        <w:br/>
        <w:br/>
        <w:t>[109] Cfr. Orden de Arresto de 20 de  agosto  de  2012  emitida  por  Cheryl</w:t>
        <w:br/>
        <w:t>Fernández Albornoz, Jueza Suplente del Juzgado 34º (Anexos  a  los  alegatos</w:t>
        <w:br/>
        <w:t>finales escritos del Estado, Anexo 3, f. 1219).</w:t>
        <w:br/>
        <w:br/>
        <w:t>[110] Cfr. Informe Policial No. 4248 de la  Brigada  Investigadora  respecto</w:t>
        <w:br/>
        <w:t>de la Orden de Arresto dictada por el Juzgado 34º  (Anexos  a  los  alegatos</w:t>
        <w:br/>
        <w:t>finales escritos del Estado, Anexo 3, fs. 1223 a 1225).</w:t>
        <w:br/>
        <w:br/>
        <w:t>[111] Cfr. Resolución de 25  de  septiembre  de  2012  de  Cheryl  Fernández</w:t>
        <w:br/>
        <w:t>Albornoz, Jueza Suplente del Juzgado 34º  (Anexos  a  los  alegatos  finales</w:t>
        <w:br/>
        <w:t>escritos del Estado, Anexo 3, f. 1226).</w:t>
        <w:br/>
        <w:br/>
        <w:t>[112]  Cfr.  Escrito  del  abogado  José  Antonio  Ricardi  Romero   de   la</w:t>
        <w:br/>
        <w:t>Corporación de Asistencia Judicial recibido el 2 de octubre de 2012  por  el</w:t>
        <w:br/>
        <w:t>Juzgado 34º, y resolución de 8  de  octubre  de  2012  de  Cheryl  Fernández</w:t>
        <w:br/>
        <w:t>Albornoz, Jueza Suplente del Juzgado 34º  (Anexos  a  los  alegatos  finales</w:t>
        <w:br/>
        <w:t>escritos del Estado, Anexo 3, fs. 1236 y 1237, respectivamente).</w:t>
        <w:br/>
        <w:br/>
        <w:t>[113] Cfr. Informe Policial No. 4580 de la Brigada Investigadora  de  12  de</w:t>
        <w:br/>
        <w:t>octubre de 2012, recibido el 16 de  octubre  de  2012  por  el  Juzgado  34º</w:t>
        <w:br/>
        <w:t>(Anexos a los alegatos finales escritos del Estado,  Anexo  3,  fs.  1238  a</w:t>
        <w:br/>
        <w:t>1239).</w:t>
        <w:br/>
        <w:br/>
        <w:t>[114] Cfr. Oficio No. 2896 de 30 de octubre de 2012 emitido por  el  Juzgado</w:t>
        <w:br/>
        <w:t>34º (Anexos a los alegatos finales escritos del Estado, Anexo 3, f. 1240).</w:t>
        <w:br/>
        <w:br/>
        <w:t>[115] Cfr. Declaración testimonial de un médico cirujano de 30 de agosto  de</w:t>
        <w:br/>
        <w:t>2012 ante el Juzgado  34º  (Anexos  a  los  alegatos  finales  escritos  del</w:t>
        <w:br/>
        <w:t>Estado, Anexo 3, fs. 1241 y1242).</w:t>
        <w:br/>
        <w:br/>
        <w:t>[116] Cfr. Escrito de 9 de enero de 2013 del abogado  José  Antonio  Ricardi</w:t>
        <w:br/>
        <w:t>Romero de la Corporación de Asistencia Judicial al  Juzgado  34º  (Anexos  a</w:t>
        <w:br/>
        <w:t>los alegatos finales escritos del Estado, Anexo 3, f. 1243).</w:t>
        <w:br/>
        <w:br/>
        <w:t>[117] Cfr. Oficio No. 13069, de 3 de  diciembre  de  2012  del  Departamento</w:t>
        <w:br/>
        <w:t>Control  Fronteras  de  la  Jefatura  Nacional  de  Extranjería  y   Policía</w:t>
        <w:br/>
        <w:t>Internacional (Anexos a los alegatos finales escritos del Estado,  Anexo  3,</w:t>
        <w:br/>
        <w:t>fs. 1248 y 1249).</w:t>
        <w:br/>
        <w:br/>
        <w:t>[118] Cfr.  Resolución de 1 de abril de 2013 de Cheryl  Fernández  Albornoz,</w:t>
        <w:br/>
        <w:t>Jueza Suplente del Juzgado 34º (Anexos a los alegatos finales  escritos  del</w:t>
        <w:br/>
        <w:t>Estado, Anexo 3, f. 1249).</w:t>
        <w:br/>
        <w:br/>
        <w:t>[119] Cfr.  Resolución de 2 de abril de 2013 de Cheryl  Fernández  Albornoz,</w:t>
        <w:br/>
        <w:t>Jueza Suplente del Juzgado 34º (Anexos a los alegatos finales  escritos  del</w:t>
        <w:br/>
        <w:t>Estado, Anexo 3, f. 1250).</w:t>
        <w:br/>
        <w:br/>
        <w:t>[120] Cfr. Resolución de 3 de abril de 2013 de  Cheryl  Fernández  Albornoz,</w:t>
        <w:br/>
        <w:t>Jueza Suplente del Juzgado 34º (Anexos a los alegatos finales  escritos  del</w:t>
        <w:br/>
        <w:t>Estado, Anexo 3, f. 1251).</w:t>
        <w:br/>
        <w:br/>
        <w:t>[121] El artículo 8.1 de la Convención dispone que:  “[t]oda 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br/>
        <w:t>[122] El artículo 25.1 de la Convención expresa que: “[t]oda  persona  tiene</w:t>
        <w:br/>
        <w:t>derecho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sus funciones oficiales”.</w:t>
        <w:br/>
        <w:br/>
        <w:t>[123] La Convención Americana, en su artículo 5.1,  establece  que:  “[t]oda</w:t>
        <w:br/>
        <w:t>persona tiene derecho a que se respete  su  integridad  física,  psíquica  y</w:t>
        <w:br/>
        <w:t>moral”.</w:t>
        <w:br/>
        <w:br/>
        <w:t>[124] El artículo 1.1 de la Convención  señala:  “[l]os  Estados  Partes  en</w:t>
        <w:br/>
        <w:t>esta  Convención  se 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br/>
        <w:t>[125] El artículo 2 de  la  Convención  reza:  “[s]i  el  ejercicio  de  los</w:t>
        <w:br/>
        <w:t>derechos  y  libertades  mencionados  en  el  artículo  1  no  estuviere  ya</w:t>
        <w:br/>
        <w:t>garantizado por disposiciones legislativas o de otro carácter,  los  Estados</w:t>
        <w:br/>
        <w:t>Partes  se  comprometen  a  adoptar,  con  arreglo  a   sus   procedimientos</w:t>
        <w:br/>
        <w:t>constitucionales y a las  disposiciones  de  esta  Convención,  las  medidas</w:t>
        <w:br/>
        <w:t>legislativas o de otro carácter que fueren necesarias para  hacer  efectivos</w:t>
        <w:br/>
        <w:t>tales derechos y libertades”.</w:t>
        <w:br/>
        <w:br/>
        <w:t>[126] El artículo 8 de la Convención contra la Tortura expresa que: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[127] El artículo 6 de la Convención Interamericana contra la  Tortura  dice</w:t>
        <w:br/>
        <w:t>que:</w:t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t>[128] El artículo 9  de  la  Convención  Interamericana  contra  la  Tortura</w:t>
        <w:br/>
        <w:t>establece que:</w:t>
        <w:br/>
        <w:br/>
        <w:t xml:space="preserve">      Los Estados partes se comprometen a incorporar  en  sus  legislaciones</w:t>
        <w:br/>
        <w:t xml:space="preserve">      nacionales normas que garanticen una compensación  adecuada  para  las</w:t>
        <w:br/>
        <w:t xml:space="preserve">      víctimas del delito de tortura.</w:t>
        <w:br/>
        <w:br/>
        <w:br/>
        <w:t xml:space="preserve">      Nada de lo dispuesto en este artículo afectará el derecho  que  puedan</w:t>
        <w:br/>
        <w:t xml:space="preserve">      tener la víctima u otras personas de recibir compensación en virtud de</w:t>
        <w:br/>
        <w:t xml:space="preserve">      legislación nacional existente.</w:t>
        <w:br/>
        <w:br/>
        <w:t>[129] El artículo 1  de  la  Convención  Interamericana  contra  la  Tortura</w:t>
        <w:br/>
        <w:t>dispone que: “[l]os Estados partes se obligan a prevenir y  a  sancionar  la</w:t>
        <w:br/>
        <w:t>tortura en los términos de la presente Convención”.</w:t>
        <w:br/>
        <w:br/>
        <w:t>[130] Las representantes especificaron que el lapso que demoró el Estado  en</w:t>
        <w:br/>
        <w:t>iniciar la investigación violó los artículos 5.1 y 8.1 de la Convención,  en</w:t>
        <w:br/>
        <w:t>conexión  con  su  artículo  1.1  y  el  artículo   8   de   la   Convención</w:t>
        <w:br/>
        <w:t>Interamericana contra la Tortura. Además, en su entender,  la  investigación</w:t>
        <w:br/>
        <w:t>en curso es violatoria de los [a]rtículos 8.1 [y] 25.1 en  relación  con  el</w:t>
        <w:br/>
        <w:t>[artículo] 1.1 de la C[onvención] y los  [a]rtículos  6  y  7  (sic)  de  la</w:t>
        <w:br/>
        <w:t>C[onvención Interamericana contra  la  Tortura]”.  En  cuanto  al  acceso  a</w:t>
        <w:br/>
        <w:t>medidas de reparación, adujeron la vulneración de los artículos 8  y  25  de</w:t>
        <w:br/>
        <w:t>la Convención, así como el 9  de  la  Convención  Interamericana  contra  la</w:t>
        <w:br/>
        <w:t>Tortura. La Corte observa que la alusión de las representantes  al  artículo</w:t>
        <w:br/>
        <w:t>7 de la Convención Interamericana contra la Tortura, que efectuaron  en  sus</w:t>
        <w:br/>
        <w:t>observaciones finales escritas, fue hecha en forma aislada y sin  desarrollo</w:t>
        <w:br/>
        <w:t>argumentativo  sobre  por  qué  consideran  que  el  mismo  fue   vulnerado.</w:t>
        <w:br/>
        <w:t>Considerando lo anterior, y dado que fue  presentada  extemporáneamente,  el</w:t>
        <w:br/>
        <w:t>Tribunal no se pronunciará sobre la supuesta violación del artículo 7.</w:t>
        <w:br/>
        <w:br/>
        <w:t>[131]       Expresaron también  las  representantes  que  la  obligación  de</w:t>
        <w:br/>
        <w:t>reparar “está intrínsecamente  conectada  a  la  obligación  de  investigar,</w:t>
        <w:br/>
        <w:t>perseguir y sancionar” y que, en  el  caso  del  señor  García  Lucero,  “la</w:t>
        <w:br/>
        <w:t>obligación de dar  reparación  deb[ió]  ser  cumplida  […  a]l  recibir  [el</w:t>
        <w:br/>
        <w:t>Estado,] en 1993 y 2004, motivos razonables para  creer  que  [aquél]  había</w:t>
        <w:br/>
        <w:t>sido torturado”. En cuanto  a  la  aducida  obligación  de  investigar,  los</w:t>
        <w:br/>
        <w:t>argumentos específicos de las representantes al respecto son  reseñados  más</w:t>
        <w:br/>
        <w:t>adelante (infra párrs. 110 a 117).</w:t>
        <w:br/>
        <w:br/>
        <w:t>[132] La fecha indicada corresponde a la presentación de  las  observaciones</w:t>
        <w:br/>
        <w:t>finales escritas por la Comisión, en las cuales señaló que “hasta la  fecha”</w:t>
        <w:br/>
        <w:t>no había una decisión de primera instancia en relación con la  investigación</w:t>
        <w:br/>
        <w:t>de los hechos.</w:t>
        <w:br/>
        <w:br/>
        <w:t>[133] La fecha corresponde a la de  presentación  de  los  alegatos  finales</w:t>
        <w:br/>
        <w:t>escritos del Estado.</w:t>
        <w:br/>
        <w:br/>
        <w:t>[134]       Dadas las características de este caso y de los hechos  que,  de</w:t>
        <w:br/>
        <w:t>acuerdo al informe de  la  Comisión  Valech,  el  señor  García  Lucero  fue</w:t>
        <w:br/>
        <w:t>víctima de tortura. Al respecto, la Corte  ha  aseverado  el  deber  de  los</w:t>
        <w:br/>
        <w:t>Estados de investigar o procurar la “represión” de  “violaciones  graves  de</w:t>
        <w:br/>
        <w:t>derechos humanos” tales como las torturas. (Cfr. Caso de la  “Panel  Blanca”</w:t>
        <w:br/>
        <w:t>(Paniagua Morales y otros) Vs. Guatemala. Fondo. Sentencia de 8 de marzo  de</w:t>
        <w:br/>
        <w:t>1998. Serie C No. 37, párrs. 134 a 136; Caso Barrios Altos Vs. Perú.  Fondo.</w:t>
        <w:br/>
        <w:t>Sentencia de 14 de marzo de 2001. Serie C No. 75, párr. 41,  y  Caso  Suárez</w:t>
        <w:br/>
        <w:t>Peralta Vs. Ecuador, supra). También  se  refirió  al  deber  de  investigar</w:t>
        <w:br/>
        <w:t>actos de detenciones ilegales vinculados a actos de tortura  (Cfr.  Caso  de</w:t>
        <w:br/>
        <w:t>los “Niños de la Calle” (Villagrán Morales y otros)  Vs.  Guatemala.  Fondo.</w:t>
        <w:br/>
        <w:t>Sentencia de 19 de noviembre de 1999. Serie C No. 63, párrs. 134, 136,  168,</w:t>
        <w:br/>
        <w:t>169,  225  a  230  y  238,  y  Caso  Fleury  y  otros  Vs.  Haití.  Fondo  y</w:t>
        <w:br/>
        <w:t>Reparaciones. Sentencia de 23 de noviembre de 2011. Serie C No. 236,  párrs.</w:t>
        <w:br/>
        <w:t>105 a 114).</w:t>
        <w:br/>
        <w:br/>
        <w:t>[135] Cfr.  Caso  Bulacio  Vs.  Argentina.  Fondo,  Reparaciones  y  Costas.</w:t>
        <w:br/>
        <w:t>Sentencia de 18 de Septiembre de 2003. Serie C No. 100, párr.  114,  y  Caso</w:t>
        <w:br/>
        <w:t>Masacre de Santo Domingo Vs. Colombia, supra, párr. 155.</w:t>
        <w:br/>
        <w:br/>
        <w:t>[136] Cfr. Caso Velásquez Rodríguez Vs. Honduras. Fondo, supra,  párr.  177,</w:t>
        <w:br/>
        <w:t>y Caso Mendoza y otros Vs. Argentina, supra, párr. 218.</w:t>
        <w:br/>
        <w:br/>
        <w:t>[137] Cfr. Caso de la “Masacre de Mapiripán” Vs. Colombia. Fondo,</w:t>
        <w:br/>
        <w:t>Reparaciones y Costas. Sentencia de 15 de septiembre de 2005. Serie C No.</w:t>
        <w:br/>
        <w:t>134, párrs. 219, 222 y 223, y Caso Fleury y otros Vs. Haití, supra,</w:t>
        <w:br/>
        <w:t>párr.107.</w:t>
        <w:br/>
        <w:br/>
        <w:t>[138] Cfr. Caso Velásquez Rodríguez Vs. Honduras. Fondo, supra,  párr.  177,</w:t>
        <w:br/>
        <w:t>y Caso Mendoza y otros Vs. Argentina, supra, párr. 218.</w:t>
        <w:br/>
        <w:br/>
        <w:t>[139] Cfr., mutatis mutandi, Caso La Cantuta Vs. Perú.  Fondo,  Reparaciones</w:t>
        <w:br/>
        <w:t>y Costas. Sentencia de 29 de noviembre de 2006. Serie C No. 162, párrs.  96,</w:t>
        <w:br/>
        <w:t>157 y 160, y Caso Gelman Vs. Uruguay. Fondo y Reparaciones. Sentencia de  24</w:t>
        <w:br/>
        <w:t>de febrero de 2011 Serie C No. 221,  párr.  183.  En  la  primera  Sentencia</w:t>
        <w:br/>
        <w:t>citada, la Corte señaló, en relación con hechos que habían sido  calificados</w:t>
        <w:br/>
        <w:t>por autoridades estatales “y por la  representación  del  Estado  ante  [el]</w:t>
        <w:br/>
        <w:t>Tribunal como crímenes contra la humanidad” y  respecto  de  los  que  había</w:t>
        <w:br/>
        <w:t>sido  establecido  “que  fueron  perpetrad[o]s  en  un  contexto  de  ataque</w:t>
        <w:br/>
        <w:t>generalizado y sistemático contra sectores de la población civil”,  que  “la</w:t>
        <w:br/>
        <w:t>obligación de  investigar  y  sancionar  adquiere  particular  intensidad  e</w:t>
        <w:br/>
        <w:t>importancia”. La  Corte  indicó  que  “la  prohibición  de  la  desaparición</w:t>
        <w:br/>
        <w:t>forzada de personas y el correlativo deber de  investigarla  y  sancionar  a</w:t>
        <w:br/>
        <w:t>sus responsables han alcanzado carácter de ius cogens”. El  Tribunal  señaló</w:t>
        <w:br/>
        <w:t>que “los hechos del […] caso” (relativos a la práctica  de  la  desaparición</w:t>
        <w:br/>
        <w:t>forzada, que incluían en el caso, conforme se  dio  por  acreditado,  tratos</w:t>
        <w:br/>
        <w:t>crueles, inhumanos y degradantes)  “infringi[eron]  normas  inderogables  de</w:t>
        <w:br/>
        <w:t>derecho internacional (ius cogens)”, y ante la  “naturaleza  y  gravedad  de</w:t>
        <w:br/>
        <w:t>los hechos” consideró que “el acceso a  la  justicia  constituye  una  norma</w:t>
        <w:br/>
        <w:t>imperativa de Derecho Internacional”. En su decisión sobre  el  caso  Gelman</w:t>
        <w:br/>
        <w:t>Vs. Uruguay, la Corte destacó que que “la obligación estatal  de  investigar</w:t>
        <w:br/>
        <w:t>y sancionar las violaciones de derechos humanos y, en su caso,  enjuiciar  y</w:t>
        <w:br/>
        <w:t>sancionar a  los  responsables,  adquiere  particular  importancia  ante  la</w:t>
        <w:br/>
        <w:t>gravedad  de  los  delitos  cometidos  y  la  naturaleza  de  los   derechos</w:t>
        <w:br/>
        <w:t>lesionados, especialmente en vista de que la prohibición de la  desaparición</w:t>
        <w:br/>
        <w:t>forzada de personas y su correlativo deber de  investigarla  y  sancionar  a</w:t>
        <w:br/>
        <w:t>sus responsables han alcanzado desde hace mucho  carácter  de  jus  cogens”.</w:t>
        <w:br/>
        <w:t>Las referencias expresas de los pronunciamientos  citados  son  relativas  a</w:t>
        <w:br/>
        <w:t>actos de  desaparición  forzada  de  personas.  No  obstante,  es  relevante</w:t>
        <w:br/>
        <w:t>recordar que el Tribunal ha expresado que “[la] prohibición” de la  “tortura</w:t>
        <w:br/>
        <w:t>y desaparición forzada” tiene “carácter de normas  inderogables  de  derecho</w:t>
        <w:br/>
        <w:t>internacional o jus cogens” (Caso  Goiburú  y  otros  Vs.  Paraguay.  Fondo,</w:t>
        <w:br/>
        <w:t>Reparaciones y Costas. Sentencia de 22 de septiembre de 2006.  Serie  C  No.</w:t>
        <w:br/>
        <w:t>153,  párr.  93).   En   relación   con   el   concepto   de   jus   cogens,</w:t>
        <w:br/>
        <w:t>el Tribunal Penal Internacional para  la  ex  Yugoslavia (TPIY),  estableció</w:t>
        <w:br/>
        <w:t>que el mismo hace referencia a normas de un rango superior a los tratos y  a</w:t>
        <w:br/>
        <w:t>normas consuetudinarias.  Tiene  por  consecuencia  que  una  norma  de  tal</w:t>
        <w:br/>
        <w:t>carácter no puede ser  derogada  por  los  Estados  por  medio  de  tratados</w:t>
        <w:br/>
        <w:t>internacionales o por  normas  consuetudinarias,  locales  o  especiales,  o</w:t>
        <w:br/>
        <w:t>incluso generales que no estén dotadas  del  mismo  valor  normativo.  (“jus</w:t>
        <w:br/>
        <w:t>cogens, that is, a norm that enjoys  a  higher  rank  in  the  international</w:t>
        <w:br/>
        <w:t>hierarchy than treaty law and even  ‘ordinary’  customary  rules.  The  most</w:t>
        <w:br/>
        <w:t>conspicuous consequence  of this higher rank is that the principle at  issue</w:t>
        <w:br/>
        <w:t>cannot be derogated from by States through international treaties  or  local</w:t>
        <w:br/>
        <w:t>or special customs or even general customary  rules  not  endowed  with  the</w:t>
        <w:br/>
        <w:t>same  normative  force”)  Cfr.  Tribunal Penal  Internacional para   la   ex</w:t>
        <w:br/>
        <w:t>Yugoslavia, Prosecutor  Vs.  Furundzija,  Trial  Chamber,  Judgement  of  10</w:t>
        <w:br/>
        <w:t>December 1998, párr. 153.</w:t>
        <w:br/>
        <w:br/>
        <w:t>[140] Cfr. Caso Gutiérrez Soler Vs. Colombia. Sentencia de 12 de  septiembre</w:t>
        <w:br/>
        <w:t>de 2005. Serie  C  No.  132,  párr.  54,  y  Caso  Vélez  Loor  Vs.  Panamá.</w:t>
        <w:br/>
        <w:t>Excepciones Preliminares, Fondo, Reparaciones y Costas. Sentencia de  23  de</w:t>
        <w:br/>
        <w:t>noviembre de 2010. Serie C No. 218, párr. 240. En  el  mismo  sentido,  Caso</w:t>
        <w:br/>
        <w:t>Cabrera García y Montiel Flores Vs.  México.  Excepción  Preliminar,  Fondo,</w:t>
        <w:br/>
        <w:t>Reparaciones y Costas. Sentencia de 26 de noviembre de  2010.  Serie  C  No.</w:t>
        <w:br/>
        <w:t>220, parr. 135.</w:t>
        <w:br/>
        <w:br/>
        <w:t>[141] La evaluación realizada es en relación con  los  aspectos  sustantivos</w:t>
        <w:br/>
        <w:t>de las alegadas vulneraciones a derechos  humanos.  No  se  está  realizando</w:t>
        <w:br/>
        <w:t>aquí una evaluación sobre la admisibilidad de la petición,  pues  el  Estado</w:t>
        <w:br/>
        <w:t>no adujo este argumento como excepción preliminar, como ya  se  ha  indicado</w:t>
        <w:br/>
        <w:t>(supra párrs. 43 y 44).</w:t>
        <w:br/>
        <w:br/>
        <w:t>[142] El Estado afirmó, en sus alegatos finales escritos,  que  “los  hechos</w:t>
        <w:br/>
        <w:t>denunciados  por   el   [señor]   García   Lucero,   por   la   gravedad   y</w:t>
        <w:br/>
        <w:t>particularidades que implica[n], deberían ser calificados como  crímenes  de</w:t>
        <w:br/>
        <w:t>lesa humanidad”.</w:t>
        <w:br/>
        <w:br/>
        <w:t>[143] La Comisión alegó la violación de la integridad personal por “el</w:t>
        <w:br/>
        <w:t>sufrimiento continuo que ha[n] experimentado el [señor] García Lucero y su</w:t>
        <w:br/>
        <w:t>esposa al no haber contado con una rehabilitación y tratamiento adecuados,</w:t>
        <w:br/>
        <w:t>así como el perjuicio ocasionado por la ausencia de [una] investigación y</w:t>
        <w:br/>
        <w:t>la falta de reparación integral por los actos de tortura”. Al respecto, las</w:t>
        <w:br/>
        <w:t>representantes también alegaron la referida violación y afirmaron que el</w:t>
        <w:br/>
        <w:t>señor García Lucero fue “torturado y que junto a su familia lo perdieron</w:t>
        <w:br/>
        <w:t>todo. Indicaron que “[f]rente a estos hechos Chile faltó a su obligación de</w:t>
        <w:br/>
        <w:t>investigar, perseguir y sancionar de manera diligente y dentro de un plazo</w:t>
        <w:br/>
        <w:t>razonable a los responsables de la tortura, detención y exilio de don</w:t>
        <w:br/>
        <w:t>Leopoldo [García] y a su obligación de proveer recursos para que [él] y su</w:t>
        <w:br/>
        <w:t>familia pudiesen acceder a las cortes penales y civiles a nivel doméstico”.</w:t>
        <w:br/>
        <w:t>Agregaron que, de acuerdo al informe médico de la doctora Nuria Gené-Cos,</w:t>
        <w:br/>
        <w:t>la evaluación de la salud mental del señor García Lucero “indica que su</w:t>
        <w:br/>
        <w:t>sufrimiento va a continuar si, entre otras cosas, no hay justicia frente a</w:t>
        <w:br/>
        <w:t>los hechos vividos”. Al concluir, señalaron que Chile al permitir la</w:t>
        <w:br/>
        <w:t>impunidad en el presente caso y al faltar a su obligación de garantizar que</w:t>
        <w:br/>
        <w:t>la justicia opere de manera debida, ha producido sufrimientos inhumanos en</w:t>
        <w:br/>
        <w:t>el señor García Lucero y sus familiares.</w:t>
        <w:br/>
        <w:br/>
        <w:t>[144] Cfr. Caso Pueblo Indígena Kichwa de  Sarayaku  Vs.  Ecuador.  Fondo  y</w:t>
        <w:br/>
        <w:t>Reparaciones. Sentencia de 27 de junio de 2012. Serie C No. 245, párr. 230.</w:t>
        <w:br/>
        <w:br/>
        <w:t>[145] Además, la Corte toma nota que el testigo José Antonio Ricardi  Romero</w:t>
        <w:br/>
        <w:t>manifestó que “la Corporación de Asistencia Judicial es un ente  ampliamente</w:t>
        <w:br/>
        <w:t>calificado para realizar […] representaciones  judiciales”,  y  que  es  “la</w:t>
        <w:br/>
        <w:t>institución indicada para asumir la representación de las  personas  que  no</w:t>
        <w:br/>
        <w:t>tienen recursos económicos para procurarse una  defensa  paga  o  asumir  la</w:t>
        <w:br/>
        <w:t>defensa  de  casos  como  el  del  [señor]   García   Lucero”   (Declaración</w:t>
        <w:br/>
        <w:t>testimonial de  José  Antonio  Ricardi  Romero  rendida  mediante  affidávit</w:t>
        <w:br/>
        <w:t>(Expediente de Fondo, Tomo II, fs. 820 a 825).</w:t>
        <w:br/>
        <w:br/>
        <w:t>[146] Declaración testimonial de Claudio  Valdivia  Rivas  rendida  mediante</w:t>
        <w:br/>
        <w:t>affidávit (Expediente de Fondo, Tomo II, fs. 558 a 565).</w:t>
        <w:br/>
        <w:br/>
        <w:t>[147] Correo electrónico de 7 de febrero de 2012 dirigido por  Jorge  Castro</w:t>
        <w:br/>
        <w:t>Pereira a “Sandoval Villalba, Clara-Lucia” (Expediente de anexos al  escrito</w:t>
        <w:br/>
        <w:t>de contestación, f. 2693).</w:t>
        <w:br/>
        <w:br/>
        <w:t>[148] Correo electrónico de 25 de enero de 2012 enviado  por  “José  Antonio</w:t>
        <w:br/>
        <w:t>Ricardi R.” a “Sandoval Villalba,  Clara-Lucia”  (Expediente  de  anexos  al</w:t>
        <w:br/>
        <w:t>escrito de contestación, f. 2701).</w:t>
        <w:br/>
        <w:br/>
        <w:t>[149] Esto surge, además, de la prueba documental presentada por el  Estado:</w:t>
        <w:br/>
        <w:t>en el correo electrónico de 30 de  marzo  de  2012  enviado  por  “Sandoval-</w:t>
        <w:br/>
        <w:t>Villalba, Clara”, representante del señor García Lucero,  a  un  funcionario</w:t>
        <w:br/>
        <w:t>estatal, ella indicó, además de la negativa de “[el señor] Leopoldo  [García</w:t>
        <w:br/>
        <w:t>Lucero] y su familia” a “querellar[se]” en la causa (supra párr.  90),  que,</w:t>
        <w:br/>
        <w:t>[s]in embargo, [el señor]  Leopoldo  [García  Lucero]  y  su  familia  están</w:t>
        <w:br/>
        <w:t>dispuestos a colaborar  con  autoridades  judiciales  en  Chile  facilitando</w:t>
        <w:br/>
        <w:t>información no disponible para éstas (por ejemplo rindiendo su  testimonio),</w:t>
        <w:br/>
        <w:t>siempre que dicho requerimiento sea necesario y evite  su  re-victimización”</w:t>
        <w:br/>
        <w:t>(Correo electrónico de 30 de marzo de 2012 dirigido por  “Sandoval-Villalba,</w:t>
        <w:br/>
        <w:t>Clara”  a  Jorge  Castro  Pereira.  Expediente  de  anexos  al  escrito   de</w:t>
        <w:br/>
        <w:t>contestación, f. 2688).</w:t>
        <w:br/>
        <w:br/>
        <w:t>[150] La Corte advierte que “en la investigación  de  actos  de  tortura  es</w:t>
        <w:br/>
        <w:t>importante que  las  autoridades  competentes  tomen  en  consideración  las</w:t>
        <w:br/>
        <w:t>normas internacionales de documentación e interpretación  de  los  elementos</w:t>
        <w:br/>
        <w:t>de  prueba  forense  respecto  de  la  comisión  de  actos  de   tortura   y</w:t>
        <w:br/>
        <w:t>particularmente  las  definidas  en  el  “Manual  para  la  investigación  y</w:t>
        <w:br/>
        <w:t>documentación eficaces de  la  tortura  y  otros  tratos  o  penas  crueles,</w:t>
        <w:br/>
        <w:t>inhumanos o degradantes” [(Naciones Unidas,  Oficina  del  Alto  Comisionado</w:t>
        <w:br/>
        <w:t>para  los  Derechos  Humanos,  Protocolo  de  Estambul   (Manual   para   la</w:t>
        <w:br/>
        <w:t>investigación y documentación eficaces de la tortura y otros tratos o  penas</w:t>
        <w:br/>
        <w:t>crueles, inhumanos o  degradantes),  Nueva  York  y  Ginebra,  2001)].  Caso</w:t>
        <w:br/>
        <w:t>Fleury y otros Vs. Haití,  supra,  párr.  121.  Dentro  de  las  actuaciones</w:t>
        <w:br/>
        <w:t>previstas en dicho protocolo se encuentra “obtener  tanta  información  como</w:t>
        <w:br/>
        <w:t>sea posible del testimonio de la presunta víctima”, mediante la  declaración</w:t>
        <w:br/>
        <w:t>respectiva. Asimismo, como ha hecho notar el Comité  contra  la  Tortura  de</w:t>
        <w:br/>
        <w:t>Naciones Unidas, “[l]a investigación debe incluir  como  práctica  corriente</w:t>
        <w:br/>
        <w:t>un examen forense físico y  psicológico,  conforme  a  lo  dispuesto  en  el</w:t>
        <w:br/>
        <w:t>Protocolo de Estambul” (Comité contra la Tortura. Observación General  Nº  3</w:t>
        <w:br/>
        <w:t>(2012). Aplicación del artículo 14 por los Estados partes. Doc.  CAT/C/GC/3.</w:t>
        <w:br/>
        <w:t>Distr. General 13 de diciembre de 2012, párr. 25).</w:t>
        <w:br/>
        <w:br/>
        <w:t>[151] Cfr. en el  mismo  sentido,  Caso  Gudiel  Álvarez  y  otros  ("Diario</w:t>
        <w:br/>
        <w:t>Militar") Vs. Guatemala.  Fondo  Reparaciones  y  Costas.  Sentencia  de  20</w:t>
        <w:br/>
        <w:t>noviembre de 2012. Serie C No. 253, párr. 281.</w:t>
        <w:br/>
        <w:br/>
        <w:t>[152] Aclararon que la Comisión Interamericana no se refirió a  esta  norma,</w:t>
        <w:br/>
        <w:t>pero que las representantes presentaron este argumento  durante  el  trámite</w:t>
        <w:br/>
        <w:t>ante ésta, con motivo de la audiencia  de  27  de  octubre  de  2008  y  con</w:t>
        <w:br/>
        <w:t>anterioridad a dicha oportunidad cuando se solicitó la  reunión  de  trabajo</w:t>
        <w:br/>
        <w:t>en 2007”.</w:t>
        <w:br/>
        <w:br/>
        <w:t>[153] Al respecto, las representantes indicaron que el artículo 103</w:t>
        <w:br/>
        <w:t>estipula que “si el inculpado se presentare o fuere habido antes de</w:t>
        <w:br/>
        <w:t>completar el tiempo de la prescripción de la acción penal o de la pena,</w:t>
        <w:br/>
        <w:t>pero habiendo ya transcurrido la mitad del que se exige, en sus respectivos</w:t>
        <w:br/>
        <w:t>casos, para tales prescripciones, deberá el Tribunal considerar el hecho</w:t>
        <w:br/>
        <w:t>como revestido de dos o más circunstancias atenuantes muy calificadas y de</w:t>
        <w:br/>
        <w:t>ninguna agravante y aplicar las reglas de los artículos 65, 66, 67 y 68 sea</w:t>
        <w:br/>
        <w:t>en la imposición de la pena, sea para disminuir la ya impuesta”. Dicha</w:t>
        <w:br/>
        <w:t>regla “no se aplica a las prescripciones de las faltas y especiales de</w:t>
        <w:br/>
        <w:t>corto tiempo”. Refirieron que la Corte Suprema de Justicia de Chile</w:t>
        <w:br/>
        <w:t>confirmó la aplicación de esta figura en un caso sobre tormentos. Además</w:t>
        <w:br/>
        <w:t>ilustraron su argumento con referencias a sentencias de la Corte Suprema de</w:t>
        <w:br/>
        <w:t>Justicia chilena que, según expresaron, derivaron en la aplicación de penas</w:t>
        <w:br/>
        <w:t>no proporcionales con la gravedad de los delitos cometidos, al aplicar la</w:t>
        <w:br/>
        <w:t>“media prescripción” a condenas de perpetradores de crímenes de lesa</w:t>
        <w:br/>
        <w:t>humanidad.</w:t>
        <w:br/>
        <w:br/>
        <w:t>[154] Cfr. Caso Goiburú y otros Vs. Paraguay, supra, párrs 84, 128 y 131,  y</w:t>
        <w:br/>
        <w:t>Caso García y  Familiares  vs.  Guatemala.  Fondo,  Reparaciones  y  Costas.</w:t>
        <w:br/>
        <w:t>Sentencia de 29 de noviembre de 2012. Serie C No. 258, párr. 131.</w:t>
        <w:br/>
        <w:br/>
        <w:t>[155] Cfr. Caso Contreras y otros Vs. El  Salvador.  Fondo,  Reparaciones  y</w:t>
        <w:br/>
        <w:t>Costas. Sentencia de 31 de agosto de 2011 Serie C No. 232, párr. 128,  párr.</w:t>
        <w:br/>
        <w:t>127, y Caso Gudiel Álvarez (Diario  Militar)  Vs.  Guatemala,  supra,  párr.</w:t>
        <w:br/>
        <w:t>230.</w:t>
        <w:br/>
        <w:br/>
        <w:t>[156] Cfr. Caso Genie Lacayo Vs. Nicaragua, supra, párr. 51, y Caso  Mendoza</w:t>
        <w:br/>
        <w:t>y otros Vs, Argentina, supra, párr. 323.</w:t>
        <w:br/>
        <w:br/>
        <w:t>[157] Caso Almonacid Arellano y otros Vs.  Chile,  supra,  punto  resolutivo</w:t>
        <w:br/>
        <w:t>tercero.</w:t>
        <w:br/>
        <w:br/>
        <w:t>[158] Caso Almonacid Arellano y otros Vs. Chile, supra, párr. 145.</w:t>
        <w:br/>
        <w:br/>
        <w:t>[159] Caso Almonacid Arellano y otros Vs. Chile, supra, párr. 116.</w:t>
        <w:br/>
        <w:br/>
        <w:t>[160] De acuerdo con la Resolución respectiva, emitida en noviembre de  2010</w:t>
        <w:br/>
        <w:t>(Cfr.  Caso  Almonacid  Arellano  y  otros   Vs.   Chile.   Supervisión   de</w:t>
        <w:br/>
        <w:t>Cumplimiento de Sentencia. Resolución de la Corte 18 de noviembre  de  2010,</w:t>
        <w:br/>
        <w:t>párrafo declarativo segundo.</w:t>
        <w:br/>
        <w:br/>
        <w:t>[161] Cfr. en sentido similar, Caso Barrios Altos Vs.  Perú.  Interpretación</w:t>
        <w:br/>
        <w:t>de la Sentencia de Fondo. Sentencia de 3 de septiembre de 2001. Serie C  No.</w:t>
        <w:br/>
        <w:t>83, párr. 18, y Caso Vélez Loor Vs. Panamá, supra, párr. 244.</w:t>
        <w:br/>
        <w:br/>
        <w:t>[162]       Caso Almonacid Arellano y otros Vs. Chile, supra, párrs.  110  y</w:t>
        <w:br/>
        <w:t>111.</w:t>
        <w:br/>
        <w:br/>
        <w:t>[163] Caso Almonacid Arellano y otros Vs. Chile, supra, párr. 112. Ver</w:t>
        <w:br/>
        <w:t>también Caso Barrios Altos Vs. Perú. Fondo, supra, párr. 41.</w:t>
        <w:br/>
        <w:br/>
        <w:t>[164] Caso Almonacid Arellano y otros  Vs.  Chile,  supra,  párrs.  82.20  y</w:t>
        <w:br/>
        <w:t>82.21.</w:t>
        <w:br/>
        <w:br/>
        <w:t>[165] Caso Almonacid Arellano y otros Vs. Chile, supra, párrs. 82.25.</w:t>
        <w:br/>
        <w:br/>
        <w:t>[166] Caso Almonacid Arellano y otros Vs. Chile, supra, párr. 119.</w:t>
        <w:br/>
        <w:br/>
        <w:t>[167]  El  texto  dice  “son  secretos   los   documentos,   testimonios   y</w:t>
        <w:br/>
        <w:t>antecedentes aportados por las víctimas  ante  la  Comisión  Nacional  sobre</w:t>
        <w:br/>
        <w:t>Prisión Política y Tortura […]. El  secreto  […]  se  mantendrá  durante  el</w:t>
        <w:br/>
        <w:t>plazo de 50 años […]. Mientras rija el secreto previsto  en  este  artículo,</w:t>
        <w:br/>
        <w:t>ninguna persona, grupos de personas, autoridad o magistratura tendrá  acceso</w:t>
        <w:br/>
        <w:t>a lo señalado en el inciso primero  de  este  artículo,  sin  perjuicio  del</w:t>
        <w:br/>
        <w:t>derecho personal que asiste a los titulares  de  los  documentos,  informes,</w:t>
        <w:br/>
        <w:t>declaraciones y testimonios incluidos en ellos,  para  darlos  a  conocer  o</w:t>
        <w:br/>
        <w:t>proporcionarlos a terceros por voluntad propia”.</w:t>
        <w:br/>
        <w:br/>
        <w:t>[168] Cfr. Caso Genie Lacayo vs. Nicaragua. Excepciones Preliminares,</w:t>
        <w:br/>
        <w:t>supra, párr. 50, y Caso Cabrera y Montiel Vs. México, supra, párr. 207.</w:t>
        <w:br/>
        <w:br/>
        <w:t>[169] La Corte observa que la perita Cath  Collins  ha  señalado  que  “[l]a</w:t>
        <w:br/>
        <w:t>reducción de penas por la concesión de la prescripción gradual  es  […]  una</w:t>
        <w:br/>
        <w:t>de las principales explicaciones para el hecho de que solamente  un  30%  de</w:t>
        <w:br/>
        <w:t>los  condenados  por  violaciones  a  los  derechos  humanos  en  Chile   va</w:t>
        <w:br/>
        <w:t>finalmente a la cárcel, ya que la mayoría del  70%  restante  ha  visto  sus</w:t>
        <w:br/>
        <w:t>penas iniciales reducidas de este  modo.  Ha  sido  aplicado  en  todos  los</w:t>
        <w:br/>
        <w:t>(hasta  ahora  pocos)  fallos  finales   por   torturas   hasta   la   fecha</w:t>
        <w:br/>
        <w:t>conocid[o]s.” También expresó la perita que “[h]ay señales  de  que  algunos</w:t>
        <w:br/>
        <w:t>abogados del Estado y algunos ministros de salas inferiores comparten  [las]</w:t>
        <w:br/>
        <w:t>preocupaciones [sobre aplicar penas proporcionales  a  la  gravedad  de  los</w:t>
        <w:br/>
        <w:t>crímenes]. En agosto de 2011 la  Corte  de  Apelaciones  de  San  Miguel  se</w:t>
        <w:br/>
        <w:t>pronunció explícitamente en contra  de  la  aplicación  de  la  prescripción</w:t>
        <w:br/>
        <w:t>gradual a crímenes de lesa humanidad[. …] Sin embargo,  dad[a]  la  ausencia</w:t>
        <w:br/>
        <w:t>de la obligatoriedad del  precedente  como  referente  jurisprudencial,  las</w:t>
        <w:br/>
        <w:t>diferencias de opinión al respecto […] dan origen a una situación  inestable</w:t>
        <w:br/>
        <w:t>y poco consistente.” (Declaración pericial de Cath Collins rendida  mediante</w:t>
        <w:br/>
        <w:t>affidávit, Expediente de Fondo, Tomo II, fs. 546 y 547). Al  respecto,  esta</w:t>
        <w:br/>
        <w:t>Corte nota que dichas consideraciones coadyuvan a la conclusión  de  que  es</w:t>
        <w:br/>
        <w:t>incierto lo que  podría  ocurrir  respecto  a  la  imposición  de  penas  en</w:t>
        <w:br/>
        <w:t>relación con la investigación en curso sobre los hechos relativos  al  señor</w:t>
        <w:br/>
        <w:t>García Lucero.</w:t>
        <w:br/>
        <w:br/>
        <w:t>[170] Advirtieron que el  señor  García  Lucero  recibió  un  bono  por  ser</w:t>
        <w:br/>
        <w:t>víctima de tortura, en función de la Ley No. 19.992, y también, con base  en</w:t>
        <w:br/>
        <w:t>otras normas, una pensión como “exonerado político” y un bono por  el  mismo</w:t>
        <w:br/>
        <w:t>carácter. Al respecto, consideraron que “[l]a  falta  de  debida  diligencia</w:t>
        <w:br/>
        <w:t>por parte de  Chile  con  víctimas  sobrevivientes  de  tortura  que  fueron</w:t>
        <w:br/>
        <w:t>prisioneros políticos es evidente. Así, solo hasta el año 2004, […]  catorce</w:t>
        <w:br/>
        <w:t>años después del retorno a la  democracia  […]  hubo  en  Chile  un  recurso</w:t>
        <w:br/>
        <w:t>administrativo para obtener alguna forma de reparación”. Explicaron  que  la</w:t>
        <w:br/>
        <w:t>Ley No. 19.992 contemplaba, además del bono recibido  por  el  señor  García</w:t>
        <w:br/>
        <w:t>Lucero, también la posibilidad del pago de una pensión, pero para  que  ello</w:t>
        <w:br/>
        <w:t>fuera  efectivo  el  señor  García  Lucero  tenía  que  renunciar  a   otros</w:t>
        <w:br/>
        <w:t>beneficios dados por otra ley a “exonerados políticos”, cosa que  eligió  no</w:t>
        <w:br/>
        <w:t>hacer. De este modo, como ocurrió en el caso del señor García Lucero,  “[s]i</w:t>
        <w:br/>
        <w:t>la  persona  optaba  por  ser  considerada  como  [“]exonerado   político[”]</w:t>
        <w:br/>
        <w:t>(mantener su pensión mensual) […] solo tendría  derecho,  de  acuerdo  a  lo</w:t>
        <w:br/>
        <w:t>estipulado por el [a]rtículo 2 de la Ley [No.] 19.992, a un  único  pago  de</w:t>
        <w:br/>
        <w:t>un bono por 3.000.000 [de] pesos chilenos, equivalentes a […]  5.847,93  USD</w:t>
        <w:br/>
        <w:t>a 17 de diciembre de 2004”. En cuanto  a  la  pensión  por  el  carácter  de</w:t>
        <w:br/>
        <w:t>“exonerado político”, afirmaron  que  “el  valor  de  dicha  pensión  no  es</w:t>
        <w:br/>
        <w:t>adecuado para reparar el daño pecuniario que se le causó por la  pérdida  de</w:t>
        <w:br/>
        <w:t>su empleo”. Por otra parte, la pensión y el bono que recibe como  “exonerado</w:t>
        <w:br/>
        <w:t>político” “no son adecuados para reparar el daño pecuniario  que  se  le  ha</w:t>
        <w:br/>
        <w:t>causado” por la denegación de justicia. Además, de ser cobradas en Chile  el</w:t>
        <w:br/>
        <w:t>señor García Lucero debería pagar el costo de la transacción y el cambio  de</w:t>
        <w:br/>
        <w:t>divisa, dejando en un valor irrisorio  el  monto  mensual  de  pensión.  Las</w:t>
        <w:br/>
        <w:t>representantes expusieron que la esposa del señor García Lucero y  sus  tres</w:t>
        <w:br/>
        <w:t>hijas  han  sido  a  su  vez  también  víctimas  “debido  al  daño  moral  y</w:t>
        <w:br/>
        <w:t>patrimonial causado a ellas como resultado de la tortura de su  padre  y  de</w:t>
        <w:br/>
        <w:t>la posterior denegación de justicia”, por tanto, todas ellas tienen  derecho</w:t>
        <w:br/>
        <w:t>a una reparación integral. No obstante, no han recibido reparación alguna.</w:t>
        <w:br/>
        <w:br/>
        <w:t>[171] Por otra parte, la Corte nota que los propios  representantes  en  sus</w:t>
        <w:br/>
        <w:t>alegatos finales escritos refirieron una sentencia de la  Corte  Suprema  en</w:t>
        <w:br/>
        <w:t>que se indicó que el plazo de  prescripción  debía  contarse  desde  que  se</w:t>
        <w:br/>
        <w:t>tuviera certeza del acto ilícito. No obstante, se  trata  de  una  sentencia</w:t>
        <w:br/>
        <w:t>reciente, de 21 de enero de 2013, y además la información allegada  por  los</w:t>
        <w:br/>
        <w:t>representantes no indica la existencia de otras decisiones  análogas  de  la</w:t>
        <w:br/>
        <w:t>Corte  Suprema.  Los  representantes  vincularon  esta   decisión   con   la</w:t>
        <w:br/>
        <w:t>“supo[sición]”  de  que,  luego  de  emitida  esa  Sentencia,  “esta   línea</w:t>
        <w:br/>
        <w:t>jurisprudencial se va[ya] a mantener en las próximas  defensas  del  Fisco”.</w:t>
        <w:br/>
        <w:t>Es decir, no la relacionaron con las alegadas  violaciones  a  derechos  que</w:t>
        <w:br/>
        <w:t>habrían acaecido antes del dictado de la sentencia referida.</w:t>
        <w:br/>
        <w:br/>
        <w:t>[172] El Estado hizo referencia a “El derecho de restitución,  indemnización</w:t>
        <w:br/>
        <w:t>y rehabilitación de las víctimas  de  violaciones  graves  de  los  derechos</w:t>
        <w:br/>
        <w:t>humanos y libertades fundamentales’, Informe  final  del  Relator  Especial,</w:t>
        <w:br/>
        <w:t>[señor] M. Cherif Bassiouni, presentado en virtud de la  resolución  1999/33</w:t>
        <w:br/>
        <w:t>de la Comisión de Derechos Humanos de Naciones Unidas, de  18  de  enero  de</w:t>
        <w:br/>
        <w:t>2000”.</w:t>
        <w:br/>
        <w:br/>
        <w:t>[173] Caso Almonacid Arellano y otros Vs. Chile, supra, párr. 161.</w:t>
        <w:br/>
        <w:br/>
        <w:t>[174] Al respecto, indicó que “a[l 21 de abril de  2013,  él]  ha  recibido:</w:t>
        <w:br/>
        <w:t>[…] USD 39.574,5 […], equivalentes al pago entre 1998 a [esa]  fecha  de  la</w:t>
        <w:br/>
        <w:t>pensión como [“]exonerado político[”;] USD […] 5.059,9  […]  correspondiente</w:t>
        <w:br/>
        <w:t>a los bono[s]  extraordinarios  contemplados  en  las  leyes  […]  20.134  y</w:t>
        <w:br/>
        <w:t>20.403[, y] USD […] 6.315,7[…] correspondiente al  bono  establecido  en  la</w:t>
        <w:br/>
        <w:t>[l]ey […] 19.992 como víctima de tortura. Lo anterior  permite  afirmar  que</w:t>
        <w:br/>
        <w:t>el señor García Lucero ha recibido por concepto de pensiones  de  reparación</w:t>
        <w:br/>
        <w:t>[…] aproximadamente […] USD […] 50.950,1. El monto anual de la  pensión  que</w:t>
        <w:br/>
        <w:t>recibe […] es de […] USD […]  3.658,6,  reajustable  según  el  [í]ndice  de</w:t>
        <w:br/>
        <w:t>[p]recios al [c]onsumidor de Chile, y que […] se le continuará entregando  a</w:t>
        <w:br/>
        <w:t>él hasta su fallecimiento y que luego se transmitirá a su viuda”.</w:t>
        <w:br/>
        <w:t>[175] Mencionó, al respecto “[e]n específico” el artículo 63 de la</w:t>
        <w:br/>
        <w:t>Convención.</w:t>
        <w:br/>
        <w:br/>
        <w:t>[176]  En efecto, uno de los principios del Derecho Internacional prescribe</w:t>
        <w:br/>
        <w:t>que el Estado debe reparar adecuadamente el daño causado por la violación</w:t>
        <w:br/>
        <w:t>de sus obligaciones internacionales.  En tanto constituyen normas</w:t>
        <w:br/>
        <w:t>vinculantes para los Estados, es aplicable el principio señalado en</w:t>
        <w:br/>
        <w:t>relación con instrumentos internacionales obligatorios de protección de los</w:t>
        <w:br/>
        <w:t>derechos humanos pertenecientes al Sistema Interamericano. Cfr. Velásquez</w:t>
        <w:br/>
        <w:t>Rodríguez Vs. Honduras. Reparaciones y Costas. Sentencia de 21 de julio de</w:t>
        <w:br/>
        <w:t>1989. Serie C No. 07, párr. 25; Caso de la “Panel Blanca” (Paniagua Morales</w:t>
        <w:br/>
        <w:t>y otros) Vs. Guatemala. Reparaciones y Costas. Sentencia de 25 mayo de</w:t>
        <w:br/>
        <w:t>2001. Serie C No. 76 párr. 78. Allí se citó “CPJI, Factory at Chorzow</w:t>
        <w:br/>
        <w:t>(Méritos), 1928, (Ser. A) No. 17, Sentencia No.13, 13 Septiembre de 1928,</w:t>
        <w:br/>
        <w:t>para. 29”. Dicha decisión establece que siempre que se viole, ya sea por</w:t>
        <w:br/>
        <w:t>acción o por omisión, un deber establecido en cualquier regla de derecho</w:t>
        <w:br/>
        <w:t>internacional, automáticamente surge una relación jurídica nueva. Esta</w:t>
        <w:br/>
        <w:t>relación se establece entre el sujeto al cual el acto es imputable, que</w:t>
        <w:br/>
        <w:t>debe “responder” mediante una reparación adecuada, y el sujeto que tiene</w:t>
        <w:br/>
        <w:t>derecho de reclamar la reparación por el incumplimiento de la obligación.</w:t>
        <w:br/>
        <w:t>En este sentido, la Corte Permanente Internacional de Justicia señaló, en</w:t>
        <w:br/>
        <w:t>el párrafo 73 de la mencionada decisión, que es un principio general del</w:t>
        <w:br/>
        <w:t>derecho, así como del derecho internacional, que la transgresión de un</w:t>
        <w:br/>
        <w:t>deber internacional por parte de un Estado crea automáticamente la</w:t>
        <w:br/>
        <w:t>obligación de este de prestar la adecuada reparación incluso cuando esto no</w:t>
        <w:br/>
        <w:t>está mencionado específicamente en la Convención o el Tratado (“[I]t is a</w:t>
        <w:br/>
        <w:t>principle of international law, and even a general conception of law, that</w:t>
        <w:br/>
        <w:t>any breach of an engagement involves an obligation to make reparation. […]</w:t>
        <w:br/>
        <w:t>Reparation is the indispensable complement of a failure to apply a</w:t>
        <w:br/>
        <w:t>convention, and there is no necessity for this to be stated in the</w:t>
        <w:br/>
        <w:t>convention itself”). Por otra parte, la obligación estatal de procurar la</w:t>
        <w:br/>
        <w:t>reparación de transgresiones a los derechos plasmados en instrumentos</w:t>
        <w:br/>
        <w:t>internacionales americanos vinculantes se evidencia dado el principio de</w:t>
        <w:br/>
        <w:t>“complementariedad” en que se asienta el sistema de protección estatuido en</w:t>
        <w:br/>
        <w:t>el marco de la Organización de Estados Americanos. Sobre este aspecto la</w:t>
        <w:br/>
        <w:t>Corte ha dicho que “la responsabilidad estatal bajo la Convención sólo</w:t>
        <w:br/>
        <w:t>puede ser exigida a nivel internacional después de que el Estado haya</w:t>
        <w:br/>
        <w:t>tenido la oportunidad de declarar la violación y reparar el daño ocasionado</w:t>
        <w:br/>
        <w:t>por sus propios medios. Esto se asienta en el principio de</w:t>
        <w:br/>
        <w:t>complementariedad (subsidiariedad), que informa transversalmente el Sistema</w:t>
        <w:br/>
        <w:t>Interamericano de Derechos Humanos, el cual es, tal como lo expresa el</w:t>
        <w:br/>
        <w:t>Preámbulo de la misma Convención Americana, ‘coadyuvante o complementario</w:t>
        <w:br/>
        <w:t>de la [protección] que ofrece el derecho interno de los Estados</w:t>
        <w:br/>
        <w:t>americanos’. De tal manera, el Estado ‘es el principal garante de los</w:t>
        <w:br/>
        <w:t>derechos humanos de la personas, de manera que, si se produce un acto</w:t>
        <w:br/>
        <w:t>violatorio de dichos derechos, es el propio Estado quien tiene el deber de</w:t>
        <w:br/>
        <w:t>resolver el asunto a nivel interno y […] reparar, antes de tener que</w:t>
        <w:br/>
        <w:t>responder ante instancias internacionales como el Sistema Interamericano,</w:t>
        <w:br/>
        <w:t>lo cual deriva del carácter subsidiario que reviste el proceso</w:t>
        <w:br/>
        <w:t>internacional frente a los sistemas nacionales de garantías de los derechos</w:t>
        <w:br/>
        <w:t>humanos’”. (Caso Masacre de Santo Domingo Vs. Colombia, supra, párr. 142.</w:t>
        <w:br/>
        <w:t>El texto entrecomillado al final del párrafo transcrito corresponde a la</w:t>
        <w:br/>
        <w:t>siguiente decisión del Tribunal: Caso Acevedo Jaramillo y otros Vs. Perú.</w:t>
        <w:br/>
        <w:t>Interpretación de la Sentencia de Excepciones Preliminares, Fondo,</w:t>
        <w:br/>
        <w:t>Reparaciones y Costas. Sentencia de 24 de noviembre de 2006. Serie C No.</w:t>
        <w:br/>
        <w:t>157, párr. 66.</w:t>
        <w:br/>
        <w:br/>
        <w:t>[177] De acuerdo a la Comisión Internacional de Juristas, “[e]l acceso a  la</w:t>
        <w:br/>
        <w:t>justicia requiere de la disponibilidad  de  recursos  efectivos.  Todas  las</w:t>
        <w:br/>
        <w:t>personas tienen derecho a una reparación efectiva por la  violación  de  sus</w:t>
        <w:br/>
        <w:t>derechos civiles,  culturales,  económicos,  políticos  y  sociales  [...].”</w:t>
        <w:br/>
        <w:t>(“Access to justice requires the availability  of  effective  remedies.  All</w:t>
        <w:br/>
        <w:t>persons have a right to an effective  remedy  for  any  violation  of  their</w:t>
        <w:br/>
        <w:t>civil, cultural, economic, political, and  social  rights.[…]”.  Declaración</w:t>
        <w:br/>
        <w:t>de la Comisión Internacional de Juristas sobre el Acceso a la Justicia y  el</w:t>
        <w:br/>
        <w:t>derecho a interponer recursos en los sistemas  internacionales  de  derechos</w:t>
        <w:br/>
        <w:t>humanos. Adoptada en Ginebra, el 12 de diciembre de 2012, Artículo 5).</w:t>
        <w:br/>
        <w:br/>
        <w:t>[178] La necesidad de que los  recursos  de  la  jurisdicción  interna  sean</w:t>
        <w:br/>
        <w:t>aptos para que las víctimas de violaciones a derechos  humanos  reclamen  su</w:t>
        <w:br/>
        <w:t>reparación se infiere del principio de complementariedad propio del  Sistema</w:t>
        <w:br/>
        <w:t>Interamericano antes  expuesto  (supra  nota  pie  de  página  175):  si  no</w:t>
        <w:br/>
        <w:t>existiere el “debido proceso legal” para ello, de  conformidad  al  artículo</w:t>
        <w:br/>
        <w:t>46.2.a) de la Convención, las víctimas (u otras personas o entidades  en  su</w:t>
        <w:br/>
        <w:t>nombre)  podrían,  dada  la  ausencia  de  reparación,  acudir  al   Sistema</w:t>
        <w:br/>
        <w:t>Interamericano en forma directa; es decir, sin necesidad de agotar  recursos</w:t>
        <w:br/>
        <w:t>de la jurisdicción interna.  Por  el  contrario,  si  los  órganos  internos</w:t>
        <w:br/>
        <w:t>competentes, en aplicación de  los  procesos  legales  debidos,  declaran  y</w:t>
        <w:br/>
        <w:t>reparan  adecuadamente  una  vulneración  a  derechos,  no   procedería   la</w:t>
        <w:br/>
        <w:t>actuación de las  instancias  internacionales  previstas  en  la  Convención</w:t>
        <w:br/>
        <w:t>(Cfr. Caso Masacre de Santo Domingo Vs. Colombia. Excepciones  Preliminares,</w:t>
        <w:br/>
        <w:t>Fondo y Reparaciones. Sentencia de 30 de noviembre  de  2012.  Serie  C  No.</w:t>
        <w:br/>
        <w:t>259, párr. 171).</w:t>
        <w:br/>
        <w:br/>
        <w:t>[179] Cfr. Caso Velásquez Rodríguez Vs. Honduras. Excepciones  Preliminares,</w:t>
        <w:br/>
        <w:t>supra, párr. 91, y Caso Masacre de Santo Domingo Vs. Colombia, supra,  párr.</w:t>
        <w:br/>
        <w:t>155.</w:t>
        <w:br/>
        <w:br/>
        <w:t>[180] Cfr. Caso Velásquez Rodríguez Vs. Honduras. Fondo, supra,  párrs.  63,</w:t>
        <w:br/>
        <w:t>64 y 66, y Caso García y Familiares Vs. Guatemala, supra, párr. 142.</w:t>
        <w:br/>
        <w:br/>
        <w:t>[181] Caso Goiburú y otros Vs. Paraguay, supra, párr. 120.   Debe  aclararse</w:t>
        <w:br/>
        <w:t>que en  ese  caso  particular,  que  versaba  sobre  graves  violaciones  de</w:t>
        <w:br/>
        <w:t>derechos  humanos,   el   Tribunal   determinó   que   “la   responsabilidad</w:t>
        <w:br/>
        <w:t>internacional del Estado se configura de manera  agravada”,  afirmó  que  el</w:t>
        <w:br/>
        <w:t>deber de reparar no “debe depender exclusivamente de la  actividad  procesal</w:t>
        <w:br/>
        <w:t>de las víctimas”,  y  que  “la  responsabilidad  del  Estado  por  no  haber</w:t>
        <w:br/>
        <w:t>reparado las consecuencias de  las  violaciones  en  este  caso,  no  se  ve</w:t>
        <w:br/>
        <w:t>anulada o disminuida por el hecho de que los familiares de las  víctimas  no</w:t>
        <w:br/>
        <w:t>hayan intentado utilizar  [ciertas]  vías  civiles  o  administrativas”  que</w:t>
        <w:br/>
        <w:t>habían sido  indicadas  por  el  Estado  (Cfr.  Caso  Goiburú  y  otros  Vs.</w:t>
        <w:br/>
        <w:t>Paraguay, supra, párrs. 94 y 122). En un sentido similar, antes el  Tribunal</w:t>
        <w:br/>
        <w:t>había ya  tenido  oportunidad  de  pronunciarse  sobre  el  vínculo  de  los</w:t>
        <w:br/>
        <w:t>derechos previstos en los artículos 8 y 25 de la Convención con el acceso  a</w:t>
        <w:br/>
        <w:t>medidas de reparación (Cfr. Caso de  los  “Niños  de  la  Calle”  (Villagrán</w:t>
        <w:br/>
        <w:t>Morales y otros) Vs. Guatemala. Fondo,  supra,  párr.  227;  Caso  Durand  y</w:t>
        <w:br/>
        <w:t>Ugarte Vs. Perú. Fondo. Sentencia de 16 de agosto de 2000. Serie C  No.  68,</w:t>
        <w:br/>
        <w:t>párr. 130; Caso  Las  Palmeras  Vs.  Colombia.  Fondo.  Sentencia  de  6  de</w:t>
        <w:br/>
        <w:t>diciembre de 2001. Serie C No.  90,  párr.  59;  Caso  19  Comerciantes  Vs.</w:t>
        <w:br/>
        <w:t>Colombia. Fondo, Reparaciones y Costas. Sentencia de 5  de  julio  de  2004.</w:t>
        <w:br/>
        <w:t>Serie C No. 109, párrs. 186 y 187; Caso de las Hermanas Serrano Cruz Vs.  El</w:t>
        <w:br/>
        <w:t>Salvador. Fondo, Reparaciones y Costas, supra, párrs. 63 y 64, y Caso de  la</w:t>
        <w:br/>
        <w:t>Comunidad   Moiwana   Vs.   Suriname.   Excepciones   Preliminares,   Fondo,</w:t>
        <w:br/>
        <w:t>Reparaciones y Costas. Sentencia 15 de junio  de  2005.  Serie  C  No.  124,</w:t>
        <w:br/>
        <w:t>párr. 147).</w:t>
        <w:br/>
        <w:br/>
        <w:t>[182] El Tribunal ha  hecho  referencia,  entre  los  actos  que  configuran</w:t>
        <w:br/>
        <w:t>“violaciones graves de los derechos humanos [a] la tortura, las  ejecuciones</w:t>
        <w:br/>
        <w:t>sumarias, extralegales o arbitrarias y las  desapariciones  forzadas,  todas</w:t>
        <w:br/>
        <w:t>ellas prohibidas por contravenir derechos inderogables  reconocidos  por  el</w:t>
        <w:br/>
        <w:t>Derecho Internacional de los Derechos  Humanos”  (Cfr.  Caso  Gomes  Lund  y</w:t>
        <w:br/>
        <w:t>otros (Guerrilha do Araguaia) Vs. Brasil. Excepciones  Preliminares,  Fondo,</w:t>
        <w:br/>
        <w:t>Reparaciones y Costas. Sentencia de 24 de noviembre de  2010.  Serie  C  No.</w:t>
        <w:br/>
        <w:t>219, párr. 171). En forma concordante se  ha  expresado  en  las  siguientes</w:t>
        <w:br/>
        <w:t>decisiones:  Caso  Ibsen  Cárdenas  e  Ibsen  Peña   Vs.   Bolivia.   Fondo,</w:t>
        <w:br/>
        <w:t>Reparaciones y Costas. Sentencia de 1 de septiembre de  2010.  Serie  C  No.</w:t>
        <w:br/>
        <w:t>217, párrs. 207 y 208;  Caso  Gelman  Vs.  Uruguay.  Fondo  y  Reparaciones.</w:t>
        <w:br/>
        <w:t>Sentencia de 24 de febrero de 2011. Serie C No. 221, párr.  225;  Caso  Vera</w:t>
        <w:br/>
        <w:t>Vera y  otra  Vs.  Ecuador.  Excepción  Preliminar,  Fondo,  Reparaciones  y</w:t>
        <w:br/>
        <w:t>Costas. Sentencia de 19 de mayo de 2011. Serie C No. 224, párr. 117, y  Caso</w:t>
        <w:br/>
        <w:t>Bueno  Alves  Vs.  Argentina.  Supervisión  de  Cumplimiento  de  Sentencia.</w:t>
        <w:br/>
        <w:t>Resolución de la Corte Interamericana 05 de julio de 2011, párrs. 29 y  30).</w:t>
        <w:br/>
        <w:br/>
        <w:br/>
        <w:t>[183] Caso de la Masacre de Pueblo Bello Vs. Colombia.  Fondo,  Reparaciones</w:t>
        <w:br/>
        <w:t>y Costas. Sentencia de 31 de enero de 2006. Serie  C  No.  140,  párr.  209;</w:t>
        <w:br/>
        <w:t>Caso de las Masacres de Ituango Vs. Colombia. Sentencia de  1  de  julio  de</w:t>
        <w:br/>
        <w:t>2006. Serie C No. 148, párr. 340. En el mismo sentido: Caso Goiburú y  otros</w:t>
        <w:br/>
        <w:t>Vs. Paraguay. Fondo, Reparaciones y Costas. Sentencia de  22  de  septiembre</w:t>
        <w:br/>
        <w:t>de 2006. Serie C No. 153, párrs. 117 y 122, y Caso del Penal  Miguel  Castro</w:t>
        <w:br/>
        <w:t>Castro Vs. Perú. Fondo, Reparaciones y Costas. Sentencia de 25 de  noviembre</w:t>
        <w:br/>
        <w:t>de 2006. Serie C No. 160, párr. 400.</w:t>
        <w:br/>
        <w:br/>
        <w:t>[184] En este sentido, el Comité contra la Tortura y otros  Tratos  o  Penas</w:t>
        <w:br/>
        <w:t>Crueles, Inhumanos o Degradantes ha “subraya[do] la importante relación  que</w:t>
        <w:br/>
        <w:t>existe entre el cumplimiento por los Estados partes de las obligaciones  que</w:t>
        <w:br/>
        <w:t>les imponen los artículos 12 y 13 y el de la que les impone el artículo  14.</w:t>
        <w:br/>
        <w:t>[…] No podrá obtenerse una reparación plena a  menos  que  se  garantice  el</w:t>
        <w:br/>
        <w:t>cumplimiento de las obligaciones  previstas  en  los  artículos  12  y  13”.</w:t>
        <w:br/>
        <w:t>Comité contra la Tortura. Observación General Nº 3  (2012).  Aplicación  del</w:t>
        <w:br/>
        <w:t>artículo 14 por los Estados partes. Doc. CAT/C/GC/3. Distr.  General  13  de</w:t>
        <w:br/>
        <w:t>diciembre de 2012, párr. 23.  (La  Convención  contra  la  Tortura  y  otros</w:t>
        <w:br/>
        <w:t>Tratos o Penas Crueles, Inhumanos o Degradantes, en los artículos  indicados</w:t>
        <w:br/>
        <w:t>dice: “Artículo 12. - Todo Estado parte velará por  que,  siempre  que  haya</w:t>
        <w:br/>
        <w:t>motivos razonables para creer que dentro de su jurisdicción se  ha  cometido</w:t>
        <w:br/>
        <w:t>un  acto  de  tortura,  las   autoridades   competentes   procedan   a   una</w:t>
        <w:br/>
        <w:t>investigación pronta e imparcial. Artículo 13. - Todo  Estado  parte  velará</w:t>
        <w:br/>
        <w:t>por que toda persona que alegue haber sido sometida a tortura  en  cualquier</w:t>
        <w:br/>
        <w:t>territorio bajo su jurisdicción tenga derecho a presentar una queja y a  que</w:t>
        <w:br/>
        <w:t>su  caso  sea  pronta  e  imparcialmente  examinado  por   sus   autoridades</w:t>
        <w:br/>
        <w:t>competentes. Se tomarán medidas para asegurar que quien presente la queja  y</w:t>
        <w:br/>
        <w:t>los testigos estén  protegidos  contra  malos  tratos  o  intimaciones  como</w:t>
        <w:br/>
        <w:t>consecuencia de la queja o del testimonio prestado. Artículo 14. -  1.  Todo</w:t>
        <w:br/>
        <w:t>Estado parte velará porque su legislación garantice a la víctima de un  acto</w:t>
        <w:br/>
        <w:t>de tortura la reparación y el derecho a una indemnización justa y  adecuada,</w:t>
        <w:br/>
        <w:t>incluidos los medios para su rehabilitación  lo  más  completa  posible.  En</w:t>
        <w:br/>
        <w:t>caso de muerte de la víctima como resultado  de  un  acto  de  tortura,  las</w:t>
        <w:br/>
        <w:t>personas a  su  cargo  tendrán  derecho  a  indemnización.  2.  Nada  de  lo</w:t>
        <w:br/>
        <w:t>dispuesto en el  presente  artículo  afectará  a  cualquier  derecho  de  la</w:t>
        <w:br/>
        <w:t>víctima o de otra persona a indemnización que pueda existir  con  arreglo  a</w:t>
        <w:br/>
        <w:t>las leyes nacionales”.) Por otra parte, cabe citar la  consideración  de  la</w:t>
        <w:br/>
        <w:t>Comisión Internacional de  Juristas,  que  afirmó  que  “[l]as  víctimas  de</w:t>
        <w:br/>
        <w:t>violaciones de derechos humanos  tienen  el  derecho  a  conocer  la  verdad</w:t>
        <w:br/>
        <w:t>acerca de las circunstancias en que se produjeron las violaciones.  Como  un</w:t>
        <w:br/>
        <w:t>componente de la obligación de reparación, los Estados deben  determinar  la</w:t>
        <w:br/>
        <w:t>responsabilidad  criminar  de  perpetradores  de  violaciones   graves,   en</w:t>
        <w:br/>
        <w:t>particular, de aquellas que  constituyen  crímenes  en  virtud  del  derecho</w:t>
        <w:br/>
        <w:t>internacional,  y  esta  responsabilidad  no  puede  ser  limitada  por  las</w:t>
        <w:br/>
        <w:t>inmunidades, amnistías o estatutos  de  limitaciones”.  (“Victims  of  human</w:t>
        <w:br/>
        <w:t>rights violations have the right to know the truth about  the  circumstances</w:t>
        <w:br/>
        <w:t>in which the violations took place. As a component of the  duty  to  provide</w:t>
        <w:br/>
        <w:t>reparation, States must hold criminally responsible  perpetrators  of  gross</w:t>
        <w:br/>
        <w:t>violations, in particular of those constituting crimes  under  international</w:t>
        <w:br/>
        <w:t>law, and such accountability may not be abridged  by  immunities,  amnesties</w:t>
        <w:br/>
        <w:t>or statutes of limitations”). Declaración de la  Comisión  Internacional  de</w:t>
        <w:br/>
        <w:t>Juristas sobre el Acceso a la Justicia y el derecho  a  interponer  recursos</w:t>
        <w:br/>
        <w:t>en los sistemas internacionales de derechos humanos.  Adoptada  en  Ginebra,</w:t>
        <w:br/>
        <w:t>el 12 de diciembre de 2012, Artículo 7.</w:t>
        <w:br/>
        <w:br/>
        <w:t>[185] En el mismo sentido, véase Caso Manuel  Cepeda  Vargas  Vs.  Colombia.</w:t>
        <w:br/>
        <w:t>Excepciones Preliminares, Fondo, Reparaciones y Costas. Sentencia de  26  de</w:t>
        <w:br/>
        <w:t>mayo de 2010. Serie C No. 213, párr. 130, y Caso Masacre  de  Santo  Domingo</w:t>
        <w:br/>
        <w:t>Vs. Colombia, supra, párr. 154. Véase también casos  La  Cantuta  Vs.  Perú,</w:t>
        <w:br/>
        <w:t>supra, párr. 157, y Caso Goiburú y otros Vs.  Paraguay,  supra,  párr.  128.</w:t>
        <w:br/>
        <w:t>Aunado  a  lo  anterior,  cabe  destacar  que  en  el  ámbito  internacional</w:t>
        <w:br/>
        <w:t>universal se ha indicado que “[e]ntre los recursos  contra  las  violaciones</w:t>
        <w:br/>
        <w:t>manifiestas de las normas internacionales de derechos  humanos  […]  figuran</w:t>
        <w:br/>
        <w:t>los siguientes derechos de la víctima, conforme a lo previsto en el  derecho</w:t>
        <w:br/>
        <w:t>internacional: a ) Acceso igual y efectivo  a  la  justicia;  b)  Reparación</w:t>
        <w:br/>
        <w:t>adecuada, efectiva y rápida del daño sufrido[, y] c)  Acceso  a  información</w:t>
        <w:br/>
        <w:t>pertinente  sobre  las  violaciones  y   los   mecanismos   de   reparación”</w:t>
        <w:br/>
        <w:t>(Principios y directrices básicos  sobre  el  derecho  de  las  víctimas  de</w:t>
        <w:br/>
        <w:t>violaciones manifiestas de las normas internacionales de derechos humanos  y</w:t>
        <w:br/>
        <w:t>de violaciones graves del derecho  internacional  humanitario  a  interponer</w:t>
        <w:br/>
        <w:t>recursos y obtener reparaciones. Resolución 60/147 aprobada por la  Asamblea</w:t>
        <w:br/>
        <w:t>General de las Naciones Unidas el 16 de diciembre de 2005, párr. 11).</w:t>
        <w:br/>
        <w:br/>
        <w:t>[186] El Comité contra la Tortura ha indicado que  “[p]ese  a  las  ventajas</w:t>
        <w:br/>
        <w:t>que ofrece a las víctimas una investigación penal desde el  punto  de  vista</w:t>
        <w:br/>
        <w:t>de la prueba, las acciones civiles y la solicitud  de  reparación  no  deben</w:t>
        <w:br/>
        <w:t>estar supeditadas a la conclusión del proceso penal. […L]a indemnización  no</w:t>
        <w:br/>
        <w:t>debe  demorarse   indebidamente   hasta   que   se   haya   determinado   la</w:t>
        <w:br/>
        <w:t>responsabilidad  penal.  Tendría  que   existir   un   procedimiento   civil</w:t>
        <w:br/>
        <w:t>independiente del proceso penal y habría que  establecer  la  legislación  y</w:t>
        <w:br/>
        <w:t>las instituciones necesarias  para  tal  fin”.  Comité  contra  la  Tortura.</w:t>
        <w:br/>
        <w:t>Observación General Nº 3 (2012), supra, párr. 26.</w:t>
        <w:br/>
        <w:br/>
        <w:t>[187] Adoptada por la Asamblea General de la Organización  de  las  Naciones</w:t>
        <w:br/>
        <w:t>Unidas el 29  de  noviembre  de  1985,  mediante  resolución  40/34.  En  su</w:t>
        <w:br/>
        <w:t>principio 4 señala que  “[l]as  víctimas  serán  tratadas  con  compasión  y</w:t>
        <w:br/>
        <w:t>respeto por su dignidad. Tendrán derecho al acceso a los  mecanismos  de  la</w:t>
        <w:br/>
        <w:t>justicia y a una pronta reparación del daños que  hayan  sufrido,  según  lo</w:t>
        <w:br/>
        <w:t>dispuesto en la legislación nacional”.</w:t>
        <w:br/>
        <w:br/>
        <w:t>[188] Adoptados por la Comisión de Derechos Humanos de  la  Organización  de</w:t>
        <w:br/>
        <w:t>las Naciones Unidas, el 8 de febrero  de  2005.   El  Principio  31  indica:</w:t>
        <w:br/>
        <w:t>“Toda violación de un derecho humano da lugar a un derecho de la  víctima  o</w:t>
        <w:br/>
        <w:t>sus derechohabientes a obtener reparación, el  cual  implica  el  deber  del</w:t>
        <w:br/>
        <w:t>Estado de reparar y el derecho de dirigirse contra el autor”.</w:t>
        <w:br/>
        <w:br/>
        <w:t>[189] Adoptados por la Asamblea General de la Organización de  las  Naciones</w:t>
        <w:br/>
        <w:t>Unidas el 16 de diciembre de 2005, mediante resolución 60/147. El  Principio</w:t>
        <w:br/>
        <w:t>18 de este documento señala el derecho de  las  víctimas  a  una  reparación</w:t>
        <w:br/>
        <w:t>“plena y efectiva”.</w:t>
        <w:br/>
        <w:br/>
        <w:t>[190] En este sentido, resulta ilustrativo el fallo de 30  de  noviembre  de</w:t>
        <w:br/>
        <w:t>2010 de la Corte Internacional de Justicia en el caso  República  de  Guinea</w:t>
        <w:br/>
        <w:t>Vs. República Democrática del Congo, en que, pese a tratarse de una  disputa</w:t>
        <w:br/>
        <w:t>interestatal, se tuvo en cuenta, inclusive  en  relación  con  reparaciones,</w:t>
        <w:br/>
        <w:t>daños a una persona física. En dicho pronunciamiento, la Corte notó  que  la</w:t>
        <w:br/>
        <w:t>disputa entre los Estados concernía a la violación de los  derechos  humanos</w:t>
        <w:br/>
        <w:t>debido al daño sufrido por uno de los nacionales de la República de  Guinea:</w:t>
        <w:br/>
        <w:t>el señor Diallo. De modo consecuente,  las  reparaciones  otorgadas  por  la</w:t>
        <w:br/>
        <w:t>Corte respondieron a la petición de compensación  hecha  por  Guinea,  y  se</w:t>
        <w:br/>
        <w:t>basaron en el daño sufrido por el susodicho (cfr. párr. 161).</w:t>
        <w:br/>
        <w:br/>
        <w:t>[191] Cfr. Caso del Penal Miguel Castro Castro Vs. Perú, supra, párrs.  276,</w:t>
        <w:br/>
        <w:t>377, 378 y 379, y  Caso  Gudiel  Álvarez  y  otros  ("Diario  Militar")  Vs.</w:t>
        <w:br/>
        <w:t>Guatemala, supra, párr.  233.  El  texto  de  la  Convención  Interamericana</w:t>
        <w:br/>
        <w:t>contra la Tortura, en su artículo 16, indica que “deja a salvo lo  dispuesto</w:t>
        <w:br/>
        <w:t>por[, inter alia] la Convención Americana [y] por otras  convenciones  sobre</w:t>
        <w:br/>
        <w:t>la materia […] respecto del delito de tortura”. Esta  norma  hace  explícito</w:t>
        <w:br/>
        <w:t>que la protección brindada por el tratado es coadyuvante  o  complementaria,</w:t>
        <w:br/>
        <w:t>pero no excluyente o substitutiva de  la  dispuesta  por  las  otras  normas</w:t>
        <w:br/>
        <w:t>referidas.</w:t>
        <w:br/>
        <w:br/>
        <w:t>[192] Al respecto, la Corte ha indicado que “según el argumento</w:t>
        <w:br/>
        <w:t>sistemático, las normas deben ser interpretadas como parte de un todo cuyo</w:t>
        <w:br/>
        <w:t>significado y alcance deben fijarse en función del sistema jurídico al cual</w:t>
        <w:br/>
        <w:t>pertenecen [(Cfr. Caso González y otras (“Campo Algodonero”) Vs. México.</w:t>
        <w:br/>
        <w:t>Excepción Preliminar, Fondo, Reparaciones y Costas. Sentencia de 16 de</w:t>
        <w:br/>
        <w:t>noviembre de 2009. Serie C No. 205, párr. 43)]. En este sentido, el</w:t>
        <w:br/>
        <w:t>Tribunal ha considerado que ‘al dar interpretación a un tratado no sólo se</w:t>
        <w:br/>
        <w:t>toman en cuenta los acuerdos e instrumentos formalmente relacionados con</w:t>
        <w:br/>
        <w:t>éste (inciso segundo del artículo 31 de la Convención de Viena), sino</w:t>
        <w:br/>
        <w:t>también el sistema dentro del cual se inscribe (inciso tercero del artículo</w:t>
        <w:br/>
        <w:t>31)’, esto es, el derecho internacional de los derechos humanos” (Cfr. El</w:t>
        <w:br/>
        <w:t>Derecho a la Información sobre la Asistencia Consular en el marco de las</w:t>
        <w:br/>
        <w:t>Garantías del Debido Proceso Legal. Opinión Consultiva OC-16/99 de 1 de</w:t>
        <w:br/>
        <w:t>octubre de 1999. Serie A No. 16, párr. 113, y Caso Artavia Murillo y otros</w:t>
        <w:br/>
        <w:t>(“Fecundación In Vitro”) Vs. Costa Rica. Excepciones Preliminares, Fondo,</w:t>
        <w:br/>
        <w:t>Reparaciones y Costas. Sentencia de 28 de noviembre de 2012. Serie C. No.</w:t>
        <w:br/>
        <w:t>257, párr. 191).</w:t>
        <w:br/>
        <w:br/>
        <w:t>[193] El tratado fue adoptado y abierto a la firma, ratificación y  adhesión</w:t>
        <w:br/>
        <w:t>por la Asamblea General de las Naciones Unidas en su  resolución  39/46,  de</w:t>
        <w:br/>
        <w:t>10 de diciembre de 1984. Entró en vigor el 26 de junio de  1987.  El  Estado</w:t>
        <w:br/>
        <w:t>de Chile lo ratificó el 30 de septiembre de 1988.</w:t>
        <w:br/>
        <w:br/>
        <w:t>[194]  Dicha  norma  expresa  que  cada  Estado  parte  "velará  porque   su</w:t>
        <w:br/>
        <w:t>legislación garantice a la víctima de un acto de tortura la reparación y  el</w:t>
        <w:br/>
        <w:t>derecho a una indemnización justa y adecuada, incluidos los medios  para  su</w:t>
        <w:br/>
        <w:t>rehabilitación lo más completa posible".</w:t>
        <w:br/>
        <w:br/>
        <w:t>[195] Comité contra la Tortura. Observación  General  Nº  3  (2012),  supra,</w:t>
        <w:br/>
        <w:t>párr. 2. Coincidió con esta apreciación la perito Sveaas,  quien  refirió  a</w:t>
        <w:br/>
        <w:t>la Observación General  citada  en  forma  reiterada  como  sustento  de  su</w:t>
        <w:br/>
        <w:t>peritaje y en el mismo señaló que “la Observación General [No. 3 del  Comité</w:t>
        <w:br/>
        <w:t>contra la Tortura] implica una  clarificación  de  los  est[á]ndares  y  una</w:t>
        <w:br/>
        <w:t>concretización de la obligación específica y de las formas en las cuales  la</w:t>
        <w:br/>
        <w:t>reparación puede ser asegurada[. … R]epresenta el  estándar  por  medio  del</w:t>
        <w:br/>
        <w:t>cual el cumplimiento de [la obligación  de  proporcionar  reparación  a  las</w:t>
        <w:br/>
        <w:t>víctimas de tortura] será evaluado,  y  con  base  en  esto,  [su  peritaje]</w:t>
        <w:br/>
        <w:t>ref[iere]  a  las  formulaciones  incluidas  en  la   Observación   General”</w:t>
        <w:br/>
        <w:t>(Expediente de  Fondo, Tomo II, fs. 521 y 522).  En  el  mismo  sentido,  la</w:t>
        <w:br/>
        <w:t>perito Treue sostuvo que “[un] referente  fundamental  para  los  estándares</w:t>
        <w:br/>
        <w:t>internacionales en materia de reparación, específicamente para  víctimas  de</w:t>
        <w:br/>
        <w:t>tortura y malos tratos es la  Observación  General  No.  3  […]  del  Comité</w:t>
        <w:br/>
        <w:t>contra  la  Tortura  (Declaración  pericial  rendida  por  Felícitas   Treue</w:t>
        <w:br/>
        <w:t>mediante affidávit (Expediente de Fondo, Tomo II, fs. 629 a  641).  En  este</w:t>
        <w:br/>
        <w:t>sentido, la Corte ha considerado que la reparación es  el  término  genérico</w:t>
        <w:br/>
        <w:t>que comprende las diferentes formas como un Estado puede hacer frente  a  la</w:t>
        <w:br/>
        <w:t>responsabilidad internacional en que ha incurrido (restitutio  in  integrum,</w:t>
        <w:br/>
        <w:t>indemnización, satisfacción, garantías de no repetición, entre otras).  Cfr.</w:t>
        <w:br/>
        <w:t>Caso Loayza Tamayo Vs. Perú. Reparaciones  y  Costas.  Sentencia  de  27  de</w:t>
        <w:br/>
        <w:t>noviembre de 1998. Serie C No  42  párr.  85,  y  Caso  Suárez  Peralta  Vs.</w:t>
        <w:br/>
        <w:t>Ecuador, supra, párr. 164.</w:t>
        <w:br/>
        <w:br/>
        <w:t>[196] Comité contra la Tortura. Observación  General  Nº  3  (2012),  supra,</w:t>
        <w:br/>
        <w:t>párr. 6.</w:t>
        <w:br/>
        <w:br/>
        <w:t>[197] Cfr. Caso Gomes Lund y otros ("Guerrilha do Araguaia") Vs. Brasil,</w:t>
        <w:br/>
        <w:t>supra, párr. 303, y Caso Manuel Cepeda Vargas Vs. Colombia, supra, párr.</w:t>
        <w:br/>
        <w:t>246.</w:t>
        <w:br/>
        <w:br/>
        <w:t>[198] Cfr. Caso Almonacid Arellano y otros Vs. Chile, supra, párrs. 82.29  a</w:t>
        <w:br/>
        <w:t>82.33. La Corte consideró probado en ese caso que  “[e]l  8  de  febrero  de</w:t>
        <w:br/>
        <w:t>1992 se publicó en  el  Diario  Oficial  la  Ley  No.  19.123  que  creó  la</w:t>
        <w:br/>
        <w:t>Corporación Nacional de Reparación  y  Reconciliación.  El  objeto  de  esta</w:t>
        <w:br/>
        <w:t>Corporación era ‘la coordinación, ejecución  y  promoción  de  las  acciones</w:t>
        <w:br/>
        <w:t>necesarias para el cumplimiento de  las  recomendaciones  contenidas  en  el</w:t>
        <w:br/>
        <w:t>Informe de la Comisión Nacional de Verdad y Reconciliación’. A  tal  efecto,</w:t>
        <w:br/>
        <w:t>se estableció una pensión mensual en beneficio  de  los  familiares  de  las</w:t>
        <w:br/>
        <w:t>víctimas de violaciones a los derechos humanos o de la  violencia  política,</w:t>
        <w:br/>
        <w:t>se les otorgó el derecho a recibir gratuitamente ciertos beneficios  médicos</w:t>
        <w:br/>
        <w:t>y beneficios educacionales, y se eximió a  los  hijos  de  las  víctimas  de</w:t>
        <w:br/>
        <w:t>realizar el servicio militar obligatorio, si así lo solicitaren. […]  El  11</w:t>
        <w:br/>
        <w:t>de noviembre de 2003 se publicó en el Diario Oficial el Decreto Supremo  No.</w:t>
        <w:br/>
        <w:t>1.040 que creó la Comisión Nacional sobre Prisión Política y  Tortura,  para</w:t>
        <w:br/>
        <w:t>el esclarecimiento de la verdad acerca de quiénes fueron  las  personas  que</w:t>
        <w:br/>
        <w:t>sufrieron privación de libertad  y  tortura  por  razones  políticas  en  el</w:t>
        <w:br/>
        <w:t>período de la  Dictadura  militar.  Asimismo,  la  Comisión  propuso  en  su</w:t>
        <w:br/>
        <w:t>informe final medidas de reparación individuales (recogidas en  la  Ley  No.</w:t>
        <w:br/>
        <w:t>19.992) colectivas y simbólicas. […] El 29 de octubre de  2004  se  promulgó</w:t>
        <w:br/>
        <w:t>la Ley  No.  19.980  que  modificó  la  Ley  No.  19.123  […],  ampliando  y</w:t>
        <w:br/>
        <w:t>estableciendo nuevos beneficios a favor de los familiares de  las  víctimas,</w:t>
        <w:br/>
        <w:t>entre los que destacan el incremento del 50  por  ciento  del  monto  de  la</w:t>
        <w:br/>
        <w:t>pensión de reparación mensual; la concesión al Presidente  de  la  República</w:t>
        <w:br/>
        <w:t>de la facultad para otorgar un máximo de  200  pensiones  de  gracia,  y  la</w:t>
        <w:br/>
        <w:t>ampliación de los beneficios en salud. Además  de  las  citadas  medidas  de</w:t>
        <w:br/>
        <w:t>reparación el Estado adoptó las siguientes: i) el Programa de  Apoyo  a  los</w:t>
        <w:br/>
        <w:t>Presos Políticos que al 11 de marzo de 1990 se encontraban  privados  de  la</w:t>
        <w:br/>
        <w:t>libertad; ii) el  Programa  de  Reparación  y  Atención  Integral  de  Salud</w:t>
        <w:br/>
        <w:t>(PRAIS) a los afectados por las violaciones a los derechos humanos; iii)  el</w:t>
        <w:br/>
        <w:t>Programa de Derechos  Humanos  del  Ministerio  del  Interior;  iv)  mejoras</w:t>
        <w:br/>
        <w:t>tecnológicas al Servicio Médico Legal; v) la Oficina Nacional  del  Retorno;</w:t>
        <w:br/>
        <w:t>vi)  el  Programa  para  Exonerados  Políticos;  vii)   la   restitución   o</w:t>
        <w:br/>
        <w:t>indemnización por bienes confiscados y adquiridos por el  Estado;  viii)  la</w:t>
        <w:br/>
        <w:t>creación de la Mesa de Diálogo sobre Derechos Humanos, y ix)  la  iniciativa</w:t>
        <w:br/>
        <w:t>presidencial  ‘No  hay  mañana  sin  ayer’  del  Presidente  Ricardo  Lagos.</w:t>
        <w:br/>
        <w:t>Finalmente, el Estado ha construido varios memoriales  en  homenaje  de  las</w:t>
        <w:br/>
        <w:t>víctimas de violaciones a los derechos humanos”.</w:t>
        <w:br/>
        <w:br/>
        <w:t>[199] Caso Almonacid Arellano y otros Vs. Chile, supra, párr.  161.  En  ese</w:t>
        <w:br/>
        <w:t>mismo sentido,  la  perita  Cath  Collins  expresó  que  “[l]as  medidas  de</w:t>
        <w:br/>
        <w:t>reparación implementadas en Chile a partir del año 1990  figuran  entre  las</w:t>
        <w:br/>
        <w:t>dimensiones más completas de su proceso  de  justicia  transicional”.  Dicha</w:t>
        <w:br/>
        <w:t>perita aseveró también que “ha  habido  una  fuerte  disonancia  entre  esas</w:t>
        <w:br/>
        <w:t>políticas públicas y las  prácticas  judiciales  respecto  de  las  demandas</w:t>
        <w:br/>
        <w:t>civiles”, aspecto este último que, en  lo  atinente  al  presente  caso,  se</w:t>
        <w:br/>
        <w:t>analiza más  adelante.  (Declaración  pericial  rendida  por  Cath  Collins,</w:t>
        <w:br/>
        <w:t>supra).</w:t>
        <w:br/>
        <w:br/>
        <w:t>[200]  Cabe  señalar  que  el  Estado  en  los  alegatos  finales   escritos</w:t>
        <w:br/>
        <w:t>manifestó, que conforme a la Ley No. 20.403, en febrero de  2010  se  otorgó</w:t>
        <w:br/>
        <w:t>un nuevo bono al señor García Lucero. Dado que éste no fue cobrado por él  o</w:t>
        <w:br/>
        <w:t>su representante, dicho bono caducó en septiembre de 2011, por lo  que  éste</w:t>
        <w:br/>
        <w:t>fue incorporado a su pensión en el mes de marzo de 2013. El bono asciende  a</w:t>
        <w:br/>
        <w:t>$490.000 pesos (USD $1.031,5). Al  respecto,  las  representantes  indicaron</w:t>
        <w:br/>
        <w:t>que el señor García Lucero no ha sido notificado del pago al día  de  hoy  y</w:t>
        <w:br/>
        <w:t>que “no se ha podido verificar debido  a  que  los  extractos  bancarios  de</w:t>
        <w:br/>
        <w:t>abril de 2013 (que  cubren  los  movimientos  bancarios  de  marzo)  no  han</w:t>
        <w:br/>
        <w:t>llegado a su poder en el Reino Unido y  Chile  no  han  enviado  comprobante</w:t>
        <w:br/>
        <w:t>alguno del mismo [...]” cabe aclarar que dicho bono  no  es  dado  como  una</w:t>
        <w:br/>
        <w:t>forma de reparación por la tortura o por  las  violaciones  alegadas  en  el</w:t>
        <w:br/>
        <w:t>presente  caso.  Señalaron  que  este  bono  corresponde  al   reajuste   de</w:t>
        <w:br/>
        <w:t>remuneraciones realizado por la Ley No. 20.403 de 2009, mediante el cual  se</w:t>
        <w:br/>
        <w:t>“otorga  un  reajuste  de  remuneraciones  a  los  trabajadores  del  sector</w:t>
        <w:br/>
        <w:t>público, concede aguinaldos que señala y concede beneficios que indica”.</w:t>
        <w:br/>
        <w:br/>
        <w:t>[201] Comité contra la Tortura. Observación  General  Nº  3  (2012),  supra,</w:t>
        <w:br/>
        <w:t>párrs. 17 y 20, respectivamente.</w:t>
        <w:br/>
        <w:br/>
        <w:t>[202] El Estado, por su parte, sólo se refirió de forma  tangencial  y  poco</w:t>
        <w:br/>
        <w:t>clara a la cuestión. Indicó que “las pensiones” que recibe el  señor  García</w:t>
        <w:br/>
        <w:t>Lucero obstarían la solicitud de “una nueva  indemnización  por  los  mismos</w:t>
        <w:br/>
        <w:t>hechos en contra del Fisco” y no aclaró a qué  “pensiones”  se  refería.  De</w:t>
        <w:br/>
        <w:t>acuerdo a la información que detenta la Corte, con base en lo expresado  por</w:t>
        <w:br/>
        <w:t>la Comisión y las partes, el señor García Lucero recibe una  única  pensión,</w:t>
        <w:br/>
        <w:t>por su calidad de “exonerado político”. Dado el vocablo utilizado, no  puede</w:t>
        <w:br/>
        <w:t>inferirse  si  la  manifestación  del  Estado  se  refiere   a   todas   las</w:t>
        <w:br/>
        <w:t>reparaciones obtenidas por el señor García Lucero. Además, no deja en  claro</w:t>
        <w:br/>
        <w:t>si se refiere a la posibilidad de cuestionar el monto de “las pensiones”,  a</w:t>
        <w:br/>
        <w:t>un planteo indemnizatorio independiente o a ambas cosas. Por ello, se  trata</w:t>
        <w:br/>
        <w:t>de una afirmación imprecisa. Además, el Estado sustentó  su  observación  en</w:t>
        <w:br/>
        <w:t>que “el principio del enriquecimiento sin causa [es]  un  principio  general</w:t>
        <w:br/>
        <w:t>del derecho (y como tal, una fuente del derecho  internacional)”.  Lo  dicho</w:t>
        <w:br/>
        <w:t>por el Estado  debe  entenderse,  entonces,  como  una  expresión  vaga  que</w:t>
        <w:br/>
        <w:t>transmite una opinión jurídica aislada, y contextualizarse en el  marco  del</w:t>
        <w:br/>
        <w:t>conjunto de los alegatos esbozados por Chile. Además,  lo  señalado  por  el</w:t>
        <w:br/>
        <w:t>Estado fue expresado por éste dentro de una respuesta dada, en sus  alegatos</w:t>
        <w:br/>
        <w:t>finales  escritos,  a  preguntas  expresadas  por  el  Tribunal  durante  la</w:t>
        <w:br/>
        <w:t>audiencia pública. Es decir, no se trató de una respuesta a  los  argumentos</w:t>
        <w:br/>
        <w:t>de las representantes.</w:t>
        <w:br/>
        <w:br/>
        <w:t>[203] El artículo 10 de la ley establece que “[l]as personas señaladas en</w:t>
        <w:br/>
        <w:t>los artículos 1º y 5º de la […] ley, tendrán derecho a recibir por parte</w:t>
        <w:br/>
        <w:t>del Estado los apoyos técnicos y la rehabilitación física necesaria para la</w:t>
        <w:br/>
        <w:t>superación de las lesiones físicas surgidas a consecuencia de la prisión</w:t>
        <w:br/>
        <w:t>política o la tortura, cuando dichas lesiones tengan el carácter de</w:t>
        <w:br/>
        <w:t>permanentes y obstaculicen la capacidad educativa, laboral o de integración</w:t>
        <w:br/>
        <w:t>social del beneficiario. Su artículo 11 dice: “[e]l Estado garantizará la</w:t>
        <w:br/>
        <w:t>continuidad gratuita de los estudios, sean de nivel básico, medio o</w:t>
        <w:br/>
        <w:t>superior, a aquellas personas señaladas en los artículos 1º y 5º de la […]</w:t>
        <w:br/>
        <w:t>ley, que por razón de prisión política o tortura, vieron impedidos sus</w:t>
        <w:br/>
        <w:t>estudios”. El artículo 1 refiere a “víctimas directamente afectadas por</w:t>
        <w:br/>
        <w:t>violaciones a derechos humanos individualizadas en el anexo ‘Listado de</w:t>
        <w:br/>
        <w:t>prisioneros políticos y torturados’ de la Nómina de Personas Reconocidas</w:t>
        <w:br/>
        <w:t>como Víctimas, que forma parte del Informe de la Comisión Nacional sobre</w:t>
        <w:br/>
        <w:t>Prisión Política y Tortura, creada por el decreto supremo No. 1.040, de</w:t>
        <w:br/>
        <w:t>2003, del Ministerio del Interior”. El artículo 5, alude a “[l]as personas</w:t>
        <w:br/>
        <w:t>individualizadas en el anexo ‘Menores de edad nacidos en prisión o</w:t>
        <w:br/>
        <w:t>detenidos con sus padres’, de la Nómina de Personas Reconocidas como</w:t>
        <w:br/>
        <w:t>Víctimas, que forma parte del Informe de la Comisión Nacional sobre Prisión</w:t>
        <w:br/>
        <w:t>Política y Tortura, creada por el decreto supremo No. 1.040, de 2003, del</w:t>
        <w:br/>
        <w:t>Ministerio del Interior”.</w:t>
        <w:br/>
        <w:br/>
        <w:t>[204] Observación General No. 20, Comentarios generales adoptados por el</w:t>
        <w:br/>
        <w:t>Comité de los Derechos Humanos, Artículo 7 - Prohibición de la tortura u</w:t>
        <w:br/>
        <w:t>otros tratos o penas crueles, inhumanos o degradantes, 44º período de</w:t>
        <w:br/>
        <w:t>sesiones, U.N. Doc. HRI/GEN/1/Rev.7 at 173 (1992).</w:t>
        <w:br/>
        <w:br/>
        <w:t>[205] Principios y directrices básicos sobre el derecho de las  víctimas  de</w:t>
        <w:br/>
        <w:t>violaciones manifiestas de las normas internacionales de derechos humanos  y</w:t>
        <w:br/>
        <w:t>de violaciones graves del derecho  internacional  humanitario  a  interponer</w:t>
        <w:br/>
        <w:t>recursos y obtener reparaciones, 60/147 resolución adoptada por la  Asamblea</w:t>
        <w:br/>
        <w:t>General el 16 de diciembre de 2005, principio 21. En forma  concordante,  en</w:t>
        <w:br/>
        <w:t>varios casos la Corte ha considerado pertinente ordenar el  otorgamiento,  a</w:t>
        <w:br/>
        <w:t>favor de personas reconocidas como víctimas de torturas  o  tratos  crueles,</w:t>
        <w:br/>
        <w:t>inhumanos o degradantes, medidas de compensación  pecuniaria,  así  como  de</w:t>
        <w:br/>
        <w:t>atención de los padecimientos físicos y psicológicos  sufridos  como  medida</w:t>
        <w:br/>
        <w:t>de rehabilitación (Cfr. Caso Tibi  Vs.  Ecuador.  Excepciones  Preliminares,</w:t>
        <w:br/>
        <w:t>Fondo, Reparaciones y Costas. Sentencia de 7 de septiembre de 2004, Serie  C</w:t>
        <w:br/>
        <w:t>No. 114, párrs. 244, 246 y 249;  Caso  Bueno  Alves  Vs.  Argentina,  supra,</w:t>
        <w:br/>
        <w:t>párrs. 134 y 178; Caso Bayarri Vs. Argentina. Excepción  Preliminar,  Fondo,</w:t>
        <w:br/>
        <w:t>Reparaciones y Costas. Sentencia de 30 de octubre de 2008, Serie C No.  187,</w:t>
        <w:br/>
        <w:t>párrs. 170, 142 y143; Caso Fernández Ortega y otros  Vs.  México,  Excepción</w:t>
        <w:br/>
        <w:t>Preliminar, Fondo, Reparaciones y Costas.  Sentencia  de  30  de  agosto  de</w:t>
        <w:br/>
        <w:t>2010. Serie C No. 215, párrs. 251 y 289;  Caso  Rosendo  Cantú  y  otra  Vs.</w:t>
        <w:br/>
        <w:t>México. Excepción Preliminar, Fondo, Reparaciones y Costas. Sentencia de  31</w:t>
        <w:br/>
        <w:t>de agosto de 2010. Serie C No. 216, párrs. 252, 253 y 278; Caso  Vélez  Loor</w:t>
        <w:br/>
        <w:t>Vs. Panamá, supra, párrs 263 y 308, y Caso Cabrera García y  Montiel  Flores</w:t>
        <w:br/>
        <w:t>Vs. México, supra, párrs.  260,  220  y  221.  En  relación  con  la  citada</w:t>
        <w:br/>
        <w:t>decisión sobre el caso Bueno Alves  Vs.  Argentina,  cabe  aclarar  que  las</w:t>
        <w:br/>
        <w:t>representantes de la víctima  solicitaron  un  monto  de  indemnización  por</w:t>
        <w:br/>
        <w:t>“gastos médicos, farmacéuticos de curación y de rehabilitación”,  y  que  la</w:t>
        <w:br/>
        <w:t>Corte consideró insuficiente la prueba de los gastos en  que  incurrieron  y</w:t>
        <w:br/>
        <w:t>determinó, en equidad, el otorgamiento de una suma de dinero).</w:t>
        <w:br/>
        <w:br/>
        <w:t>[206] En particular puede detallarse, en cuanto a la “rehabilitación</w:t>
        <w:br/>
        <w:t>física”, que la ley dispuso que el derecho establecido podría ser ejercido</w:t>
        <w:br/>
        <w:t>o disfrutado mediante la incorporación de las personas titulares del mismo</w:t>
        <w:br/>
        <w:t>como beneficiarias del Programa PRAIS.  El artículo 9 de la Ley No. 19.992</w:t>
        <w:br/>
        <w:t>dispuso: “Agregase al inciso primero del artículo séptimo de la ley No.</w:t>
        <w:br/>
        <w:t>19.980, la siguiente letra d): ‘d) Aquellos que se individualizan en la</w:t>
        <w:br/>
        <w:t>Nómina de Personas Reconocidas como Víctimas, que forma parte del Informe</w:t>
        <w:br/>
        <w:t>de la Comisión Nacional sobre Prisión Política y Tortura, creada por el</w:t>
        <w:br/>
        <w:t>decreto supremo No. 1.040, de 2003, del Ministerio del Interior’”</w:t>
        <w:br/>
        <w:t>(Expediente de anexos al Informe de Fondo, Anexo 15, f. 202). La Ley No.</w:t>
        <w:br/>
        <w:t>19.980, según informó el Estado en su escrito de contestación, “reguló con</w:t>
        <w:br/>
        <w:t>rango legal el programa PRAIS, destinado al otorgamiento de beneficios</w:t>
        <w:br/>
        <w:t>médicos para las víctimas reconocidas por la Ley de Reparación y</w:t>
        <w:br/>
        <w:t>Reconciliación”. La testigo Paula Godoy Echegoyen, “Encargada Nacional</w:t>
        <w:br/>
        <w:t>de[l] PRAIS”, explicó que “[l]as personas que han vivido o viven en el</w:t>
        <w:br/>
        <w:t>exilio son beneficiarios del programa junto a su grupo familiar, siendo</w:t>
        <w:br/>
        <w:t>atendidos […] una vez que regresen al país de manera definitiva o</w:t>
        <w:br/>
        <w:t>temporal”, y que no hay convenios con el Reino Unido u otros países para</w:t>
        <w:br/>
        <w:t>prestar atención fuera del país (Declaración testimonial rendida por Paula</w:t>
        <w:br/>
        <w:t>Godoy Echegoyen mediante affidávit, Expediente de Fondo, Tomo II, fs. 566 a</w:t>
        <w:br/>
        <w:t>574). De forma conteste se manifestó, en su testimonio, María Luisa</w:t>
        <w:br/>
        <w:t>Sepúlveda, quien fue “Vice-Presidenta ejecutiva” de la Comisión Valech:</w:t>
        <w:br/>
        <w:t>expresó, respecto de “[l]as personas que están fuera de Chile”, que “solo</w:t>
        <w:br/>
        <w:t>pueden ejercer en el país” los “beneficios de salud” (Declaración</w:t>
        <w:br/>
        <w:t>testimonial rendida por María Luisa Sepúlveda, supra). En este sentido,</w:t>
        <w:br/>
        <w:t>precisó que “ninguna de las leyes de reparación los contempló como</w:t>
        <w:br/>
        <w:t>beneficios a ser recibidos en el exterior”. De modo conteste a todo lo</w:t>
        <w:br/>
        <w:t>anterior, la señora Elena García declaró que “[e]l sistema de salud PRAIS</w:t>
        <w:br/>
        <w:t>solo puede usarse en Chile, y no en el Reino Unido” (Declaración de la</w:t>
        <w:br/>
        <w:t>señora Elena García, Expediente de Fondo, Tomo II, fs. 499 a 516).</w:t>
        <w:br/>
        <w:br/>
        <w:t>[207] La Corte toma nota de que “[e]l Comité contra la Tortura recomendó  al</w:t>
        <w:br/>
        <w:t>Estado “que tenga en cuenta el deber de reparar a  todas  las   víctimas  de</w:t>
        <w:br/>
        <w:t>tortura” En ese sentido, lo exhortó a “que considere establecer acuerdos  de</w:t>
        <w:br/>
        <w:t>cooperación con países donde residen [las víctimas] para que [éstas]  puedan</w:t>
        <w:br/>
        <w:t>tener acceso al tipo de tratamiento médico necesario  por  su  condición  de</w:t>
        <w:br/>
        <w:t>víctimas de tortura. Asimismo, el Comité  inst[ó]  al  Estado  […]  a  tomar</w:t>
        <w:br/>
        <w:t>medidas con miras a garantizar el financiamiento  necesario  para  que  cada</w:t>
        <w:br/>
        <w:t>equipo PRAIS u otros  puedan  atender  de  un  modo  efectivo  a  todos  los</w:t>
        <w:br/>
        <w:t>consultantes acreditados. […] El Comité  recom[e]nd[ó]  al  Estado  […]  que</w:t>
        <w:br/>
        <w:t>incremente  los  esfuerzos  en  materia  de  reparación,   indemnización   y</w:t>
        <w:br/>
        <w:t>rehabilitación de manera que se garantice una reparación justa y adecuada  a</w:t>
        <w:br/>
        <w:t>todas las víctimas de tortura” (Comité contra  la  Tortura  42º  período  de</w:t>
        <w:br/>
        <w:t>sesiones. Ginebra, 27 de abril a 15 de mayo de 2009. Examen de los  Informes</w:t>
        <w:br/>
        <w:t>Presentados por  los  Estados  Partes  en  virtud  del  artículo  19  de  la</w:t>
        <w:br/>
        <w:t>Convención. Observaciones Finales  del  Comité  contra  la  Tortura.  Chile.</w:t>
        <w:br/>
        <w:t>CAT/C/CHL/CO/5. 23 de junio de 2009, párr. 18).  En  el  mismo  sentido,  la</w:t>
        <w:br/>
        <w:t>perita Sveaass aseveró que “[e]l derecho a reparación nunca  puede  depender</w:t>
        <w:br/>
        <w:t>de donde vive la persona”, y que “[e]n las situaciones  donde  las  personas</w:t>
        <w:br/>
        <w:t>han sido expulsadas o exiliadas de una manera forzosa por  las  autoridades,</w:t>
        <w:br/>
        <w:t>la obligación de proporcionar reparación, que incluye […] rehabilitación  es</w:t>
        <w:br/>
        <w:t>más evidente aún.  También  indicó  que  “el  implementar  un  principio  de</w:t>
        <w:br/>
        <w:t>reparación  integral  que  incluya  a  las  personas  en  el  exilio,  puede</w:t>
        <w:br/>
        <w:t>incentivarlas a volver a su país de origen”  (Declaración  pericial  rendida</w:t>
        <w:br/>
        <w:t>por Nora Sveaass mediante affidávit, Expediente de Fondo, Tomo II,  fs.  524</w:t>
        <w:br/>
        <w:t>y 525).</w:t>
        <w:br/>
        <w:br/>
        <w:t>[208] En este sentido,  el  señor  García  Lucero  adujo,  en  la  audiencia</w:t>
        <w:br/>
        <w:t>pública, supra,  que  “tendría  que  estar”  en  Chile  para  presentar  una</w:t>
        <w:br/>
        <w:t>denuncia o querella, y tener medios para pagar abogados.</w:t>
        <w:br/>
        <w:br/>
        <w:t>[209]       El señor García  Lucero  declaró  haber  recibido  ayuda  de  un</w:t>
        <w:br/>
        <w:t>senador para  realizar  las  gestiones  tendientes  a  la  obtención  de  su</w:t>
        <w:br/>
        <w:t>pensión.</w:t>
        <w:br/>
        <w:br/>
        <w:t>[210] Cfr. Declaración del  señor  Leopoldo  García  Lucero  rendida  en  la</w:t>
        <w:br/>
        <w:t>audiencia pública ante la Corte, supra.</w:t>
        <w:br/>
        <w:br/>
        <w:t>[211] Cfr. Correo electrónico de Viviana Krsticevic dirigido a  Fiona  McKay</w:t>
        <w:br/>
        <w:t>de 10 de noviembre de 1995, en el cual CEJIL expresó “[…]  hemos  llegado  a</w:t>
        <w:br/>
        <w:t>la conclusión de que no existen recursos a nivel nacional para el caso  […]”</w:t>
        <w:br/>
        <w:t>(Expediente de Fondo, escrito de alegatos  finales  de  las  representantes,</w:t>
        <w:br/>
        <w:t>Anexo I, fs. 1284), y Carta de José Zalaquett a William Dishington de 28  de</w:t>
        <w:br/>
        <w:t>septiembre de 1994, en el cual señaló que “[l]as víctimas de tortura  tienen</w:t>
        <w:br/>
        <w:t>en teoría abiertas las posibilidades de solicitar  responsabilidad  criminal</w:t>
        <w:br/>
        <w:t>de los autores y la responsabilidad civil de los  autores  del  daño  y  del</w:t>
        <w:br/>
        <w:t>Estado, si estos eran agentes del Estado  […]  la  opción  de  litigar  está</w:t>
        <w:br/>
        <w:t>abierta  teóricamente,  las  posibilidades  de  éxito   son   muy   remotas”</w:t>
        <w:br/>
        <w:t>(Expediente de Fondo, escrito de alegatos  finales  de  las  representantes,</w:t>
        <w:br/>
        <w:t>Anexo II, fs.1286 y 1287).</w:t>
        <w:br/>
        <w:br/>
        <w:t>[212] Cfr. Caso Velásquez Rodríguez Vs. Honduras. Fondo, supra, párrs. 64  y</w:t>
        <w:br/>
        <w:t>66; y Caso Castillo Petruzzi y otros.  Excepciones  Preliminares.  Sentencia</w:t>
        <w:br/>
        <w:t>de 4 de septiembre de 1998. Serie C No. 41, párr. 63.</w:t>
        <w:br/>
        <w:br/>
        <w:t>[213] En este sentido, cabe señalar que  la  Corte,  en  su  jurisprudencia,</w:t>
        <w:br/>
        <w:t>siempre ha considerado pertinente disponer medidas  de  rehabilitación  para</w:t>
        <w:br/>
        <w:t>víctimas  de  tortura  sobrevivientes.  En  algunos  de   esos   casos,   ha</w:t>
        <w:br/>
        <w:t>considerado procedente que la medida de rehabilitación  ordenada  se  cumpla</w:t>
        <w:br/>
        <w:t>mediante la entrega de una suma de dinero a tal efecto.  Cfr.  Caso  Barrios</w:t>
        <w:br/>
        <w:t>Altos Vs. Perú. Reparaciones y Costas.  Sentencia  de  30  de  noviembre  de</w:t>
        <w:br/>
        <w:t>2001. Serie C No. 87, párrs. 42 y 45; Caso Cabrera García y  Montiel  Flores</w:t>
        <w:br/>
        <w:t>Vs. México, supra, párrs. 220 y 221, y Caso Vélez Loor  Vs.  Panamá,  supra,</w:t>
        <w:br/>
        <w:t>párrs. 263 y 264.</w:t>
        <w:br/>
        <w:br/>
        <w:t>[214] La perita Cath Collins indicó, en forma acorde a lo manifestado por</w:t>
        <w:br/>
        <w:t>las partes, que en relación con las “demandas civiles[,… e]xisten dos</w:t>
        <w:br/>
        <w:t>modalidades principales de demanda: asociada a una querella criminal o en</w:t>
        <w:br/>
        <w:t>forma separada” (Declaración pericial rendida por Cath Collins, supra).</w:t>
        <w:br/>
        <w:br/>
        <w:t>[215] La  Corte  observa  que   los  “juicios  de  hacienda”  se  encuentran</w:t>
        <w:br/>
        <w:t>regulados en el Código de Procedimiento Civil chileno. Se trata de  procesos</w:t>
        <w:br/>
        <w:t>que, de  acuerdo  a  lo  que  señala  el  artículo  748  del  citado  cuerpo</w:t>
        <w:br/>
        <w:t>normativo, sigue los “trámites  establecidos  para  los  juicios  del  fuero</w:t>
        <w:br/>
        <w:t>ordinario   de   mayor   cuantía,   salvo   [ciertas]   modificaciones”,   y</w:t>
        <w:br/>
        <w:t>particularidades propias, establecidas  por  los  artículos  siguientes,  en</w:t>
        <w:br/>
        <w:t>razón de ser “juicios en que [tiene] interés el Fisco”,  entre  las  que  se</w:t>
        <w:br/>
        <w:t>encuentra, de acuerdo al artículo 751 del Código Civil, que siempre que  una</w:t>
        <w:br/>
        <w:t>sentencia definitiva sea “desfavorable al interés fiscal”  y  no  se  apele,</w:t>
        <w:br/>
        <w:t>“se elevará en  consulta  a  la  Corte  de  Apelaciones  respectiva,  previa</w:t>
        <w:br/>
        <w:t>notificación de las  partes”  (Expediente  de  Fondo,  escrito  de  alegatos</w:t>
        <w:br/>
        <w:t>finales del Estado, Anexo I, fs. 1125 y 1126).</w:t>
        <w:br/>
        <w:br/>
        <w:t>[216] La acción civil en el marco del proceso penal  se  encuentra  regulada</w:t>
        <w:br/>
        <w:t>en los artículos 59 a 69 del Código Procesal Penal. El artículo 59 indica:</w:t>
        <w:br/>
        <w:br/>
        <w:t xml:space="preserve">      Principio general. La acción civil que tuviere por  objeto  únicamente</w:t>
        <w:br/>
        <w:t xml:space="preserve">      la restitución de la cosa,  deberá  interponerse  siempre  durante  el</w:t>
        <w:br/>
        <w:t xml:space="preserve">      respectivo procedimiento penal, de conformidad a  lo  previsto  en  el</w:t>
        <w:br/>
        <w:t xml:space="preserve">      artículo 189.</w:t>
        <w:br/>
        <w:br/>
        <w:br/>
        <w:t xml:space="preserve">      Asimismo, durante la tramitación del procedimiento  penal  la  víctima</w:t>
        <w:br/>
        <w:t xml:space="preserve">      podrá deducir respecto del imputado, con arreglo a las  prescripciones</w:t>
        <w:br/>
        <w:t xml:space="preserve">      de este Código, todas las restantes acciones que tuvieren  por  objeto</w:t>
        <w:br/>
        <w:t xml:space="preserve">      perseguir las responsabilidades civiles derivadas del  hecho  punible.</w:t>
        <w:br/>
        <w:t xml:space="preserve">      La víctima  podrá  también  ejercer  esas  acciones  civiles  ante  el</w:t>
        <w:br/>
        <w:t xml:space="preserve">      tribunal civil correspondiente. Con todo, admitida  a  tramitación  la</w:t>
        <w:br/>
        <w:t xml:space="preserve">      demanda  civil  en  el  procedimiento  penal,  no  se  podrá   deducir</w:t>
        <w:br/>
        <w:t xml:space="preserve">      nuevamente ante un tribunal civil.</w:t>
        <w:br/>
        <w:br/>
        <w:br/>
        <w:t xml:space="preserve">      Con la sola  excepción  indicada  en  el  inciso  primero,  las  otras</w:t>
        <w:br/>
        <w:t xml:space="preserve">      acciones encaminadas a obtener  la  reparación  de  las  consecuencias</w:t>
        <w:br/>
        <w:t xml:space="preserve">      civiles del hecho punible que interpusieren personas distintas  de  la</w:t>
        <w:br/>
        <w:t xml:space="preserve">      víctima, o se dirigieren  contra  personas  diferentes  del  imputado,</w:t>
        <w:br/>
        <w:t xml:space="preserve">      deberán plantearse ante el tribunal  civil  que  fuere  competente  de</w:t>
        <w:br/>
        <w:t xml:space="preserve">      acuerdo a las reglas generales.</w:t>
        <w:br/>
        <w:br/>
        <w:t>[217] Cabe aclarar que las representantes  no  han  reclamado  la  falta  de</w:t>
        <w:br/>
        <w:t>recursos “adecuados”. En sus alegatos sobre los diversos recursos  posibles,</w:t>
        <w:br/>
        <w:t>han indicado  la  falta  de  efectividad  de  los  mismos.  En  relación  al</w:t>
        <w:br/>
        <w:t>denominado “Juicio de Hacienda” han dicho que “a pesar de  existir  una  vía</w:t>
        <w:br/>
        <w:t>para obtener justicia (un recurso  y  proceso  adecuado),  dicho  recurso  y</w:t>
        <w:br/>
        <w:t>proceso no pueden ser efectivos para obtener el amparo  del  derecho  a  una</w:t>
        <w:br/>
        <w:t>reparación integral”.</w:t>
        <w:br/>
        <w:br/>
        <w:t>[218] Respecto al vínculo entre reclamos de medidas de reparación y la</w:t>
        <w:br/>
        <w:t>prescripción de acciones civiles en lo atinente a graves violaciones de</w:t>
        <w:br/>
        <w:t>derechos humanos, debe tenerse en consideración que en el ámbito de</w:t>
        <w:br/>
        <w:t>Naciones Unidas, el Conjunto de Principios para la Protección y la</w:t>
        <w:br/>
        <w:t>Promoción de los Derechos Humanos mediante la Lucha contra la Impunidad</w:t>
        <w:br/>
        <w:t>señala: “La prescripción de una infracción penal, tanto en lo que respecta</w:t>
        <w:br/>
        <w:t>a las diligencias como a las penas, no podrá correr durante el período en</w:t>
        <w:br/>
        <w:t>que no existan recursos eficaces contra esa infracción. La prescripción no</w:t>
        <w:br/>
        <w:t>se aplicará a los delitos graves conforme el derecho internacional que sean</w:t>
        <w:br/>
        <w:t>por naturaleza imprescriptibles. Cuando se aplica, la prescripción no podrá</w:t>
        <w:br/>
        <w:t>invocarse en las acciones civiles o administrativas entabladas por las</w:t>
        <w:br/>
        <w:t>víctimas para obtener reparación”. (Naciones Unidas. Consejo Económico y</w:t>
        <w:br/>
        <w:t>Social. Comisión de Derechos Humanos. 61º Período de sesiones. Tema 17 del</w:t>
        <w:br/>
        <w:t>programa provisional. Promoción y Protección de los Derechos Humanos.</w:t>
        <w:br/>
        <w:t>Impunidad. Informe de Diane Orentlicher, experta independiente encargada de</w:t>
        <w:br/>
        <w:t>actualizar el conjunto de principios para la lucha contra la impunidad.</w:t>
        <w:br/>
        <w:t>Adición. Conjunto de principios actualizado para la protección y la</w:t>
        <w:br/>
        <w:t>promoción de los derechos humanos mediante la lucha contra la impunidad.</w:t>
        <w:br/>
        <w:t>E/CN.4/2005/102/Add.1. 8 de febrero de 2005. Principio 23. (Haciendo cita</w:t>
        <w:br/>
        <w:t>del documento mencionado, la perito Cath Collins expresó que “tratándose de</w:t>
        <w:br/>
        <w:t>crímenes de lesa humanidad, la imprescriptibilidad de acciones penales</w:t>
        <w:br/>
        <w:t>debería de hacerse extensiva a las acciones civiles”. (Declaración pericial</w:t>
        <w:br/>
        <w:t>de Cath Collins, supra). En relación específica con actos de tortura, el</w:t>
        <w:br/>
        <w:t>Comité contra la Tortura de Naciones Unidas ha dicho que “[h]abida cuenta</w:t>
        <w:br/>
        <w:t>de que la tortura surte efectos permanentes, no debe estar sujeta a</w:t>
        <w:br/>
        <w:t>prescripción, pues con ello se privaría a las víctimas de la reparación, la</w:t>
        <w:br/>
        <w:t>indemnización y la rehabilitación a que tienen derecho. […] Los Estados […]</w:t>
        <w:br/>
        <w:t>han de velar por que todas las víctimas de tortura o malos tratos,</w:t>
        <w:br/>
        <w:t>independientemente de cuándo haya tenido lugar la violación y de si fue</w:t>
        <w:br/>
        <w:t>cometida por un régimen anterior o con su consentimiento, puedan ejercer su</w:t>
        <w:br/>
        <w:t>derecho a un recurso efectivo y a obtener reparación”. (Comité contra la</w:t>
        <w:br/>
        <w:t>Tortura. Observación General Nº 3 (2012), supra, párr. 40).</w:t>
        <w:br/>
        <w:br/>
        <w:t>[219] El artículo 22 de la Convención establece, en lo conducente:</w:t>
        <w:br/>
        <w:t>“5. Nadie puede  ser  expulsado  del  territorio  del  Estado  del  cual  es</w:t>
        <w:br/>
        <w:t>nacional, ni ser privado del derecho a ingresar en el mismo”.</w:t>
        <w:br/>
        <w:t>[…]</w:t>
        <w:br/>
        <w:br/>
        <w:t>[220] Cfr.  Caso  “Cinco  Pensionistas”  Vs.  Perú.  Fondo,  Reparaciones  y</w:t>
        <w:br/>
        <w:t>Costas. Sentencia de 28 de febrero de 2003. Serie C No.  98,  párr.  155,  y</w:t>
        <w:br/>
        <w:t>Caso Suárez Peralta Vs. Ecuador, supra, párr. 19.</w:t>
        <w:br/>
        <w:br/>
        <w:t>[221] Cfr. Caso Velásquez Rodríguez Vs.  Honduras.  Reparaciones  y  Costas,</w:t>
        <w:br/>
        <w:t>supra, párr. 25, y Caso Suárez Peralta Vs. Ecuador, supra, párr. 161.</w:t>
        <w:br/>
        <w:br/>
        <w:t>[222] Cfr. Caso Ticona Estrada y otros Vs.  Bolivia,  supra,  párr.  110,  y</w:t>
        <w:br/>
        <w:t>Caso Suárez Peralta Vs. Ecuador, supra, párr. 163.</w:t>
        <w:br/>
        <w:br/>
        <w:t>[223] Cfr. Caso Velásquez Rodríguez Vs.  Honduras.  Reparaciones  y  Costas,</w:t>
        <w:br/>
        <w:t>supra, párrs. 25 a 27, y Caso Suárez Peralta Vs. Ecuador, supra, párr. 162.</w:t>
        <w:br/>
        <w:br/>
        <w:t>[224] Cfr. Caso Neira Alegría y  otros  Vs.  Perú.  Reparaciones  y  Costas.</w:t>
        <w:br/>
        <w:t>Sentencia de 19 de septiembre de 1996. Serie C No.  29,  párr.  56,  y  Caso</w:t>
        <w:br/>
        <w:t>Suárez Peralta Vs. Ecuador, supra, párr. 177.</w:t>
        <w:br/>
        <w:br/>
        <w:t>[225]  Cfr.  Caso  Cantoral  Benavides  Vs.  Perú.  Reparaciones  y  Costas.</w:t>
        <w:br/>
        <w:t>Sentencia de 3 de diciembre de 2001. Serie  C  No.  88,  párr.  79,  y  Caso</w:t>
        <w:br/>
        <w:t>Suárez Peralta Vs. Ecuador, supra, párr. 189.</w:t>
        <w:br/>
        <w:br/>
        <w:t>[226] Sobre la caracterización del señor García Lucero como persona en</w:t>
        <w:br/>
        <w:t>situación de vulnerabilidad, puede señalarse que el Protocolo a la</w:t>
        <w:br/>
        <w:t>Convención Americana sobre Derechos Humanos en materia de Derechos</w:t>
        <w:br/>
        <w:t>Económicos Sociales y Culturales, “Protocolo de San Salvador”, indica, en</w:t>
        <w:br/>
        <w:t>sus artículos 17 y 18, la pertinencia de la “protección” a los “ancianos” y</w:t>
        <w:br/>
        <w:t>“minusválidos”. Además, la Asamblea General de las Naciones Unidas adoptó</w:t>
        <w:br/>
        <w:t>el 16 de diciembre de 1991 los “Principios de las Naciones Unidas en favor</w:t>
        <w:br/>
        <w:t>de las personas de edad” (Resolución 46/91).</w:t>
        <w:br/>
        <w:t>[227] Cfr.  Caso Bámaca Velásquez  Vs.  Guatemala.  Reparaciones  y  Costas.</w:t>
        <w:br/>
        <w:t>Sentencia de 22 de febrero de 2002. Serie C No. 91, párr. 43, y Caso  Suárez</w:t>
        <w:br/>
        <w:t>Peralta Vs. Ecuador, supra, párr. 212.</w:t>
        <w:br/>
        <w:br/>
        <w:t>[228] Cfr. Caso de los “Niños de la Calle” (Villagrán Morales y  otros)  Vs.</w:t>
        <w:br/>
        <w:t>Guatemala. Reparaciones y Costas. Sentencia de 26 de mayo de 2001.  Serie  C</w:t>
        <w:br/>
        <w:t>No.  77,  párr.  84,  y  Caso  Suárez  Peralta  Vs.   Ecuador.   Excepciones</w:t>
        <w:br/>
        <w:t>Preliminares, Fondo y Reparaciones. Sentencia de 21 de mayo de  2013.  Serie</w:t>
        <w:br/>
        <w:t>C No. 261, párr. 212.</w:t>
        <w:br/>
        <w:br/>
        <w:t>[229] Cfr. Caso Furlan y Familiares Vs. Argentina. Excepciones</w:t>
        <w:br/>
        <w:t>Preliminares, Fondo, Reparaciones y Costas. Sentencia de 31 de agosto de</w:t>
        <w:br/>
        <w:t>2012. Serie C No. 246, párrs. 195 y 196. Allí se cita: “T.E.D.H., Caso</w:t>
        <w:br/>
        <w:t>Jablonská Vs. Polonia, (No.60225/00), Sentencia de 9 de marzo de 2004.</w:t>
        <w:br/>
        <w:t>Final, 9 de junio de 2004, párr. 43; Caso Codarcea Vs. Rumanía, (No.</w:t>
        <w:br/>
        <w:t>31675/04), Sentencia de 2 de junio de 2009. Final, 2 de septiembre de 2009,</w:t>
        <w:br/>
        <w:t>párr. 89. Asimismo, Caso Styranowski Vs. Polonia, (No. 28616/95), Sentencia</w:t>
        <w:br/>
        <w:t>de 30 de octubre de 1998, párr. 57, y Caso Krzak Vs. Polonia, (No.</w:t>
        <w:br/>
        <w:t>51515/99), Sentencia de 6 de abril de 2004. Final, 7 de julio de 2004,</w:t>
        <w:br/>
        <w:t>párr. 42”.</w:t>
        <w:br/>
        <w:br/>
        <w:t>[230] Cfr. Caso Garrido y Baigorria Vs. Argentina.  Reparaciones  y  Costas.</w:t>
        <w:br/>
        <w:t>Sentencia de 27 de agosto de 1998. Serie C No. 39, párr. 79, y  Caso  Suárez</w:t>
        <w:br/>
        <w:t>Peralta Vs. Ecuador, supra, párr. 217.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