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t xml:space="preserve">                   CASO VELIZ FRANCO Y OTROS VS. GUATEMALA</w:t>
        <w:br/>
        <w:br/>
        <w:t xml:space="preserve">                       SENTENCIA DE 19 DE MAYO DE 2014</w:t>
        <w:br/>
        <w:br/>
        <w:t xml:space="preserve">          (Excepciones Preliminares, Fondo, Reparaciones y Costas)</w:t>
        <w:br/>
        <w:br/>
        <w:br/>
        <w:br/>
        <w:br/>
        <w:br/>
        <w:t>En el caso Veliz Franco y otros,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br/>
        <w:t>presentes además,</w:t>
        <w:br/>
        <w:t>Pablo Saavedra Alessandri, Secretario, y</w:t>
        <w:br/>
        <w:t>Emilia Segares Rodríguez, Secretaria Adjunta,</w:t>
        <w:br/>
        <w:br/>
        <w:br/>
        <w:br/>
        <w:t>de conformidad con los artículos 62.3 y 63.1 de  la  Convención  Americana</w:t>
        <w:br/>
        <w:t>sobre Derechos Humanos (en adelante también “la  Convención  Americana”  o</w:t>
        <w:br/>
        <w:t>“la Convención”) y con los artículos 31, 32, 42, 65 y 67 del Reglamento de</w:t>
        <w:br/>
        <w:t>la  Corte  (en  adelante  también  “el  Reglamento”),  dicta  la  presente</w:t>
        <w:br/>
        <w:t>Sentencia, que se estructura en el siguiente orden: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Tabla de contenido</w:t>
        <w:br/>
        <w:br/>
        <w:br/>
        <w:t>I INTRODUCCIÓN DE LA CAUSA Y OBJETO DE LA CONTROVERSIA  5</w:t>
        <w:br/>
        <w:t>II PROCEDIMIENTO ANTE LA CORTE    7</w:t>
        <w:br/>
        <w:t>III CONSIDERACIONES PREVIAS 9</w:t>
        <w:br/>
        <w:t>A.    Aceptación de hechos del Estado en el trámite ante la Comisión    9</w:t>
        <w:br/>
        <w:t>A.1) Argumentos de las partes y la Comisión  9</w:t>
        <w:br/>
        <w:t>A.2) Consideraciones de la Corte  10</w:t>
        <w:br/>
        <w:t>B.    Respecto del marco fáctico  11</w:t>
        <w:br/>
        <w:t>C.    Sobre la determinación de las presuntas víctimas  12</w:t>
        <w:br/>
        <w:t>IV COMPETENCIA   13</w:t>
        <w:br/>
        <w:t>V EXCEPCIONES PRELIMINARES DE FALTA DE COMPETENCIA Y NO AGOTAMIENTO DE LOS</w:t>
        <w:br/>
        <w:t>RECURSOS INTERNOS      13</w:t>
        <w:br/>
        <w:t>A.    Excepción preliminar de falta de competencia material sobre el</w:t>
        <w:br/>
        <w:t>artículo 7 de la Convención de Belém do Pará 13</w:t>
        <w:br/>
        <w:t>A.1) Argumentos de las partes y la Comisión  13</w:t>
        <w:br/>
        <w:t>A.2) Consideraciones de la Corte  14</w:t>
        <w:br/>
        <w:t>B.    Excepción preliminar de no de agotamiento de recursos internos    15</w:t>
        <w:br/>
        <w:t>B.1) Argumentos de las partes y la Comisión  15</w:t>
        <w:br/>
        <w:t>B.2) Consideraciones de la Corte  16</w:t>
        <w:br/>
        <w:t>VI PRUEBA   17</w:t>
        <w:br/>
        <w:t>A.    Prueba documental, declaraciones de las presuntas víctimas,</w:t>
        <w:br/>
        <w:t>testimonial y pericial 17</w:t>
        <w:br/>
        <w:t>B.    Admisión de la prueba documental 17</w:t>
        <w:br/>
        <w:t>C.    Prueba procurada de oficio por la Corte     18</w:t>
        <w:br/>
        <w:t>D.    Admisión de la declaración de las presuntas víctimas, prueba</w:t>
        <w:br/>
        <w:t>testimonial y pericial presentada mediante declaración rendida ante</w:t>
        <w:br/>
        <w:t>fedatario público      20</w:t>
        <w:br/>
        <w:t>E.    Admisión de la declaración de la presunta víctima y prueba pericial</w:t>
        <w:br/>
        <w:t>rendida en audiencia pública      22</w:t>
        <w:br/>
        <w:t>VII HECHOS  23</w:t>
        <w:br/>
        <w:t>A.    Contexto   23</w:t>
        <w:br/>
        <w:t>A.1) Introducción      23</w:t>
        <w:br/>
        <w:t>A.2) Sobre la prueba de la situación de contexto  24</w:t>
        <w:br/>
        <w:t>A.3) La violencia homicida en Guatemala en 2001 y su especificidad y</w:t>
        <w:br/>
        <w:t>evolución en relación con víctimas mujeres.  26</w:t>
        <w:br/>
        <w:t>A.4) Sobre la actuación del Estado en la investigación de homicidios</w:t>
        <w:br/>
        <w:t>cometidos contra mujeres    30</w:t>
        <w:br/>
        <w:t>B.    Hechos del caso  33</w:t>
        <w:br/>
        <w:t>B.1) María Isabel Veliz Franco    34</w:t>
        <w:br/>
        <w:t>B.2) Denuncia de desaparición y diligencias iniciales   34</w:t>
        <w:br/>
        <w:t>B.3) Actuaciones posteriores      38</w:t>
        <w:br/>
        <w:t>VIII DERECHOS A LA VIDA, A LA INTEGRIDAD PERSONAL Y A LA LIBERTAD PERSONAL,</w:t>
        <w:br/>
        <w:t>EN RELACIÓN CON LOS DERECHOS DEL NIÑO, Y LAS OBLIGACIONES DE RESPETAR Y</w:t>
        <w:br/>
        <w:t>GARANTIZAR LOS DERECHOS SIN DISCRIMINACIÓN, Y PREVENIR LA VIOLENCIA CONTRA</w:t>
        <w:br/>
        <w:t>LA MUJER    48</w:t>
        <w:br/>
        <w:t>A.    Argumentos de la Comisión y de las partes   48</w:t>
        <w:br/>
        <w:t>B.    Consideraciones de la Corte 50</w:t>
        <w:br/>
        <w:t>B.1) Obligaciones de garantía     51</w:t>
        <w:br/>
        <w:t>B.1.1. Existencia de una situación de riesgo en perjuicio de María Isabel</w:t>
        <w:br/>
        <w:t>Veliz Franco     54</w:t>
        <w:br/>
        <w:t>B.1.2. Posibilidades de una actuación estatal diligente para prevenir el</w:t>
        <w:br/>
        <w:t>riesgo y su concreción 57</w:t>
        <w:br/>
        <w:t>B.2) Conclusión  58</w:t>
        <w:br/>
        <w:t>IX GARANTÍAS JUDICIALES, IGUALDAD ANTE LA LEY y PROTECCIÓN JUDICIAL, EN</w:t>
        <w:br/>
        <w:t>RELACIÓN CON LAS OBLIGACIONES GENERALES DE RESPETAR Y GARANTIZAR LOS</w:t>
        <w:br/>
        <w:t>DERECHOS Y ADOPTAR DISPOSICIONES DE DERECHO INTERNO Y CON EL DEBER DE</w:t>
        <w:br/>
        <w:t>PREVENIR, SANCIONAR Y ERRADICAR LA VIOLENCIA CONTRA LA MUJER 59</w:t>
        <w:br/>
        <w:t>A.    Argumentos de la Comisión y de las partes   59</w:t>
        <w:br/>
        <w:t>B.    Consideraciones de la Corte 63</w:t>
        <w:br/>
        <w:t>B.1) Irregularidades a partir del hallazgo del cuerpo de María Isabel, y</w:t>
        <w:br/>
        <w:t>posteriores actuaciones de los funcionarios estatales (resguardo del lugar</w:t>
        <w:br/>
        <w:t>del hallazgo, inspección ocular, acta de levantamiento de cadáver, cadena</w:t>
        <w:br/>
        <w:t>de custodia de las evidencias, autopsia, y peritajes)   67</w:t>
        <w:br/>
        <w:t>B.2) Seguimiento de llamadas telefónicas     72</w:t>
        <w:br/>
        <w:t>B.3) Falta de adopción de medidas cautelares respecto a un sospechoso   73</w:t>
        <w:br/>
        <w:t>B.4) Discriminación y falta de investigación con perspectiva de género  73</w:t>
        <w:br/>
        <w:t>B.5) Plazo razonable   76</w:t>
        <w:br/>
        <w:t>C.    Conclusión 79</w:t>
        <w:br/>
        <w:t>X DERECHO A LA INTEGRIDAD PERSONAL DE LOS FAMILIARES, EN RELACION CON LAS</w:t>
        <w:br/>
        <w:t>OBLIGACIONES DE RESPETAR Y GARANTIZAR LOS DERECHOS      80</w:t>
        <w:br/>
        <w:t>A.    Argumentos de la Comisión y de las partes   80</w:t>
        <w:br/>
        <w:t>B.    Consideraciones de la Corte 81</w:t>
        <w:br/>
        <w:t>XI REPARACIONES  83</w:t>
        <w:br/>
        <w:t>A.    Parte Lesionada  83</w:t>
        <w:br/>
        <w:t>B. Obligación de investigar los hechos e identificar y, en su caso,</w:t>
        <w:br/>
        <w:t>sancionar a los responsables      83</w:t>
        <w:br/>
        <w:t>B.1) Argumentos de la Comisión y de las partes    83</w:t>
        <w:br/>
        <w:t>B.2) Consideraciones de la Corte  84</w:t>
        <w:br/>
        <w:t>C. Medidas de satisfacción  84</w:t>
        <w:br/>
        <w:t>C.1) Argumentos de la Comisión y de las partes    84</w:t>
        <w:br/>
        <w:t>C.2) Consideraciones de la Corte  85</w:t>
        <w:br/>
        <w:t>C.2.1. Publicación de la Sentencia     85</w:t>
        <w:br/>
        <w:t>C.2.2. Acto de disculpas públicas 86</w:t>
        <w:br/>
        <w:t>C.2.3. Otras medidas solicitadas  86</w:t>
        <w:br/>
        <w:t>D. Garantías de no repetición     86</w:t>
        <w:br/>
        <w:t>D.1) Solicitud de fortalecer la capacidad institucional para combatir la</w:t>
        <w:br/>
        <w:t>impunidad frente a casos de violencia contra las mujeres y  garantizar que</w:t>
        <w:br/>
        <w:t>los dichos casos sean adecuadamente prevenidos, investigados, sancionados y</w:t>
        <w:br/>
        <w:t>reparados   86</w:t>
        <w:br/>
        <w:t>D.1.1. Argumentos de la Comisión y el Estado 86</w:t>
        <w:br/>
        <w:t>D.1.2. Consideraciones de la Corte     87</w:t>
        <w:br/>
        <w:t>D.2) Adopción de políticas públicas y programas institucionales integrados</w:t>
        <w:br/>
        <w:t>destinados a eliminar los estereotipos discriminatorios sobre el rol de las</w:t>
        <w:br/>
        <w:t>mujeres y promover la erradicación de patrones socioculturales</w:t>
        <w:br/>
        <w:t>discriminatorios que impiden su acceso pleno a la justicia   90</w:t>
        <w:br/>
        <w:t>D.2.1. Argumentos de la Comisión y las partes     90</w:t>
        <w:br/>
        <w:t>D.2.2.Consideraciones de la Corte 90</w:t>
        <w:br/>
        <w:t>E. Atención y tratamientos médicos y psicológicos adecuados  91</w:t>
        <w:br/>
        <w:t>E.1) Argumentos de la representante y el Estado   91</w:t>
        <w:br/>
        <w:t>E.2) Consideraciones de la Corte  92</w:t>
        <w:br/>
        <w:t>F. Indemnización por daños materiales e inmateriales.   92</w:t>
        <w:br/>
        <w:t>F.1) Introducción      92</w:t>
        <w:br/>
        <w:t>F.2) Argumentos de las partes     92</w:t>
        <w:br/>
        <w:t>F.3) Consideraciones de la Corte  95</w:t>
        <w:br/>
        <w:t>G. Costas y gastos     96</w:t>
        <w:br/>
        <w:t>G.1) Argumentos de la representante y el Estado   96</w:t>
        <w:br/>
        <w:t>G.2) Consideraciones de la Corte  97</w:t>
        <w:br/>
        <w:t>H. Reintegro de los gastos al Fondo de Asistencia Legal de Víctimas     97</w:t>
        <w:br/>
        <w:t>I. Modalidad de cumplimiento de los pagos ordenados     99</w:t>
        <w:br/>
        <w:t>XII PUNTOS RESOLUTIVOS 100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I</w:t>
        <w:br/>
        <w:br/>
        <w:br/>
        <w:br/>
        <w:br/>
        <w:br/>
        <w:t>INTRODUCCIÓN DE LA CAUSA Y OBJETO DE LA CONTROVERSIA</w:t>
        <w:br/>
        <w:br/>
        <w:br/>
        <w:t xml:space="preserve"> 1. El caso sometido a la Corte. – El 3 de mayo de 2012, de conformidad con</w:t>
        <w:br/>
        <w:t xml:space="preserve">    lo dispuesto en los artículos 51 y 61 de la Convención Americana  y  el</w:t>
        <w:br/>
        <w:t xml:space="preserve">    artículo 35 del Reglamento de la Corte, la Comisión  Interamericana  de</w:t>
        <w:br/>
        <w:t xml:space="preserve">    Derechos Humanos (en adelante también “la  Comisión  Interamericana”  o</w:t>
        <w:br/>
        <w:t xml:space="preserve">    “la Comisión”) sometió a la  jurisdicción  de  la  Corte  (en  adelante</w:t>
        <w:br/>
        <w:t xml:space="preserve">    “escrito de sometimiento”) el caso  Veliz  Franco  y  otros  contra  la</w:t>
        <w:br/>
        <w:t xml:space="preserve">    República de Guatemala (en adelante también “el Estado” o “Guatemala”).</w:t>
        <w:br/>
        <w:t xml:space="preserve">    De acuerdo con lo  señalado  por  la  Comisión,  el  presente  caso  se</w:t>
        <w:br/>
        <w:t xml:space="preserve">    relaciona con la falta de respuesta eficaz del  Estado  a  la  denuncia</w:t>
        <w:br/>
        <w:t xml:space="preserve">    presentada el 17 de diciembre de 2001 por Rosa Elvira  Franco  Sandoval</w:t>
        <w:br/>
        <w:t xml:space="preserve">    (en adelante también “Rosa Elvira Franco” o “señora Franco Sandoval”  o</w:t>
        <w:br/>
        <w:t xml:space="preserve">    “señora  Franco”)  ante  el  Ministerio  Público  para   denunciar   la</w:t>
        <w:br/>
        <w:t xml:space="preserve">    desaparición de su hija, María Isabel Veliz Franco (en adelante también</w:t>
        <w:br/>
        <w:t xml:space="preserve">    “María Isabel Veliz” o “María  Isabel”  o  “la  niña”  o  “la  presunta</w:t>
        <w:br/>
        <w:t xml:space="preserve">    víctima”), de 15 años de edad, así como las posteriores falencias en la</w:t>
        <w:br/>
        <w:t xml:space="preserve">    investigación de  los  hechos.  En  dicha  denuncia  la  señora  Franco</w:t>
        <w:br/>
        <w:t xml:space="preserve">    Sandoval manifestó que el 16 de diciembre de 2001 su hija salió  de  su</w:t>
        <w:br/>
        <w:t xml:space="preserve">    casa a las ocho de la mañana hacia su trabajo y no regresó. La Comisión</w:t>
        <w:br/>
        <w:t xml:space="preserve">    indicó que no hay constancias en cuanto  a  esfuerzos  realizados  para</w:t>
        <w:br/>
        <w:t xml:space="preserve">    buscar a la víctima desde que se presentó la  denuncia,  hasta  que  se</w:t>
        <w:br/>
        <w:t xml:space="preserve">    encontró el cadáver a las 14:00 horas del  18  de  diciembre  de  2001.</w:t>
        <w:br/>
        <w:t xml:space="preserve">    Asimismo, señaló que existieron una serie de irregularidades durante la</w:t>
        <w:br/>
        <w:t xml:space="preserve">    investigación de la desaparición y posterior muerte[1] de María  Isabel</w:t>
        <w:br/>
        <w:t xml:space="preserve">    Veliz Franco, entre  las  que  destacan  la  falta  de  realización  de</w:t>
        <w:br/>
        <w:t xml:space="preserve">    diligencias  cuando  fue  reportada  desaparecida  y   fallas   en   la</w:t>
        <w:br/>
        <w:t xml:space="preserve">    preservación de la escena del  crimen,  así  como  deficiencias  en  el</w:t>
        <w:br/>
        <w:t xml:space="preserve">    manejo y análisis de la evidencia recolectada.</w:t>
        <w:br/>
        <w:br/>
        <w:t>2.    Trámite ante la Comisión. – El  trámite  ante  la  Comisión  fue  el</w:t>
        <w:br/>
        <w:t>siguiente:</w:t>
        <w:br/>
        <w:br/>
        <w:t xml:space="preserve">          a. Petición.- El 26 de enero de  2004  la  Comisión  recibió  la</w:t>
        <w:br/>
        <w:t xml:space="preserve">             petición presentada por la señora Franco Sandoval, el  Centro</w:t>
        <w:br/>
        <w:t xml:space="preserve">             por la Justicia  y  el  Derecho  Internacional  (en  adelante</w:t>
        <w:br/>
        <w:t xml:space="preserve">             “CEJIL”) y la Red de  No  Violencia  contra  las  Mujeres  en</w:t>
        <w:br/>
        <w:t xml:space="preserve">             Guatemala (en adelante “REDNOVI”).</w:t>
        <w:br/>
        <w:br/>
        <w:t xml:space="preserve">          b. Informe de Admisibilidad.-  El  21  de  octubre  de  2006  la</w:t>
        <w:br/>
        <w:t xml:space="preserve">             Comisión aprobó el Informe de Admisibilidad No. 92/06[2]  (en</w:t>
        <w:br/>
        <w:t xml:space="preserve">             adelante también “Informe de Admisibilidad”).</w:t>
        <w:br/>
        <w:br/>
        <w:t xml:space="preserve">          c. Informe de Fondo.- El 3 de  noviembre  de  2011  la  Comisión</w:t>
        <w:br/>
        <w:t xml:space="preserve">             aprobó el Informe de Fondo No. 170/11  (en  adelante  también</w:t>
        <w:br/>
        <w:t xml:space="preserve">             “Informe de Fondo”), de conformidad con el artículo 50 de  la</w:t>
        <w:br/>
        <w:t xml:space="preserve">             Convención, en el cual llegó a una serie  de  conclusiones  y</w:t>
        <w:br/>
        <w:t xml:space="preserve">             formuló varias recomendaciones al Estado.</w:t>
        <w:br/>
        <w:t xml:space="preserve">    i.  Conclusiones.-  La Comisión concluyó que, en  perjuicio  de  María</w:t>
        <w:br/>
        <w:t xml:space="preserve">       Isabel Veliz Franco, el Estado era responsable de:</w:t>
        <w:br/>
        <w:br/>
        <w:t xml:space="preserve">           las violaciones al derecho a la vida, integridad personal y los</w:t>
        <w:br/>
        <w:t xml:space="preserve">           derechos del niño, consagrados en los artículos 4, 5, y  19  de</w:t>
        <w:br/>
        <w:t xml:space="preserve">           la  Convención  Americana,  todos  ellos  en  conexión  con  el</w:t>
        <w:br/>
        <w:t xml:space="preserve">           artículo 1.1 de dicho tratado.  Igualmente  concluy[ó]  que  el</w:t>
        <w:br/>
        <w:t xml:space="preserve">           Estado menoscabó los derechos de María Isabel Veliz Franco bajo</w:t>
        <w:br/>
        <w:t xml:space="preserve">           el artículo 7 de la Convención de Belém do Pará[,] en  relación</w:t>
        <w:br/>
        <w:t xml:space="preserve">           con  el  artículo  24  de   la   Convención   Americana[,]   en</w:t>
        <w:br/>
        <w:t xml:space="preserve">           concordancia con la obligación general de respetar y garantizar</w:t>
        <w:br/>
        <w:t xml:space="preserve">           los derechos prevista en el artículo 1.1.</w:t>
        <w:br/>
        <w:br/>
        <w:br/>
        <w:t xml:space="preserve">     De igual forma, la Comisión concluyó que el Estado:</w:t>
        <w:br/>
        <w:br/>
        <w:br/>
        <w:t xml:space="preserve">           violó el derecho a la  integridad  personal  consagrado  en  el</w:t>
        <w:br/>
        <w:t xml:space="preserve">           artículo 5.1 de la Convención, en conexión  con  la  obligación</w:t>
        <w:br/>
        <w:t xml:space="preserve">           que le impone al Estado el artículo 1.1 de  dicho  tratado,  en</w:t>
        <w:br/>
        <w:t xml:space="preserve">           perjuicio de Rosa Elvira  Franco  Sandoval  de  Veliz  (madre),</w:t>
        <w:br/>
        <w:t xml:space="preserve">           Leonel Enrique Veliz (hermano), José Roberto Franco (hermano) y</w:t>
        <w:br/>
        <w:t xml:space="preserve">           Cruz Elvira Sandoval Polanco de Franco  (abuela,  fallecida)  y</w:t>
        <w:br/>
        <w:t xml:space="preserve">           Roberto Franco Pérez (abuelo, fallecido), así como el derecho a</w:t>
        <w:br/>
        <w:t xml:space="preserve">           las  garantías  y  protección  judicial  consagrados   en   los</w:t>
        <w:br/>
        <w:t xml:space="preserve">           artículos 8.1 y 25 de la Convención  Americana[,]  en  relación</w:t>
        <w:br/>
        <w:t xml:space="preserve">           con el artículo 24 del mismo instrumento y en relación  con  la</w:t>
        <w:br/>
        <w:t xml:space="preserve">           obligación que impone al Estado el artículo 1.1.</w:t>
        <w:br/>
        <w:br/>
        <w:t xml:space="preserve">      ii. Recomendaciones.-</w:t>
        <w:br/>
        <w:br/>
        <w:br/>
        <w:t xml:space="preserve">        1. Completar la investigación de manera oportuna, inmediata, seria</w:t>
        <w:br/>
        <w:t xml:space="preserve">           e imparcial con el objeto de esclarecer el asesinato  de  María</w:t>
        <w:br/>
        <w:t xml:space="preserve">           Isabel Veliz  Franco  e  identificar,  juzgar  y,  en  su  caso</w:t>
        <w:br/>
        <w:t xml:space="preserve">           sancionar a los responsables.</w:t>
        <w:br/>
        <w:t xml:space="preserve">        2. Reparar plenamente a  los  familiares  de  María  Isabel  Veliz</w:t>
        <w:br/>
        <w:t xml:space="preserve">           Franco  por  las  violaciones  de  los  derechos  humanos   […]</w:t>
        <w:br/>
        <w:t xml:space="preserve">           establecidos.</w:t>
        <w:br/>
        <w:t xml:space="preserve">        3. Implementar como medida de no repetición, una política  estatal</w:t>
        <w:br/>
        <w:t xml:space="preserve">           integral  y  coordinada,  respaldada  con   recursos   públicos</w:t>
        <w:br/>
        <w:t xml:space="preserve">           adecuados, para garantizar que  en  los  casos  específicos  de</w:t>
        <w:br/>
        <w:t xml:space="preserve">           violencia contra las mujeres,  sean  adecuadamente  prevenidos,</w:t>
        <w:br/>
        <w:t xml:space="preserve">           investigados, sancionados y reparados.</w:t>
        <w:br/>
        <w:t xml:space="preserve">        4. Adoptar reformas en los programas educativos del Estado,  desde</w:t>
        <w:br/>
        <w:t xml:space="preserve">           la etapa formativa y temprana, para promover el respeto de  las</w:t>
        <w:br/>
        <w:t xml:space="preserve">           mujeres como iguales, así como el respeto de sus derechos a  la</w:t>
        <w:br/>
        <w:t xml:space="preserve">           no violencia y a la no discriminación.</w:t>
        <w:br/>
        <w:t xml:space="preserve">        5. Investigar las irregularidades en la investigación del caso que</w:t>
        <w:br/>
        <w:t xml:space="preserve">           se hayan cometido por agentes del  Estado  y  sancionar  a  los</w:t>
        <w:br/>
        <w:t xml:space="preserve">           responsables.</w:t>
        <w:br/>
        <w:t xml:space="preserve">        6.  Fortalecer  la  capacidad  institucional  para   combatir   la</w:t>
        <w:br/>
        <w:t xml:space="preserve">           impunidad frente a casos de  violencia  contra  las  mujeres  a</w:t>
        <w:br/>
        <w:t xml:space="preserve">           través  de  las  investigaciones   criminales   efectivas   con</w:t>
        <w:br/>
        <w:t xml:space="preserve">           perspectiva de  género,  que  tengan  un  seguimiento  judicial</w:t>
        <w:br/>
        <w:t xml:space="preserve">           constante, garantizando así una adecuada sanción y reparación.</w:t>
        <w:br/>
        <w:t xml:space="preserve">        7. Implementar  medidas  y  campañas  de  difusión  destinadas  al</w:t>
        <w:br/>
        <w:t xml:space="preserve">           público en general sobre el deber de respetar y garantizar  los</w:t>
        <w:br/>
        <w:t xml:space="preserve">           derechos de las niñas y los niños.</w:t>
        <w:br/>
        <w:t xml:space="preserve">        8.  Adoptar  políticas  públicas   y   programas   institucionales</w:t>
        <w:br/>
        <w:t xml:space="preserve">           integrales   destinados    a    eliminar    los    estereotipos</w:t>
        <w:br/>
        <w:t xml:space="preserve">           discriminatorios sobre el rol de  las  mujeres  y  promover  la</w:t>
        <w:br/>
        <w:t xml:space="preserve">           erradicación de peticiones socioculturales discriminatorios que</w:t>
        <w:br/>
        <w:t xml:space="preserve">           impiden su acceso pleno a la justicia, que  incluyan  programas</w:t>
        <w:br/>
        <w:t xml:space="preserve">           de  capacitación  para  funcionarios  públicos  en  todos   los</w:t>
        <w:br/>
        <w:t xml:space="preserve">           sectores del Estado, incluyendo el sector educación, las  ramas</w:t>
        <w:br/>
        <w:t xml:space="preserve">           de  administración  de  justicia  y  la  policía  y   políticas</w:t>
        <w:br/>
        <w:t xml:space="preserve">           integrales de prevención.</w:t>
        <w:br/>
        <w:br/>
        <w:t xml:space="preserve"> 3. Notificación al Estado.- El Informe de Fondo fue notificado  al  Estado</w:t>
        <w:br/>
        <w:t xml:space="preserve">    el 3 de enero de 2012, y se le dio un plazo de dos meses para  informar</w:t>
        <w:br/>
        <w:t xml:space="preserve">    sobre el cumplimiento de las recomendaciones. El 13 de  marzo  de  2012</w:t>
        <w:br/>
        <w:t xml:space="preserve">    Guatemala presentó un  informe  sobre  el  avance  del  cumplimiento  y</w:t>
        <w:br/>
        <w:t xml:space="preserve">    solicitó una prórroga de un mes. La  Comisión  otorgó  dicha  prórroga,</w:t>
        <w:br/>
        <w:t xml:space="preserve">    solicitando al Estado que el 25 de marzo de 2012 presentara su informe.</w:t>
        <w:br/>
        <w:t xml:space="preserve">    El Estado no lo presentó en dicha fecha. El  2  de  mayo  de  2012  los</w:t>
        <w:br/>
        <w:t xml:space="preserve">    peticionarios informaron a la Comisión que, el 30 de marzo de  2012  el</w:t>
        <w:br/>
        <w:t xml:space="preserve">    Estado habría propuesto  a  la  señora  Franco  Sandoval  suscribir  un</w:t>
        <w:br/>
        <w:t xml:space="preserve">    acuerdo de solución amistosa. El 19 de abril de 2012 los  peticionarios</w:t>
        <w:br/>
        <w:t xml:space="preserve">    habían respondido al Estado que “ante la considerable demora en materia</w:t>
        <w:br/>
        <w:t xml:space="preserve">    de  justicia,  […]  no  consideraban  oportuno  firmar  un  acuerdo  de</w:t>
        <w:br/>
        <w:t xml:space="preserve">    cumplimiento  de  recomendaciones”.  Posteriormente,  en  respuesta  al</w:t>
        <w:br/>
        <w:t xml:space="preserve">    Informe  de  Fondo,  el  Estado  presentó  información  relativa  a  la</w:t>
        <w:br/>
        <w:t xml:space="preserve">    investigación y en general sobre las políticas públicas. Finalmente, la</w:t>
        <w:br/>
        <w:t xml:space="preserve">    Comisión concluyó que el Estado no  presentó  información  expresamente</w:t>
        <w:br/>
        <w:t xml:space="preserve">    relacionada con las recomendaciones.</w:t>
        <w:br/>
        <w:br/>
        <w:t xml:space="preserve"> 4. Sometimiento a la Corte.- El 3 de mayo de 2012 la Comisión,  sometió  a</w:t>
        <w:br/>
        <w:t xml:space="preserve">    la jurisdicción de la Corte la totalidad de los hechos y violaciones de</w:t>
        <w:br/>
        <w:t xml:space="preserve">    derechos humanos descritos en el Informe de Fondo. La Comisión  designó</w:t>
        <w:br/>
        <w:t xml:space="preserve">    como sus delegados ante la Corte a la Comisionada Dinah Shelton y a  su</w:t>
        <w:br/>
        <w:t xml:space="preserve">    entonces Secretario Ejecutivo, Santiago A. Canton. Asimismo, indicó que</w:t>
        <w:br/>
        <w:t xml:space="preserve">    Elizabeth Abi-Mershed, Secretaria Ejecutiva Adjunta, Isabel Madariaga y</w:t>
        <w:br/>
        <w:t xml:space="preserve">    Fiorella Melzi, actuarían como asesoras legales, así  como  también  la</w:t>
        <w:br/>
        <w:t xml:space="preserve">    entonces asesora legal Karla I. Quintana Osuna.</w:t>
        <w:br/>
        <w:br/>
        <w:t xml:space="preserve"> 5. Solicitudes de la Comisión Interamericana.- Con base en lo anterior, la</w:t>
        <w:br/>
        <w:t xml:space="preserve">    Comisión  solicitó  a  la  Corte   que   declare   la   responsabilidad</w:t>
        <w:br/>
        <w:t xml:space="preserve">    internacional del Estado por la violación de: a) el artículo  4  de  la</w:t>
        <w:br/>
        <w:t xml:space="preserve">    Convención; b) el artículo 5 de la Convención; c) el artículo 19 de  la</w:t>
        <w:br/>
        <w:t xml:space="preserve">    Convención, y d) el artículo 24 de la Convención y el artículo 7 de  la</w:t>
        <w:br/>
        <w:t xml:space="preserve">    Convención de Belém do Pará, todos ellos en relación  con  el  artículo</w:t>
        <w:br/>
        <w:t xml:space="preserve">    1.1 de la Convención, en perjuicio de María Isabel Veliz Franco. Además</w:t>
        <w:br/>
        <w:t xml:space="preserve">    solicitó que se declare la violación de:  a)  el  artículo  5.1  de  la</w:t>
        <w:br/>
        <w:t xml:space="preserve">    Convención; b) el artículo 8 de la Convención, y c) el artículo  25  de</w:t>
        <w:br/>
        <w:t xml:space="preserve">    la Convención, en relación  con  los  artículos  24  y  1.1  del  mismo</w:t>
        <w:br/>
        <w:t xml:space="preserve">    tratado, en perjuicio de la madre, hermanos y abuelos de María  Isabel.</w:t>
        <w:br/>
        <w:t xml:space="preserve">    Finalmente, solicitó a este Tribunal que ordenara diversas  medidas  de</w:t>
        <w:br/>
        <w:t xml:space="preserve">    reparación.</w:t>
        <w:br/>
        <w:br/>
        <w:br/>
        <w:t>II</w:t>
        <w:br/>
        <w:t>PROCEDIMIENTO ANTE LA CORTE</w:t>
        <w:br/>
        <w:br/>
        <w:br/>
        <w:t xml:space="preserve"> 6. Notificación al Estado y a las  representantes.-  El  sometimiento  del</w:t>
        <w:br/>
        <w:t xml:space="preserve">    caso fue notificado al Estado y a las representantes de  las  presuntas</w:t>
        <w:br/>
        <w:t xml:space="preserve">    víctimas mediante comunicación de 3 de julio de 2012[3].</w:t>
        <w:br/>
        <w:br/>
        <w:t xml:space="preserve"> 7. Escrito de solicitudes, argumentos y pruebas.- El 4  de  septiembre  de</w:t>
        <w:br/>
        <w:t xml:space="preserve">    2012 CEJIL y  REDNOVI  presentaron[4]  ante  la  Corte  su  escrito  de</w:t>
        <w:br/>
        <w:t xml:space="preserve">    solicitudes, argumentos y pruebas (en adelante escrito de solicitudes y</w:t>
        <w:br/>
        <w:t xml:space="preserve">    argumentos), conforme al  artículo  40  del  Reglamento  de  la  Corte.</w:t>
        <w:br/>
        <w:t xml:space="preserve">    Indicaron que compartían en lo fundamental los  planteamientos  de  los</w:t>
        <w:br/>
        <w:t xml:space="preserve">    hechos presentados por la Comisión, señalando  que  desarrollarían  con</w:t>
        <w:br/>
        <w:t xml:space="preserve">    mayor amplitud el contexto en el  cual  ocurrieron.  Agregaron  que  el</w:t>
        <w:br/>
        <w:t xml:space="preserve">    Estado faltó a su deber de prevención del  artículo  7  (Derecho  a  la</w:t>
        <w:br/>
        <w:t xml:space="preserve">    Libertad Personal) y alegaron el incumplimiento del artículo  2  (Deber</w:t>
        <w:br/>
        <w:t xml:space="preserve">    de Adoptar Disposiciones de  Derecho  Interno)  de  la  Convención.  No</w:t>
        <w:br/>
        <w:t xml:space="preserve">    alegaron la violación del artículo 24 (Igualdad ante la  Ley).  Además,</w:t>
        <w:br/>
        <w:t xml:space="preserve">    solicitaron a la Corte que ordenara diversas medidas de reparación. Por</w:t>
        <w:br/>
        <w:t xml:space="preserve">    último, la madre y los hermanos de María Isabel hicieron una  solicitud</w:t>
        <w:br/>
        <w:t xml:space="preserve">    de acogerse al Fondo de Asistencia Legal de Víctimas de  la  Corte  (en</w:t>
        <w:br/>
        <w:t xml:space="preserve">    adelante también “Fondo de Asistencia Legal de  Víctimas”  o  “Fondo”).</w:t>
        <w:br/>
        <w:t xml:space="preserve">    Posteriormente, el 8 de marzo de 2013 las representantes informaron  al</w:t>
        <w:br/>
        <w:t xml:space="preserve">    Tribunal  que  únicamente  REDNOVI  actuaría  como  representante   (en</w:t>
        <w:br/>
        <w:t xml:space="preserve">    adelante también “la representante”).</w:t>
        <w:br/>
        <w:br/>
        <w:t xml:space="preserve"> 8. Escrito de contestación.- El 18  de  diciembre  de  2012[5]  el  Estado</w:t>
        <w:br/>
        <w:t xml:space="preserve">    presentó  su  escrito  de  interposición   de   excepción   preliminar,</w:t>
        <w:br/>
        <w:t xml:space="preserve">    contestación al sometimiento del caso y de observaciones al escrito  de</w:t>
        <w:br/>
        <w:t xml:space="preserve">    solicitudes y argumentos (en adelante “escrito  de  contestación”).  En</w:t>
        <w:br/>
        <w:t xml:space="preserve">    dicho  escrito  interpuso  “la  excepción  preliminar   de   falta   de</w:t>
        <w:br/>
        <w:t xml:space="preserve">    agotamiento de recursos internos”, contestó en  sentido  negativo  cada</w:t>
        <w:br/>
        <w:t xml:space="preserve">    una de las alegadas  violaciones  presentadas  por  la  Comisión  y  la</w:t>
        <w:br/>
        <w:t xml:space="preserve">    representante, y  solicitó  que  se  determine  que  el  Estado  no  es</w:t>
        <w:br/>
        <w:t xml:space="preserve">    responsable internacionalmente. Además, el  Estado  hizo  un  “análisis</w:t>
        <w:br/>
        <w:t xml:space="preserve">    preliminar de competencia”, en el  cual  señaló  que  “no  reconoce  la</w:t>
        <w:br/>
        <w:t xml:space="preserve">    competencia  de  la  Corte  Interamericana  para  conocer  la  supuesta</w:t>
        <w:br/>
        <w:t xml:space="preserve">    violación del artículo 7 de la Convención de Belém do Pará”.  Asimismo,</w:t>
        <w:br/>
        <w:t xml:space="preserve">    planteó, en el marco de su “[a]nálisis de derecho [s]obre las supuestas</w:t>
        <w:br/>
        <w:t xml:space="preserve">    violaciones alegadas” una consideración relativa a la determinación  de</w:t>
        <w:br/>
        <w:t xml:space="preserve">    las “víctimas” en el Informe de Fondo de la Comisión.  Por  último,  el</w:t>
        <w:br/>
        <w:t xml:space="preserve">    Estado rechazó las medidas de reparación solicitadas. El Estado designó</w:t>
        <w:br/>
        <w:t xml:space="preserve">    al señor Rodrigo Villagrán Sandoval como  Agente[6],  y  a  Ema  Estela</w:t>
        <w:br/>
        <w:t xml:space="preserve">    Hernández Tuy de Iboy como Agente Alterna.</w:t>
        <w:br/>
        <w:br/>
        <w:t xml:space="preserve"> 9. Acogimiento al Fondo de  Asistencia  Legal.-  Mediante  Resolución  del</w:t>
        <w:br/>
        <w:t xml:space="preserve">    Presidente[7] de la Corte (en adelante “el Presidente”) de 8  de  enero</w:t>
        <w:br/>
        <w:t xml:space="preserve">    de 2013 se declaró procedente la solicitud presentada por las presuntas</w:t>
        <w:br/>
        <w:t xml:space="preserve">    víctimas, a través de sus representantes (supra párr. 7),  de  acogerse</w:t>
        <w:br/>
        <w:t xml:space="preserve">    al Fondo de Asistencia de la Corte.</w:t>
        <w:br/>
        <w:br/>
        <w:t>10. Observaciones a las excepciones preliminares.- Los días  21  y  22  de</w:t>
        <w:br/>
        <w:t xml:space="preserve">    febrero  de  2013  la  representante   y   la   Comisión   presentaron,</w:t>
        <w:br/>
        <w:t xml:space="preserve">    respectivamente,  sus   observaciones   a   la   excepción   preliminar</w:t>
        <w:br/>
        <w:t xml:space="preserve">    presentada.</w:t>
        <w:br/>
        <w:br/>
        <w:t>11. Convocatoria a audiencia pública.- Mediante Resolución de 10 de  abril</w:t>
        <w:br/>
        <w:t xml:space="preserve">    de 2013 el Presidente convocó a las partes a una audiencia pública  que</w:t>
        <w:br/>
        <w:t xml:space="preserve">    fue celebrada el 15 de mayo de 2013 durante el 99º Período Ordinario de</w:t>
        <w:br/>
        <w:t xml:space="preserve">    Sesiones de la Corte, el cual  tuvo  lugar  en  su  sede[8],  y  ordenó</w:t>
        <w:br/>
        <w:t xml:space="preserve">    recibir diversas declaraciones en el presente caso.</w:t>
        <w:br/>
        <w:br/>
        <w:t>12. Amici curiae.- El Tribunal recibió el 30 de mayo de 2013 dos  escritos</w:t>
        <w:br/>
        <w:t xml:space="preserve">    en calidad de amicus curiae: a) el  presentado  por  la  señora  Sorina</w:t>
        <w:br/>
        <w:t xml:space="preserve">    Macricini y los señores  Cristian  González  Chacó  y  Bruno  Rodríguez</w:t>
        <w:br/>
        <w:t xml:space="preserve">    Reveggio, de Notre Dame Law School, el cual a partir del apartado  VIII</w:t>
        <w:br/>
        <w:t xml:space="preserve">    se encuentra en inglés. La traducción correspondiente fue recibida  por</w:t>
        <w:br/>
        <w:t xml:space="preserve">    la Corte el 10 de junio de 2013, y b) el  presentado  por  las  señoras</w:t>
        <w:br/>
        <w:t xml:space="preserve">    Christine M. Venter, Ana-Paolo Calpado y Daniella Palmiotto,  de  Notre</w:t>
        <w:br/>
        <w:t xml:space="preserve">    Dame Law School en inglés.</w:t>
        <w:br/>
        <w:br/>
        <w:t>13. Alegatos y observaciones finales escritos.- El 15 de junio de 2013  la</w:t>
        <w:br/>
        <w:t xml:space="preserve">    representante remitió sus alegatos finales escritos y los días 15 y  18</w:t>
        <w:br/>
        <w:t xml:space="preserve">    de junio de 2013 lo hizo el Estado. Además,  en  dicha  oportunidad  el</w:t>
        <w:br/>
        <w:t xml:space="preserve">    Estado dio respuesta a las preguntas formuladas por los Jueces  durante</w:t>
        <w:br/>
        <w:t xml:space="preserve">    la audiencia pública y la representante se refirió de forma general  al</w:t>
        <w:br/>
        <w:t xml:space="preserve">    contexto. El 15 de los  mismos  mes  y  año  la  Comisión  remitió  sus</w:t>
        <w:br/>
        <w:t xml:space="preserve">    observaciones finales escritas. El  18  de  junio  de  2013  el  Estado</w:t>
        <w:br/>
        <w:t xml:space="preserve">    informó  que  había  modificado  su   escrito   de   alegatos   finales</w:t>
        <w:br/>
        <w:t xml:space="preserve">    primeramente subido al sitio informático dropbox, “debido  a  un  error</w:t>
        <w:br/>
        <w:t xml:space="preserve">    material en la numeración y la cita de las notas a pie de página”,  por</w:t>
        <w:br/>
        <w:t xml:space="preserve">    lo que solicitó que se verificará en el sitio el nuevo documento. El 19</w:t>
        <w:br/>
        <w:t xml:space="preserve">    de junio de 2013, mediante comunicación de la Secretaría  de  la  Corte</w:t>
        <w:br/>
        <w:t xml:space="preserve">    (en adelante “la Secretaría”) se informó al Estado que sería puesto  en</w:t>
        <w:br/>
        <w:t xml:space="preserve">    conocimiento del Presidente para los efectos pertinentes y advirtió  al</w:t>
        <w:br/>
        <w:t xml:space="preserve">    Estado “que una vez presentado un documento ante el Tribunal  no  puede</w:t>
        <w:br/>
        <w:t xml:space="preserve">    continuar siendo objeto de modificaciones”. El 20 de junio de  2013  el</w:t>
        <w:br/>
        <w:t xml:space="preserve">    Estado informó que ambas versiones de los alegatos finales escritos  se</w:t>
        <w:br/>
        <w:t xml:space="preserve">    encontraban disponibles en el enlace informático proporcionado para que</w:t>
        <w:br/>
        <w:t xml:space="preserve">    la Corte comparara ambos escritos, y reiteró  que  se  incurrió  en  un</w:t>
        <w:br/>
        <w:t xml:space="preserve">    error  material.  Los  escritos  de  alegatos  y  observaciones  fueron</w:t>
        <w:br/>
        <w:t xml:space="preserve">    trasmitidos a las partes y a la Comisión Interamericana el 2  de  julio</w:t>
        <w:br/>
        <w:t xml:space="preserve">    de 2013, y el Presidente les otorgó un plazo para que, a más tardar  el</w:t>
        <w:br/>
        <w:t xml:space="preserve">    15 de julio  de  2013,  presentaran  las  observaciones  que  estimaran</w:t>
        <w:br/>
        <w:t xml:space="preserve">    pertinentes a los anexos a dichos escritos.  En el  presente  caso,  el</w:t>
        <w:br/>
        <w:t xml:space="preserve">    Tribunal admite el segundo escrito de alegatos  finales  subido  en  el</w:t>
        <w:br/>
        <w:t xml:space="preserve">    sitio  informático  dropbox,  debido  a  que  los  cambios   realizados</w:t>
        <w:br/>
        <w:t xml:space="preserve">    constituyen  modificaciones  de  índole  material   referentes   a   la</w:t>
        <w:br/>
        <w:t xml:space="preserve">    numeración de las notas de pie de página, el cual considerará para  los</w:t>
        <w:br/>
        <w:t xml:space="preserve">    efectos de la presente Sentencia.</w:t>
        <w:br/>
        <w:br/>
        <w:t>14. Observaciones a los anexos adjuntos a los alegatos finales.- El 15  de</w:t>
        <w:br/>
        <w:t xml:space="preserve">    julio de 2013 tanto la Comisión como la representante  presentaron  sus</w:t>
        <w:br/>
        <w:t xml:space="preserve">    observaciones a los anexos presentados por  el  Estado  junto  con  los</w:t>
        <w:br/>
        <w:t xml:space="preserve">    alegatos finales escritos, no obstante hicieron otras observaciones. En</w:t>
        <w:br/>
        <w:t xml:space="preserve">    una comunicación de la Secretaría de 17 de  julio  de  2013,  siguiendo</w:t>
        <w:br/>
        <w:t xml:space="preserve">    instrucciones del Presidente, se indicó  a  la  representante  y  a  la</w:t>
        <w:br/>
        <w:t xml:space="preserve">    Comisión que en relación con aspectos que excedieran las  observaciones</w:t>
        <w:br/>
        <w:t xml:space="preserve">    a los documentos anexos a los alegatos  estatales,  la  pertinencia  de</w:t>
        <w:br/>
        <w:t xml:space="preserve">    considerar dichas observaciones sería determinada por la  Corte  en  la</w:t>
        <w:br/>
        <w:t xml:space="preserve">    debida oportunidad procesal. Además, el 15 de julio de 2013  el  Estado</w:t>
        <w:br/>
        <w:t xml:space="preserve">    presentó mediante un enlace de dropbox un escrito en  el  cual  realizó</w:t>
        <w:br/>
        <w:t xml:space="preserve">    observaciones generales sobre  los  alegatos  finales  escritos  de  la</w:t>
        <w:br/>
        <w:t xml:space="preserve">    representante  y  sobre  las  observaciones  finales  escritas  de   la</w:t>
        <w:br/>
        <w:t xml:space="preserve">    Comisión. En la referida comunicación de la Secretaría de 17  de  julio</w:t>
        <w:br/>
        <w:t xml:space="preserve">    de 2013 se indicó al Estado que el plazo respectivo “no e[ra] una nueva</w:t>
        <w:br/>
        <w:t xml:space="preserve">    oportunidad para presentar alegatos o argumentos”. Se  hizo  notar  que</w:t>
        <w:br/>
        <w:t xml:space="preserve">    las observaciones presentadas por el Estado no fueron  solicitadas  por</w:t>
        <w:br/>
        <w:t xml:space="preserve">    la Corte o su Presidencia, ni están contempladas en el  Reglamento  del</w:t>
        <w:br/>
        <w:t xml:space="preserve">    Tribunal,  y  se  indicó  al  Estado  que  “su  admisibilidad   ser[ía]</w:t>
        <w:br/>
        <w:t xml:space="preserve">    determinada por la  Corte,  en  la  debida  oportunidad  procesal”.  Al</w:t>
        <w:br/>
        <w:t xml:space="preserve">    respecto, este Tribunal no admite aquellas otras consideraciones de las</w:t>
        <w:br/>
        <w:t xml:space="preserve">    partes y la Comisión que fueron presentadas junto con las observaciones</w:t>
        <w:br/>
        <w:t xml:space="preserve">    a los documentos aportados junto con  los  alegatos  finales  escritos,</w:t>
        <w:br/>
        <w:t xml:space="preserve">    porque versan sobre otros asuntos.</w:t>
        <w:br/>
        <w:br/>
        <w:t>15. Objeciones a los amici curiae.- Los días 15 de junio y 23 de julio  de</w:t>
        <w:br/>
        <w:t xml:space="preserve">    2013 el Estado presentó diversas alegaciones para desvirtuar los  amici</w:t>
        <w:br/>
        <w:t xml:space="preserve">    curiae presentados, por considerar que “no cumplen con el objeto de los</w:t>
        <w:br/>
        <w:t xml:space="preserve">    mismos escritos que la Corte ha aceptado con  anterioridad”.  Basó  sus</w:t>
        <w:br/>
        <w:t xml:space="preserve">    alegatos en que “los solicitantes no tienen  conocimiento  del  caso  y</w:t>
        <w:br/>
        <w:t xml:space="preserve">    debido a su afán  de  encuadrar  los  hechos  del  presente  caso  como</w:t>
        <w:br/>
        <w:t xml:space="preserve">    violencia contra la mujer, no aportan ningún elemento nuevo que sea  de</w:t>
        <w:br/>
        <w:t xml:space="preserve">    utilidad a la […] Corte para mejor fallar”  y  “les  falta  legitimidad</w:t>
        <w:br/>
        <w:t xml:space="preserve">    Locus Standi para presentar escritos”.</w:t>
        <w:br/>
        <w:br/>
        <w:t>16. Erogaciones en aplicación del Fondo de Asistencia.- El 28 de agosto de</w:t>
        <w:br/>
        <w:t xml:space="preserve">    2013 la Secretaría, siguiendo instrucciones del Presidente, remitió</w:t>
        <w:br/>
        <w:t xml:space="preserve">    información al Estado sobre las erogaciones efectuadas en aplicación</w:t>
        <w:br/>
        <w:t xml:space="preserve">    del Fondo de Asistencia Legal de Víctimas en el presente caso y, según</w:t>
        <w:br/>
        <w:t xml:space="preserve">    lo dispuesto en el artículo 5 del Reglamento de la Corte sobre el</w:t>
        <w:br/>
        <w:t xml:space="preserve">    Funcionamiento del referido Fondo, le otorgó un plazo para presentar</w:t>
        <w:br/>
        <w:t xml:space="preserve">    las observaciones que estimara pertinentes. El 30 de septiembre de 2013</w:t>
        <w:br/>
        <w:t xml:space="preserve">    el Estado remitió sus observaciones al Informe sobre las erogaciones</w:t>
        <w:br/>
        <w:t xml:space="preserve">    realizadas en aplicación del Fondo de Asistencia.</w:t>
        <w:br/>
        <w:br/>
        <w:br/>
        <w:t>III</w:t>
        <w:br/>
        <w:br/>
        <w:br/>
        <w:t>CONSIDERACIONES PREVIAS</w:t>
        <w:br/>
        <w:br/>
        <w:br/>
        <w:t>A.  Aceptación de hechos del Estado en el trámite ante la Comisión</w:t>
        <w:br/>
        <w:br/>
        <w:br/>
        <w:t xml:space="preserve">    A.1) Argumentos de las partes y la Comisión</w:t>
        <w:br/>
        <w:br/>
        <w:br/>
        <w:t>17. Durante la audiencia pública que tuvo lugar ante la Comisión</w:t>
        <w:br/>
        <w:t xml:space="preserve">    Interamericana el 20 de marzo de 2009[9], el Estado “reconoc[ió…]</w:t>
        <w:br/>
        <w:t xml:space="preserve">    diferentes falencias y debilidades en [el] proceso de investigación</w:t>
        <w:br/>
        <w:t xml:space="preserve">    [que] correspond[ían] a problemas estructurales del Estado</w:t>
        <w:br/>
        <w:t xml:space="preserve">    guatemalteco”. En la misma oportunidad, Guatemala expresó que</w:t>
        <w:br/>
        <w:br/>
        <w:t xml:space="preserve">  [e]n el momento en que se dieron los hechos en […] 2001 [...] no existían</w:t>
        <w:br/>
        <w:t xml:space="preserve">  lineamientos para la investigación y la persecución penal,  [los  mismos]</w:t>
        <w:br/>
        <w:t xml:space="preserve">  fueron establecidos en febrero de  […]  2006  por  parte  del  Ministerio</w:t>
        <w:br/>
        <w:t xml:space="preserve">  Público. […I]ndependientemente de las razones por las que no se hicieron,</w:t>
        <w:br/>
        <w:t xml:space="preserve">  o  no  se  hicieron  correctamente,   de   acuerdo   a   los   estándares</w:t>
        <w:br/>
        <w:t xml:space="preserve">  internacionales los propios exámenes y  la  propia  necropsia,  […]  esos</w:t>
        <w:br/>
        <w:t xml:space="preserve">  lineamientos que se han establecido a partir de 2006 son  los  que  están</w:t>
        <w:br/>
        <w:t xml:space="preserve">  dando la orientación para el establecimiento del plan de investigación  y</w:t>
        <w:br/>
        <w:t xml:space="preserve">  las hipótesis con las que ya está trabajando el Ministerio Público.</w:t>
        <w:br/>
        <w:br/>
        <w:br/>
        <w:t>18. Durante esa  audiencia,  el  Estado  agregó  que  había  en  2001  una</w:t>
        <w:br/>
        <w:t xml:space="preserve">    “situación […] estructural prevaleciente de impunidad y temor dentro de</w:t>
        <w:br/>
        <w:t xml:space="preserve">    la propia población guatemalteca y [de]  aumento  de  las  […]  muertes</w:t>
        <w:br/>
        <w:t xml:space="preserve">    violentas”. Por otro lado, en un  escrito  de  12  de  agosto  de  2009</w:t>
        <w:br/>
        <w:t xml:space="preserve">    presentado ante la Comisión[10], el Estado afirmó que</w:t>
        <w:br/>
        <w:br/>
        <w:t xml:space="preserve">  ha aceptado su responsabilidad por  falta  de  debida  diligencia  en  el</w:t>
        <w:br/>
        <w:t xml:space="preserve">  proceso de investigación, llevad[o] a cabo por la muerte de María  Isabel</w:t>
        <w:br/>
        <w:t xml:space="preserve">  Veliz Franco, esto por la omisión de practicar algunas  pruebas  forenses</w:t>
        <w:br/>
        <w:t xml:space="preserve">  sobre el cadáver. Asimismo, por el atraso que hubo  en  la  investigación</w:t>
        <w:br/>
        <w:t xml:space="preserve">  causado por un conflicto  de  competencia  territorial  y  por  no  haber</w:t>
        <w:br/>
        <w:t xml:space="preserve">  establecido una medida cautelar efectiva para asegurar  la  presencia  de</w:t>
        <w:br/>
        <w:t xml:space="preserve">  [una persona identificada como] sospechos[a] del asesinato.</w:t>
        <w:br/>
        <w:br/>
        <w:t>19. El Estado, en el proceso ante la Corte, afirmó que durante el  trámite</w:t>
        <w:br/>
        <w:t xml:space="preserve">    del caso  ante  la  Comisión,  “aceptó  su  responsabilidad”  por  tres</w:t>
        <w:br/>
        <w:t xml:space="preserve">    “circunstancia[s]”. La primera, “por la omisión  de  practicar  algunas</w:t>
        <w:br/>
        <w:t xml:space="preserve">    pruebas forenses sobre el cadáver”[11]; “la segunda[,…] ‘por el  atraso</w:t>
        <w:br/>
        <w:t xml:space="preserve">    que hubo en la investigación causado por un  conflicto  de  competencia</w:t>
        <w:br/>
        <w:t xml:space="preserve">    territorial[’”, ] y “la  tercera[,…]  ‘por  no  haber  establecido  una</w:t>
        <w:br/>
        <w:t xml:space="preserve">    medida cautelar efectiva para asegurar la presencia de [un]  sospechoso</w:t>
        <w:br/>
        <w:t xml:space="preserve">    del asesinato’”. Sobre lo primero, explicó que al momento de los hechos</w:t>
        <w:br/>
        <w:t xml:space="preserve">    “las pruebas que se realizaban a los cadáveres” se hacían de acuerdo  a</w:t>
        <w:br/>
        <w:t xml:space="preserve">    los “procedimientos” y las “posibilidades del Estado en  dicha  época”.</w:t>
        <w:br/>
        <w:t xml:space="preserve">    En  cuanto  al  conflicto  de  competencia,   dijo   que   “aceptó   su</w:t>
        <w:br/>
        <w:t xml:space="preserve">    responsabilidad por el atraso producido, pero sólo en cuanto a  algunas</w:t>
        <w:br/>
        <w:t xml:space="preserve">    pruebas que requieren de la autorización  de  un  juez”.  Sin  embargo,</w:t>
        <w:br/>
        <w:t xml:space="preserve">    enunció que se realizaron otras diligencias “durante el lapso que  duró</w:t>
        <w:br/>
        <w:t xml:space="preserve">    la  cuestión  incidental”.  Finalmente,  en   cuanto   a   la   tercera</w:t>
        <w:br/>
        <w:t xml:space="preserve">    circunstancia indicada, afirmó que “aceptó su responsabilidad […]  toda</w:t>
        <w:br/>
        <w:t xml:space="preserve">    vez que no habían indicios fácticos para ligar a [la  persona  aludida]</w:t>
        <w:br/>
        <w:t xml:space="preserve">    con la muerte de María Isabel”, y que “sin pruebas, no puede privar  de</w:t>
        <w:br/>
        <w:t xml:space="preserve">    la libertad a nadie”.</w:t>
        <w:br/>
        <w:br/>
        <w:t>20. La Comisión y la representante señalaron que el Estado, en el  trámite</w:t>
        <w:br/>
        <w:t xml:space="preserve">    del caso ante la Comisión, admitió su responsabilidad por falencias  en</w:t>
        <w:br/>
        <w:t xml:space="preserve">    el proceso de investigación. Expresaron que  tal  admisión  incluyó  la</w:t>
        <w:br/>
        <w:t xml:space="preserve">    demora causada en la investigación por un conflicto de competencias. La</w:t>
        <w:br/>
        <w:t xml:space="preserve">    Comisión precisó que también incluyó “la omisión de  practicar  algunas</w:t>
        <w:br/>
        <w:t xml:space="preserve">    pruebas forenses sobre el cadáver” y “no haber establecido  una  medida</w:t>
        <w:br/>
        <w:t xml:space="preserve">    cautelar efectiva para asegurar  la  presencia  de  un  sospechoso  del</w:t>
        <w:br/>
        <w:t xml:space="preserve">    asesinato”[12]. La representante agregó que  el  reconocimiento  abarcó</w:t>
        <w:br/>
        <w:t xml:space="preserve">    “la inexistencia en […] 2001 de lineamientos para  investigación  y  la</w:t>
        <w:br/>
        <w:t xml:space="preserve">    persecución penal”, y</w:t>
        <w:br/>
        <w:br/>
        <w:t xml:space="preserve"> también  […]  que  no  había  […]  al  momento  de  ocurrido  los  hechos,</w:t>
        <w:br/>
        <w:t xml:space="preserve"> disposiciones de derecho interno específicas de género, ni  legislación  o</w:t>
        <w:br/>
        <w:t xml:space="preserve"> directrices  para  la  realización  del  levantamiento  del  cadáver,   la</w:t>
        <w:br/>
        <w:t xml:space="preserve"> preservación de la escena del crimen, [y] la recolección de  evidencias[,]</w:t>
        <w:br/>
        <w:t xml:space="preserve"> y que a la fecha no existe legislación diseñada  específicamente  para  la</w:t>
        <w:br/>
        <w:t xml:space="preserve"> búsqueda de mujeres desaparecidas.</w:t>
        <w:br/>
        <w:br/>
        <w:t>21. Tanto la Comisión como la  representante  invocaron  el  principio  de</w:t>
        <w:br/>
        <w:t xml:space="preserve">    estoppel. Al respecto, la Comisión afirmó que lo dicho  por  el  Estado</w:t>
        <w:br/>
        <w:t xml:space="preserve">    ante la Comisión “tiene efectos en el procedimiento ante la Corte”. Por</w:t>
        <w:br/>
        <w:t xml:space="preserve">    su parte, la representante señaló que  “Guatemala  no  puede  [ante  la</w:t>
        <w:br/>
        <w:t xml:space="preserve">    Corte] asumir otra conducta que sea contradictoria con lo anterior”.</w:t>
        <w:br/>
        <w:br/>
        <w:br/>
        <w:t xml:space="preserve">    A.2) Consideraciones de la Corte</w:t>
        <w:br/>
        <w:br/>
        <w:br/>
        <w:t>22.  Los  argumentos  reseñados  refieren  a   manifestaciones   estatales</w:t>
        <w:br/>
        <w:t xml:space="preserve">    efectuadas en el marco del  trámite  del  caso  ante  la  Comisión.  Al</w:t>
        <w:br/>
        <w:t xml:space="preserve">    respecto, si bien se trata de  aseveraciones  del  Estado  durante  esa</w:t>
        <w:br/>
        <w:t xml:space="preserve">    etapa procedimental, la Corte considera que Guatemala las realizó en el</w:t>
        <w:br/>
        <w:t xml:space="preserve">    marco del trámite internacional de un  caso  contencioso,  por  lo  que</w:t>
        <w:br/>
        <w:t xml:space="preserve">    tienen implicaciones en el proceso  ante  la  Corte  y  no  pueden  ser</w:t>
        <w:br/>
        <w:t xml:space="preserve">    consideradas de efectos reservados al ámbito interno o administrativo.</w:t>
        <w:br/>
        <w:br/>
        <w:t>23. De lo afirmado por el Estado ante la Comisión (supra párrs. 17,  18  y</w:t>
        <w:br/>
        <w:t xml:space="preserve">    19) se desprende que éste no ha vinculado  su  “responsabilidad”  a  la</w:t>
        <w:br/>
        <w:t xml:space="preserve">    transgresión de normas específicas, pero es claro que ha aceptado, como</w:t>
        <w:br/>
        <w:t xml:space="preserve">    aspectos  de  hecho,  lo  siguiente:  a)  “en  2001  […]  no   existían</w:t>
        <w:br/>
        <w:t xml:space="preserve">    lineamientos para la investigación y la persecución penal”; b)  en  ese</w:t>
        <w:br/>
        <w:t xml:space="preserve">    año existía una “situación […] estructural prevaleciente de impunidad y</w:t>
        <w:br/>
        <w:t xml:space="preserve">    temor dentro de la propia población guatemalteca”; c) para el mismo año</w:t>
        <w:br/>
        <w:t xml:space="preserve">    existía una situación de “aumento de las […] muertes violentas”; d)  en</w:t>
        <w:br/>
        <w:t xml:space="preserve">    la investigación de lo sucedido a María  Isabel  Veliz  Franco  “no  se</w:t>
        <w:br/>
        <w:t xml:space="preserve">    hicieron, o no se hicieron correctamente, de acuerdo a  los  estándares</w:t>
        <w:br/>
        <w:t xml:space="preserve">    internacionales [ciertos exámenes] y la propia necropsia”,  y  f)  hubo</w:t>
        <w:br/>
        <w:t xml:space="preserve">    “falta de debida diligencia en el proceso de  [esa]  investigación  […]</w:t>
        <w:br/>
        <w:t xml:space="preserve">    por[: i)] la omisión de practicar algunas  pruebas  forenses  sobre  el</w:t>
        <w:br/>
        <w:t xml:space="preserve">    cadáver[; ii)] el  atraso  causado  por  un  conflicto  de  competencia</w:t>
        <w:br/>
        <w:t xml:space="preserve">    territorial[,] y [iii)] por no haber establecido  una  medida  cautelar</w:t>
        <w:br/>
        <w:t xml:space="preserve">    efectiva para asegurar la presencia de [una persona identificada  como]</w:t>
        <w:br/>
        <w:t xml:space="preserve">    sospechos[a] del asesinato”.</w:t>
        <w:br/>
        <w:br/>
        <w:t>24. En consecuencia, este Tribunal tendrá en cuenta los  hechos  aceptados</w:t>
        <w:br/>
        <w:t xml:space="preserve">    por el Estado, en lo  que  corresponda,  al  analizar  las  excepciones</w:t>
        <w:br/>
        <w:t xml:space="preserve">    preliminares interpuestas, así  como,  siendo  el  caso,  los  aspectos</w:t>
        <w:br/>
        <w:t xml:space="preserve">    sustantivos o de  fondo  sobre  las  alegadas  violaciones  a  derechos</w:t>
        <w:br/>
        <w:t xml:space="preserve">    humanos.</w:t>
        <w:br/>
        <w:br/>
        <w:t xml:space="preserve">  B.  Respecto del marco fáctico</w:t>
        <w:br/>
        <w:br/>
        <w:t>25. Este Tribunal recuerda que el marco fáctico del proceso ante la  Corte</w:t>
        <w:br/>
        <w:t xml:space="preserve">    se encuentra constituido por los hechos contenidos  en  el  Informe  de</w:t>
        <w:br/>
        <w:t xml:space="preserve">    Fondo sometidos a consideración del Tribunal. En  consecuencia,  no  es</w:t>
        <w:br/>
        <w:t xml:space="preserve">    admisible que  las  partes  aleguen  nuevos  hechos  distintos  de  los</w:t>
        <w:br/>
        <w:t xml:space="preserve">    contenidos en dicho informe, sin  perjuicio  de  exponer  aquellos  que</w:t>
        <w:br/>
        <w:t xml:space="preserve">    permitan explicar, aclarar o desestimar los que hayan sido  mencionados</w:t>
        <w:br/>
        <w:t xml:space="preserve">    en el mismo y sometidos a consideración de la Corte  (también  llamados</w:t>
        <w:br/>
        <w:t xml:space="preserve">    “hechos complementarios”)[13].</w:t>
        <w:br/>
        <w:br/>
        <w:t>26. Algunos de  los  argumentos  de  la  representante  sobre  la  alegada</w:t>
        <w:br/>
        <w:t xml:space="preserve">    violación al artículo 5 de la Convención se refieren a  que  la  señora</w:t>
        <w:br/>
        <w:t xml:space="preserve">    Rosa Elvira Franco en su empeño por obtener justicia para su hija,  “se</w:t>
        <w:br/>
        <w:t xml:space="preserve">    ha visto expuesta a múltiples amenazas y hostigamientos  que  han  sido</w:t>
        <w:br/>
        <w:t xml:space="preserve">    motivo de angustia y dolor, no solo para ella, sino para los hermanos y</w:t>
        <w:br/>
        <w:t xml:space="preserve">    abuelos de María Isabel, frente a la posibilidad de que esta pueda  ver</w:t>
        <w:br/>
        <w:t xml:space="preserve">    afectada su integridad personal o incluso su vida (…(”. En  el  trámite</w:t>
        <w:br/>
        <w:t xml:space="preserve">    ante la Corte, la representante señaló que la señora Franco Sandoval  y</w:t>
        <w:br/>
        <w:t xml:space="preserve">    sus familiares, con posterioridad al homicidio  de  María  Isabel,  han</w:t>
        <w:br/>
        <w:t xml:space="preserve">    sido objeto de actos de intimidación y hostigamiento,  los  cuales  han</w:t>
        <w:br/>
        <w:t xml:space="preserve">    continuado[14].</w:t>
        <w:br/>
        <w:br/>
        <w:t>27. Este Tribunal constata que la Comisión, en su Informe de Fondo, indicó</w:t>
        <w:br/>
        <w:t xml:space="preserve">    que el 27 de junio de 2005 la señora Rosa Elvira Franco solicitó  a  la</w:t>
        <w:br/>
        <w:t xml:space="preserve">    Comisión el  otorgamiento  de  medidas  cautelares,  alegando  que  los</w:t>
        <w:br/>
        <w:t xml:space="preserve">    miembros de su familia eran víctimas de  hostigamiento,  persecución  y</w:t>
        <w:br/>
        <w:t xml:space="preserve">    amenazas, y que el 16 de noviembre de 2005 otorgó medidas cautelares  a</w:t>
        <w:br/>
        <w:t xml:space="preserve">    favor de Elvira Franco Sandoval,  Leonel  Enrique  Veliz  Franco,  José</w:t>
        <w:br/>
        <w:t xml:space="preserve">    Roberto  Franco  Sandoval  y  Cruz  Elvira  Sandoval  Polanco[15].   No</w:t>
        <w:br/>
        <w:t xml:space="preserve">    obstante, se desprende del Informe de Fondo que la mención referida  se</w:t>
        <w:br/>
        <w:t xml:space="preserve">    hizo en un apartado en que se describe el “trámite ante la  C[omisión”,</w:t>
        <w:br/>
        <w:t xml:space="preserve">    y no como parte de los hechos considerados  pertinentes  en  cuanto  al</w:t>
        <w:br/>
        <w:t xml:space="preserve">    fondo del asunto. Por ello, el  Tribunal  considera  que  las  aludidas</w:t>
        <w:br/>
        <w:t xml:space="preserve">    afirmaciones fácticas  de  la  representante  no  explican,  aclaran  o</w:t>
        <w:br/>
        <w:t xml:space="preserve">    desestiman los hechos presentados por la Comisión Interamericana en  su</w:t>
        <w:br/>
        <w:t xml:space="preserve">    Informe de Fondo, sino que introducen aspectos nuevos que no son  parte</w:t>
        <w:br/>
        <w:t xml:space="preserve">    del marco fáctico del presente caso. La Corte, por ende, no  tendrá  en</w:t>
        <w:br/>
        <w:t xml:space="preserve">    consideración tales hechos.</w:t>
        <w:br/>
        <w:br/>
        <w:t>C. Sobre la determinación de las presuntas víctimas</w:t>
        <w:br/>
        <w:br/>
        <w:t>28. En el escrito de sometimiento la Comisión  solicitó  a  la  Corte  que</w:t>
        <w:br/>
        <w:t xml:space="preserve">    declare la responsabilidad internacional del Estado por la  vulneración</w:t>
        <w:br/>
        <w:t xml:space="preserve">    de derechos de María Isabel Veliz Franco; su madre, Rosa Elvira  Franco</w:t>
        <w:br/>
        <w:t xml:space="preserve">    Sandoval; los hermanos de aquella, Leonel Enrique Veliz Franco  y  José</w:t>
        <w:br/>
        <w:t xml:space="preserve">    Roberto Franco, y los ya fallecidos abuelos de la primera, Cruz  Elvira</w:t>
        <w:br/>
        <w:t xml:space="preserve">    Sandoval Polanco de Franco y Roberto Franco Pérez.  En  el  Informe  de</w:t>
        <w:br/>
        <w:t xml:space="preserve">    Fondo, la Comisión declaró violaciones a derechos de todas las personas</w:t>
        <w:br/>
        <w:t xml:space="preserve">    mencionadas. La representante también pidió a la  Corte  que  determine</w:t>
        <w:br/>
        <w:t xml:space="preserve">    violaciones a derechos de las seis personas nombradas. El Estado, en el</w:t>
        <w:br/>
        <w:t xml:space="preserve">    marco de sus argumentos sobre las violaciones alegadas, manifestó que</w:t>
        <w:br/>
        <w:br/>
        <w:t xml:space="preserve">  la petición [inicial del caso remitida a la Comisión] refirió y  presentó</w:t>
        <w:br/>
        <w:t xml:space="preserve">  como víctimas a María Isabel Veliz Franco  y  a  su  madre,  Rosa  Elvira</w:t>
        <w:br/>
        <w:t xml:space="preserve">  Franco Sandoval; en el [I]nforme de [A]dmisibilidad, la Comisión  declaró</w:t>
        <w:br/>
        <w:t xml:space="preserve">  que  conocería  el  caso  por  violaciones  presuntamente  cometidas   en</w:t>
        <w:br/>
        <w:t xml:space="preserve">  perjuicio de ellas[. …] De manera sorprendente […] el  Informe  de  Fondo</w:t>
        <w:br/>
        <w:t xml:space="preserve">  […] declaró que el Estado había vulnerado […] derechos en contra de  [los</w:t>
        <w:br/>
        <w:t xml:space="preserve">  nombrados familiares de María Isabel Veliz Franco]. Lo  anterior  vulnera</w:t>
        <w:br/>
        <w:t xml:space="preserve">  el derecho de defensa del Estado,  porque  no  conoció  desde  el  inicio</w:t>
        <w:br/>
        <w:t xml:space="preserve">  cuáles eran las argumentaciones por las que supuestamente  existen  otras</w:t>
        <w:br/>
        <w:t xml:space="preserve">  víctimas colaterales.</w:t>
        <w:br/>
        <w:br/>
        <w:t>29. Las presuntas víctimas deben estar señaladas en el Informe de Fondo de</w:t>
        <w:br/>
        <w:t xml:space="preserve">    la Comisión, emitido según el artículo  50  de  la  Convención[16].  El</w:t>
        <w:br/>
        <w:t xml:space="preserve">    artículo 35.1 del Reglamento de este Tribunal dispone que el caso  será</w:t>
        <w:br/>
        <w:t xml:space="preserve">    sometido a la Corte mediante la presentación de dicho Informe, el  cual</w:t>
        <w:br/>
        <w:t xml:space="preserve">    deberá contener “la  identificación  de  las  presuntas  víctimas”.  De</w:t>
        <w:br/>
        <w:t xml:space="preserve">    conformidad con dicha norma, corresponde a la Comisión,  y  no  a  este</w:t>
        <w:br/>
        <w:t xml:space="preserve">    Tribunal, identificar con precisión y en la debida oportunidad procesal</w:t>
        <w:br/>
        <w:t xml:space="preserve">    a las presuntas víctimas en un caso ante la Corte[17].</w:t>
        <w:br/>
        <w:br/>
        <w:t>30. La Corte constata que los hermanos y abuelos  de  María  Isabel  Veliz</w:t>
        <w:br/>
        <w:t xml:space="preserve">    Franco fueron señalados como  víctimas  en  el  Informe  de  Fondo,  de</w:t>
        <w:br/>
        <w:t xml:space="preserve">    conformidad al citado artículo 35.1 del Reglamento (supra párr. 2.c.i).</w:t>
        <w:br/>
        <w:t xml:space="preserve">    Por ende, resulta improcedente el argumento  estatal  de  la  falta  de</w:t>
        <w:br/>
        <w:t xml:space="preserve">    identificación de las víctimas. De modo adicional, cabe señalar que  si</w:t>
        <w:br/>
        <w:t xml:space="preserve">    bien algunos de los familiares de María Isabel no fueron  nombrados  en</w:t>
        <w:br/>
        <w:t xml:space="preserve">    la petición inicial ni en el Informe de Admisibilidad[18], en  diversos</w:t>
        <w:br/>
        <w:t xml:space="preserve">    escritos de la representante, que fueron trasladados al Estado  durante</w:t>
        <w:br/>
        <w:t xml:space="preserve">    el trámite del caso  ante  la  Comisión,  se  adujeron  violaciones  en</w:t>
        <w:br/>
        <w:t xml:space="preserve">    perjuicio de los dos hermanos y abuelos de ella[19] y  el  Estado  tomó</w:t>
        <w:br/>
        <w:t xml:space="preserve">    conocimiento de ello en dichas  oportunidades.  El  Tribunal  constata,</w:t>
        <w:br/>
        <w:t xml:space="preserve">    además, que tales alegatos  se  vinculaban  a  la  misma  base  fáctica</w:t>
        <w:br/>
        <w:t xml:space="preserve">    considerada en el Informe de Admisibilidad. Igualmente, el Estado  ante</w:t>
        <w:br/>
        <w:t xml:space="preserve">    la Corte ha conocido dicha  información  y  contó  con  el  derecho  de</w:t>
        <w:br/>
        <w:t xml:space="preserve">    defensa.</w:t>
        <w:br/>
        <w:br/>
        <w:br/>
        <w:t>31.  Consecuentemente, este Tribunal tiene  como  presuntas  víctimas  del</w:t>
        <w:br/>
        <w:t xml:space="preserve">    caso a María Isabel Veliz Franco, Rosa Elvira Franco  Sandoval,  Leonel</w:t>
        <w:br/>
        <w:t xml:space="preserve">    Enrique Veliz Franco, José Roberto Franco, Cruz Elvira Sandoval Polanco</w:t>
        <w:br/>
        <w:t xml:space="preserve">    de Franco y Roberto Franco Pérez.</w:t>
        <w:br/>
        <w:br/>
        <w:t xml:space="preserve">                                     IV</w:t>
        <w:br/>
        <w:t xml:space="preserve">                                 COMPETENCIA</w:t>
        <w:br/>
        <w:br/>
        <w:t>32. La Corte Interamericana es competente, en los  términos  del  artículo</w:t>
        <w:br/>
        <w:t xml:space="preserve">    62.3 de la Convención Americana, para conocer el presente caso,  debido</w:t>
        <w:br/>
        <w:t xml:space="preserve">    a que Guatemala es Estado Parte de la Convención Americana desde el  25</w:t>
        <w:br/>
        <w:t xml:space="preserve">    de mayo de 1978 y reconoció la competencia contenciosa de la Corte el 9</w:t>
        <w:br/>
        <w:t xml:space="preserve">    de marzo de 1987. Además, Guatemala es parte de la Convención de  Belém</w:t>
        <w:br/>
        <w:t xml:space="preserve">    do Pará desde el 4 de abril de 1995. Las objeciones del Estado respecto</w:t>
        <w:br/>
        <w:t xml:space="preserve">    a la competencia de la Corte relativas a este tratado son analizadas en</w:t>
        <w:br/>
        <w:t xml:space="preserve">    el siguiente capítulo.</w:t>
        <w:br/>
        <w:br/>
        <w:t xml:space="preserve">                                      V</w:t>
        <w:br/>
        <w:t xml:space="preserve">             EXCEPCIONES PRELIMINARES DE FALTA DE COMPETENCIA Y</w:t>
        <w:br/>
        <w:t xml:space="preserve">                   NO AGOTAMIENTO DE LOS RECURSOS INTERNOS</w:t>
        <w:br/>
        <w:br/>
        <w:t>A. Excepción preliminar de falta de competencia material sobre el artículo</w:t>
        <w:br/>
        <w:t xml:space="preserve">  7 de la Convención de Belém do Pará[20]</w:t>
        <w:br/>
        <w:br/>
        <w:t xml:space="preserve">    A.1) Argumentos de las partes y la Comisión</w:t>
        <w:br/>
        <w:br/>
        <w:t>33. El Estado afirmó que “tomando en consideración las reservas  que  hizo</w:t>
        <w:br/>
        <w:t xml:space="preserve">    [Guatemala]  al  momento  de  […]   acep[tar]   […]   la   jurisdicción</w:t>
        <w:br/>
        <w:t xml:space="preserve">    contenciosa” de la Corte[21], ésta es competente para conocer  el  caso</w:t>
        <w:br/>
        <w:t xml:space="preserve">    por las “presuntas violaciones alegadas […] a los  derechos  protegidos</w:t>
        <w:br/>
        <w:t xml:space="preserve">    por  la  Convención  Americana”.  “Sin  embargo  […]  no  reconoce   la</w:t>
        <w:br/>
        <w:t xml:space="preserve">    competencia” del Tribunal “para conocer de la  supuesta  violación  del</w:t>
        <w:br/>
        <w:t xml:space="preserve">    artículo 7 de la Convención [de] Belém do Pará”. Adujo que el  artículo</w:t>
        <w:br/>
        <w:t xml:space="preserve">    62 de la Convención Americana “define la competencia de la Corte  sobre</w:t>
        <w:br/>
        <w:t xml:space="preserve">    casos  relativos  a  la  interpretación   o   aplicación   de   [dicha]</w:t>
        <w:br/>
        <w:t xml:space="preserve">    Convención”. Además, indicó que “[s]i bien […] el  artículo  12  de  la</w:t>
        <w:br/>
        <w:t xml:space="preserve">    ‘Convención [de] Belém do Pará’”  señala  la  posibilidad  de  que  “se</w:t>
        <w:br/>
        <w:t xml:space="preserve">    present[en] a la C[omisión  Interamericana]  peticiones  que  contengan</w:t>
        <w:br/>
        <w:t xml:space="preserve">    denuncias o quejas de violación del artículo 7  de  dicha  Convención”,</w:t>
        <w:br/>
        <w:t xml:space="preserve">    ello no implica que la Corte “tenga competencia ratione  materiae  para</w:t>
        <w:br/>
        <w:t xml:space="preserve">    conocer […] denuncias basadas en [ese tratado]” pues “no basta la buena</w:t>
        <w:br/>
        <w:t xml:space="preserve">    fe de los Estados, ni el justificable objeto y  fin  de  las  múltiples</w:t>
        <w:br/>
        <w:t xml:space="preserve">    Convenciones […] para delegar competencia de manera tácita y automática</w:t>
        <w:br/>
        <w:t xml:space="preserve">    a la Corte”. Asimismo, el Estado consideró</w:t>
        <w:br/>
        <w:br/>
        <w:t xml:space="preserve">  que es razonable el pronunciamiento de la Corte en su  sentencia  dictada</w:t>
        <w:br/>
        <w:t xml:space="preserve">  en el caso González y otras (“Campo Algodonero”)  Vs.  México,  sobre  la</w:t>
        <w:br/>
        <w:t xml:space="preserve">  posibilidad  de  ejercer   competencia   contenciosa   respecto   a   […]</w:t>
        <w:br/>
        <w:t xml:space="preserve">  instrumentos […] distintos a la Convención Americana[,…]  pero  al  igual</w:t>
        <w:br/>
        <w:t xml:space="preserve">  que  […]  México,  señal[ó]  que  cada  tratado  interamericano  requiere</w:t>
        <w:br/>
        <w:t xml:space="preserve">  previamente una declaración  específica  que  otorgue  competencia  a  la</w:t>
        <w:br/>
        <w:t xml:space="preserve">  Corte.</w:t>
        <w:br/>
        <w:br/>
        <w:t>34. La representante aseveró que el planteo estatal es “improcedente” y se</w:t>
        <w:br/>
        <w:t xml:space="preserve">    remitió a la jurisprudencia de la Corte.</w:t>
        <w:br/>
        <w:br/>
        <w:t>35. La Comisión  expresó  que  “la  Corte  ha  declarado  violaciones  a[l</w:t>
        <w:br/>
        <w:t xml:space="preserve">    artículo 7 de la Convención de Belém do Pará], bajo el entendido que el</w:t>
        <w:br/>
        <w:t xml:space="preserve">    artículo 12 de  tal  instrumento  incorpora  una  cláusula  general  de</w:t>
        <w:br/>
        <w:t xml:space="preserve">    competencia  aceptada  por  los  Estados  al  momento  de  ratificar  o</w:t>
        <w:br/>
        <w:t xml:space="preserve">    adherirse a[l mismo]”. “Consider[ó] que no existen motivos para que  la</w:t>
        <w:br/>
        <w:t xml:space="preserve">    Corte se aparte de su criterio reiterado”.</w:t>
        <w:br/>
        <w:br/>
        <w:t>A.2) Consideraciones de la Corte</w:t>
        <w:br/>
        <w:br/>
        <w:br/>
        <w:t>36. El Estado ratificó la Convención de Belém do Pará el  4  de  abril  de</w:t>
        <w:br/>
        <w:t xml:space="preserve">    1995 sin reservas o limitaciones (supra párr. 32). El  artículo  12  de</w:t>
        <w:br/>
        <w:t xml:space="preserve">    ese tratado indica la posibilidad de la  presentación  de  “peticiones”</w:t>
        <w:br/>
        <w:t xml:space="preserve">    ante la Comisión referidas a “denuncias o quejas de violación  de  [su]</w:t>
        <w:br/>
        <w:t xml:space="preserve">    artículo 7”, normando que “la Comisión las considerará de  acuerdo  con</w:t>
        <w:br/>
        <w:t xml:space="preserve">    la normas y los requisitos de  procedimiento  para  la  presentación  y</w:t>
        <w:br/>
        <w:t xml:space="preserve">    consideración de peticiones  estipulados  en  la  Convención  Americana</w:t>
        <w:br/>
        <w:t xml:space="preserve">    sobre Derechos  Humanos  y  en  el  Estatuto  y  el  Reglamento  de  la</w:t>
        <w:br/>
        <w:t xml:space="preserve">    Comisión”. Como ha indicado este Tribunal en el caso González  y  otras</w:t>
        <w:br/>
        <w:t xml:space="preserve">    (“Campo Algodonero”) Vs. México, “parece claro que el tenor literal del</w:t>
        <w:br/>
        <w:t xml:space="preserve">    artículo 12 de la Convención de Belém do Pará concede competencia a  la</w:t>
        <w:br/>
        <w:t xml:space="preserve">    Corte, al no exceptuar  de  su  aplicación  ninguna  de  las  normas  y</w:t>
        <w:br/>
        <w:t xml:space="preserve">    requisitos de procedimiento para las comunicaciones  individuales”[22].</w:t>
        <w:br/>
        <w:t xml:space="preserve">    Cabe destacar que en otros casos contenciosos contra Guatemala[23] este</w:t>
        <w:br/>
        <w:t xml:space="preserve">    Tribunal declaró la responsabilidad por la violación del artículo 7  de</w:t>
        <w:br/>
        <w:t xml:space="preserve">    la Convención de Belém  do  Pará  e  incluso  el  Estado  reconoció  su</w:t>
        <w:br/>
        <w:t xml:space="preserve">    responsabilidad por la violación  del  precepto  en  cuestión  sin  que</w:t>
        <w:br/>
        <w:t xml:space="preserve">    cuestionara la competencia de la Corte sobre este particular.</w:t>
        <w:br/>
        <w:br/>
        <w:t>37.  Además, se hace notar que el artículo 7 de la Convención de Belém  do</w:t>
        <w:br/>
        <w:t xml:space="preserve">    Pará se refiere a medidas para “prevenir,  sancionar  y  erradicar”  la</w:t>
        <w:br/>
        <w:t xml:space="preserve">    violencia contra la mujer y, en  ese  sentido,  presenta  una  estrecha</w:t>
        <w:br/>
        <w:t xml:space="preserve">    vinculación con los derechos a la vida  y  a  la  integridad  personal,</w:t>
        <w:br/>
        <w:t xml:space="preserve">    plasmados en los artículos 4 y 5 de la Convención Americana. Por  ello,</w:t>
        <w:br/>
        <w:t xml:space="preserve">    coadyuva a lo afirmado sobre la competencia de la  Corte,  lo  referido</w:t>
        <w:br/>
        <w:t xml:space="preserve">    antes por el Tribunal en relación al principio pro persona:</w:t>
        <w:br/>
        <w:br/>
        <w:t xml:space="preserve">  el sistema  de protección  internacional  debe  ser  entendido  como  una</w:t>
        <w:br/>
        <w:t xml:space="preserve">  integralidad [conforme al] principio recogido en el  artículo  29  de  la</w:t>
        <w:br/>
        <w:t xml:space="preserve">  Convención Americana, el cual impone un marco de protección  que  siempre</w:t>
        <w:br/>
        <w:t xml:space="preserve">  da preferencia a la interpretación o a la norma  que  más  favorezca  los</w:t>
        <w:br/>
        <w:t xml:space="preserve">  derechos de la persona humana, objetivo angular de protección de todo  el</w:t>
        <w:br/>
        <w:t xml:space="preserve">  Sistema  Interamericano.  En   este   sentido,   la   adopción   de   una</w:t>
        <w:br/>
        <w:t xml:space="preserve">  interpretación restrictiva en cuanto al alcance de la competencia de este</w:t>
        <w:br/>
        <w:t xml:space="preserve">  Tribunal  no  sólo  iría  contra  el  objeto  y  fin  de  la   Convención</w:t>
        <w:br/>
        <w:t xml:space="preserve">  [Americana], sino que además afectaría el efecto útil del tratado mismo y</w:t>
        <w:br/>
        <w:t xml:space="preserve">  de la garantía de protección que establece[24].</w:t>
        <w:br/>
        <w:br/>
        <w:br/>
        <w:t>38. Por lo tanto, este Tribunal desestima la excepción preliminar de falta</w:t>
        <w:br/>
        <w:t xml:space="preserve">    de competencia de la Corte para conocer  sobre  el  artículo  7  de  la</w:t>
        <w:br/>
        <w:t xml:space="preserve">    Convención de Belém do Pará respecto al presente caso contencioso.</w:t>
        <w:br/>
        <w:br/>
        <w:t>B. Excepción preliminar de no de agotamiento de recursos internos</w:t>
        <w:br/>
        <w:br/>
        <w:br/>
        <w:t xml:space="preserve">    B.1) Argumentos de las partes y la Comisión</w:t>
        <w:br/>
        <w:br/>
        <w:br/>
        <w:br/>
        <w:t>39. El Estado indicó que, a su entender, los “recursos internos […] aún no</w:t>
        <w:br/>
        <w:t xml:space="preserve">    se han agotado”, en tanto que “el proceso penal [No.] 105–2002 […]  aun</w:t>
        <w:br/>
        <w:t xml:space="preserve">    se encuentra activo”. Explicó que “[e]l numeral 2 [del artículo  46  de</w:t>
        <w:br/>
        <w:t xml:space="preserve">    la  Convención]  contempla  las  circunstancias  por  las  cuales  e[l]</w:t>
        <w:br/>
        <w:t xml:space="preserve">    requerimiento [de agotamiento de recursos internos] no  se  aplica”,  y</w:t>
        <w:br/>
        <w:t xml:space="preserve">    que los supuestos respectivos no  se  presentan  en  el  caso.  En  ese</w:t>
        <w:br/>
        <w:t xml:space="preserve">    sentido afirmó: a) “la situación descrita en el numeral  46.2.a  no  se</w:t>
        <w:br/>
        <w:t xml:space="preserve">    da, en el presente caso,  toda  vez  que  en  Guatemala  existen  leyes</w:t>
        <w:br/>
        <w:t xml:space="preserve">    internas por las cuales se contempla el proceso legal para proteger los</w:t>
        <w:br/>
        <w:t xml:space="preserve">    derechos violados”; b) el “caso contenido  en  el  numeral  46.2.b  […]</w:t>
        <w:br/>
        <w:t xml:space="preserve">    tampoco se da, toda vez que […] en ningún momento se le negó el  acceso</w:t>
        <w:br/>
        <w:t xml:space="preserve">    a los familiares de la víctima para  que  pudieran  accionar  ante  las</w:t>
        <w:br/>
        <w:t xml:space="preserve">    instancias internas”, y c) en cuanto al supuesto del  artículo  46.2.c,</w:t>
        <w:br/>
        <w:t xml:space="preserve">    no hubo retardo injustificado, ya que “por no haber prisión  preventiva</w:t>
        <w:br/>
        <w:t xml:space="preserve">    o medidas sustitutivas durante esta etapa de investigación la misma  no</w:t>
        <w:br/>
        <w:t xml:space="preserve">    tiene  plazo”.  Además,  señaló  que  “se  han  desarrollado  múltiples</w:t>
        <w:br/>
        <w:t xml:space="preserve">    diligencias en cuanto al esclarecimiento de los hechos”, y  que  “basta</w:t>
        <w:br/>
        <w:t xml:space="preserve">    observar y analizar dichas actuaciones  para […] concluir que en ningún</w:t>
        <w:br/>
        <w:t xml:space="preserve">    momento ha existido […] negligencia, retardo injustificado o  falta  de</w:t>
        <w:br/>
        <w:t xml:space="preserve">    diligencia de parte del órgano investigador”. En  tal  sentido,  señaló</w:t>
        <w:br/>
        <w:t xml:space="preserve">    que “el Ministerio Público ha continuado sus averiguaciones pero de  no</w:t>
        <w:br/>
        <w:t xml:space="preserve">    obtener pruebas o indicios contundentes no puede  formular  acusación”,</w:t>
        <w:br/>
        <w:t xml:space="preserve">    he hizo notar que “en distintas  oportunidades  el  juez  contralor  ha</w:t>
        <w:br/>
        <w:t xml:space="preserve">    solicitado actos conclusivos  de  la  investigación,  y  el  Ministerio</w:t>
        <w:br/>
        <w:t xml:space="preserve">    Público ha  solicitado  que  permanezca  abierta  en  aras  de  obtener</w:t>
        <w:br/>
        <w:t xml:space="preserve">    resultados positivos”. Indicó que para concluir que no hubo un  retardo</w:t>
        <w:br/>
        <w:t xml:space="preserve">    injustificado resulta pertinente evaluar la investigación con  base  en</w:t>
        <w:br/>
        <w:t xml:space="preserve">    criterios seguidos por la Corte para valorar la razonabilidad del plazo</w:t>
        <w:br/>
        <w:t xml:space="preserve">    seguido por actuaciones internas[25]. Por último, afirmó que  de  haber</w:t>
        <w:br/>
        <w:t xml:space="preserve">    retardo injustificado, existen vías previstas legalmente para que  “las</w:t>
        <w:br/>
        <w:t xml:space="preserve">    víctimas  […]   ata[quen]   dicha   circunstancia”,   que   no   fueron</w:t>
        <w:br/>
        <w:t xml:space="preserve">    utilizadas[26].</w:t>
        <w:br/>
        <w:br/>
        <w:t>40. La representante indicó que “la Comisión […] lleg[ó] a  la  conclusión</w:t>
        <w:br/>
        <w:t xml:space="preserve">    de que era aplicable la excepción contenida en el artículo 46.2.c de la</w:t>
        <w:br/>
        <w:t xml:space="preserve">    Convención”, la que, según la representante, “guarda estrecha  relación</w:t>
        <w:br/>
        <w:t xml:space="preserve">    con el fondo del asunto”. Consideró que dado que el planteo estatal “es</w:t>
        <w:br/>
        <w:t xml:space="preserve">    una cuestión relacionada con la admisibilidad del caso”, la  Corte  “en</w:t>
        <w:br/>
        <w:t xml:space="preserve">    respeto a los principios de economía procesal e igualdad de armas” debe</w:t>
        <w:br/>
        <w:t xml:space="preserve">    “respald[ar] el informe de admisibilidad [No.] 92/06 emitido por la […]</w:t>
        <w:br/>
        <w:t xml:space="preserve">    Comisión”. Agregó que ante la Corte “el Estado pretende  retrotraer  la</w:t>
        <w:br/>
        <w:t xml:space="preserve">    discusión de admisibilidad […] con lo cual irrespeta  el  principio  de</w:t>
        <w:br/>
        <w:t xml:space="preserve">    [e]stoppel”. Adicionalmente, explicó que el argumento estatal  “no  fue</w:t>
        <w:br/>
        <w:t xml:space="preserve">    presentad[o…] de manera oportuna” pues de modo previo a la decisión  de</w:t>
        <w:br/>
        <w:t xml:space="preserve">    la Comisión sobre la admisibilidad del caso,  “el  Estado  presentó  […</w:t>
        <w:br/>
        <w:t xml:space="preserve">    siete] escritos” y “en ninguno […] interpuso expresamente la  excepción</w:t>
        <w:br/>
        <w:t xml:space="preserve">    de falta de agotamiento de recursos internos”. Además expresó que  ante</w:t>
        <w:br/>
        <w:t xml:space="preserve">    la Comisión “[e]l Estado no identificó los recursos a  agotarse  ni  se</w:t>
        <w:br/>
        <w:t xml:space="preserve">    refirió a su eficacia”. Resaltó, al respecto, que “durante  el  trámite</w:t>
        <w:br/>
        <w:t xml:space="preserve">    ante la […] Comisión el Estado […] reconoció su responsabilidad por […]</w:t>
        <w:br/>
        <w:t xml:space="preserve">    el retraso en la investigación”. Por  ello,  adujo  que  es  procedente</w:t>
        <w:br/>
        <w:t xml:space="preserve">    “apli[car] el principio [de] estoppel” al “an[á]li[sis] de la excepción</w:t>
        <w:br/>
        <w:t xml:space="preserve">    preliminar”. Señaló que “en el caso de que [la] Corte decida revisar la</w:t>
        <w:br/>
        <w:t xml:space="preserve">    decisión de admisibilidad de la […] Comisión  […]  solicit[ó]  que  […]</w:t>
        <w:br/>
        <w:t xml:space="preserve">    analice el retardo injustificado en la investigación interna a  la  luz</w:t>
        <w:br/>
        <w:t xml:space="preserve">    de las posibles violaciones a los artículos 8 y  25  de  la  Convención</w:t>
        <w:br/>
        <w:t xml:space="preserve">    Americana”. Sin perjuicio de lo anterior,  expresó  también  que  “[a]l</w:t>
        <w:br/>
        <w:t xml:space="preserve">    momento  de  la  emisión  del  informe  de  admisibilidad  […]   habían</w:t>
        <w:br/>
        <w:t xml:space="preserve">    transcurrido casi  [cinco]  años  desde  la  desaparición  y  posterior</w:t>
        <w:br/>
        <w:t xml:space="preserve">    asesinato de la niña María Isabel Veliz Franco y el […]  proceso  penal</w:t>
        <w:br/>
        <w:t xml:space="preserve">    […] aun se encontraba en etapa de investigación”.  Aseveró  que  “[l]as</w:t>
        <w:br/>
        <w:t xml:space="preserve">    múltiples  negligencias  y  omisiones  en  las  que   incurrieron   las</w:t>
        <w:br/>
        <w:t xml:space="preserve">    autoridades desde las primeras  etapas  de  la  investigación  son  las</w:t>
        <w:br/>
        <w:t xml:space="preserve">    verdaderas causas del retraso en la misma”.</w:t>
        <w:br/>
        <w:br/>
        <w:t>41.  La  Comisión  adujo  que  “la  Convención   Americana   le   atribuye</w:t>
        <w:br/>
        <w:t xml:space="preserve">    primariamente las decisiones en materia de  admisibilidad,  las  cuales</w:t>
        <w:br/>
        <w:t xml:space="preserve">    son adoptadas de conformidad con la información disponible  al  momento</w:t>
        <w:br/>
        <w:t xml:space="preserve">    de[l]  pronunciamiento   [respectivo]”.   Por   ello,   consideró   que</w:t>
        <w:br/>
        <w:t xml:space="preserve">    “corresponde a la Corte mantener una  cierta  deferencia  frente  a  lo</w:t>
        <w:br/>
        <w:t xml:space="preserve">    decidido por la  C[omisión]  en  esta  materia”.  Indicó  que  en  “[el</w:t>
        <w:br/>
        <w:t xml:space="preserve">    I]nforme de [A]dmisibilidad […]observ[ó] preliminarmente que ha  habido</w:t>
        <w:br/>
        <w:t xml:space="preserve">    un retardo injustificado en relación [con un] conflicto de  competencia</w:t>
        <w:br/>
        <w:t xml:space="preserve">    de casi siete meses”. Agregó que  “[e]n  todo  caso  […]  los  indicios</w:t>
        <w:br/>
        <w:t xml:space="preserve">    tomados en cuenta  en  la  etapa  de  admisibilidad  fueron  plenamente</w:t>
        <w:br/>
        <w:t xml:space="preserve">    confirmados  en  la  etapa  de  fondo”.  Concluyó  que  “la   excepción</w:t>
        <w:br/>
        <w:t xml:space="preserve">    preliminar […] es improcedente”.</w:t>
        <w:br/>
        <w:br/>
        <w:br/>
        <w:t xml:space="preserve">    B.2) Consideraciones de la Corte</w:t>
        <w:br/>
        <w:br/>
        <w:br/>
        <w:t>42. La Convención Americana prevé  en  el  artículo  46.1.a)  uno  de  los</w:t>
        <w:br/>
        <w:t xml:space="preserve">    requisitos “[p]ara que una petición o comunicación […] sea admitida por</w:t>
        <w:br/>
        <w:t xml:space="preserve">    la Comisión”, consistente en que “se hayan interpuesto  y  agotado  los</w:t>
        <w:br/>
        <w:t xml:space="preserve">    recursos de jurisdicción interna, conforme a los principios del Derecho</w:t>
        <w:br/>
        <w:t xml:space="preserve">    Internacional generalmente reconocidos”. Una de las excepciones  a  ese</w:t>
        <w:br/>
        <w:t xml:space="preserve">    requisito, establecida en  el  apartado  c)  del  inciso  2  del  mismo</w:t>
        <w:br/>
        <w:t xml:space="preserve">    artículo 46, se presenta  cuando  “haya  retardo  injustificado  en  la</w:t>
        <w:br/>
        <w:t xml:space="preserve">    decisión sobre los mencionados recursos”.</w:t>
        <w:br/>
        <w:br/>
        <w:t>43. Como surge del Informe de Admisibilidad No. 92/06 de 21 de octubre  de</w:t>
        <w:br/>
        <w:t xml:space="preserve">    2006, la Comisión recibió el 26 de  enero  de  2004  una  “denuncia  en</w:t>
        <w:br/>
        <w:t xml:space="preserve">    [relación con] la investigación de la  muerte  de  María  Isabel  Veliz</w:t>
        <w:br/>
        <w:t xml:space="preserve">    Franco[,…] quien  desapareció  el  17  de  diciembre  de  2001”,  y  la</w:t>
        <w:br/>
        <w:t xml:space="preserve">    “transmitió […] al Estado el 24 de septiembre de  2004”[27].  La  Corte</w:t>
        <w:br/>
        <w:t xml:space="preserve">    constata que entre el 24 de septiembre de 2004 y el 21  de  octubre  de</w:t>
        <w:br/>
        <w:t xml:space="preserve">    2006, el Estado  remitió  a  la  Comisión,  además  de  solicitudes  de</w:t>
        <w:br/>
        <w:t xml:space="preserve">    prórroga, un total de seis comunicaciones  sobre  el  caso[28].  En  el</w:t>
        <w:br/>
        <w:t xml:space="preserve">    primer escrito, presentado a la Comisión el 16 de diciembre de 2004, el</w:t>
        <w:br/>
        <w:t xml:space="preserve">    Estado describió  acciones  correspondientes  a  la  investigación  que</w:t>
        <w:br/>
        <w:t xml:space="preserve">    llevaba a cabo el Ministerio Público a fin de “iniciar un proceso penal</w:t>
        <w:br/>
        <w:t xml:space="preserve">    en contra de los culpables”,  y  observó  que  “[e]l  caso  de  M[aría]</w:t>
        <w:br/>
        <w:t xml:space="preserve">    I[sabel] V[eliz] F[ranco] aún est[aba] en [la] fase de  investigación”.</w:t>
        <w:br/>
        <w:t xml:space="preserve">    Al admitir el caso, la Comisión concluyó, en los términos del  artículo</w:t>
        <w:br/>
        <w:t xml:space="preserve">    46.2.c)   de   la   Convención,   la   existencia   de    un    retardo</w:t>
        <w:br/>
        <w:t xml:space="preserve">    injustificado[29].  Al  hacerlo,  tuvo  en  cuenta  un  “conflicto   de</w:t>
        <w:br/>
        <w:t xml:space="preserve">    competencia  de  casi  siete  meses  [que]   constituy[ó]   un   factor</w:t>
        <w:br/>
        <w:t xml:space="preserve">    contribuyente al retardo injustificado”[30].</w:t>
        <w:br/>
        <w:br/>
        <w:t>44. Ya se ha indicado que el Estado aceptó el  atraso  ocasionado  por  el</w:t>
        <w:br/>
        <w:t xml:space="preserve">    conflicto de competencia, que se produjo entre el 11 de marzo y  el  21</w:t>
        <w:br/>
        <w:t xml:space="preserve">    de noviembre de 2002 (supra párr. 19 e  infra  párr.  107);  es  decir,</w:t>
        <w:br/>
        <w:t xml:space="preserve">    antes de la presentación de la petición inicial.  Dado  lo  expuesto  y</w:t>
        <w:br/>
        <w:t xml:space="preserve">    considerando que en esas fechas, así como al  presentarse  la  petición</w:t>
        <w:br/>
        <w:t xml:space="preserve">    inicial y al dictarse el Informe de Admisibilidad, la investigación  de</w:t>
        <w:br/>
        <w:t xml:space="preserve">    los hechos permanecía en su fase inicial, no se hace evidente un  error</w:t>
        <w:br/>
        <w:t xml:space="preserve">    en lo determinado por la Comisión. Lo anterior además  se  vincula  con</w:t>
        <w:br/>
        <w:t xml:space="preserve">    los derechos consagrados en los artículos 8 y 25 de la Convención,  que</w:t>
        <w:br/>
        <w:t xml:space="preserve">    establecen que los procesos y recursos  se  substancien  “en  un  plazo</w:t>
        <w:br/>
        <w:t xml:space="preserve">    razonable” y con “r[a]pid[ez]”, según el caso. Por ende, el retardo  en</w:t>
        <w:br/>
        <w:t xml:space="preserve">    su  desarrollo  podría  constituir  una  violación  a   las   garantías</w:t>
        <w:br/>
        <w:t xml:space="preserve">    judiciales.</w:t>
        <w:br/>
        <w:br/>
        <w:br/>
        <w:t>45. En consecuencia, se desestima la  excepción  preliminar  de  falta  de</w:t>
        <w:br/>
        <w:t xml:space="preserve">    agotamiento de recursos internos interpuesta por Guatemala.</w:t>
        <w:br/>
        <w:br/>
        <w:br/>
        <w:t>VI</w:t>
        <w:br/>
        <w:br/>
        <w:br/>
        <w:t>PRUEBA</w:t>
        <w:br/>
        <w:br/>
        <w:br/>
        <w:br/>
        <w:t>46.  Conforme  a  las  normas  reglamentarias  pertinentes[31]  y   a   su</w:t>
        <w:br/>
        <w:t xml:space="preserve">    jurisprudencia  constante[32],  la  Corte  examinará  y  valorará   los</w:t>
        <w:br/>
        <w:t xml:space="preserve">    elementos  probatorios   aportados   en   autos,   sean   documentales,</w:t>
        <w:br/>
        <w:t xml:space="preserve">    declaraciones o dictámenes periciales, atendiéndose a los principios de</w:t>
        <w:br/>
        <w:t xml:space="preserve">    la sana crítica y teniendo en cuenta el conjunto del acervo  probatorio</w:t>
        <w:br/>
        <w:t xml:space="preserve">    y lo alegado en la causa.</w:t>
        <w:br/>
        <w:br/>
        <w:t>A. Prueba documental, declaraciones de las presuntas víctimas, testimonial</w:t>
        <w:br/>
        <w:t xml:space="preserve">  y pericial</w:t>
        <w:br/>
        <w:br/>
        <w:t>47. La Corte recibió diversos documentos presentados como  prueba  por  la</w:t>
        <w:br/>
        <w:t xml:space="preserve">    Comisión  Interamericana,  la  representante  y  el  Estado.  Asimismo,</w:t>
        <w:br/>
        <w:t xml:space="preserve">    recibió las declaraciones de las presuntas víctimas propuestas  por  la</w:t>
        <w:br/>
        <w:t xml:space="preserve">    representante, a saber: Rosa Elvira Franco, Leonel Enrique Veliz Franco</w:t>
        <w:br/>
        <w:t xml:space="preserve">    y José Roberto Franco, de la  testigo  Luisa  María  de  León  Santizo,</w:t>
        <w:br/>
        <w:t xml:space="preserve">    propuesta por la representante, y de los peritos Ana  Carcedo  Cabañas,</w:t>
        <w:br/>
        <w:t xml:space="preserve">    María Eugenia Solís García,  Rodolfo  Kepfer  Rodríguez  y  José  Mario</w:t>
        <w:br/>
        <w:t xml:space="preserve">    Nájera Ochoa, por parte de la representante. El 15 de abril de 2013  la</w:t>
        <w:br/>
        <w:t xml:space="preserve">    Comisión informó que desistía  de  la  prueba  pericial  de  la  señora</w:t>
        <w:br/>
        <w:t xml:space="preserve">    Elizabeth Salmón, ya que por compromisos  profesionales  impostergables</w:t>
        <w:br/>
        <w:t xml:space="preserve">    previamente asumidos por ella,  no  podía  comparecer  a  la  audiencia</w:t>
        <w:br/>
        <w:t xml:space="preserve">    pública.</w:t>
        <w:br/>
        <w:br/>
        <w:t>B. Admisión de la prueba documental</w:t>
        <w:br/>
        <w:br/>
        <w:t>48. En el presente caso, como en otros[33], el  Tribunal  admite  aquellos</w:t>
        <w:br/>
        <w:t xml:space="preserve">    documentos remitidos por las partes en la debida  oportunidad  procesal</w:t>
        <w:br/>
        <w:t xml:space="preserve">    que no fueron controvertidos ni objetados,  ni  cuya  autenticidad  fue</w:t>
        <w:br/>
        <w:t xml:space="preserve">    puesta en duda, exclusivamente en la  medida  que  sean  pertinentes  y</w:t>
        <w:br/>
        <w:t xml:space="preserve">    útiles  para  la  determinación  de  los  hechos   y   sus   eventuales</w:t>
        <w:br/>
        <w:t xml:space="preserve">    consecuencias jurídicas.</w:t>
        <w:br/>
        <w:br/>
        <w:t>49. En cuanto a las notas de  prensa  este  Tribunal  ha  considerado  que</w:t>
        <w:br/>
        <w:t xml:space="preserve">    podrán ser apreciadas cuando  recojan  hechos  públicos  y  notorios  o</w:t>
        <w:br/>
        <w:t xml:space="preserve">    declaraciones de funcionarios del Estado, o cuando corroboren  aspectos</w:t>
        <w:br/>
        <w:t xml:space="preserve">    relacionados con el caso, por lo que decide admitir los documentos  que</w:t>
        <w:br/>
        <w:t xml:space="preserve">    se encuentren completos o que, por  lo  menos,  permitan  constatar  su</w:t>
        <w:br/>
        <w:t xml:space="preserve">    fuente y fecha de publicación, y los  valorará  tomando  en  cuenta  el</w:t>
        <w:br/>
        <w:t xml:space="preserve">    conjunto del acervo probatorio, las  observaciones de las partes y  las</w:t>
        <w:br/>
        <w:t xml:space="preserve">    reglas de la sana crítica[34].</w:t>
        <w:br/>
        <w:br/>
        <w:t>50. Con respecto a algunos documentos señalados por las partes  por  medio</w:t>
        <w:br/>
        <w:t xml:space="preserve">    de enlaces electrónicos, el Tribunal ha establecido que  si  una  parte</w:t>
        <w:br/>
        <w:t xml:space="preserve">    proporciona al menos el enlace electrónico directo  del  documento  que</w:t>
        <w:br/>
        <w:t xml:space="preserve">    cita como prueba y es posible acceder a éste,  no  se  ve  afectada  la</w:t>
        <w:br/>
        <w:t xml:space="preserve">    seguridad jurídica ni el equilibrio procesal, porque es  inmediatamente</w:t>
        <w:br/>
        <w:t xml:space="preserve">    localizable por el Tribunal y por las otras partes[35]. En este caso no</w:t>
        <w:br/>
        <w:t xml:space="preserve">    hubo oposición u observaciones de las otras partes sobre el contenido y</w:t>
        <w:br/>
        <w:t xml:space="preserve">    autenticidad de tales documentos.</w:t>
        <w:br/>
        <w:br/>
        <w:t>51.  De  otra  parte,  junto  con  sus  alegatos   finales   escritos   la</w:t>
        <w:br/>
        <w:t xml:space="preserve">    representante[36] y el Estado[37] remitieron diversos  documentos  como</w:t>
        <w:br/>
        <w:t xml:space="preserve">    prueba,  y  respecto  a  algunos  señalaron  enlaces  electrónicos.  Al</w:t>
        <w:br/>
        <w:t xml:space="preserve">    respecto, se otorgó una oportunidad a las partes y a la  Comisión  para</w:t>
        <w:br/>
        <w:t xml:space="preserve">    presentar las observaciones que estimaran pertinentes (supra párr. 14).</w:t>
        <w:br/>
        <w:t xml:space="preserve">    La Corte incorpora los documentos indicados en los pies de página  como</w:t>
        <w:br/>
        <w:t xml:space="preserve">    prueba con  fundamento  en  lo  dispuesto  en  el  artículo  58.a)  del</w:t>
        <w:br/>
        <w:t xml:space="preserve">    Reglamento de la Corte,  por  considerarlos  útiles  para  resolver  el</w:t>
        <w:br/>
        <w:t xml:space="preserve">    presente  caso.  La  documentación  respectiva  será  valorada  en   lo</w:t>
        <w:br/>
        <w:t xml:space="preserve">    pertinente teniendo en cuenta el conjunto del  acervo  probatorio,  las</w:t>
        <w:br/>
        <w:t xml:space="preserve">    reglas de la  sana  crítica  y  las  observaciones  pertinentes  de  la</w:t>
        <w:br/>
        <w:t xml:space="preserve">    representante y la Comisión.</w:t>
        <w:br/>
        <w:br/>
        <w:t>52. Durante la audiencia pública, la perita María Eugenia  Solís  presentó</w:t>
        <w:br/>
        <w:t xml:space="preserve">    un dictamen escrito, el cual fue entregado a las partes y a la Comisión</w:t>
        <w:br/>
        <w:t xml:space="preserve">    en la audiencia. El Tribunal lo admite en los mismos términos señalados</w:t>
        <w:br/>
        <w:t xml:space="preserve">    respecto a su peritaje rendido en la  audiencia  pública  (infra  párr.</w:t>
        <w:br/>
        <w:t xml:space="preserve">    63).</w:t>
        <w:br/>
        <w:br/>
        <w:br/>
        <w:t>C.  Prueba procurada de oficio por la Corte</w:t>
        <w:br/>
        <w:br/>
        <w:t>53. De conformidad con el artículo 58.a) de su Reglamento, “[e]n cualquier</w:t>
        <w:br/>
        <w:t xml:space="preserve">    estado de la causa la Corte podrá: a. Procurar de  oficio  toda  prueba</w:t>
        <w:br/>
        <w:t xml:space="preserve">    que  considere  útil  y  necesaria”.  Este  Tribunal  estima  que   los</w:t>
        <w:br/>
        <w:t xml:space="preserve">    siguientes documentos son útiles o  necesarios  para  el  análisis  del</w:t>
        <w:br/>
        <w:t xml:space="preserve">    presente caso, por lo cual los incorpora de oficio al acervo probatorio</w:t>
        <w:br/>
        <w:t xml:space="preserve">    de este caso en aplicación de la referida disposición reglamentaria: a)</w:t>
        <w:br/>
        <w:t xml:space="preserve">    Informe “Guatemala: Memoria  del  Silencio”  de  la  Comisión  para  el</w:t>
        <w:br/>
        <w:t xml:space="preserve">    Esclarecimiento Histórico de 1999[38]; b) Respuestas  de  Guatemala  al</w:t>
        <w:br/>
        <w:t xml:space="preserve">    cuestionario  para  la  evaluación  de   la   implementación   de   las</w:t>
        <w:br/>
        <w:t xml:space="preserve">    disposiciones de la Convención Interamericana para Prevenir,  Sancionar</w:t>
        <w:br/>
        <w:t xml:space="preserve">    y Erradicar la Violencia contra la Mujer, Convención de Belém  do  Pará</w:t>
        <w:br/>
        <w:t xml:space="preserve">    del Mecanismo de Seguimiento de la Convención Belém do  Pará  (MESECVI)</w:t>
        <w:br/>
        <w:t xml:space="preserve">    del año 2008[39]; c) Informe estadístico de la violencia  en  Guatemala</w:t>
        <w:br/>
        <w:t xml:space="preserve">    del Programa de las Naciones Unidas para el Desarrollo (PNUD)  del  año</w:t>
        <w:br/>
        <w:t xml:space="preserve">    2007[40]; d) Informe Final de la Misión de Verificación de las Naciones</w:t>
        <w:br/>
        <w:t xml:space="preserve">    Unidas en Guatemala (MINUGUA) de  noviembre  de  2004[41];  e)  Informe</w:t>
        <w:br/>
        <w:t xml:space="preserve">    “Tercer  año  de  labores”  de  la  Comisión  Internacional  contra  la</w:t>
        <w:br/>
        <w:t xml:space="preserve">    Impunidad en Guatemala (CICIG) de Guatemala[42]; f)  Sexto  Informe  de</w:t>
        <w:br/>
        <w:t xml:space="preserve">    labores de la Comisión Internacional contra la Impunidad  en  Guatemala</w:t>
        <w:br/>
        <w:t xml:space="preserve">    (CICIG)[43]; g) Informe “10 años sin guerra… esperando la paz:  Estudio</w:t>
        <w:br/>
        <w:t xml:space="preserve">    de implementación del Acuerdo sobre Fortalecimiento del Poder  Civil  y</w:t>
        <w:br/>
        <w:t xml:space="preserve">    Función  del  Ejército  en  una  Sociedad  Democrática”   de   Brigadas</w:t>
        <w:br/>
        <w:t xml:space="preserve">    Internacionales  de  Paz  (PBI)  de  agosto  de  2007[44];  h)  Informe</w:t>
        <w:br/>
        <w:t xml:space="preserve">    “Reconociendo  el  pasado:  desafíos  para  combatir  la  impunidad  en</w:t>
        <w:br/>
        <w:t xml:space="preserve">    Guatemala” de Impunity Watch de 2008[45]; i) Observaciones finales  del</w:t>
        <w:br/>
        <w:t xml:space="preserve">    Comité para  la  Eliminación  de  la  Discriminación  contra  la  Mujer</w:t>
        <w:br/>
        <w:t xml:space="preserve">    respecto a Guatemala del 2 de junio de 2006[46]; j) Decreto  No.  51-92</w:t>
        <w:br/>
        <w:t xml:space="preserve">    Código del Procesal Penal y sus reformas, emitido el 18  de  septiembre</w:t>
        <w:br/>
        <w:t xml:space="preserve">    de 1992[47], y k) Mensaje del señor  Presidente  Constitucional  de  la</w:t>
        <w:br/>
        <w:t xml:space="preserve">    República de Guatemala, Licenciado Ramiro  De  León  Carpio,  a  la  IV</w:t>
        <w:br/>
        <w:t xml:space="preserve">    Conferencia Mundial sobre la Mujer del 11 de  septiembre  de  1995[48].</w:t>
        <w:br/>
        <w:t xml:space="preserve">    Además, los siguientes dos informes de la  Comisión  Interamericana  de</w:t>
        <w:br/>
        <w:t xml:space="preserve">    Derechos Humanos: a) el “Quinto  informe  sobre  la  Situación  de  los</w:t>
        <w:br/>
        <w:t xml:space="preserve">    Derechos Humanos en Guatemala” de 2001[49], y b) “Justicia e  inclusión</w:t>
        <w:br/>
        <w:t xml:space="preserve">    social: los desafíos de la democracia  en  Guatemala”  de  2003[50]  no</w:t>
        <w:br/>
        <w:t xml:space="preserve">    fueron remitidos por la Comisión a  la  Corte  en  forma  completa.  No</w:t>
        <w:br/>
        <w:t xml:space="preserve">    obstante, dado que se trata de textos publicados, la Corte constató los</w:t>
        <w:br/>
        <w:t xml:space="preserve">    textos completos mediante el uso de internet, acudiendo  al  sitio  web</w:t>
        <w:br/>
        <w:t xml:space="preserve">    oficial de la Comisión.</w:t>
        <w:br/>
        <w:br/>
        <w:t>D.  Admisión  de  la  declaración  de  las  presuntas   víctimas,   prueba</w:t>
        <w:br/>
        <w:t xml:space="preserve">  testimonial y pericial  presentada  mediante  declaración  rendida  ante</w:t>
        <w:br/>
        <w:t xml:space="preserve">  fedatario público</w:t>
        <w:br/>
        <w:br/>
        <w:br/>
        <w:t>54. En  su  escrito  de  alegatos  finales,  el  Estado  sostuvo  que  las</w:t>
        <w:br/>
        <w:t xml:space="preserve">    declaraciones ordenadas “debieron estar sujetas desde un principio a la</w:t>
        <w:br/>
        <w:t xml:space="preserve">    Resolución de la Corte de 18 de abril de 2013”, y que “no era  opcional</w:t>
        <w:br/>
        <w:t xml:space="preserve">    responder a las preguntas formuladas por  el  Estado”.  Indicó  que  la</w:t>
        <w:br/>
        <w:t xml:space="preserve">    representante al enviar los affidávits dentro del plazo estipulado para</w:t>
        <w:br/>
        <w:t xml:space="preserve">    hacerlo, más de la mitad de  las  preguntas  remitidas  por  el  Estado</w:t>
        <w:br/>
        <w:t xml:space="preserve">    fueron omitidas por los declarantes, “por lo que se requirió por  parte</w:t>
        <w:br/>
        <w:t xml:space="preserve">    de  la  Corte  que  se  ampliaran  las  declaraciones,  respondiéndolas</w:t>
        <w:br/>
        <w:t xml:space="preserve">    extemporáneamente en documento separado”. Agregó que no es  la  primera</w:t>
        <w:br/>
        <w:t xml:space="preserve">    vez que la representación de las víctimas “comete errores aparentemente</w:t>
        <w:br/>
        <w:t xml:space="preserve">    materiales en la entrega de documentos a la  […]  Corte,  no  obstante,</w:t>
        <w:br/>
        <w:t xml:space="preserve">    esta situación particular perjudicó el derecho de  defensa  e  igualdad</w:t>
        <w:br/>
        <w:t xml:space="preserve">    procesal del Estado al momento de la audiencia pública […],  en  virtud</w:t>
        <w:br/>
        <w:t xml:space="preserve">    que no se tuvo el  tiempo  previsto  para  analizar  y  cotejar  dichos</w:t>
        <w:br/>
        <w:t xml:space="preserve">    documentos, mientras que la representante ha tenido claro y  dentro  de</w:t>
        <w:br/>
        <w:t xml:space="preserve">    los plazos estipulados todos los documentos e información requerida  al</w:t>
        <w:br/>
        <w:t xml:space="preserve">    Estado”. En consecuencia, solicitó a la Corte que sus  argumentos  sean</w:t>
        <w:br/>
        <w:t xml:space="preserve">    tomados en cuenta, ya que situación  descrita  implica  una  desventaja</w:t>
        <w:br/>
        <w:t xml:space="preserve">    para el Estado y es aún más desfavorable debido a las inconsistencias y</w:t>
        <w:br/>
        <w:t xml:space="preserve">    contradicciones que presentan los documentos en cuestión.</w:t>
        <w:br/>
        <w:br/>
        <w:t>55. La representante presentó el 29 de abril de 2013, como fue ordenado en</w:t>
        <w:br/>
        <w:t xml:space="preserve">    la Resolución del Presidente de 10 de abril de 2013, los affidávits. No</w:t>
        <w:br/>
        <w:t xml:space="preserve">    obstante, debido a que los declarantes omitieron responder determinadas</w:t>
        <w:br/>
        <w:t xml:space="preserve">    preguntas formuladas por el  Estado,  se  concedió  un  plazo  para  la</w:t>
        <w:br/>
        <w:t xml:space="preserve">    presentación de las ampliaciones  de  las  mismas,  las  cuales  fueron</w:t>
        <w:br/>
        <w:t xml:space="preserve">    presentadas dentro del plazo fijado[51]. Como la misma Resolución de 10</w:t>
        <w:br/>
        <w:t xml:space="preserve">    de abril de 2013 lo indica, se dio la oportunidad  procesal  al  Estado</w:t>
        <w:br/>
        <w:t xml:space="preserve">    para presentar sus observaciones a los affidávits, y de  hecho  en  sus</w:t>
        <w:br/>
        <w:t xml:space="preserve">    alegatos finales escritos las presentó. En razón  de  lo  anterior,  la</w:t>
        <w:br/>
        <w:t xml:space="preserve">    Corte considera que las referidas declaraciones no  fueron  presentadas</w:t>
        <w:br/>
        <w:t xml:space="preserve">    extemporáneamente ni se vulneró el derecho de defensa del  Estado  como</w:t>
        <w:br/>
        <w:t xml:space="preserve">    lo alegó Guatemala.</w:t>
        <w:br/>
        <w:br/>
        <w:t>56. Respecto al alegato  del  Estado  de  que  los  declarantes  omitieron</w:t>
        <w:br/>
        <w:t xml:space="preserve">    referirse a las  preguntas  planteadas  por  el  Estado[52],  la  Corte</w:t>
        <w:br/>
        <w:t xml:space="preserve">    reitera que el hecho de que se encuentre contemplado en  el  Reglamento</w:t>
        <w:br/>
        <w:t xml:space="preserve">    la posibilidad de que las partes puedan formular preguntas por  escrito</w:t>
        <w:br/>
        <w:t xml:space="preserve">    a los declarantes ofrecidos por la contraparte y, en su  caso,  por  la</w:t>
        <w:br/>
        <w:t xml:space="preserve">    Comisión, impone el deber  correlativo  de  la  parte  que  ofreció  la</w:t>
        <w:br/>
        <w:t xml:space="preserve">    declaración de coordinar y realizar las diligencias necesarias para que</w:t>
        <w:br/>
        <w:t xml:space="preserve">    se trasladen  las  preguntas  a  los  declarantes  y  se  incluyan  las</w:t>
        <w:br/>
        <w:t xml:space="preserve">    repuestas respectivas.  En  ciertas  circunstancias,  el  no  contestar</w:t>
        <w:br/>
        <w:t xml:space="preserve">    diversas  preguntas  puede  resultar  incompatible  con  el  deber   de</w:t>
        <w:br/>
        <w:t xml:space="preserve">    cooperación procesal y con el principio de buena  fe  que  rige  en  el</w:t>
        <w:br/>
        <w:t xml:space="preserve">    procedimiento internacional[53]. Sin perjuicio  de  ello,  el  Tribunal</w:t>
        <w:br/>
        <w:t xml:space="preserve">    considera que la no presentación de respuestas a las  preguntas  de  la</w:t>
        <w:br/>
        <w:t xml:space="preserve">    contraparte no afecta la admisibilidad  de  una  declaración  y  es  un</w:t>
        <w:br/>
        <w:t xml:space="preserve">    aspecto que, según los alcances de  los  silencios  de  un  declarante,</w:t>
        <w:br/>
        <w:t xml:space="preserve">    podría llegar a impactar en el peso probatorio que puede  alcanzar  una</w:t>
        <w:br/>
        <w:t xml:space="preserve">    declaración o un peritaje, aspecto que corresponde valorar en el  fondo</w:t>
        <w:br/>
        <w:t xml:space="preserve">    del caso[54].</w:t>
        <w:br/>
        <w:br/>
        <w:t>57. Por otra parte, respecto a la  declaración  de  Leonel  Enrique  Veliz</w:t>
        <w:br/>
        <w:t xml:space="preserve">    Franco, el Estado consideró que “al testigo no le consta ninguna de las</w:t>
        <w:br/>
        <w:t xml:space="preserve">    gestiones realizadas por su madre, sino que más bien tiene conocimiento</w:t>
        <w:br/>
        <w:t xml:space="preserve">    de ellas por lo que ésta ha expresado”, cuestionó en cuáles  “gestiones</w:t>
        <w:br/>
        <w:t xml:space="preserve">    acompañó  a  su  madre”,  así  como  algunas  de  las   manifestaciones</w:t>
        <w:br/>
        <w:t xml:space="preserve">    relacionadas  con  la  investigación  y  los  hechos  del  caso,  y  la</w:t>
        <w:br/>
        <w:t xml:space="preserve">    contradicción de las respuestas a  las  preguntas  del  Estado.  Agregó</w:t>
        <w:br/>
        <w:t xml:space="preserve">    sobre la declaración de José Roberto Franco que “el Estado se pronuncia</w:t>
        <w:br/>
        <w:t xml:space="preserve">    en el mismo sentido que respecto a  su  hermano  Leonel  Enrique  Veliz</w:t>
        <w:br/>
        <w:t xml:space="preserve">    Franco en cuanto a los aspectos generales de la misma”,  e  hizo  notar</w:t>
        <w:br/>
        <w:t xml:space="preserve">    algunas contradicciones entre su declaración y la de  su  madre,  y  su</w:t>
        <w:br/>
        <w:t xml:space="preserve">    propia declaración con sus respuestas a las preguntas formuladas por el</w:t>
        <w:br/>
        <w:t xml:space="preserve">    Estado. Aseveró que las “declaraciones testimoniales,  como  su  propio</w:t>
        <w:br/>
        <w:t xml:space="preserve">    nombre lo indica, son un medio probatorio en lo que  las  personas  que</w:t>
        <w:br/>
        <w:t xml:space="preserve">    han presenciado  algún  hecho  dan  testimonio  del  mismo  porque  les</w:t>
        <w:br/>
        <w:t xml:space="preserve">    consta”. Afirmó que en el presente caso “se evidencia la preparación de</w:t>
        <w:br/>
        <w:t xml:space="preserve">    los testigos, que los mismos en lugar de expresar únicamente hechos que</w:t>
        <w:br/>
        <w:t xml:space="preserve">    les constan, emiten apreciaciones personales que favorecen a  la  parte</w:t>
        <w:br/>
        <w:t xml:space="preserve">    que los  ha  propuesto  sin  que  las  mismas  tengan  fundamento”.  Al</w:t>
        <w:br/>
        <w:t xml:space="preserve">    respecto, este Tribunal,  entiende  que  ambas  personas  rindieron  su</w:t>
        <w:br/>
        <w:t xml:space="preserve">    declaración en su condición de presuntas víctimas. En ese  sentido,  la</w:t>
        <w:br/>
        <w:t xml:space="preserve">    jurisprudencia de esta Corte ha establecido que  las  declaraciones  de</w:t>
        <w:br/>
        <w:t xml:space="preserve">    las presuntas víctimas no pueden ser valoradas aisladamente sino dentro</w:t>
        <w:br/>
        <w:t xml:space="preserve">    del conjunto de las pruebas del proceso, ya que son útiles en la medida</w:t>
        <w:br/>
        <w:t xml:space="preserve">    que  pueden  proporcionar  mayor   información   sobre   las   alegadas</w:t>
        <w:br/>
        <w:t xml:space="preserve">    violaciones y sus consecuencias[55]. Las demás observaciones del Estado</w:t>
        <w:br/>
        <w:t xml:space="preserve">    versan sobre el contenido de las declaraciones, por lo que no se genera</w:t>
        <w:br/>
        <w:t xml:space="preserve">    problema en su admisibilidad, las cuales se considerarán al valorar  la</w:t>
        <w:br/>
        <w:t xml:space="preserve">    declaración junto con el acervo probatorio y conforme a las  reglas  de</w:t>
        <w:br/>
        <w:t xml:space="preserve">    la sana crítica.</w:t>
        <w:br/>
        <w:br/>
        <w:t>58. En cuanto a la declaración mediante  affidávit  de  la  testigo  Luisa</w:t>
        <w:br/>
        <w:t xml:space="preserve">    María  de  León,  el  Estado  reiteró  algunas  de  las   observaciones</w:t>
        <w:br/>
        <w:t xml:space="preserve">    presentadas a la lista definitiva  de  declarantes  para  la  audiencia</w:t>
        <w:br/>
        <w:t xml:space="preserve">    pública, porque fue presentada como testigo y  no  como  perita.  Sobre</w:t>
        <w:br/>
        <w:t xml:space="preserve">    este punto el Tribunal se remite a la Resolución de 10 de abril de 2013</w:t>
        <w:br/>
        <w:t xml:space="preserve">    del Presidente de la Corte. Asimismo, se remite a  lo  señalado  en  la</w:t>
        <w:br/>
        <w:t xml:space="preserve">    presente  Sentencia  sobre  la  omisión  de  la  testigo  de  contestar</w:t>
        <w:br/>
        <w:t xml:space="preserve">    determinadas preguntas formuladas por el Estado (supra párr. 56). En lo</w:t>
        <w:br/>
        <w:t xml:space="preserve">    que se refiere propiamente a su declaración,  el  Estado  cuestionó  el</w:t>
        <w:br/>
        <w:t xml:space="preserve">    análisis jurídico efectuado  por  ella.  La  Corte  considera  que  las</w:t>
        <w:br/>
        <w:t xml:space="preserve">    observaciones del Estado se refieren al contenido  de  la  declaración,</w:t>
        <w:br/>
        <w:t xml:space="preserve">    por lo que no afecta su admisibilidad, y en todo caso, las mismas serán</w:t>
        <w:br/>
        <w:t xml:space="preserve">    tomadas en cuenta  al  valorar  la  declaración  junto  con  el  acervo</w:t>
        <w:br/>
        <w:t xml:space="preserve">    probatorio y conforme a las reglas de la sana crítica.</w:t>
        <w:br/>
        <w:br/>
        <w:t>59.  En lo que se refiere a los peritajes presentados mediante  affidávit,</w:t>
        <w:br/>
        <w:t xml:space="preserve">    el Estado, en forma general, manifestó que “la mayoría  de  peritos  no</w:t>
        <w:br/>
        <w:t xml:space="preserve">    rindió su peritaje de conformidad con el juramento  establecido  en  el</w:t>
        <w:br/>
        <w:t xml:space="preserve">    artículo 51.4 del  Reglamento  de  la  Corte”,  así  como  que  “ni  se</w:t>
        <w:br/>
        <w:t xml:space="preserve">    pronunciaron al objeto que les asignó la […]  Corte  en  la  resolución</w:t>
        <w:br/>
        <w:t xml:space="preserve">    correspondiente, sino de acuerdo al objeto con que sus peritajes fueron</w:t>
        <w:br/>
        <w:t xml:space="preserve">    ofrecidos”. Consideró que a los peritos lo que les interesa  es  “hacer</w:t>
        <w:br/>
        <w:t xml:space="preserve">    conocer sus opiniones y difundir la información que les  interesa,  sea</w:t>
        <w:br/>
        <w:t xml:space="preserve">    en lo personal, profesional o peor aún, con  carencia  de  objetividad,</w:t>
        <w:br/>
        <w:t xml:space="preserve">    sino con tal de favorecer a quienes los han propuesto”. En el  presente</w:t>
        <w:br/>
        <w:t xml:space="preserve">    caso, el Tribunal  no  encuentra  fundamento  para  considerar  que  la</w:t>
        <w:br/>
        <w:t xml:space="preserve">    admisión de los peritajes afecte la seguridad jurídica o el  equilibrio</w:t>
        <w:br/>
        <w:t xml:space="preserve">    procesal de las partes por la falta del juramento en los  términos  del</w:t>
        <w:br/>
        <w:t xml:space="preserve">    artículo 51.4 del Reglamento de  la  Corte.  Los  declarantes  en  cada</w:t>
        <w:br/>
        <w:t xml:space="preserve">    dictamen incorporaron un juramento y a través de su  firma  certificada</w:t>
        <w:br/>
        <w:t xml:space="preserve">    ante un fedatario público se asegura que efectivamente son los  autores</w:t>
        <w:br/>
        <w:t xml:space="preserve">    de tal declaración, asumiendo las consecuencias legales de dicho  acto.</w:t>
        <w:br/>
        <w:t xml:space="preserve">    En razón de lo anterior, este Tribunal considera que dicha  observación</w:t>
        <w:br/>
        <w:t xml:space="preserve">    no constituye una falta que impida la admisibilidad de los peritajes.</w:t>
        <w:br/>
        <w:br/>
        <w:t>60.  En cuanto a las observaciones del  Estado  sobre  el  objeto  de  los</w:t>
        <w:br/>
        <w:t xml:space="preserve">    peritajes de Ana Carcedo Cabañas[56], Rodolfo Kepfer Rodríguez  y  José</w:t>
        <w:br/>
        <w:t xml:space="preserve">    Nájera  Ochoa,  el  Tribunal  entiende  que  éstas   no   impugnan   la</w:t>
        <w:br/>
        <w:t xml:space="preserve">    admisibilidad de  las  declaraciones  indicadas,  sino  que  apuntan  a</w:t>
        <w:br/>
        <w:t xml:space="preserve">    cuestionar su peso probatorio. En cuanto a la alegación del  Estado  de</w:t>
        <w:br/>
        <w:t xml:space="preserve">    que los peritos no rindieron su dictamen pericial de acuerdo al  objeto</w:t>
        <w:br/>
        <w:t xml:space="preserve">    fijado en  la  Resolución  del  Presidente,  la  Corte  considerará  el</w:t>
        <w:br/>
        <w:t xml:space="preserve">    contenido de estos peritajes en la medida que se ajusten al objeto para</w:t>
        <w:br/>
        <w:t xml:space="preserve">    el cual fueron convocados[57] (supra párr.  11).</w:t>
        <w:br/>
        <w:br/>
        <w:t>61. Con base en lo  antes  expuesto,  el  Tribunal  admite  los  peritajes</w:t>
        <w:br/>
        <w:t xml:space="preserve">    señalados  y  los  valorará  conjuntamente  con  el  resto  del  acervo</w:t>
        <w:br/>
        <w:t xml:space="preserve">    probatorio, teniendo en  cuenta  las  observaciones  del  Estado  y  de</w:t>
        <w:br/>
        <w:t xml:space="preserve">    conformidad con las reglas de la sana crítica.</w:t>
        <w:br/>
        <w:br/>
        <w:t>E. Admisión de la declaración de la presunta  víctima  y  prueba  pericial</w:t>
        <w:br/>
        <w:t xml:space="preserve">  rendida en audiencia pública</w:t>
        <w:br/>
        <w:br/>
        <w:t>62.  En cuanto a la declaración rendida por la señora Rosa  Elvira  Franco</w:t>
        <w:br/>
        <w:t xml:space="preserve">    Sandoval,  el  Estado  en  sus   observaciones   hizo   notar   algunas</w:t>
        <w:br/>
        <w:t xml:space="preserve">    inconsistencias  dirigidas  a  cuestionar  el  peso  probatorio  de  su</w:t>
        <w:br/>
        <w:t xml:space="preserve">    declaración al relatar los hechos del presente caso, pero no objetó  su</w:t>
        <w:br/>
        <w:t xml:space="preserve">    declaración ni solicitó su inadmisibilidad[58].  Este  Tribunal  estima</w:t>
        <w:br/>
        <w:t xml:space="preserve">    pertinente admitir la declaración de la presunta víctima en  cuanto  se</w:t>
        <w:br/>
        <w:t xml:space="preserve">    ajuste el objeto definido por el Presidente en la Resolución que ordenó</w:t>
        <w:br/>
        <w:t xml:space="preserve">    recibirla y tomará en cuenta las observaciones del Estado (supra  párr.</w:t>
        <w:br/>
        <w:t xml:space="preserve">    11).  Asimismo,  reitera  lo  señalado  por  la  Corte  respecto  a  la</w:t>
        <w:br/>
        <w:t xml:space="preserve">    valoración de su declaración  por  tratarse  de  una  presunta  víctima</w:t>
        <w:br/>
        <w:t xml:space="preserve">    (supra párr. 57).</w:t>
        <w:br/>
        <w:br/>
        <w:t>63. En cuanto al peritaje rendido por María Eugenia Solís,  el  Estado  se</w:t>
        <w:br/>
        <w:t xml:space="preserve">    refirió al contenido de la declaración así como de su peritaje  escrito</w:t>
        <w:br/>
        <w:t xml:space="preserve">    para desvirtuar su peso probatorio, pero no impugnó  su  admisibilidad.</w:t>
        <w:br/>
        <w:t xml:space="preserve">    La señora  Solís  en  su  peritaje  no  identificó  a  qué  información</w:t>
        <w:br/>
        <w:t xml:space="preserve">    estadística, bibliografía, expedientes, fiscalías, casos, sentencias  y</w:t>
        <w:br/>
        <w:t xml:space="preserve">    personas aludió, ni aclaró la cantidad de casos que consultó. La  Corte</w:t>
        <w:br/>
        <w:t xml:space="preserve">    admite y valora el peritaje  conjuntamente  con  el  resto  del  acervo</w:t>
        <w:br/>
        <w:t xml:space="preserve">    probatorio, en la medida en  que  aporte  información  o  explicaciones</w:t>
        <w:br/>
        <w:t xml:space="preserve">    concordantes y complementarias a las que  surgen  de  otros  medios  de</w:t>
        <w:br/>
        <w:t xml:space="preserve">    prueba allegados al Tribunal, teniendo en cuenta las observaciones  del</w:t>
        <w:br/>
        <w:t xml:space="preserve">    Estado y de conformidad con las reglas de la sana crítica.</w:t>
        <w:br/>
        <w:br/>
        <w:t xml:space="preserve">                                      *</w:t>
        <w:br/>
        <w:br/>
        <w:t>64. En cuanto a los amici curiae, éstos fueron presentados el 30  de  mayo</w:t>
        <w:br/>
        <w:t xml:space="preserve">    de 2013, dentro del plazo establecido en el artículo 44 del Reglamento,</w:t>
        <w:br/>
        <w:t xml:space="preserve">    pero en un idioma que no correspondía al idioma  oficial  del  presente</w:t>
        <w:br/>
        <w:t xml:space="preserve">    caso. No fue remitida la traducción  al  español  del  escrito  de  las</w:t>
        <w:br/>
        <w:t xml:space="preserve">    señoras Christine M. Venter, Ana-Paolo Calpado  y  Daniella  Palmiotto,</w:t>
        <w:br/>
        <w:t xml:space="preserve">    por lo que se declara inadmisible[59]. En lo que se refiere al  escrito</w:t>
        <w:br/>
        <w:t xml:space="preserve">    de la señora Sorina Macricini y los señores Cristian González  Chacó  y</w:t>
        <w:br/>
        <w:t xml:space="preserve">    Bruno Rodríguez Reveggio, la traducción del amicus curiae completa  fue</w:t>
        <w:br/>
        <w:t xml:space="preserve">    remitida el 10 de junio de 2013, es decir, once días después de vencido</w:t>
        <w:br/>
        <w:t xml:space="preserve">    el plazo para su presentación (supra párr. 12). Al respecto, el  Estado</w:t>
        <w:br/>
        <w:t xml:space="preserve">    solicitó que se inadmita el  escrito  y  alegó  su  desacuerdo  con  la</w:t>
        <w:br/>
        <w:t xml:space="preserve">    opinión vertida en el escrito. En consideración de lo dispuesto  en  el</w:t>
        <w:br/>
        <w:t xml:space="preserve">    artículo 44.3 del Reglamento de la Corte respecto de que  los  escritos</w:t>
        <w:br/>
        <w:t xml:space="preserve">    en calidad de amicus curiae podrán presentarse  “en  cualquier  momento</w:t>
        <w:br/>
        <w:t xml:space="preserve">    del proceso pero no más allá de los 15 días posteriores a la  audiencia</w:t>
        <w:br/>
        <w:t xml:space="preserve">    pública”, y dado que en el presente caso, la  traducción  completa  del</w:t>
        <w:br/>
        <w:t xml:space="preserve">    amicus curiae fue presentada fuera del plazo señalado en  dicha  norma,</w:t>
        <w:br/>
        <w:t xml:space="preserve">    este Tribunal sólo admite la  parte  del  escrito  que  fue  presentada</w:t>
        <w:br/>
        <w:t xml:space="preserve">    dentro del plazo en idioma español la cual resulta comprensible,  y  no</w:t>
        <w:br/>
        <w:t xml:space="preserve">    se admite la traducción  al  español  de  la  parte  restante,  por  su</w:t>
        <w:br/>
        <w:t xml:space="preserve">    presentación extemporánea.</w:t>
        <w:br/>
        <w:br/>
        <w:br/>
        <w:br/>
        <w:br/>
        <w:br/>
        <w:t>VII</w:t>
        <w:br/>
        <w:br/>
        <w:br/>
        <w:t>HECHOS</w:t>
        <w:br/>
        <w:br/>
        <w:br/>
        <w:br/>
        <w:br/>
        <w:t xml:space="preserve">  Contexto</w:t>
        <w:br/>
        <w:br/>
        <w:br/>
        <w:t xml:space="preserve">    A.1) Introducción</w:t>
        <w:br/>
        <w:br/>
        <w:t>65. Como lo ha hecho anteriormente, la Corte recuerda que, en el ejercicio</w:t>
        <w:br/>
        <w:t xml:space="preserve">    de su jurisdicción contenciosa,  “ha  conocido  de  diversos  contextos</w:t>
        <w:br/>
        <w:t xml:space="preserve">    históricos, sociales y políticos  que  permitieron  situar  los  hechos</w:t>
        <w:br/>
        <w:t xml:space="preserve">    alegados como violatorios de [derechos humanos]  en  el  marco  de  las</w:t>
        <w:br/>
        <w:t xml:space="preserve">    circunstancias específicas en que ocurrieron”[60]. Además,  en  algunos</w:t>
        <w:br/>
        <w:t xml:space="preserve">    casos el contexto posibilitó la  caracterización  de  los  hechos  como</w:t>
        <w:br/>
        <w:t xml:space="preserve">    parte  de  un  patrón  sistemático  de  violaciones  a   los   derechos</w:t>
        <w:br/>
        <w:t xml:space="preserve">    humanos[61]  y/o  se  tomó  en  cuenta  para  la  determinación  de  la</w:t>
        <w:br/>
        <w:t xml:space="preserve">    responsabilidad internacional del Estado[62]. De ese modo, en  relación</w:t>
        <w:br/>
        <w:t xml:space="preserve">    con el aducido incumplimiento del Estado en cuanto a la  prevención  de</w:t>
        <w:br/>
        <w:t xml:space="preserve">    lo  sucedido  a  María  Isabel  Veliz  Franco  (supra  párr.   7),   la</w:t>
        <w:br/>
        <w:t xml:space="preserve">    consideración de información contextual coadyuvará (junto con elementos</w:t>
        <w:br/>
        <w:t xml:space="preserve">    fácticos propios del caso) a la precisión sobre el  grado  en  que  era</w:t>
        <w:br/>
        <w:t xml:space="preserve">    exigible al Estado considerar la existencia de un riesgo para la  niña,</w:t>
        <w:br/>
        <w:t xml:space="preserve">    y actuar en  consecuencia.  Asimismo,  en  el  aspecto  indicado,  como</w:t>
        <w:br/>
        <w:t xml:space="preserve">    también en relación con la actuación estatal en la investigación de los</w:t>
        <w:br/>
        <w:t xml:space="preserve">    hechos, permitirá una mejor comprensión de  las  aducidas  violaciones,</w:t>
        <w:br/>
        <w:t xml:space="preserve">    como de la procedencia de ciertas medidas de reparación.</w:t>
        <w:br/>
        <w:br/>
        <w:t>66. La Comisión y la representante  afirmaron  que  el  presente  caso  se</w:t>
        <w:br/>
        <w:t xml:space="preserve">    inserta en un contexto de altos niveles de hechos de  violencia  contra</w:t>
        <w:br/>
        <w:t xml:space="preserve">    las mujeres y niñas en Guatemala, así como de impunidad generalizada de</w:t>
        <w:br/>
        <w:t xml:space="preserve">    los mismos.  El  Estado  expresó  que  es  “falso”  que  “ignor[e]”  la</w:t>
        <w:br/>
        <w:t xml:space="preserve">    “tendencia creciente de violencia contra las  mujeres  en  la  región”,</w:t>
        <w:br/>
        <w:t xml:space="preserve">    sino que “ha implementado medidas […] para prevenir[la],  sancionar[la]</w:t>
        <w:br/>
        <w:t xml:space="preserve">    y erradicarla”. Afirmó que “no  ha[y]  prueba  que  […]  confirm[e  la]</w:t>
        <w:br/>
        <w:t xml:space="preserve">    conexión” del presente caso “con  un  supuesto  patrón  sistemático  de</w:t>
        <w:br/>
        <w:t xml:space="preserve">    muertes de mujeres”. Sostuvo además que “no todas las muertes violentas</w:t>
        <w:br/>
        <w:t xml:space="preserve">    de mujeres se perpetran por razón de género”.  Aseveró  que  existe  un</w:t>
        <w:br/>
        <w:t xml:space="preserve">    “dese[o]” de la representante  y  la  Comisión  de  “encuadrar  el  […]</w:t>
        <w:br/>
        <w:t xml:space="preserve">    presente caso [en] un supuesto contexto de violencia en contra  de  las</w:t>
        <w:br/>
        <w:t xml:space="preserve">    mujeres que  existe  dentro  de  los  patrones  socioculturales  de  la</w:t>
        <w:br/>
        <w:t xml:space="preserve">    población guatemalteca”, pero que  “sin  embargo  ello  nunca  ha  sido</w:t>
        <w:br/>
        <w:t xml:space="preserve">    resultado de una política pública del Estado  y  mucho  menos  [de  su]</w:t>
        <w:br/>
        <w:t xml:space="preserve">    tolerancia ni aquiescencia”.</w:t>
        <w:br/>
        <w:br/>
        <w:t>67. Con base en lo anterior, la Corte se referirá seguidamente a  aspectos</w:t>
        <w:br/>
        <w:t xml:space="preserve">    relativos a la prueba del contexto y, posteriormente, a la situación en</w:t>
        <w:br/>
        <w:t xml:space="preserve">    Guatemala relativa a homicidios por razón de  género,  actos  violentos</w:t>
        <w:br/>
        <w:t xml:space="preserve">    contra mujeres e impunidad en la investigación, y la eventual   sanción</w:t>
        <w:br/>
        <w:t xml:space="preserve">    de los mismos. Sin embargo, previamente a abordar estas  materias  hará</w:t>
        <w:br/>
        <w:t xml:space="preserve">    alusión a la invisibilidad de la violencia contra la mujer en  el  caso</w:t>
        <w:br/>
        <w:t xml:space="preserve">    de Guatemala, pues esta situación, por una parte, permite  entender  la</w:t>
        <w:br/>
        <w:t xml:space="preserve">    ausencia de datos estadísticos oficiales respecto de  los  delitos  por</w:t>
        <w:br/>
        <w:t xml:space="preserve">    razón de género, pero además constituye un elemento del contexto de  la</w:t>
        <w:br/>
        <w:t xml:space="preserve">    violencia homicida que afecta  de  manera  específica  a  las  víctimas</w:t>
        <w:br/>
        <w:t xml:space="preserve">    mujeres.</w:t>
        <w:br/>
        <w:br/>
        <w:t>68. El informe “Guatemala: Memoria del Silencio” señaló que “[l]as mujeres</w:t>
        <w:br/>
        <w:t xml:space="preserve">    fueron víctimas de todas las formas de violaciones de derechos  humanos</w:t>
        <w:br/>
        <w:t xml:space="preserve">    durante el enfrentamiento  armado,  pero  además  sufrieron  de  formas</w:t>
        <w:br/>
        <w:t xml:space="preserve">    específicas  de  violencia  de  género”[63].  La   Comisión   para   el</w:t>
        <w:br/>
        <w:t xml:space="preserve">    Esclarecimiento  Histórico  llegó   a   la   convicción   de   que   la</w:t>
        <w:br/>
        <w:t xml:space="preserve">    desvalorización de la cual fueron objeto las mujeres resultó absoluta y</w:t>
        <w:br/>
        <w:t xml:space="preserve">    permitió que elementos  del  ejército  pudieran  agredirlas  con  total</w:t>
        <w:br/>
        <w:t xml:space="preserve">    impunidad[64], y concluyó que durante el enfrentamiento armado  interno</w:t>
        <w:br/>
        <w:t xml:space="preserve">    los tribunales  de  justicia  se  mostraron  incapaces  de  investigar,</w:t>
        <w:br/>
        <w:t xml:space="preserve">    procesar, juzgar y sancionar siquiera a los responsables.</w:t>
        <w:br/>
        <w:br/>
        <w:t>69. Esta situación ha persistido con posterioridad a la  finalización  del</w:t>
        <w:br/>
        <w:t xml:space="preserve">    conflicto armado, y se ve  reflejada  actualmente  en  una  cultura  de</w:t>
        <w:br/>
        <w:t xml:space="preserve">    violencia que continúa con los años, dentro de la cual hay un  sustrato</w:t>
        <w:br/>
        <w:t xml:space="preserve">    propio de violencia que afecta especialmente a mujeres.  Pese  a  ello,</w:t>
        <w:br/>
        <w:t xml:space="preserve">    esta violencia ha pasado desapercibida, entre  otras  razones,  por  la</w:t>
        <w:br/>
        <w:t xml:space="preserve">    falta de cuantificación oficial hasta fechas recientes, de  manera  que</w:t>
        <w:br/>
        <w:t xml:space="preserve">    resulta particularmente difícil contar  con  estadísticas  fiables  que</w:t>
        <w:br/>
        <w:t xml:space="preserve">    proporcionen datos ciertos sobre la magnitud de la violencia perpetrada</w:t>
        <w:br/>
        <w:t xml:space="preserve">    contra las mujeres en Guatemala. En consecuencia, “[l]a  ausencia  casi</w:t>
        <w:br/>
        <w:t xml:space="preserve">    absoluta de datos desglosados por géneros en los  documentos  oficiales</w:t>
        <w:br/>
        <w:t xml:space="preserve">    hace que la violencia  de  género  se  registre  en  general  en  menor</w:t>
        <w:br/>
        <w:t xml:space="preserve">    proporción de la que representa realmente e incluso que a menudo apenas</w:t>
        <w:br/>
        <w:t xml:space="preserve">    quede reflejada”[65].</w:t>
        <w:br/>
        <w:br/>
        <w:t xml:space="preserve">    A.2) Sobre la prueba de la situación de contexto</w:t>
        <w:br/>
        <w:br/>
        <w:t>70. El Estado, en su escrito de contestación expresó, en  forma  genérica,</w:t>
        <w:br/>
        <w:t xml:space="preserve">    que “rechaza varios señalamientos incluidos en el Informe de Fondo […,]</w:t>
        <w:br/>
        <w:t xml:space="preserve">    pues en el apartado ‘IV. HECHOS PROBADOS’, la C[omisión]  enumer[ó]  lo</w:t>
        <w:br/>
        <w:t xml:space="preserve">    que t[uvo] por cierto y a consideraci[ó]n […] del Estado ciertos hechos</w:t>
        <w:br/>
        <w:t xml:space="preserve">    han sido desvirtuados por los  peticionarios,  o  bien,  han  sido  mal</w:t>
        <w:br/>
        <w:t xml:space="preserve">    interpretados por la […] Comisión”. Sin perjuicio de tal aseveración, y</w:t>
        <w:br/>
        <w:t xml:space="preserve">    si bien el Estado efectuó observaciones  y  presentó  prueba  sobre  la</w:t>
        <w:br/>
        <w:t xml:space="preserve">    situación de contexto, no precisó  que  ello  controvirtiera  en  forma</w:t>
        <w:br/>
        <w:t xml:space="preserve">    directa aspectos puntuales  de  datos  y  expresiones  vertidas  en  el</w:t>
        <w:br/>
        <w:t xml:space="preserve">    Informe de Fondo y en el escrito de solicitudes y  argumentos  respecto</w:t>
        <w:br/>
        <w:t xml:space="preserve">    de la existencia de un contexto de homicidios por razón de género y  de</w:t>
        <w:br/>
        <w:t xml:space="preserve">    impunidad[66].   Por   lo   expuesto,   el   Tribunal   apreciará   las</w:t>
        <w:br/>
        <w:t xml:space="preserve">    manifestaciones efectuadas por la Comisión y la representante, así como</w:t>
        <w:br/>
        <w:t xml:space="preserve">    la prueba aportada por ella. Unas y otras aluden,  en  mayor  parte,  a</w:t>
        <w:br/>
        <w:t xml:space="preserve">    aspectos contextuales vinculados a la situación de las mujeres, y  sólo</w:t>
        <w:br/>
        <w:t xml:space="preserve">    en menor grado especifican lo atinente a niñas. De igual  modo,  tendrá</w:t>
        <w:br/>
        <w:t xml:space="preserve">    en consideración las observaciones y prueba presentadas por el Estado.</w:t>
        <w:br/>
        <w:br/>
        <w:t>71. Por otra parte, la Corte tiene en cuenta que, si bien algunas agencias</w:t>
        <w:br/>
        <w:t xml:space="preserve">    estatales han producido alguna información sobre la violencia  homicida</w:t>
        <w:br/>
        <w:t xml:space="preserve">    contra la mujer, en todo caso, no hay  cifras  oficiales  que  permitan</w:t>
        <w:br/>
        <w:t xml:space="preserve">    desagregar,  al  menos  en  relación  con  hechos  acaecidos  antes  de</w:t>
        <w:br/>
        <w:t xml:space="preserve">    2008[67], de aquellos casos de muertes violentas  de  mujeres  los  que</w:t>
        <w:br/>
        <w:t xml:space="preserve">    fueron homicidios cometidos por razones de género[68]. En tal  sentido,</w:t>
        <w:br/>
        <w:t xml:space="preserve">    ese mismo año el Estado informó  al  Mecanismo  de  Seguimiento  de  la</w:t>
        <w:br/>
        <w:t xml:space="preserve">    Convención de Belém do Pará  (MESECVI),  en  relación  con  “los  datos</w:t>
        <w:br/>
        <w:t xml:space="preserve">    estadísticos”, que “[n]o son de acceso  fácil  y  debido  a  limitantes</w:t>
        <w:br/>
        <w:t xml:space="preserve">    presupuestarias, hay  información  recopilada  pero  no  procesada  y/o</w:t>
        <w:br/>
        <w:t xml:space="preserve">    información procesada pero no  publicada”[69].  El  MESECVI  afirmó  la</w:t>
        <w:br/>
        <w:t xml:space="preserve">    insuficiencia de la información estatal (infra nota al  pie  de  página</w:t>
        <w:br/>
        <w:t xml:space="preserve">    244)[70].</w:t>
        <w:br/>
        <w:br/>
        <w:br/>
        <w:t>72. La Corte analizará las aseveraciones de las partes y  la  Comisión  en</w:t>
        <w:br/>
        <w:t xml:space="preserve">    cuanto al contexto, así como la prueba existente,  teniendo  en  cuenta</w:t>
        <w:br/>
        <w:t xml:space="preserve">    todo lo expresado. Cabe aclarar que se considerará,  además  de  prueba</w:t>
        <w:br/>
        <w:t xml:space="preserve">    pericial, prueba documental de  los  siguientes  tipos:  a)  documentos</w:t>
        <w:br/>
        <w:t xml:space="preserve">    provenientes  de  entidades  estatales;  b)  documentos  de   entidades</w:t>
        <w:br/>
        <w:t xml:space="preserve">    internacionales, tanto del sistema de Naciones Unidas como del  sistema</w:t>
        <w:br/>
        <w:t xml:space="preserve">    interamericano;  c)  documentos  elaborados   por   organizaciones   no</w:t>
        <w:br/>
        <w:t xml:space="preserve">    gubernamentales, y d) un documento elaborado bajo  la  coordinación  de</w:t>
        <w:br/>
        <w:t xml:space="preserve">    una de las peritas intervinientes en el caso, distinto de  su  pericia.</w:t>
        <w:br/>
        <w:t xml:space="preserve">    Por  otra  parte,  todos  los  textos  y  dictámenes  aludidos   fueron</w:t>
        <w:br/>
        <w:t xml:space="preserve">    producidos tomando  en  consideración  datos  provenientes  de  fuentes</w:t>
        <w:br/>
        <w:t xml:space="preserve">    estatales de Guatemala.</w:t>
        <w:br/>
        <w:br/>
        <w:br/>
        <w:br/>
        <w:t xml:space="preserve">    A.3) La violencia homicida en Guatemala en 2001 y su  especificidad  y</w:t>
        <w:br/>
        <w:t xml:space="preserve">    evolución en relación con víctimas mujeres.</w:t>
        <w:br/>
        <w:br/>
        <w:br/>
        <w:t>73. La Corte advierte que para diciembre de 2001 Guatemala atravesaba  una</w:t>
        <w:br/>
        <w:t xml:space="preserve">    escalada de violencia homicida, y que la misma presentaba índices altos</w:t>
        <w:br/>
        <w:t xml:space="preserve">    en comparación con otros países. En ese marco, hubo, al menos a  partir</w:t>
        <w:br/>
        <w:t xml:space="preserve">    del año 2000 o del año 2001, un crecimiento numérico de  homicidios  en</w:t>
        <w:br/>
        <w:t xml:space="preserve">    general, y con ello, un aumento proporcionalmente significativo de  los</w:t>
        <w:br/>
        <w:t xml:space="preserve">    homicidios de mujeres. Asimismo, hay datos indicativos  de  que  cierta</w:t>
        <w:br/>
        <w:t xml:space="preserve">    parte de los atentados sufridos por mujeres, inclusive en 2001,  serían</w:t>
        <w:br/>
        <w:t xml:space="preserve">    homicidios por razones de género. Las aseveraciones  antedichas  tienen</w:t>
        <w:br/>
        <w:t xml:space="preserve">    por base la información que se refiere seguidamente.</w:t>
        <w:br/>
        <w:br/>
        <w:t>74. En Guatemala, la violencia homicida aumentó un 120% entre 1999 y 2006,</w:t>
        <w:br/>
        <w:t xml:space="preserve">    a un ritmo promedio ampliamente mayor, que el crecimiento  poblacional.</w:t>
        <w:br/>
        <w:t xml:space="preserve">    De acuerdo al Programa  de  las  Naciones  Unidas  para  el  Desarrollo</w:t>
        <w:br/>
        <w:t xml:space="preserve">    (PNUD),   este   crecimiento   de   los   homicidios   derivó   en   el</w:t>
        <w:br/>
        <w:t xml:space="preserve">    “posicion[amiento de] Guatemala[, para 2006,] como uno  de  los  países</w:t>
        <w:br/>
        <w:t xml:space="preserve">    más violentos del mundo oficialmente  en  paz”[71].  El  mayor  aumento</w:t>
        <w:br/>
        <w:t xml:space="preserve">    proporcional de dicha violencia entre 1986 y 2006 se concentró  en  los</w:t>
        <w:br/>
        <w:t xml:space="preserve">    centros urbanos más grandes del país[72].</w:t>
        <w:br/>
        <w:br/>
        <w:t>75. En este marco, según expresó el Organismo Judicial  de  Guatemala,  de</w:t>
        <w:br/>
        <w:t xml:space="preserve">    acuerdo a “cifras oficiales”, hubo un “incremento sostenible de muertes</w:t>
        <w:br/>
        <w:t xml:space="preserve">    violentas de mujeres a nivel  nacional  desde  el  año  2001  hasta  el</w:t>
        <w:br/>
        <w:t xml:space="preserve">    2011”[73]. Información coincidente  fue  presentada  por  el  Instituto</w:t>
        <w:br/>
        <w:t xml:space="preserve">    Nacional de Estadística (infra párr. 76), e informes de  organizaciones</w:t>
        <w:br/>
        <w:t xml:space="preserve">    internacionales muestran un  aumento  sostenido  de  casos  de  muertes</w:t>
        <w:br/>
        <w:t xml:space="preserve">    violentas de mujeres a partir del año 2000[74].</w:t>
        <w:br/>
        <w:br/>
        <w:t>76. La Comisión Interamericana aseveró que fuentes  estatales  confirmaron</w:t>
        <w:br/>
        <w:t xml:space="preserve">    que “desde el año 2001 al  2004  se  registraron  1,188  asesinatos  de</w:t>
        <w:br/>
        <w:t xml:space="preserve">    mujeres, [y que] distintas fuentes confirmaron que […] también  se  […]</w:t>
        <w:br/>
        <w:t xml:space="preserve">    agrav[ó] el grado de violencia  y  ensañamiento  ejercidos  contra  los</w:t>
        <w:br/>
        <w:t xml:space="preserve">    cuerpos de las víctimas”[75]. De acuerdo a datos del Instituto Nacional</w:t>
        <w:br/>
        <w:t xml:space="preserve">    de Estadística recogidos por  el  MESECVI,  se  presentó  la  siguiente</w:t>
        <w:br/>
        <w:t xml:space="preserve">    evolución de la cantidad de homicidios de mujeres  en  el  país:  1995:</w:t>
        <w:br/>
        <w:t xml:space="preserve">    150; 1996: 163; 1997: 249; 1998: 190; 1999: 179; 2000: 213; 2001:  215;</w:t>
        <w:br/>
        <w:t xml:space="preserve">    2002: 266; 2003: 282; 2004: 286[76].</w:t>
        <w:br/>
        <w:br/>
        <w:t>77. Más allá del aumento numérico de homicidios de mujeres, se ha allegado</w:t>
        <w:br/>
        <w:t xml:space="preserve">    al  Tribunal  información  distinta  en  cuanto  a  la  proporción   de</w:t>
        <w:br/>
        <w:t xml:space="preserve">    homicidios de mujeres en comparación con la  de  hombres,  y  sobre  el</w:t>
        <w:br/>
        <w:t xml:space="preserve">    crecimiento de esa proporción. Por una parte, se ha informado que entre</w:t>
        <w:br/>
        <w:t xml:space="preserve">    2001 y 2006 cerca de un  10%  de  homicidios  fueron  cometidos  contra</w:t>
        <w:br/>
        <w:t xml:space="preserve">    mujeres[77]. Esta proporción es similar si  se  consideran  el  período</w:t>
        <w:br/>
        <w:t xml:space="preserve">    entre 1986 y 2008[78], o entre 2002 y 2012[79]. Superó el 10% al  menos</w:t>
        <w:br/>
        <w:t xml:space="preserve">    entre 2003 y 2004, años en que habría sido  mayor  al  11%  y  el  12%,</w:t>
        <w:br/>
        <w:t xml:space="preserve">    respectivamente[80]. Por otra parte,  también  hay  información  en  el</w:t>
        <w:br/>
        <w:t xml:space="preserve">    sentido de que entre 1995 y 2004 el aumento de la tasa  de  crecimiento</w:t>
        <w:br/>
        <w:t xml:space="preserve">    de homicidios de mujeres fue casi el doble que  el  aumento  de  la  de</w:t>
        <w:br/>
        <w:t xml:space="preserve">    hombres[81], y que en ese último año “la cantidad de muertes  violentas</w:t>
        <w:br/>
        <w:t xml:space="preserve">    de mujeres se había incrementado en 20[%] más que la de hombres”[82].</w:t>
        <w:br/>
        <w:br/>
        <w:br/>
        <w:t>78. Se ha afirmado que las zonas  urbanas,  como  ciudad  de  Guatemala  o</w:t>
        <w:br/>
        <w:t xml:space="preserve">    Escuintla, eran los lugares en que, principalmente, ocurrieron ese tipo</w:t>
        <w:br/>
        <w:t xml:space="preserve">    de hechos[83], y que las mujeres víctimas, en general, eran  residentes</w:t>
        <w:br/>
        <w:t xml:space="preserve">    en  barrios  populares,  se  dedicaban  a  actividades  productivas  no</w:t>
        <w:br/>
        <w:t xml:space="preserve">    calificadas  o  eran  estudiantes[84].  Asimismo  se  ha  aducido  como</w:t>
        <w:br/>
        <w:t xml:space="preserve">    “característica de muchos de los casos de mujeres que han sido  víctima</w:t>
        <w:br/>
        <w:t xml:space="preserve">    de homicidio” la “brutalidad de la violencia ejercida”, la presencia de</w:t>
        <w:br/>
        <w:t xml:space="preserve">    “signos de violencia sexual” en los cadáveres, o la mutilación  de  los</w:t>
        <w:br/>
        <w:t xml:space="preserve">    mismos[85]. También que “[m]uchas de [las] mujeres fueron secuestradas,</w:t>
        <w:br/>
        <w:t xml:space="preserve">    y en algunos casos estuvieron horas, o incluso días, recluidas antes de</w:t>
        <w:br/>
        <w:t xml:space="preserve">    ser asesinadas”[86]. La  perita  Ana  Carcedo  Cabañas  indicó  que  el</w:t>
        <w:br/>
        <w:t xml:space="preserve">    “Organismo Judicial de Guatemala  reconoc[ió]  la  existencia  de  este</w:t>
        <w:br/>
        <w:t xml:space="preserve">    ensañamiento desproporcionado en las muertes de mujeres”[87].</w:t>
        <w:br/>
        <w:br/>
        <w:t>79. En línea con lo anterior, un informe de la Comisión Interamericana  de</w:t>
        <w:br/>
        <w:t xml:space="preserve">    abril de 2001 aseveró que, para ese momento,  la  violencia  contra  la</w:t>
        <w:br/>
        <w:t xml:space="preserve">    mujer era “un problema grave en  el  país”,  y  que  [a]unque  [en  ese</w:t>
        <w:br/>
        <w:t xml:space="preserve">    momento era] difícil estimar con precisión la profundidad y el  alcance</w:t>
        <w:br/>
        <w:t xml:space="preserve">    del [mismo], hay informes que indica[ron] que la violencia basada en el</w:t>
        <w:br/>
        <w:t xml:space="preserve">    género est[aba] entre las causas principales de muerte  y  discapacidad</w:t>
        <w:br/>
        <w:t xml:space="preserve">    entre las mujeres de entre 15 y 44 años de edad”[88]. El Estado  indicó</w:t>
        <w:br/>
        <w:t xml:space="preserve">    que las “estadísticas pueden ser correctas”.</w:t>
        <w:br/>
        <w:br/>
        <w:t>80. De otro lado, cabe  observar  que  la  Procuraduría  de  los  Derechos</w:t>
        <w:br/>
        <w:t xml:space="preserve">    Humanos, órgano estatal, ha vinculado la existencia de actos  violentos</w:t>
        <w:br/>
        <w:t xml:space="preserve">    cometidos contra mujeres en 2001 a  “la  discriminación,  culturalmente</w:t>
        <w:br/>
        <w:t xml:space="preserve">    enraizada en la sociedad guatemalteca”, y ha enmarcado tal violencia en</w:t>
        <w:br/>
        <w:t xml:space="preserve">    un contexto de  discriminación  contra  las  mujeres  en  Guatemala  en</w:t>
        <w:br/>
        <w:t xml:space="preserve">    diversos ámbitos[89]. En forma acorde se  ha  expresado  el  Órgano  de</w:t>
        <w:br/>
        <w:t xml:space="preserve">    Coordinación de la Prevención, el  Castigo  y  la  Erradicación  de  la</w:t>
        <w:br/>
        <w:t xml:space="preserve">    Violencia Familiar y la Violencia contra  la  Mujer  (CONAPREVI),  otra</w:t>
        <w:br/>
        <w:t xml:space="preserve">    entidad del Estado[90].</w:t>
        <w:br/>
        <w:br/>
        <w:br/>
        <w:t>81. Considerando lo anterior, es posible concluir que dentro del  conjunto</w:t>
        <w:br/>
        <w:t xml:space="preserve">    de muertes violentas de mujeres ocurridas  en  2001  en  Guatemala,  la</w:t>
        <w:br/>
        <w:t xml:space="preserve">    existencia de homicidios por razones de género no era  excepcional[91].</w:t>
        <w:br/>
        <w:t xml:space="preserve">    Coadyuva  a  esta  conclusión  la  valoración  de  prueba  pericial   y</w:t>
        <w:br/>
        <w:t xml:space="preserve">    documental que refiere a fechas próximas a diciembre  de  2001[92].  En</w:t>
        <w:br/>
        <w:t xml:space="preserve">    este sentido, resulta oportuno considerar que el tipo de  fenómeno  que</w:t>
        <w:br/>
        <w:t xml:space="preserve">    aquí se examina presenta cierto grado de continuidad temporal y que, si</w:t>
        <w:br/>
        <w:t xml:space="preserve">    bien resulta difícil precisar con plena certeza el momento en  el  cual</w:t>
        <w:br/>
        <w:t xml:space="preserve">    tuvo inicio, en todo caso, para la fecha en que ocurrieron  los  hechos</w:t>
        <w:br/>
        <w:t xml:space="preserve">    del presente caso existía  un  contexto  de  aumento  de  la  violencia</w:t>
        <w:br/>
        <w:t xml:space="preserve">    homicida contra las mujeres en Guatemala.</w:t>
        <w:br/>
        <w:br/>
        <w:br/>
        <w:br/>
        <w:br/>
        <w:t xml:space="preserve">    A.4) Sobre la actuación del Estado en la investigación  de  homicidios</w:t>
        <w:br/>
        <w:t xml:space="preserve">    cometidos contra mujeres</w:t>
        <w:br/>
        <w:br/>
        <w:br/>
        <w:t>82. Debe resaltarse que el Estado, antes[93] y después de los  hechos  del</w:t>
        <w:br/>
        <w:t xml:space="preserve">    presente caso, ha adoptado diversas medidas tendientes  a  afrontar  la</w:t>
        <w:br/>
        <w:t xml:space="preserve">    discriminación y violencia contra las mujeres, que este Tribunal  tiene</w:t>
        <w:br/>
        <w:t xml:space="preserve">    presente.  Así,  cabe  destacar  la  Ley  para  Prevenir,  Sancionar  y</w:t>
        <w:br/>
        <w:t xml:space="preserve">    Erradicar la Violencia Intrafamiliar, de 28 de noviembre de  1996,  así</w:t>
        <w:br/>
        <w:t xml:space="preserve">    como la Ley contra el Femicidio y otras formas de Violencia  contra  la</w:t>
        <w:br/>
        <w:t xml:space="preserve">    Mujer (en adelante también “Ley contra el Femicidio”), adoptada en 2008</w:t>
        <w:br/>
        <w:t xml:space="preserve">    (supra notas al pie de página 68 y 93).</w:t>
        <w:br/>
        <w:br/>
        <w:t>83.  Sin perjuicio de la importancia de lo anterior, cabe indicar que para</w:t>
        <w:br/>
        <w:t xml:space="preserve">    diciembre  de  2001,  así  como  en  los  años  siguientes,   Guatemala</w:t>
        <w:br/>
        <w:t xml:space="preserve">    presentaba un alto índice de impunidad general; es  decir,  relativo  a</w:t>
        <w:br/>
        <w:t xml:space="preserve">    diversos tipos de delitos y víctimas. En este marco, la mayoría de  los</w:t>
        <w:br/>
        <w:t xml:space="preserve">    actos violentos que conllevaban la muerte de mujeres quedaban  impunes.</w:t>
        <w:br/>
        <w:t xml:space="preserve">    En ese sentido, la Misión de Verificación de  las  Naciones  Unidas  en</w:t>
        <w:br/>
        <w:t xml:space="preserve">    Guatemala (MINUGUA) afirmó en 2004 que</w:t>
        <w:br/>
        <w:br/>
        <w:br/>
        <w:t xml:space="preserve">    [p]ese a los esfuerzos desplegados en aras de fortalecer el sistema  de</w:t>
        <w:br/>
        <w:t xml:space="preserve">    administración de justicia, al concluir el trabajo  de  la   Misión  es</w:t>
        <w:br/>
        <w:t xml:space="preserve">    posible concluir que no existe proporcionalidad entre esa  inversión  y</w:t>
        <w:br/>
        <w:t xml:space="preserve">    los  resultados obtenidos. La impunidad  continua  siendo  un  fenómeno</w:t>
        <w:br/>
        <w:t xml:space="preserve">    sistemático y transversal y pese a los  cambios  de  los  que  ha  dado</w:t>
        <w:br/>
        <w:t xml:space="preserve">    cuenta en diversos informes,  la  población  continúa   percibiendo  un</w:t>
        <w:br/>
        <w:t xml:space="preserve">    estado de indefensión e impunidad[94].</w:t>
        <w:br/>
        <w:br/>
        <w:t>84. No surge de la prueba remitida a la Corte que tal situación (tanto  la</w:t>
        <w:br/>
        <w:t xml:space="preserve">    general como la específica respecto a actos violentos  contra  mujeres)</w:t>
        <w:br/>
        <w:t xml:space="preserve">    haya sido modificada en forma sustantiva  hasta  el  presente.  En  ese</w:t>
        <w:br/>
        <w:t xml:space="preserve">    sentido, aunque hay datos que indican  una  disminución  del  grado  de</w:t>
        <w:br/>
        <w:t xml:space="preserve">    impunidad en los últimos años, el mismo continúa siendo muy alto (infra</w:t>
        <w:br/>
        <w:t xml:space="preserve">    párr. 86). Ello resulta pertinente en el caso sub examine, pues  de  la</w:t>
        <w:br/>
        <w:t xml:space="preserve">    información con que cuenta el Tribunal surge que la investigación se ha</w:t>
        <w:br/>
        <w:t xml:space="preserve">    desarrollado en años posteriores a 2001, no ha concluido,  y  permanece</w:t>
        <w:br/>
        <w:t xml:space="preserve">    en una etapa inicial (infra párr. 119). Lo dicho surge de los datos que</w:t>
        <w:br/>
        <w:t xml:space="preserve">    se expondrán a continuación.</w:t>
        <w:br/>
        <w:br/>
        <w:t>85. Como señaló el Estado, respecto del año 2001  existía  “una  situación</w:t>
        <w:br/>
        <w:t xml:space="preserve">    […]  estructural  prevaleciente   de   impunidad”,   y   “no   existían</w:t>
        <w:br/>
        <w:t xml:space="preserve">    lineamientos para la  investigación  y  la  persecución  penal”  (supra</w:t>
        <w:br/>
        <w:t xml:space="preserve">    párrs. 17 y 18). Por su parte, la  Comisión  Interamericana  afirmó  en</w:t>
        <w:br/>
        <w:t xml:space="preserve">    abril de 2001 que con anterioridad al lapso entre  1998  y  octubre  de</w:t>
        <w:br/>
        <w:t xml:space="preserve">    2000, se daba una “persistencia de la  impunidad  en  muchos  casos  de</w:t>
        <w:br/>
        <w:t xml:space="preserve">    violaciones  de  los  derechos  humanos  y  delitos  comunes  […]   que</w:t>
        <w:br/>
        <w:t xml:space="preserve">    preocupa[ba] a la Comisión Interamericana, porque  significa  que,  con</w:t>
        <w:br/>
        <w:t xml:space="preserve">    pocas  excepciones,  los  derechos  humanos  no  están  sujetos  a   la</w:t>
        <w:br/>
        <w:t xml:space="preserve">    protección judicial que exige la Convención  Americana”[95].  Asimismo,</w:t>
        <w:br/>
        <w:t xml:space="preserve">    en  2003  la  Comisión  Interamericana  expresó,   citando   documentos</w:t>
        <w:br/>
        <w:t xml:space="preserve">    elaborados por la Misión de Verificación  de  las  Naciones  Unidas  en</w:t>
        <w:br/>
        <w:t xml:space="preserve">    Guatemala (MINUGUA), que “entre el 1º de octubre de 1999  y  el  30  de</w:t>
        <w:br/>
        <w:t xml:space="preserve">    junio de 2000 se comprobaron 2991 violaciones al debido proceso  legal;</w:t>
        <w:br/>
        <w:t xml:space="preserve">    entre el 1º de julio de 2001 y el 30 de junio de 2002, fueron 3672  (el</w:t>
        <w:br/>
        <w:t xml:space="preserve">    55% de las cuales se debieron al incumplimiento del  deber  estatal  de</w:t>
        <w:br/>
        <w:t xml:space="preserve">    investigar y sancionar); y entre 1º de julio de 2001 y el 30  de  junio</w:t>
        <w:br/>
        <w:t xml:space="preserve">    de 2002, fueron 4719”[96].</w:t>
        <w:br/>
        <w:br/>
        <w:t>86.  Datos de años posteriores denotan una situación similar. De hecho, en</w:t>
        <w:br/>
        <w:t xml:space="preserve">    septiembre de 2007, “[p]or el nivel de impunidad  extremadamente  alto,</w:t>
        <w:br/>
        <w:t xml:space="preserve">    el  Estado  […]  realizó  una  solicitud  de  apoyo  a   la   comunidad</w:t>
        <w:br/>
        <w:t xml:space="preserve">    internacional para enfrentar este problema, concretamente, mediante  el</w:t>
        <w:br/>
        <w:t xml:space="preserve">    establecimiento de una Comisión Internacional Contra  la  Impunidad  en</w:t>
        <w:br/>
        <w:t xml:space="preserve">    Guatemala (CICIG)”[97]. El problema señalado se refleja en otros datos.</w:t>
        <w:br/>
        <w:t xml:space="preserve">    Así, por ejemplo, se ha indicado que para 2006 “alrededor de 40% de los</w:t>
        <w:br/>
        <w:t xml:space="preserve">    casos  que  ingresa[ban]  a  las  Fiscalías   de   Sección   queda[ban]</w:t>
        <w:br/>
        <w:t xml:space="preserve">    archivados”[98]. Hay asimismo información que asevera  que  para  2008,</w:t>
        <w:br/>
        <w:t xml:space="preserve">    “[s]egún cifras oficiales, Guatemala t[e]n[ía]  una  tasa  promedio  de</w:t>
        <w:br/>
        <w:t xml:space="preserve">    5,000 homicidios al año y el sistema penal no e[ra] capaz de esclarecer</w:t>
        <w:br/>
        <w:t xml:space="preserve">    y juzgar ni siquiera el 5% de  estas  muertes”[99].  Posteriormente  se</w:t>
        <w:br/>
        <w:t xml:space="preserve">    registra, de acuerdo a datos de la  CICIG,  en  el  esclarecimiento  de</w:t>
        <w:br/>
        <w:t xml:space="preserve">    procesos judiciales por delitos contra la vida, un índice de  impunidad</w:t>
        <w:br/>
        <w:t xml:space="preserve">    de 95% en el 2009, que disminuyó al 72% en el 2012[100].</w:t>
        <w:br/>
        <w:br/>
        <w:t>87.  Es preciso considerar tal estado de cosas, teniendo presente  también</w:t>
        <w:br/>
        <w:t xml:space="preserve">    que una alta proporción de los delitos  no  son  denunciados.  En  este</w:t>
        <w:br/>
        <w:t xml:space="preserve">    sentido, es pertinente notar  que  un  estudio  de  2007,  que  refería</w:t>
        <w:br/>
        <w:t xml:space="preserve">    información centrada en 2005, y considerando también años anteriores  y</w:t>
        <w:br/>
        <w:t xml:space="preserve">    posteriores, indicó, a partir de información  de  fuente  estatal,  que</w:t>
        <w:br/>
        <w:t xml:space="preserve">    “encuestas de victimización  de  todo  tipo  de  delitos  en  Guatemala</w:t>
        <w:br/>
        <w:t xml:space="preserve">    arroja[ba]n una tasa de 75% de delitos no denunciados[101]. El  estudio</w:t>
        <w:br/>
        <w:t xml:space="preserve">    concluía que este porcentaje es probablemente aun más alto en casos  de</w:t>
        <w:br/>
        <w:t xml:space="preserve">    delitos sexuales”[102].</w:t>
        <w:br/>
        <w:br/>
        <w:t>88. Ahora bien, la situación referida incluye  lo  referido  a  casos  que</w:t>
        <w:br/>
        <w:t xml:space="preserve">    implicaban actos violentos cometidos contra mujeres, inclusive  muertes</w:t>
        <w:br/>
        <w:t xml:space="preserve">    violentas. Para el 2001, así como en períodos cercanos a tal  año,  las</w:t>
        <w:br/>
        <w:t xml:space="preserve">    actuaciones estatales no derivaban, en su mayor parte, en el dictado de</w:t>
        <w:br/>
        <w:t xml:space="preserve">    sentencias condenatorias[103]. En tal sentido, la perita María  Eugenia</w:t>
        <w:br/>
        <w:t xml:space="preserve">    Solís García manifestó que “[e]l Procurador de los Derechos Humanos  el</w:t>
        <w:br/>
        <w:t xml:space="preserve">    2 de noviembre de 2004 […] señaló que de 1,118 casos de niñas y mujeres</w:t>
        <w:br/>
        <w:t xml:space="preserve">    asesinadas entre 2001 y 2004, sólo se investigó el 9%  de  los  casos”.</w:t>
        <w:br/>
        <w:t xml:space="preserve">    Por otra parte, hay información que indica que de las 591,933 denuncias</w:t>
        <w:br/>
        <w:t xml:space="preserve">    de hechos violentos contra mujeres atendidas por el Ministerio  Público</w:t>
        <w:br/>
        <w:t xml:space="preserve">    en los años 2000, 2001 y 2002 , solo llegaron a juicio 2,335, es decir,</w:t>
        <w:br/>
        <w:t xml:space="preserve">    el 0.39%[104]. La Comisión Interamericana, por otra parte, ha aseverado</w:t>
        <w:br/>
        <w:t xml:space="preserve">    que “[s]e ha señalado que de las 8,989 denuncias que había recibido  la</w:t>
        <w:br/>
        <w:t xml:space="preserve">    Fiscalía de la Mujer  a  fines  de  2001,  sólo  tres  finalizaron  con</w:t>
        <w:br/>
        <w:t xml:space="preserve">    sentencias condenatorias”[105]. Del mismo modo, se ha informado que “de</w:t>
        <w:br/>
        <w:t xml:space="preserve">    los 1,227 casos de asesinatos de mujeres que se  presentaron  entre  el</w:t>
        <w:br/>
        <w:t xml:space="preserve">    2002   y   el   2004   solamente   7   han   llegado    a    sentencias</w:t>
        <w:br/>
        <w:t xml:space="preserve">    condenatorias”[106], es decir, el 0,57%. La situación descrita,  de  un</w:t>
        <w:br/>
        <w:t xml:space="preserve">    alto índice de falta de sanción de actos violentos contra mujeres, tuvo</w:t>
        <w:br/>
        <w:t xml:space="preserve">    continuidad, en términos  generales,  al  menos,  hasta  principios  de</w:t>
        <w:br/>
        <w:t xml:space="preserve">    2012[107].</w:t>
        <w:br/>
        <w:br/>
        <w:t>89.  La falta de sanción efectiva de delitos en general puede vincularse a</w:t>
        <w:br/>
        <w:t xml:space="preserve">    deficiencias  en  las  investigaciones.  No  obstante  ello,  entidades</w:t>
        <w:br/>
        <w:t xml:space="preserve">    estatales, así como organizaciones de la sociedad civil internacionales</w:t>
        <w:br/>
        <w:t xml:space="preserve">    y nacionales, han señalado que de modo  usual  las  investigaciones  de</w:t>
        <w:br/>
        <w:t xml:space="preserve">    atentados violentos contra mujeres presentaban ciertas falencias, tales</w:t>
        <w:br/>
        <w:t xml:space="preserve">    como ausencia de medidas para proteger, examinar o conservar  el  lugar</w:t>
        <w:br/>
        <w:t xml:space="preserve">    del delito[108]; fallos en la cadena de custodia de la prueba, y  falta</w:t>
        <w:br/>
        <w:t xml:space="preserve">    de examen de señales de  violencia[109].  En  ese  sentido,  afirmó  el</w:t>
        <w:br/>
        <w:t xml:space="preserve">    Estado que en 2001 “no existían circunstancias preestablecidas  en  las</w:t>
        <w:br/>
        <w:t xml:space="preserve">    cuales los médicos forenses estuvieran obligados a practicar pruebas de</w:t>
        <w:br/>
        <w:t xml:space="preserve">    violencia sexual”. Por otra parte, el Estado manifestó que</w:t>
        <w:br/>
        <w:br/>
        <w:t xml:space="preserve">     [e]n el […] 2001 no existían  contemplados  dentro  de  la  legislación</w:t>
        <w:br/>
        <w:t xml:space="preserve">     vigente, lineamientos  ni  protocolos  para  realizar  necropsias.  [Su</w:t>
        <w:br/>
        <w:t xml:space="preserve">     práctica] no estaba estandarizada […] y  no  estaban  orientadas  a  la</w:t>
        <w:br/>
        <w:t xml:space="preserve">     obtención  ni  producción   de   pruebas   científicas,   sino   a   la</w:t>
        <w:br/>
        <w:t xml:space="preserve">     identificación e individualización de  los  cadáveres  y  sus  posibles</w:t>
        <w:br/>
        <w:t xml:space="preserve">     causas de muerte.</w:t>
        <w:br/>
        <w:br/>
        <w:br/>
        <w:t>90. Por otra parte, información de diversa  índole  allegada  al  Tribunal</w:t>
        <w:br/>
        <w:t xml:space="preserve">    explica que en el marco de investigaciones de  delitos  contra  mujeres</w:t>
        <w:br/>
        <w:t xml:space="preserve">    resultaba frecuente que las autoridades se condujeran de un modo al que</w:t>
        <w:br/>
        <w:t xml:space="preserve">    se ha calificado como “sesgado” o “discriminatorio”.  En  tal  sentido,</w:t>
        <w:br/>
        <w:t xml:space="preserve">    determinados estudios y testimonios de  mujeres  sobrevivientes  y  sus</w:t>
        <w:br/>
        <w:t xml:space="preserve">    familiares señalan una “tendencia de los investigadores a  desacreditar</w:t>
        <w:br/>
        <w:t xml:space="preserve">    a  las  víctimas  y  culpabilizarlas  por  su   estilo   de   vida,   o</w:t>
        <w:br/>
        <w:t xml:space="preserve">    [vestimenta]”. En el mismo  sentido,  la  perita  María  Eugenia  Solís</w:t>
        <w:br/>
        <w:t xml:space="preserve">    García  expresó   que   “hay   un   sesgo   discriminatorio”   en   las</w:t>
        <w:br/>
        <w:t xml:space="preserve">    investigaciones a partir de la indagación de aspectos de la conducta  o</w:t>
        <w:br/>
        <w:t xml:space="preserve">    relaciones  personales  de  las  víctimas,  básicamente  en  cuanto  al</w:t>
        <w:br/>
        <w:t xml:space="preserve">    “ejercicio de  [su]  sexualidad”,  que  “construye  […]  una  serie  de</w:t>
        <w:br/>
        <w:t xml:space="preserve">    prejuicios  [y]  estereotipos  para  terminar  concluyendo  que  esa[s]</w:t>
        <w:br/>
        <w:t xml:space="preserve">    persona[s…] fueron responsables de lo que  les  pasó”.  Aclaró  que  el</w:t>
        <w:br/>
        <w:t xml:space="preserve">    hecho de que los investigadores “hagan preguntas sobre [la  conducta  o</w:t>
        <w:br/>
        <w:t xml:space="preserve">    relaciones de las víctimas] no es  el  problema,  [sino]  que  con  esa</w:t>
        <w:br/>
        <w:t xml:space="preserve">    información [se] constru[yen] prejuicio[s]  y  estereotipo[s]”,  y  que</w:t>
        <w:br/>
        <w:t xml:space="preserve">    ello  tiene  por  efecto  atentar   contra   la   efectividad   de   la</w:t>
        <w:br/>
        <w:t xml:space="preserve">    investigación. Esto, en tanto, “el sesgo discriminatorio”  provoca  que</w:t>
        <w:br/>
        <w:t xml:space="preserve">    “los  operadores  de  justicia  consider[e]n  como  no  prioritaria  ni</w:t>
        <w:br/>
        <w:t xml:space="preserve">    importante la investigación”.</w:t>
        <w:br/>
        <w:br/>
        <w:t>A. Hechos del caso</w:t>
        <w:br/>
        <w:br/>
        <w:t>91. El relato de los hechos presenta una descripción de las diligencias  o</w:t>
        <w:br/>
        <w:t xml:space="preserve">    actuaciones más relevantes realizadas dentro de  la  investigación  del</w:t>
        <w:br/>
        <w:t xml:space="preserve">    homicidio de María  Isabel  Veliz  Franco,  las  cuales  obran  en  los</w:t>
        <w:br/>
        <w:t xml:space="preserve">    expedientes[110]. Cabe destacar que la investigación de su homicidio ha</w:t>
        <w:br/>
        <w:t xml:space="preserve">    sido conocida por la  Agencia  No.  5  de  la  Fiscalía  Municipal  del</w:t>
        <w:br/>
        <w:t xml:space="preserve">    Ministerio Público del Municipio de Mixco (en adelante también “Agencia</w:t>
        <w:br/>
        <w:t xml:space="preserve">    No. 5 de  Mixco”)  y  la  Agencia  No.  32  de  la  Fiscalía  Distrital</w:t>
        <w:br/>
        <w:t xml:space="preserve">    Metropolitana de la Ciudad de Guatemala (en adelante  también  “Agencia</w:t>
        <w:br/>
        <w:t xml:space="preserve">    No. 32 de Guatemala”), y por el Juzgado  Octavo  de  Primera  Instancia</w:t>
        <w:br/>
        <w:t xml:space="preserve">    Penal, Narcoactividad y Delitos contra el  Ambiente  de  la  Ciudad  de</w:t>
        <w:br/>
        <w:t xml:space="preserve">    Guatemala (en adelante también “Juzgado  Octavo  de  Guatemala”)  y  el</w:t>
        <w:br/>
        <w:t xml:space="preserve">    Juzgado Primero de Primera Instancia Penal,  Narcoactividad  y  Delitos</w:t>
        <w:br/>
        <w:t xml:space="preserve">    contra el Ambiente del Municipio de Mixco (en adelante también “Juzgado</w:t>
        <w:br/>
        <w:t xml:space="preserve">    Primero de Mixco”). En  la  descripción  de  los  hechos  se  describen</w:t>
        <w:br/>
        <w:t xml:space="preserve">    diligencias realizadas por dichas dependencias.</w:t>
        <w:br/>
        <w:br/>
        <w:br/>
        <w:t xml:space="preserve">    B.1) María Isabel Veliz Franco</w:t>
        <w:br/>
        <w:br/>
        <w:br/>
        <w:t>92. María Isabel Veliz Franco nació en la Ciudad de Guatemala,  Guatemala,</w:t>
        <w:br/>
        <w:t xml:space="preserve">    el 13 de enero de 1986[111]. Al momento de su muerte tenía 15  años  de</w:t>
        <w:br/>
        <w:t xml:space="preserve">    edad, era estudiante y acababa  de  finalizar  el  tercer  año  básico;</w:t>
        <w:br/>
        <w:t xml:space="preserve">    estaba en período de vacaciones y trabajando como dependiente  temporal</w:t>
        <w:br/>
        <w:t xml:space="preserve">    del “Almacén Taxi”, ubicado en la zona 1 de la  capital  de  Guatemala.</w:t>
        <w:br/>
        <w:t xml:space="preserve">    María Isabel vivía con su madre, Rosa Elvira Franco Sandoval[112],  sus</w:t>
        <w:br/>
        <w:t xml:space="preserve">    hermanos Leonel Enrique Veliz Franco[113] y José Roberto Franco[114]  y</w:t>
        <w:br/>
        <w:t xml:space="preserve">    sus abuelos  maternos,  Cruz  Elvira  Sandoval[115]  y  Roberto  Franco</w:t>
        <w:br/>
        <w:t xml:space="preserve">    Pérez[116].</w:t>
        <w:br/>
        <w:br/>
        <w:br/>
        <w:t xml:space="preserve">    B.2) Denuncia de desaparición y diligencias iniciales</w:t>
        <w:br/>
        <w:br/>
        <w:br/>
        <w:t>93. La denuncia.-  El  17  de  diciembre  de  2001,  a  las  16:00  horas,</w:t>
        <w:br/>
        <w:t xml:space="preserve">    compareció  Rosa  Elvira  Franco   Sandoval   ante   el   Servicio   de</w:t>
        <w:br/>
        <w:t xml:space="preserve">    Investigación Criminal de la Policía Nacional Civil  de  Guatemala  (en</w:t>
        <w:br/>
        <w:t xml:space="preserve">    adelante “Servicio  de  Investigación  de  la  PNC”),  con  el  fin  de</w:t>
        <w:br/>
        <w:t xml:space="preserve">    denunciar la desaparición de su hija, María Isabel Veliz Franco. En  la</w:t>
        <w:br/>
        <w:t xml:space="preserve">    denuncia, la señora Franco manifestó que:</w:t>
        <w:br/>
        <w:br/>
        <w:t xml:space="preserve">   a) el 16 de diciembre de 2001 su hija de 15 años de  edad  salió  de  su</w:t>
        <w:br/>
        <w:t xml:space="preserve">      casa a las ocho de la mañana hacia su trabajo en el “Almacén Taxi” y,</w:t>
        <w:br/>
        <w:t xml:space="preserve">      contrario a lo previsto, no regresó a las ocho de la noche del  mismo</w:t>
        <w:br/>
        <w:t xml:space="preserve">      día;</w:t>
        <w:br/>
        <w:t xml:space="preserve">   b) el 17 de diciembre de 2001 acudió a dicho almacén a las 10:00 horas a</w:t>
        <w:br/>
        <w:t xml:space="preserve">      buscarla y fue informada por una compañera de su hija que  el  16  de</w:t>
        <w:br/>
        <w:t xml:space="preserve">      diciembre de 2001, a eso de las 19:00 horas, se presentó un  muchacho</w:t>
        <w:br/>
        <w:t xml:space="preserve">      de mal aspecto  que  preguntó  por  María  Isabel  y  que  la  estuvo</w:t>
        <w:br/>
        <w:t xml:space="preserve">      esperando, y que  presumiblemente  ambos  se  fueron  juntos[117],  y</w:t>
        <w:br/>
        <w:t xml:space="preserve">      refirió que conocía el nombre del sospechoso, ya que  las  compañeras</w:t>
        <w:br/>
        <w:t xml:space="preserve">      de su hija le dijeron que ella mencionaba mucho este nombre[118], y</w:t>
        <w:br/>
        <w:t xml:space="preserve">   c) de acuerdo a la declaración de Rosa Elvira Franco autorizó a su  hija</w:t>
        <w:br/>
        <w:t xml:space="preserve">      María Isabel a trabajar  en  dicho  almacén  durante  las  vacaciones</w:t>
        <w:br/>
        <w:t xml:space="preserve">      escolares, tal y como lo había hecho en años anteriores.</w:t>
        <w:br/>
        <w:br/>
        <w:t>94. Declaraciones posteriores de la señora Rosa Elvira  Franco  Sandoval.–</w:t>
        <w:br/>
        <w:t xml:space="preserve">    En oportunidades posteriores, la  señora  Franco  Sandoval  proporcionó</w:t>
        <w:br/>
        <w:t xml:space="preserve">    detalles adicionales:</w:t>
        <w:br/>
        <w:br/>
        <w:t xml:space="preserve">   a) el  19  de  diciembre  de  2001,  cuando  fue  entrevistada  por  los</w:t>
        <w:br/>
        <w:t xml:space="preserve">      investigadores asignados al caso, a las  10:30  horas,  en  Funerales</w:t>
        <w:br/>
        <w:t xml:space="preserve">      Mancilla S.A., lugar donde se encontraba  velando  el  cuerpo  de  su</w:t>
        <w:br/>
        <w:t xml:space="preserve">      hija, manifestó lo siguiente:</w:t>
        <w:br/>
        <w:br/>
        <w:t xml:space="preserve">        su hija no llegó a almorzar a su casa como usualmente lo hacía  por</w:t>
        <w:br/>
        <w:t xml:space="preserve">        lo que a eso de las 14:00 horas fue a dejarle comida y cuando llegó</w:t>
        <w:br/>
        <w:t xml:space="preserve">        le preguntó por qué no había llegado almorzar contestándome que  no</w:t>
        <w:br/>
        <w:t xml:space="preserve">        había tenido tiempo y le indicó que a la hora de su  salida  iba  a</w:t>
        <w:br/>
        <w:t xml:space="preserve">        pasar a recogerla un amigo, le preguntó quién era pero no supo  dar</w:t>
        <w:br/>
        <w:t xml:space="preserve">        razón. Con relación de sus agresores sospech(a( de  una  persona  a</w:t>
        <w:br/>
        <w:t xml:space="preserve">        quien únicamente cono(ce( [por su] nombre, [y sabe  que  tiene]  38</w:t>
        <w:br/>
        <w:t xml:space="preserve">        años de edad, aproximadamente[,] en virtud de que esta persona hace</w:t>
        <w:br/>
        <w:t xml:space="preserve">        como un año acosaba a su hija, se dio cuenta de esta persona porque</w:t>
        <w:br/>
        <w:t xml:space="preserve">        casi a diario llegaba a buscarla.  En  una  ocasión  su  hija  (l(e</w:t>
        <w:br/>
        <w:t xml:space="preserve">        comentó cuando estaba en vida que ella conoció a [esta persona]  en</w:t>
        <w:br/>
        <w:t xml:space="preserve">        una discoteca en la zona 10, por medio de  unas  amigas  suyas.  Al</w:t>
        <w:br/>
        <w:t xml:space="preserve">        dar(se( cuenta que no llegaba su hija a la casa se fu(e( nuevamente</w:t>
        <w:br/>
        <w:t xml:space="preserve">        al almacén  donde  ella  laboraba  donde  fu(e(  atendida  por  una</w:t>
        <w:br/>
        <w:t xml:space="preserve">        compañera de trabajo de María Isabel,  al  preguntarle  a  ella  le</w:t>
        <w:br/>
        <w:t xml:space="preserve">        indicó que como a eso de las 20:00 horas, del día 16[(sic)]-12-2001</w:t>
        <w:br/>
        <w:t xml:space="preserve">        llegó un individuo al referido almacén con el propósito de  comprar</w:t>
        <w:br/>
        <w:t xml:space="preserve">        una camisa el cual fue  atendido  por  María  Isabel  pero  lo  que</w:t>
        <w:br/>
        <w:t xml:space="preserve">        manifestó es que al parecer su hija lo conocía, también le  comentó</w:t>
        <w:br/>
        <w:t xml:space="preserve">        que en las afueras del almacén habían otros individuos desconocidos</w:t>
        <w:br/>
        <w:t xml:space="preserve">        según las características que [l]e  proporcionó  [la  compañera  de</w:t>
        <w:br/>
        <w:t xml:space="preserve">        trabajo de María Isabel] coincide con las  características  de  [la</w:t>
        <w:br/>
        <w:t xml:space="preserve">        persona de acosaba a María Isabel] por  ese  motivo  es  que  [Rosa</w:t>
        <w:br/>
        <w:t xml:space="preserve">        Elvira Franco] sospecha de dicho individuo[119].</w:t>
        <w:br/>
        <w:br/>
        <w:br/>
        <w:t xml:space="preserve">   b) El 14 de enero de 2002, en la ampliación de la denuncia,  agregó  que</w:t>
        <w:br/>
        <w:t xml:space="preserve">      María Isabel habría tenido una relación de  noviazgo  con  un  joven,</w:t>
        <w:br/>
        <w:t xml:space="preserve">      quien pertenecía a una mara y con quien su hija pensaba  terminar  la</w:t>
        <w:br/>
        <w:t xml:space="preserve">      relación. La señora Franco relató que no sabía con cuál  de  los  dos</w:t>
        <w:br/>
        <w:t xml:space="preserve">      hombres de quienes ella sospechaba se habría ido su hija el  día  que</w:t>
        <w:br/>
        <w:t xml:space="preserve">      desapareció. Además, refirió que sospechaba de una amiga de su  hija,</w:t>
        <w:br/>
        <w:t xml:space="preserve">      puesto que compañeras de trabajo de María Isabel le habían dicho  que</w:t>
        <w:br/>
        <w:t xml:space="preserve">      la había llamado el día que desapareció[120], y</w:t>
        <w:br/>
        <w:t xml:space="preserve">   c) en la audiencia pública ante la Corte, celebrada el  15  de  mayo  de</w:t>
        <w:br/>
        <w:t xml:space="preserve">      2013, mencionó por primera vez que la última persona que vio con vida</w:t>
        <w:br/>
        <w:t xml:space="preserve">      a su hija fue “un compañero [de trabajo de] ella [en el almacén], que</w:t>
        <w:br/>
        <w:t xml:space="preserve">      vio cuando se la llevaron, la metieron a  la  fuerza  en  un  carro”.</w:t>
        <w:br/>
        <w:t xml:space="preserve">      También manifestó que al mediodía del 17 de diciembre de 2001  fue  a</w:t>
        <w:br/>
        <w:t xml:space="preserve">      la sección de desaparecidos de la PNC, con la intención de  denunciar</w:t>
        <w:br/>
        <w:t xml:space="preserve">      la  desaparición  de  su  hija.  No  obstante,  según  expresó,   los</w:t>
        <w:br/>
        <w:t xml:space="preserve">      funcionarios estatales no le permitieron formalizar su  denuncia,  le</w:t>
        <w:br/>
        <w:t xml:space="preserve">      dijeron que regresara horas después,  y  luego  manifestaron  que  no</w:t>
        <w:br/>
        <w:t xml:space="preserve">      podían atenderla, porque debía de esperar de veinticuatro a setenta y</w:t>
        <w:br/>
        <w:t xml:space="preserve">      dos  horas  para  poner  la  denuncia[121].  Dichos  aspectos  no  se</w:t>
        <w:br/>
        <w:t xml:space="preserve">      encuentran dentro del marco fáctico del Informe de Fondo.</w:t>
        <w:br/>
        <w:br/>
        <w:t>95. Inacción estatal.- No hay constancias en los expedientes aportados por</w:t>
        <w:br/>
        <w:t xml:space="preserve">    las partes que dependencias o funcionarios estatales  hayan  desplegado</w:t>
        <w:br/>
        <w:t xml:space="preserve">    esfuerzos para buscar a María Isabel Veliz Franco el 17 de diciembre de</w:t>
        <w:br/>
        <w:t xml:space="preserve">    2001. En particular, no consta que ello se efectuara luego del  momento</w:t>
        <w:br/>
        <w:t xml:space="preserve">    en que la señora Franco formalizó la denuncia,  ese  día  a  las  16:00</w:t>
        <w:br/>
        <w:t xml:space="preserve">    horas del 17 de diciembre de 2001. Tampoco surge del acervo  probatorio</w:t>
        <w:br/>
        <w:t xml:space="preserve">    que al día siguiente se realizaran acciones distintas de las efectuadas</w:t>
        <w:br/>
        <w:t xml:space="preserve">    con motivo de la noticia sobre el hallazgo  de  un  cadáver.  La  única</w:t>
        <w:br/>
        <w:t xml:space="preserve">    constancia que aparece en el expediente es  la  denuncia  que  presentó</w:t>
        <w:br/>
        <w:t xml:space="preserve">    Rosa Elvira Franco el 17 de diciembre  de  2001  ante  el  Servicio  de</w:t>
        <w:br/>
        <w:t xml:space="preserve">    Investigación de la PNC.</w:t>
        <w:br/>
        <w:br/>
        <w:t>96. Aparición del cadáver.- El 18 de diciembre de  2001  la  operadora  de</w:t>
        <w:br/>
        <w:t xml:space="preserve">    turno recibió una llamada anónima, en la cual se indicó  que  había  un</w:t>
        <w:br/>
        <w:t xml:space="preserve">    cadáver en la 21 avenida frente 4-48, zona 8 de  Mixco,  San  Cristóbal</w:t>
        <w:br/>
        <w:t xml:space="preserve">    II, y efectuó aviso mediante la Planta Central de Transmisiones  de  la</w:t>
        <w:br/>
        <w:t xml:space="preserve">    Comisaría Dieciséis para que acudieran las autoridades correspondientes</w:t>
        <w:br/>
        <w:t xml:space="preserve">    al lugar. A las 14:00 horas los agentes policiales  se  presentaron  en</w:t>
        <w:br/>
        <w:t xml:space="preserve">    tal dirección, y a las 14:15 horas encontraron entre la  maleza  de  un</w:t>
        <w:br/>
        <w:t xml:space="preserve">    predio baldío, ubicado en la dirección anteriormente citada, el  cuerpo</w:t>
        <w:br/>
        <w:t xml:space="preserve">    de una mujer; por lo que procedieron a llamar  a  las  autoridades  del</w:t>
        <w:br/>
        <w:t xml:space="preserve">    Ministerio Público. Dichas autoridades se constituyeron en el  lugar  a</w:t>
        <w:br/>
        <w:t xml:space="preserve">    las 14:30 horas, y posteriormente a las 15:20 horas la Unidad I-005  de</w:t>
        <w:br/>
        <w:t xml:space="preserve">    Inspecciones  Oculares  se   apersonó   al   lugar   para   hacer   los</w:t>
        <w:br/>
        <w:t xml:space="preserve">    procedimientos correspondientes, finalizando dicha  diligencia  con  el</w:t>
        <w:br/>
        <w:t xml:space="preserve">    traslado del cadáver a la morgue a bordo de la unidad policial No.  16-</w:t>
        <w:br/>
        <w:t xml:space="preserve">    045 a las 15:45 horas,  de  conformidad  con  lo  manifestado  por  los</w:t>
        <w:br/>
        <w:t xml:space="preserve">    agentes estatales[122].</w:t>
        <w:br/>
        <w:br/>
        <w:t>97. Levantamiento del  cadáver.-  A  las  14:30  horas  del  mismo  18  de</w:t>
        <w:br/>
        <w:t xml:space="preserve">    diciembre de 2001 llegó al lugar la Auxiliar Fiscal, quien  realizó  el</w:t>
        <w:br/>
        <w:t xml:space="preserve">    levantamiento del cadáver, y  a  las  14:45  horas  se  procedió  a  la</w:t>
        <w:br/>
        <w:t xml:space="preserve">    identificación del cadáver, el  cual  presentaba  signos  de  violencia</w:t>
        <w:br/>
        <w:t xml:space="preserve">    constatados por las autoridades intervinientes  (infra  párr.  99).  El</w:t>
        <w:br/>
        <w:t xml:space="preserve">    cuerpo no fue inmediatamente identificado,  sino  nominado  como  “XX”,</w:t>
        <w:br/>
        <w:t xml:space="preserve">    porque no se encontró  documento  de  identidad[123].  En  el  acta  de</w:t>
        <w:br/>
        <w:t xml:space="preserve">    levantamiento de cadáver realizada por la Auxiliar Fiscal, así como  en</w:t>
        <w:br/>
        <w:t xml:space="preserve">    el informe de los agentes de la PNC presentes en el lugar del  hallazgo</w:t>
        <w:br/>
        <w:t xml:space="preserve">    se señaló que el cuerpo fue trasladado por una unidad de la PNC,  y  la</w:t>
        <w:br/>
        <w:t xml:space="preserve">    orden de necropsia fue entregada a  un  agente  de  dicha  institución,</w:t>
        <w:br/>
        <w:t xml:space="preserve">    terminando dicha diligencia a las  15:45  horas,  mientras  que  en  la</w:t>
        <w:br/>
        <w:t xml:space="preserve">    Inspección Ocular de 18 de diciembre de 2001, se indica la finalización</w:t>
        <w:br/>
        <w:t xml:space="preserve">    de la misma a las 16:15 horas[124].</w:t>
        <w:br/>
        <w:br/>
        <w:t>98. Identificación del cadáver.- El 18 de diciembre de 2001  la  madre  de</w:t>
        <w:br/>
        <w:t xml:space="preserve">    María Isabel, al ver las noticias en la televisión sobre el hallazgo de</w:t>
        <w:br/>
        <w:t xml:space="preserve">    un cuerpo, acudió a la morgue, donde verificó que se trataba del cuerpo</w:t>
        <w:br/>
        <w:t xml:space="preserve">    de su hija[125]. Manifestó luego la señora Franco  Sandoval,  según  se</w:t>
        <w:br/>
        <w:t xml:space="preserve">    desprende de un documento que consta en el expediente judicial, que:</w:t>
        <w:br/>
        <w:br/>
        <w:t xml:space="preserve">  [c]uando [ella] tuv[o] que ir a la morgue a reconocer a  [su]  hija,  que</w:t>
        <w:br/>
        <w:t xml:space="preserve">  estaba como XX, [s]e pus[o] loca, a gritar, a  llorar,  a  arrastrar[s]e,</w:t>
        <w:br/>
        <w:t xml:space="preserve">  pero en algún momento le pregunt[ó] al forense sobre su opinión [y] dicha</w:t>
        <w:br/>
        <w:t xml:space="preserve">  persona [l]e indicó que [su] hija había sido violada y según su criterio,</w:t>
        <w:br/>
        <w:t xml:space="preserve">  había sido asesinada el día 17 de diciembre en horas de la noche[126].</w:t>
        <w:br/>
        <w:br/>
        <w:t>99. Acta de levantamiento del cadáver.- El 18  de  diciembre  de  2001  se</w:t>
        <w:br/>
        <w:t xml:space="preserve">    elaboró el acta de levantamiento de cadáver.  Por  otra  parte,  en  el</w:t>
        <w:br/>
        <w:t xml:space="preserve">    oficio No. 1,131-2001, fechado el mismo día, se indicó lo siguiente:</w:t>
        <w:br/>
        <w:br/>
        <w:t xml:space="preserve">  [se] constat[ó] que [el cadáver] tenía el rostro cubierto con una  toalla</w:t>
        <w:br/>
        <w:t xml:space="preserve">  color verde y una de color negro con un lazo de plástico color café atado</w:t>
        <w:br/>
        <w:t xml:space="preserve">  al cuello con la cabeza cubierta con una bolsa de nylon color negra y  al</w:t>
        <w:br/>
        <w:t xml:space="preserve">  descubrirla  en  el  rostro  se   constató   que   presentaba   abundante</w:t>
        <w:br/>
        <w:t xml:space="preserve">  alimentación en la boca y nariz (vómitos), mismo  que  se  encontraba  en</w:t>
        <w:br/>
        <w:t xml:space="preserve">  posición cubito ventral, cabeza hacia al poniente, pies hacia el oriente,</w:t>
        <w:br/>
        <w:t xml:space="preserve">  brazos a los costados, piernas extendidas, cara hacia abajo […]VESTUARIO:</w:t>
        <w:br/>
        <w:t xml:space="preserve">  pantalón da lona color azul, blusa de color negra manga corta marca bobil</w:t>
        <w:br/>
        <w:t xml:space="preserve">  Shirr, blumer de color blanco con  figuras  moradas,  calcetas  de  color</w:t>
        <w:br/>
        <w:t xml:space="preserve">  blanco, botines color negro de  cuero,  brasier  beige.[…]  LESIONES  QUE</w:t>
        <w:br/>
        <w:t xml:space="preserve">  PRESENTA. Una herida en la parte anterior, en la  parte  pariental,  lado</w:t>
        <w:br/>
        <w:t xml:space="preserve">  izquierdo en pabellón de la oreja supuestamente con arma  blanca,  y  los</w:t>
        <w:br/>
        <w:t xml:space="preserve">  objetos antes descritos quedaron  en  poder  del  [A]ux[iliar]  [F]iscal.</w:t>
        <w:br/>
        <w:t xml:space="preserve">  […][127].</w:t>
        <w:br/>
        <w:br/>
        <w:t>Otros documentos realizados  en  el  marco  de  la  investigación  señalan</w:t>
        <w:br/>
        <w:t>aseveraciones concordantes y  mencionan  explícitamente  la  presencia  de</w:t>
        <w:br/>
        <w:t>signos de ahorcamiento en el cadáver[128].</w:t>
        <w:br/>
        <w:br/>
        <w:br/>
        <w:t>100. Declaración de un testigo.- En el lugar de los hechos, los agentes de</w:t>
        <w:br/>
        <w:t xml:space="preserve">    la PNC del servicio de investigación criminal sección contra homicidios</w:t>
        <w:br/>
        <w:t xml:space="preserve">    entrevistaron a un testigo, quien indicó ser guardián de  una  casa  en</w:t>
        <w:br/>
        <w:t xml:space="preserve">    construcción cercano a ese sector, quien por  temor  a  represalias  se</w:t>
        <w:br/>
        <w:t xml:space="preserve">    negó a dar sus  datos  personales  y  respecto  al  caso  manifestó  lo</w:t>
        <w:br/>
        <w:t xml:space="preserve">    siguiente:</w:t>
        <w:br/>
        <w:br/>
        <w:t xml:space="preserve">  [el 18 de diciembre de 2001] a eso de las tres de  mañana  escuch[ó]  que</w:t>
        <w:br/>
        <w:t xml:space="preserve">  los perros de un señor que es vecino estuvieron ladrando por  un  espacio</w:t>
        <w:br/>
        <w:t xml:space="preserve">  de  10  minutos,  puede  ser  que  a  esa  hora  dieron  muerte  a   [l]a</w:t>
        <w:br/>
        <w:t xml:space="preserve">  muchacha;[Se] enter[ó] de la muerte de [ella] a eso de las once horas por</w:t>
        <w:br/>
        <w:t xml:space="preserve">  medio de unos albañiles por lo que [s]e dirig[ió] a  la  casa  del  señor</w:t>
        <w:br/>
        <w:t xml:space="preserve">  donde estuvieron ladrando los  perros  en  la  madrugada,  y  cre[e]  que</w:t>
        <w:br/>
        <w:t xml:space="preserve">  posiblemente él fue el que avisó a los bomberos[129].</w:t>
        <w:br/>
        <w:br/>
        <w:br/>
        <w:t>En el acta del investigador  se  menciona:  “como  diligencias  pendientes</w:t>
        <w:br/>
        <w:t>estaba entrevistar de nuevo al guardián, ya que en el  momento  no  dieron</w:t>
        <w:br/>
        <w:t>mucha información posiblemente por la cantidad de curiosos que  habían  en</w:t>
        <w:br/>
        <w:t>el lugar y que quizás estando sólo dijera más”[130].</w:t>
        <w:br/>
        <w:br/>
        <w:t>101. Otras actuaciones.- Asimismo, acudieron al lugar los  agentes  de  la</w:t>
        <w:br/>
        <w:t xml:space="preserve">    PNC los investigadores y la Auxiliar Fiscal de  la  Agencia  No.  5  de</w:t>
        <w:br/>
        <w:t xml:space="preserve">    Mixco, quienes contactaron a la  persona  que  reside  en  el  inmueble</w:t>
        <w:br/>
        <w:t xml:space="preserve">    ubicado a un costado de donde se encontró el cadáver. Con posterioridad</w:t>
        <w:br/>
        <w:t xml:space="preserve">    se realizó un rastreo que llevaron a cabo los funcionarios de la PNC  y</w:t>
        <w:br/>
        <w:t xml:space="preserve">    del Ministerio Público  con  resultados  negativos,  y  solicitaron  al</w:t>
        <w:br/>
        <w:t xml:space="preserve">    Gabinete Criminalística el cotejo de huellas  dactilares  de  la  ficha</w:t>
        <w:br/>
        <w:t xml:space="preserve">    post-mortem del cadáver  con  la  base  de  datos  para  establecer  su</w:t>
        <w:br/>
        <w:t xml:space="preserve">    identidad[131]. El 18 de diciembre de 2001 también se elaboró la  orden</w:t>
        <w:br/>
        <w:t xml:space="preserve">    de remisión del cadáver al médico forense, en el  que  no  se  requirió</w:t>
        <w:br/>
        <w:t xml:space="preserve">    pericias para determinar si la joven fallecida  había  sido  objeto  de</w:t>
        <w:br/>
        <w:t xml:space="preserve">    violencia sexual (supra párr. 97). Asimismo, se realizó una  inspección</w:t>
        <w:br/>
        <w:t xml:space="preserve">    ocular, y en el informe respectivo se  determinó  que  antes  de  dicha</w:t>
        <w:br/>
        <w:t xml:space="preserve">    inspección la escena del crimen había sido contaminada (supra  nota  al</w:t>
        <w:br/>
        <w:t xml:space="preserve">    pie de página 124). El día del hallazgo  se  reportó  el  secuestro  de</w:t>
        <w:br/>
        <w:t xml:space="preserve">    varios elementos,  los  cuales  quedaron  en  poder  de  la  Unidad  de</w:t>
        <w:br/>
        <w:t xml:space="preserve">    Inspecciones Oculares[132].</w:t>
        <w:br/>
        <w:br/>
        <w:t>102.  Causa  de  muerte  según  el  certificado  de  defunción.-   En   la</w:t>
        <w:br/>
        <w:t xml:space="preserve">    certificación de defunción, realizada el 18 de diciembre de 2001 por un</w:t>
        <w:br/>
        <w:t xml:space="preserve">    profesional del Servicio Médico  Forense  del  Organismo  Judicial,  se</w:t>
        <w:br/>
        <w:t xml:space="preserve">    estableció como causa de muerte “[t]rauma de cráneo  IV  grado,  herida</w:t>
        <w:br/>
        <w:t xml:space="preserve">    producida arma blanca”[133].</w:t>
        <w:br/>
        <w:br/>
        <w:t>103. Llamada de informante anónimo.- El 18 de diciembre  de  2001,  a  las</w:t>
        <w:br/>
        <w:t xml:space="preserve">    22:30 horas, se recibió en el sistema de información  confidencial  del</w:t>
        <w:br/>
        <w:t xml:space="preserve">    110 una llamada de un informante anónimo, quien expresó ser mensajero y</w:t>
        <w:br/>
        <w:t xml:space="preserve">    que vio el 17 de diciembre de 2001 en horas de  la  noche,  en  la  6ta</w:t>
        <w:br/>
        <w:t xml:space="preserve">    calle 5-24 Colonia Nueva Monserrat, zona 7, a una mujer descender de un</w:t>
        <w:br/>
        <w:t xml:space="preserve">    vehículo y depositar un costal negro en un matorral que resultó ser  el</w:t>
        <w:br/>
        <w:t xml:space="preserve">    cuerpo de una mujer, y que ante estos  hechos,  siguió  el  vehículo  y</w:t>
        <w:br/>
        <w:t xml:space="preserve">    observó el momento en que se introdujo en una  vivienda  en  esa  misma</w:t>
        <w:br/>
        <w:t xml:space="preserve">    localidad. Asimismo, manifestó que llamó a la policía luego de que  vio</w:t>
        <w:br/>
        <w:t xml:space="preserve">    en el noticiero nocturno  que  el  cadáver  de  una  mujer  había  sido</w:t>
        <w:br/>
        <w:t xml:space="preserve">    encontrado en el lugar donde había visto que tiraron el costal la noche</w:t>
        <w:br/>
        <w:t xml:space="preserve">    anterior[134].</w:t>
        <w:br/>
        <w:br/>
        <w:t>104. Otras entrevistas.- El 19 de diciembre de 2001, a las 09:10 horas, se</w:t>
        <w:br/>
        <w:t xml:space="preserve">    entrevistó a la  abuela  de  María  Isabel,  a  algunas  empleadas  del</w:t>
        <w:br/>
        <w:t xml:space="preserve">    “Almacén Taxi”[135], y a vecinos del inmueble en el  que  supuestamente</w:t>
        <w:br/>
        <w:t xml:space="preserve">    ingresó el automóvil utilizado para trasladar el cuerpo.</w:t>
        <w:br/>
        <w:br/>
        <w:t>105. Designación de equipo de especialistas.- Ese mismo 19 de diciembre de</w:t>
        <w:br/>
        <w:t xml:space="preserve">    2001 el Auxiliar Fiscal  de  la  Fiscalía  Distrital  Metropolitana  se</w:t>
        <w:br/>
        <w:t xml:space="preserve">    dirigió al Jefe de la Dirección de Investigaciones Criminalísticas para</w:t>
        <w:br/>
        <w:t xml:space="preserve">    solicitarle que “[d]esigne un equipo de especialista[s]  en  la  escena</w:t>
        <w:br/>
        <w:t xml:space="preserve">    del Crimen, con el objeto de recolectar evidencias (ropas), las  cuales</w:t>
        <w:br/>
        <w:t xml:space="preserve">    estaban en poder de la madre de la víctima” para que se practicaran los</w:t>
        <w:br/>
        <w:t xml:space="preserve">    peritajes correspondientes, en busca de muestras de  sangre,  cabellos,</w:t>
        <w:br/>
        <w:t xml:space="preserve">    vellos  púbicos,  semen  y  cualquier  otro  elemento  que  pueda   ser</w:t>
        <w:br/>
        <w:t xml:space="preserve">    incorporado como elemento probatorio. La recolección de las  evidencias</w:t>
        <w:br/>
        <w:t xml:space="preserve">    encontradas en el  lugar  donde  apareció  el  cadáver  se  realizó  en</w:t>
        <w:br/>
        <w:t xml:space="preserve">    “Funerales Mancilla S.A.”, lugar donde los familiares de  María  Isabel</w:t>
        <w:br/>
        <w:t xml:space="preserve">    velaban su cuerpo y su madre tenía sus ropas[136].</w:t>
        <w:br/>
        <w:br/>
        <w:br/>
        <w:t xml:space="preserve">    B.3) Actuaciones posteriores</w:t>
        <w:br/>
        <w:br/>
        <w:br/>
        <w:t>106. Con posterioridad se han continuado realizando diligencias tendientes</w:t>
        <w:br/>
        <w:t xml:space="preserve">    a la averiguación de los  hechos,  pero  no  han  producido  resultados</w:t>
        <w:br/>
        <w:t xml:space="preserve">    positivos. En consecuencia, a la fecha de  la  presente  Sentencia  las</w:t>
        <w:br/>
        <w:t xml:space="preserve">    actuaciones respectivas aún se encuentran en la etapa preparatoria o de</w:t>
        <w:br/>
        <w:t xml:space="preserve">    investigación.</w:t>
        <w:br/>
        <w:br/>
        <w:t>107. Conflicto de competencia.- En la etapa inicial  hubo  una  demora  de</w:t>
        <w:br/>
        <w:t xml:space="preserve">    varios meses a causa de un conflicto de competencia entre dos juzgados:</w:t>
        <w:br/>
        <w:br/>
        <w:br/>
        <w:br/>
        <w:t xml:space="preserve">   a)  en un inicio el Juzgado que conoció la causa fue el  Juzgado  Octavo</w:t>
        <w:br/>
        <w:t xml:space="preserve">      de Guatemala;</w:t>
        <w:br/>
        <w:t xml:space="preserve">   b)  el 11 de marzo de 2002 dicho Juzgado se inhibió de conocer  el  caso</w:t>
        <w:br/>
        <w:t xml:space="preserve">      por presumirse que el hecho ocurrió en la 2da. Av. y  4ta.  calle  de</w:t>
        <w:br/>
        <w:t xml:space="preserve">      San Cristóbal zona 8 de Mixco, ya que en ese  lugar  se  encontró  el</w:t>
        <w:br/>
        <w:t xml:space="preserve">      cuerpo de María Isabel y remitió las actuaciones al  Juzgado  Primero</w:t>
        <w:br/>
        <w:t xml:space="preserve">      de Mixco para que resolviera el asunto[137];</w:t>
        <w:br/>
        <w:t xml:space="preserve">   c)  el Juzgado Primero de Mixco tomó control de las actuaciones el 26 de</w:t>
        <w:br/>
        <w:t xml:space="preserve">      marzo de 2002 y resolvió autorizar la obtención de información de las</w:t>
        <w:br/>
        <w:t xml:space="preserve">      empresas  de  telecomunicaciones   solicitada   por   el   Ministerio</w:t>
        <w:br/>
        <w:t xml:space="preserve">      Público[138];</w:t>
        <w:br/>
        <w:t xml:space="preserve">   d)  el 17 de mayo de 2002 el Agente Fiscal  de  la  Agencia  No.  32  de</w:t>
        <w:br/>
        <w:t xml:space="preserve">      Guatemala se inhibió de conocer el caso debido a que el 11  de  marzo</w:t>
        <w:br/>
        <w:t xml:space="preserve">      de 2002 el Juzgado Octavo de Guatemala también se había  inhibido  de</w:t>
        <w:br/>
        <w:t xml:space="preserve">      conocerlo, por lo que el expediente fue remitido al Fiscal  Distrital</w:t>
        <w:br/>
        <w:t xml:space="preserve">      Adjunto de la Fiscalía  Municipal  de  Mixco  junto  con  un  informe</w:t>
        <w:br/>
        <w:t xml:space="preserve">      circunstanciado[139];</w:t>
        <w:br/>
        <w:t xml:space="preserve">   e)  el 12 de julio de 2002 el Agente Fiscal de la Agencia No. 5 de Mixco</w:t>
        <w:br/>
        <w:t xml:space="preserve">      se pronunció sobre la declinatoria hecha por  el  Juzgado  Octavo  de</w:t>
        <w:br/>
        <w:t xml:space="preserve">      Guatemala, explicando al Juez de Primera Instancia de Mixco, a  quién</w:t>
        <w:br/>
        <w:t xml:space="preserve">      le remitieron las actuaciones, que desde su punto de  vista  el  Juez</w:t>
        <w:br/>
        <w:t xml:space="preserve">      competente era el Juez de Guatemala, toda vez que la  denuncia  sobre</w:t>
        <w:br/>
        <w:t xml:space="preserve">      la  desaparición  de  María  Isabel   había   sido   hecha   en   esa</w:t>
        <w:br/>
        <w:t xml:space="preserve">      jurisdicción[140];</w:t>
        <w:br/>
        <w:t xml:space="preserve">   f)   atendiendo esta inquietud del Agente Fiscal de la Agencia No. 5  de</w:t>
        <w:br/>
        <w:t xml:space="preserve">      Mixco, el 2 de septiembre de 2002 el Juzgado Primero de Mixco  emitió</w:t>
        <w:br/>
        <w:t xml:space="preserve">      una resolución en la que se señalaba que  de  la  declaración  de  la</w:t>
        <w:br/>
        <w:t xml:space="preserve">      señora Rosa Elvira Franco podía  desprenderse  que  el  homicidio  de</w:t>
        <w:br/>
        <w:t xml:space="preserve">      María Isabel se habría consumado en la Ciudad Capital de Guatemala  y</w:t>
        <w:br/>
        <w:t xml:space="preserve">      con ese fundamento  legal  el  Juzgado  Primero  de  Mixco  no  sería</w:t>
        <w:br/>
        <w:t xml:space="preserve">      competente para conocer el caso,  y  remitió  nuevamente  al  Juzgado</w:t>
        <w:br/>
        <w:t xml:space="preserve">      Octavo de Guatemala[141];</w:t>
        <w:br/>
        <w:t xml:space="preserve">   g)  el Juzgado Octavo de Guatemala planteó el conflicto de  competencias</w:t>
        <w:br/>
        <w:t xml:space="preserve">      el 25 de septiembre de 2002 a la Corte Suprema de Justicia[142], y</w:t>
        <w:br/>
        <w:t xml:space="preserve">   h)  la Cámara Penal de la Corte Suprema resolvió el 21 de  noviembre  de</w:t>
        <w:br/>
        <w:t xml:space="preserve">      2002 que el órgano competente para conocer del caso  era  el  Juzgado</w:t>
        <w:br/>
        <w:t xml:space="preserve">      Primero de  Mixco[143].  Durante  el  conflicto  de  competencia,  se</w:t>
        <w:br/>
        <w:t xml:space="preserve">      realizaron algunas actuaciones distintas a las indicadas (infra párr.</w:t>
        <w:br/>
        <w:t xml:space="preserve">      108.c).</w:t>
        <w:br/>
        <w:br/>
        <w:br/>
        <w:t>108.  Estudio  de  llamadas  por  teléfono  celular.-  Una  parte  de  las</w:t>
        <w:br/>
        <w:t xml:space="preserve">    investigaciones se  relacionó  con  llamadas  realizadas  por  teléfono</w:t>
        <w:br/>
        <w:t xml:space="preserve">    celular:</w:t>
        <w:br/>
        <w:br/>
        <w:br/>
        <w:t xml:space="preserve">   a) el 3 de diciembre de 2002 el investigador remitió al Auxiliar  Fiscal</w:t>
        <w:br/>
        <w:t xml:space="preserve">      de la Agencia No. 32  de  Guatemala  un  informe  sobre  el  análisis</w:t>
        <w:br/>
        <w:t xml:space="preserve">      realizado al desplegado de llamadas entrantes y salientes del celular</w:t>
        <w:br/>
        <w:t xml:space="preserve">      perteneciente a María Isabel e indicó que “anexo al informe [enviaba]</w:t>
        <w:br/>
        <w:t xml:space="preserve">      la agenda telefónica de la víctima [y] cuatro fotografías  del  lugar</w:t>
        <w:br/>
        <w:t xml:space="preserve">      del hallazgo de su cuerpo”[144];</w:t>
        <w:br/>
        <w:t xml:space="preserve">   b) en el informe de 20 de febrero de 2002 emitido por  los  técnicos  en</w:t>
        <w:br/>
        <w:t xml:space="preserve">      investigaciones  criminalísticas  se   reportaron   las   entrevistas</w:t>
        <w:br/>
        <w:t xml:space="preserve">      realizadas a una amiga y a un ex novio de María Isabel. Luego de  las</w:t>
        <w:br/>
        <w:t xml:space="preserve">      entrevistas y otras diligencias recomiendan al Agente  Fiscal  de  la</w:t>
        <w:br/>
        <w:t xml:space="preserve">      Agencia No. 32  de  Guatemala  solicitar  a  la  compañía  telefónica</w:t>
        <w:br/>
        <w:t xml:space="preserve">      “Telecomunicaciones de Guatemala” (Telgua)  la  dirección  registrada</w:t>
        <w:br/>
        <w:t xml:space="preserve">      con el número telefónico de uno de los sospechosos[145];</w:t>
        <w:br/>
        <w:t xml:space="preserve">   c) el 3 de marzo de 2002 el Agente Fiscal solicitó al Juzgado Primero de</w:t>
        <w:br/>
        <w:t xml:space="preserve">      Mixco autorización judicial para requerir el informe de las  llamadas</w:t>
        <w:br/>
        <w:t xml:space="preserve">      realizadas desde el celular que portaba la presunta víctima[146].  El</w:t>
        <w:br/>
        <w:t xml:space="preserve">      1 de abril de 2002 con la autorización de 26 de  marzo  de  2002  del</w:t>
        <w:br/>
        <w:t xml:space="preserve">      Juzgado Primero de  Mixco,  el  Agente  Fiscal  solicitó  al  Gerente</w:t>
        <w:br/>
        <w:t xml:space="preserve">      General de Telgua el despliegue de las llamadas  hechas  y  recibidas</w:t>
        <w:br/>
        <w:t xml:space="preserve">      desde los números de celular de María Isabel[147]. El 9  de  mayo  de</w:t>
        <w:br/>
        <w:t xml:space="preserve">      2002 la Dirección Jurídica de Telgua envió la información  requerida,</w:t>
        <w:br/>
        <w:t xml:space="preserve">      la cual fue enviada el 4 de septiembre de 2002  al  investigador  del</w:t>
        <w:br/>
        <w:t xml:space="preserve">      caso, y</w:t>
        <w:br/>
        <w:t xml:space="preserve">   d) en el mes de junio de 2005 se analizaron los registros telefónicos de</w:t>
        <w:br/>
        <w:t xml:space="preserve">      dos sospechosos con quienes María Isabel había estado en comunicación</w:t>
        <w:br/>
        <w:t xml:space="preserve">      el día que desapareció[148].</w:t>
        <w:br/>
        <w:br/>
        <w:t>109. Exámenes de vehículos.-</w:t>
        <w:br/>
        <w:br/>
        <w:t xml:space="preserve">   a) el 20 de  diciembre  de  2001  los  investigadores  del  Servicio  de</w:t>
        <w:br/>
        <w:t xml:space="preserve">      Investigación Criminal de la Sección contra Homicidios de  la  PNC  a</w:t>
        <w:br/>
        <w:t xml:space="preserve">      cargo del caso obtuvieron, a través de una solicitud al  Departamento</w:t>
        <w:br/>
        <w:t xml:space="preserve">      de Catastro del Municipio de Mixco, el nombre del dueño del  inmueble</w:t>
        <w:br/>
        <w:t xml:space="preserve">      indicado  por  el  informante  anónimo  como  el  lugar  donde  había</w:t>
        <w:br/>
        <w:t xml:space="preserve">      ingresado el vehículo de donde habrían bajado el cadáver[149].  El  8</w:t>
        <w:br/>
        <w:t xml:space="preserve">      de enero de 2002 el investigador intentó  entrevistar  al  dueño  del</w:t>
        <w:br/>
        <w:t xml:space="preserve">      inmueble, pero no fue posible localizarlo. Posteriormente, el  18  de</w:t>
        <w:br/>
        <w:t xml:space="preserve">      enero de 2002 se realizó una  inspección  ocular  y  el  investigador</w:t>
        <w:br/>
        <w:t xml:space="preserve">      acudió nuevamente  al  domicilio  y  observó  que  no  se  encontraba</w:t>
        <w:br/>
        <w:t xml:space="preserve">      vehículo alguno con las características descritas por  el  informante</w:t>
        <w:br/>
        <w:t xml:space="preserve">      anónimo[150].  El 8 de julio de 2003 la Auxiliar Fiscal I realizó  un</w:t>
        <w:br/>
        <w:t xml:space="preserve">      allanamiento en el inmueble e informó que no se habría encontrado  el</w:t>
        <w:br/>
        <w:t xml:space="preserve">      vehículo referido por el informante anónimo, ni ningún  otro  indicio</w:t>
        <w:br/>
        <w:t xml:space="preserve">      relacionado con el homicidio[151], y</w:t>
        <w:br/>
        <w:t xml:space="preserve">   b) en los meses de junio y agosto de 2005 se  analizaron  los  vehículos</w:t>
        <w:br/>
        <w:t xml:space="preserve">      propiedad de dos sospechosos con quienes María Isabel había estado en</w:t>
        <w:br/>
        <w:t xml:space="preserve">      comunicación el día que desapareció[152].</w:t>
        <w:br/>
        <w:br/>
        <w:t>110. Análisis de ropa y otros indicios.- El 29 de  diciembre  de  2001  la</w:t>
        <w:br/>
        <w:t xml:space="preserve">    Técnica en Investigaciones Criminalísticas  informó  que  los  indicios</w:t>
        <w:br/>
        <w:t xml:space="preserve">    embalados el 19 de diciembre del 2001 en los  Funerales  Mancilla  S.A.</w:t>
        <w:br/>
        <w:t xml:space="preserve">    fueron,  posteriormente,  enviados  al  Laboratorio  del   Departamento</w:t>
        <w:br/>
        <w:t xml:space="preserve">    Técnico Científico del Ministerio Público para que  se  les  realizaran</w:t>
        <w:br/>
        <w:t xml:space="preserve">    diversos análisis[153]. Los resultados  de  esos  análisis  fueron  los</w:t>
        <w:br/>
        <w:t xml:space="preserve">    siguientes:</w:t>
        <w:br/>
        <w:br/>
        <w:t xml:space="preserve">  a) el 4 de enero de 2002  la  perita  de  la  Sección  de  Biología  del</w:t>
        <w:br/>
        <w:t xml:space="preserve">     Ministerio  Público   rindió   un   peritaje   sobre   los   análisis</w:t>
        <w:br/>
        <w:t xml:space="preserve">     realizados[154] a la ropa,  y concluyó que el pantalón  de  lona,  la</w:t>
        <w:br/>
        <w:t xml:space="preserve">     blusa negra, ambas toallas, el bloomer, el brassier, las  calcetas  y</w:t>
        <w:br/>
        <w:t xml:space="preserve">     el nylon presentaban restos de sangre, pero no presentaban restos  de</w:t>
        <w:br/>
        <w:t xml:space="preserve">     sustancias tóxicas ni de semen[155]. El 4 de enero de 2002 se realizó</w:t>
        <w:br/>
        <w:t xml:space="preserve">     también la prueba para determinar el grupo sanguíneo de la muestra de</w:t>
        <w:br/>
        <w:t xml:space="preserve">     una tela con sangre[156];</w:t>
        <w:br/>
        <w:t xml:space="preserve">  b) el 7 de enero de 2002 la perita rindió un peritaje sobre el  análisis</w:t>
        <w:br/>
        <w:t xml:space="preserve">     realizado a las prendas[157] y determinó que  los  elementos  pilosos</w:t>
        <w:br/>
        <w:t xml:space="preserve">     encontrados en el pantalón de lona, en la toalla azul eran de  origen</w:t>
        <w:br/>
        <w:t xml:space="preserve">     animal y en el resto de las prendas eran de origen humano[158];</w:t>
        <w:br/>
        <w:t xml:space="preserve">  c) el 19 de febrero de 2002 la Sección de Toxicología de la Dirección de</w:t>
        <w:br/>
        <w:t xml:space="preserve">     Investigaciones Criminalísticas  remitió  el  peritaje  TOXI  01-2886</w:t>
        <w:br/>
        <w:t xml:space="preserve">     realizado al pantalón, a las calcetas y a una toalla que se  encontró</w:t>
        <w:br/>
        <w:t xml:space="preserve">     junto a su cuerpo. El resultado dio negativo en cuanto a la presencia</w:t>
        <w:br/>
        <w:t xml:space="preserve">     de plaguicidas, y se hace mención de que las  manchas  del  contenido</w:t>
        <w:br/>
        <w:t xml:space="preserve">     gástrico ya estaban secas  al  momento  de  analizarlas[159].  En  el</w:t>
        <w:br/>
        <w:t xml:space="preserve">     dictamen BIOL-01-1512 se concluye y se documenta,  entre  otros,  que</w:t>
        <w:br/>
        <w:t xml:space="preserve">     “[l]a blusa se encuentra  rota  en  la  parte  inferior”,  y  que  el</w:t>
        <w:br/>
        <w:t xml:space="preserve">     “Bloomer  de  color  blanco  se  encuentra   roto   [en]   la   parte</w:t>
        <w:br/>
        <w:t xml:space="preserve">     inferior”[160], y</w:t>
        <w:br/>
        <w:t xml:space="preserve">  d) el 27 de febrero de 2006 la Auxiliar Fiscal I de la Agencia No. 5  de</w:t>
        <w:br/>
        <w:t xml:space="preserve">     Mixco envió un oficio al Médico Forense  en  donde  le  pregunta  “si</w:t>
        <w:br/>
        <w:t xml:space="preserve">     cuando el hisopado vaginal y  anal  y  el  raspado  de  uñas  no  son</w:t>
        <w:br/>
        <w:t xml:space="preserve">     requeridas, igualmente se practican de oficio”[161]. El 9 de marzo de</w:t>
        <w:br/>
        <w:t xml:space="preserve">     2006 el médico forense respondió a la Auxiliar Fiscal  I  que  dichas</w:t>
        <w:br/>
        <w:t xml:space="preserve">     pruebas no se realizan de oficio[162].</w:t>
        <w:br/>
        <w:br/>
        <w:br/>
        <w:t>111. Protocolo de necropsia.–</w:t>
        <w:br/>
        <w:br/>
        <w:t xml:space="preserve"> a) en el Informe del Protocolo de  Necropsia  emitido  por  el  Organismo</w:t>
        <w:br/>
        <w:t xml:space="preserve">    Judicial del Servicio Médico Forense el  13  de  febrero  de  2002  se</w:t>
        <w:br/>
        <w:t xml:space="preserve">    determinó que la causa de la muerte de María Isabel  habría  sido  “un</w:t>
        <w:br/>
        <w:t xml:space="preserve">    hematoma  epidural  secundario  a  trauma  cráneo  de  cuarto  grado”,</w:t>
        <w:br/>
        <w:t xml:space="preserve">    asimismo, se llegó a la conclusión de que había  presencia  de  “edema</w:t>
        <w:br/>
        <w:t xml:space="preserve">    cerebral,  fractura  de  cráneo,  síndrome  asfíctico,   entre   otros</w:t>
        <w:br/>
        <w:t xml:space="preserve">    hallazgos  y  lesiones”,  y  señaló  que  los  órganos  genitales   se</w:t>
        <w:br/>
        <w:t xml:space="preserve">    encontraban “normales”[163]. No consta en el expediente  que  se  haya</w:t>
        <w:br/>
        <w:t xml:space="preserve">    realizado ninguna otra prueba para determinar si  María  Isabel  había</w:t>
        <w:br/>
        <w:t xml:space="preserve">    sido víctima de violencia sexual, y</w:t>
        <w:br/>
        <w:t xml:space="preserve"> b) el 2 de agosto de 2011 el Auxiliar Fiscal de la Agencia No. 5 de Mixco</w:t>
        <w:br/>
        <w:t xml:space="preserve">    solicitó al Jefe del  INACIF  que  designara  un  perito  forense  que</w:t>
        <w:br/>
        <w:t xml:space="preserve">    realizara una interpretación completa de  la  necropsia  practicada  a</w:t>
        <w:br/>
        <w:t xml:space="preserve">    María Isabel Veliz Franco el 18 de diciembre de  2001[164].  El  4  de</w:t>
        <w:br/>
        <w:t xml:space="preserve">    agosto de 2011 un perito profesional en medicina del INACIF rindió  un</w:t>
        <w:br/>
        <w:t xml:space="preserve">    peritaje de interpretación de la necropsia y  establece  que  con  los</w:t>
        <w:br/>
        <w:t xml:space="preserve">    hallazgos de la necropsia  no  sería  posible  pronunciarse  sobre  el</w:t>
        <w:br/>
        <w:t xml:space="preserve">    momento y la forma de su muerte, no obstante lo anterior  indicó  que:</w:t>
        <w:br/>
        <w:t xml:space="preserve">    i) “la causa de la muerte  fue  un  “hematoma  epidural  secundario  a</w:t>
        <w:br/>
        <w:t xml:space="preserve">    trauma cráneo de cuarto grado”, y ii) “el tiempo de fallecimiento  era</w:t>
        <w:br/>
        <w:t xml:space="preserve">    de seis a doce horas”[165].</w:t>
        <w:br/>
        <w:br/>
        <w:t>112. Diligencias relacionadas  con  sospechosos.-   Se  realizaron  varias</w:t>
        <w:br/>
        <w:t xml:space="preserve">    diligencias relacionadas con personas sospechosas, a saber:</w:t>
        <w:br/>
        <w:br/>
        <w:t xml:space="preserve">   a) el 11 de enero de 2002 el investigador a cargo del caso informó sobre</w:t>
        <w:br/>
        <w:t xml:space="preserve">      el interrogatorio que se había practicado ese día a  un  conocido  de</w:t>
        <w:br/>
        <w:t xml:space="preserve">      María Isabel[166] (supra párr.  94.b).  En  dicho  interrogatorio  el</w:t>
        <w:br/>
        <w:t xml:space="preserve">      sospechoso relató haber conocido a María Isabel. Manifestó que el  17</w:t>
        <w:br/>
        <w:t xml:space="preserve">      de diciembre de 2001 él habría estado en el Municipio de Petén  y  se</w:t>
        <w:br/>
        <w:t xml:space="preserve">      enteró de la muerte de María Isabel a través de un  amigo,  pero  que</w:t>
        <w:br/>
        <w:t xml:space="preserve">      cuando acudió a darle el pésame a la señora Franco Sandoval  ésta  le</w:t>
        <w:br/>
        <w:t xml:space="preserve">      había dicho que  sospechaba  de  él.  El  15  de  enero  de  2002  el</w:t>
        <w:br/>
        <w:t xml:space="preserve">      investigador entrevistó al amigo referido por  el  sospechoso,  quién</w:t>
        <w:br/>
        <w:t xml:space="preserve">      confirmó que él le había informado a éste sobre la  muerte  de  María</w:t>
        <w:br/>
        <w:t xml:space="preserve">      Isabel[167];</w:t>
        <w:br/>
        <w:t xml:space="preserve">   b) el 15 de marzo de 2002 el técnico en Investigaciones  Criminalísticas</w:t>
        <w:br/>
        <w:t xml:space="preserve">      I remitió un oficio a la Fiscalía encargada de la  investigación,  en</w:t>
        <w:br/>
        <w:t xml:space="preserve">      el cual se encontraba la “foto robot” de un sospechoso, la  cual  fue</w:t>
        <w:br/>
        <w:t xml:space="preserve">      elaborada con base en una descripción proporcionada por  una  persona</w:t>
        <w:br/>
        <w:t xml:space="preserve">      que trabajaba en el establecimiento comercial  contiguo  al  “Almacén</w:t>
        <w:br/>
        <w:t xml:space="preserve">      Taxi”[168];</w:t>
        <w:br/>
        <w:t xml:space="preserve">   c) el 10 de abril de 2002 los técnicos rindieron una  ampliación  de  su</w:t>
        <w:br/>
        <w:t xml:space="preserve">      informe y señalaron que uno de  los  sospechosos  con  el  alias  del</w:t>
        <w:br/>
        <w:t xml:space="preserve">      “cubano” era un joven deportista de  lucha  libre  y  que,  según  el</w:t>
        <w:br/>
        <w:t xml:space="preserve">      Director Técnico de la Federación de Lucha tendría  parecido  con  la</w:t>
        <w:br/>
        <w:t xml:space="preserve">      “foto robot” que se le mostró. Además de acuerdo a un análisis de  la</w:t>
        <w:br/>
        <w:t xml:space="preserve">      relación entre María Isabel  y  el  sospechoso  y  los  indicios  que</w:t>
        <w:br/>
        <w:t xml:space="preserve">      podrían hacer pensar que él sería responsable de [su]  asesinato  […]</w:t>
        <w:br/>
        <w:t xml:space="preserve">      sugirieron capturar[lo] ante el peligro de su fuga”[169];</w:t>
        <w:br/>
        <w:t xml:space="preserve">   d) el 15 de abril de 2002 el sospechoso conocido como  “el  cubano”  fue</w:t>
        <w:br/>
        <w:t xml:space="preserve">      citado a declarar en el Ministerio Público y manifestó que conocía  a</w:t>
        <w:br/>
        <w:t xml:space="preserve">      María Isabel[170]. Posteriormente el 30 de abril de 2002 se amplió  y</w:t>
        <w:br/>
        <w:t xml:space="preserve">      se concluyó el informe enviado el 20 de febrero de 2002, en  el  cual</w:t>
        <w:br/>
        <w:t xml:space="preserve">      se estableció que observando la “foto robot”, el sospechoso  presenta</w:t>
        <w:br/>
        <w:t xml:space="preserve">      muchas diferencias  con  dicha  foto  por  lo  que  relativamente  se</w:t>
        <w:br/>
        <w:t xml:space="preserve">      descarta que haya sido responsable[171]. Dentro de esta ampliación se</w:t>
        <w:br/>
        <w:t xml:space="preserve">      informa que se entrevistó a otra amiga de María Isabel, quien  relató</w:t>
        <w:br/>
        <w:t xml:space="preserve">      que el sábado anterior a la desaparición  fue  a  una  discoteca  con</w:t>
        <w:br/>
        <w:t xml:space="preserve">      María Isabel y ésta conoció a un joven que se parecería a la  persona</w:t>
        <w:br/>
        <w:t xml:space="preserve">      de la “foto robot”. Se afirmó entonces que  este  sujeto  podría  ser</w:t>
        <w:br/>
        <w:t xml:space="preserve">      sospechoso. En este informe el investigador menciona que al  levantar</w:t>
        <w:br/>
        <w:t xml:space="preserve">      el cadáver de la víctima no se solicitó en la  necropsia  que  se  le</w:t>
        <w:br/>
        <w:t xml:space="preserve">      practicaran las pruebas necesarias  para  establecer  si  había  sido</w:t>
        <w:br/>
        <w:t xml:space="preserve">      drogada o abusada sexualmente antes de su muerte[172];</w:t>
        <w:br/>
        <w:t xml:space="preserve">   e) durante los meses de marzo, junio y julio de 2003,  y  septiembre  de</w:t>
        <w:br/>
        <w:t xml:space="preserve">      2004 se llevaron a cabo más  entrevistas  y  se  citó  a  declarar  a</w:t>
        <w:br/>
        <w:t xml:space="preserve">      sospechosos que manifestaron no tener nada que ver con la  muerte  el</w:t>
        <w:br/>
        <w:t xml:space="preserve">      homicidio[173]. El 19  de  mayo  de  2004  la  Fiscal  Distrital  del</w:t>
        <w:br/>
        <w:t xml:space="preserve">      Municipio de Mixco remitió a la  Secretaría  General  del  Ministerio</w:t>
        <w:br/>
        <w:t xml:space="preserve">      Público un informe, concluyendo que no se ha podido individualizar al</w:t>
        <w:br/>
        <w:t xml:space="preserve">      responsable, pero se continuará investigando[174];</w:t>
        <w:br/>
        <w:t xml:space="preserve">   f) el 4 de octubre de 2005 en la  Agencia  Fiscal  No.  5  de  Mixco  se</w:t>
        <w:br/>
        <w:t xml:space="preserve">      realizó un examen psicológico al primer sospechoso  señalado  por  la</w:t>
        <w:br/>
        <w:t xml:space="preserve">      señora  Franco  Sandoval,  y  se  realizaron   investigaciones   para</w:t>
        <w:br/>
        <w:t xml:space="preserve">      comprobar su dicho respecto a donde  se  encontraba  el  día  de  los</w:t>
        <w:br/>
        <w:t xml:space="preserve">      hechos[175];</w:t>
        <w:br/>
        <w:t xml:space="preserve">   g) el 31 de agosto de 2006 se citó  otro  posible  sospechoso  para  que</w:t>
        <w:br/>
        <w:t xml:space="preserve">      rindiera su declaración[176];</w:t>
        <w:br/>
        <w:t xml:space="preserve">   h)  durante  el  segundo  semestre  de  2006  se   realizaron   diversas</w:t>
        <w:br/>
        <w:t xml:space="preserve">      diligencias relativas al  vehículo  e  inmueble  mencionados  por  el</w:t>
        <w:br/>
        <w:t xml:space="preserve">      informante anónimo en 2001, así como  a  personas  que  habrían  sido</w:t>
        <w:br/>
        <w:t xml:space="preserve">      consideradas sospechosas; entre otras cosas se realizaron solicitudes</w:t>
        <w:br/>
        <w:t xml:space="preserve">      de   información,  se   tomaron   declaraciones   y   se   realizaron</w:t>
        <w:br/>
        <w:t xml:space="preserve">      entrevistas;</w:t>
        <w:br/>
        <w:t xml:space="preserve">   i) en  febrero  de  2007  el  Ministerio  Público  continuó  solicitando</w:t>
        <w:br/>
        <w:t xml:space="preserve">      información inmobiliaria y migratoria respecto a personas sospechosas</w:t>
        <w:br/>
        <w:t xml:space="preserve">      del homicidio de María Isabel[177], y</w:t>
        <w:br/>
        <w:t xml:space="preserve">   j) en diciembre de 2010 se realizó un peritaje de análisis de ADN  a  un</w:t>
        <w:br/>
        <w:t xml:space="preserve">      sospechoso[178], y el 16 de mayo de  2011  fue  rendido  el  dictamen</w:t>
        <w:br/>
        <w:t xml:space="preserve">      pericial respecto a la comparación entre el ADN y las evidencias  con</w:t>
        <w:br/>
        <w:t xml:space="preserve">      que se contaba, estableciéndose que el pantalón, las calcetas  y  una</w:t>
        <w:br/>
        <w:t xml:space="preserve">      de las toallas se  encontraban  extraviadas  por  lo  que  no  fueron</w:t>
        <w:br/>
        <w:t xml:space="preserve">      cotejadas. En el peritaje se  determinó  que  en  varias  prendas  se</w:t>
        <w:br/>
        <w:t xml:space="preserve">      encontró sangre perteneciente a una persona del sexo femenino,  y  en</w:t>
        <w:br/>
        <w:t xml:space="preserve">      el resto de las prendas no existía material genético útil para  hacer</w:t>
        <w:br/>
        <w:t xml:space="preserve">      la prueba[179].</w:t>
        <w:br/>
        <w:br/>
        <w:t>113. Reporte fotográfico.- El 3 de marzo de 2002  un  investigador  de  la</w:t>
        <w:br/>
        <w:t xml:space="preserve">    Sección de Inspecciones Oculares del Servicio de Investigación Criminal</w:t>
        <w:br/>
        <w:t xml:space="preserve">    de la PNC envió al Auxiliar Fiscal de la Agencia No. 32 de Guatemala el</w:t>
        <w:br/>
        <w:t xml:space="preserve">    reporte fotográfico del cuerpo de María Isabel y de la zona  donde  fue</w:t>
        <w:br/>
        <w:t xml:space="preserve">    encontrado[180].</w:t>
        <w:br/>
        <w:br/>
        <w:t>114. Cambios de investigadores y Fiscales.– Dentro de los prolongados pero</w:t>
        <w:br/>
        <w:t xml:space="preserve">    infructuosos procedimientos llevados a cabo se produjeron cambios en el</w:t>
        <w:br/>
        <w:t xml:space="preserve">    personal actuante:</w:t>
        <w:br/>
        <w:br/>
        <w:t xml:space="preserve">   a) el 21 de mayo de 2004 la investigadora encargada emitió un informe de</w:t>
        <w:br/>
        <w:t xml:space="preserve">      las investigaciones y actuaciones a la Agencia No. 5 de Mixco, en  el</w:t>
        <w:br/>
        <w:t xml:space="preserve">      cual explicó a la Auxiliar Fiscal  que  “que  [en]  relación  con  la</w:t>
        <w:br/>
        <w:t xml:space="preserve">      muerte de la  señorita  MARÍA  ISABEL  VELIZ  FRANCO,  ya  se  habían</w:t>
        <w:br/>
        <w:t xml:space="preserve">      realizado investigaciones  [por  parte]  de  los  investigadores  del</w:t>
        <w:br/>
        <w:t xml:space="preserve">      Ministerio Público, pero que los [funcionarios de] derechos Humanos y</w:t>
        <w:br/>
        <w:t xml:space="preserve">      de parte de la supervisión del Ministerio  Público  [habrían  pedido]</w:t>
        <w:br/>
        <w:t xml:space="preserve">      que se realizará nuevamente la  investigación  para  esclarecer  este</w:t>
        <w:br/>
        <w:t xml:space="preserve">      hecho”, y solicitó llevar a cabo nuevos  interrogatorios  a  personas</w:t>
        <w:br/>
        <w:t xml:space="preserve">      que  ya  habían  declarado[181].  El  3  de  septiembre  de  2004  se</w:t>
        <w:br/>
        <w:t xml:space="preserve">      entrevistó a una amiga de María Isabel[182];</w:t>
        <w:br/>
        <w:t xml:space="preserve">   b) el 24 de agosto de 2004 la Auxiliar Fiscal de la  Agencia  No.  5  de</w:t>
        <w:br/>
        <w:t xml:space="preserve">      Mixco emitió un oficio en el cual señaló que el 23 de agosto de  2004</w:t>
        <w:br/>
        <w:t xml:space="preserve">      la señora Franco se  apersonó  a  la  Fiscalía  y  manifestó  que  la</w:t>
        <w:br/>
        <w:t xml:space="preserve">      “investigación no se había llevado a cabo adecuadamente” y  pidió  el</w:t>
        <w:br/>
        <w:t xml:space="preserve">      cambio de la  Auxiliar  Fiscal  encargada  del  caso[183].  El  8  de</w:t>
        <w:br/>
        <w:t xml:space="preserve">      septiembre de 2004 la Auxiliar Fiscal solicitó que se reasignara otro</w:t>
        <w:br/>
        <w:t xml:space="preserve">      Agente Fiscal[184]. El  13  de  septiembre  de  2004  la  Supervisora</w:t>
        <w:br/>
        <w:t xml:space="preserve">      Auxiliar del Ministerio Público resolvió la queja de la señora Franco</w:t>
        <w:br/>
        <w:t xml:space="preserve">      concluyendo    que    no    se    abrirá    proceso    administrativo</w:t>
        <w:br/>
        <w:t xml:space="preserve">      disciplinario[185] y el 28 de octubre de 2004  se  designó  un  nuevo</w:t>
        <w:br/>
        <w:t xml:space="preserve">      Auxiliar Fiscal[186] y</w:t>
        <w:br/>
        <w:t xml:space="preserve">   c) en enero de 2006 la Fiscal de Distrito Adjunto de la Agencia No. 5 de</w:t>
        <w:br/>
        <w:t xml:space="preserve">      Mixco solicitó investigadores de  tiempo  completo  para  avanzar  en</w:t>
        <w:br/>
        <w:t xml:space="preserve">      encontrar a los responsables de la muerte de María Isabel,  así  como</w:t>
        <w:br/>
        <w:t xml:space="preserve">      también  se  dieron   a   conocer   nuevos   lineamientos   para   la</w:t>
        <w:br/>
        <w:t xml:space="preserve">      investigación[187].</w:t>
        <w:br/>
        <w:br/>
        <w:t>115. Denuncia ante el Procurador de los Derechos Humanos de Guatemala.– El</w:t>
        <w:br/>
        <w:t xml:space="preserve">    31 de enero de 2003 la señora Rosa Elvira Franco presentó una  denuncia</w:t>
        <w:br/>
        <w:t xml:space="preserve">    ante el Procurador de los Derechos Humanos de  Guatemala  (en  adelante</w:t>
        <w:br/>
        <w:t xml:space="preserve">    “el Procurador”) “referente a la violación del Derecho Humano al Debido</w:t>
        <w:br/>
        <w:t xml:space="preserve">    Proceso, que fue objeto de la Auxiliar Fiscal […] de la  Fiscalía  [No.</w:t>
        <w:br/>
        <w:t xml:space="preserve">    5] del Municipio de Mixco del departamento de Guatemala” debido  a  que</w:t>
        <w:br/>
        <w:t xml:space="preserve">    la investigación  del  homicidio  de  su  hija  no  avanzaba  y  estaba</w:t>
        <w:br/>
        <w:t xml:space="preserve">    estancado[188].  El 2 de noviembre de 2004  el  Procurador  emitió  una</w:t>
        <w:br/>
        <w:t xml:space="preserve">    resolución, en la cual señaló que había existido violación al derecho a</w:t>
        <w:br/>
        <w:t xml:space="preserve">    la seguridad y al debido proceso de la señora Franco Sandoval dado  que</w:t>
        <w:br/>
        <w:t xml:space="preserve">    “el Ministerio Público no procedió acorde al principio  de  objetividad</w:t>
        <w:br/>
        <w:t xml:space="preserve">    en  el  ejercicio  de  la  acción  penal  […]  dentro  de  los   plazos</w:t>
        <w:br/>
        <w:t xml:space="preserve">    establecidos por la ley” y  los  fiscales  de  la  Agencia  No.  32  de</w:t>
        <w:br/>
        <w:t xml:space="preserve">    Guatemala y la Agencia No. 5  de  Mixco  “incurrieron  en  dilación  de</w:t>
        <w:br/>
        <w:t xml:space="preserve">    justicia al solicitar y tramitar la inhibitoria para conocer el caso en</w:t>
        <w:br/>
        <w:t xml:space="preserve">    razón de territorio que al final se declaró sin  lugar”.  Recomendó  al</w:t>
        <w:br/>
        <w:t xml:space="preserve">    Fiscal General de la República y al Jefe del Ministerio Público ejercer</w:t>
        <w:br/>
        <w:t xml:space="preserve">    mayor control a fin de que los  asuntos  se  lleven  en  forma  ágil  y</w:t>
        <w:br/>
        <w:t xml:space="preserve">    eficiente[189].</w:t>
        <w:br/>
        <w:br/>
        <w:t>116. Solicitud de informes a bomberos y policía.- Durante el mes de  julio</w:t>
        <w:br/>
        <w:t xml:space="preserve">    de 2009 el Auxiliar Fiscal de  la  Agencia  No.  5  de  Mixco  requirió</w:t>
        <w:br/>
        <w:t xml:space="preserve">    información al Jefe de Bomberos y a un agente policial, en  relación  a</w:t>
        <w:br/>
        <w:t xml:space="preserve">    lo actuado el 18 de diciembre de 2001[190] (infra párr. 196.d).</w:t>
        <w:br/>
        <w:br/>
        <w:t>117. Búsqueda infructuosa de pruebas extraviadas.–  Se  han  buscado,  sin</w:t>
        <w:br/>
        <w:t xml:space="preserve">    éxito, varias piezas probatorias extraviadas:</w:t>
        <w:br/>
        <w:br/>
        <w:t xml:space="preserve">   a) el 5 de enero de 2011 el Auxiliar Fiscal de la Agencia No.  1  de  la</w:t>
        <w:br/>
        <w:t xml:space="preserve">      Fiscalía Municipal de Mixco envió un oficio al Jefe  del  Almacén  de</w:t>
        <w:br/>
        <w:t xml:space="preserve">      Evidencias del Ministerio  Público  para  solicitarle  que  informara</w:t>
        <w:br/>
        <w:t xml:space="preserve">      acerca del paradero de las pruebas que no se localizaban[191];</w:t>
        <w:br/>
        <w:t xml:space="preserve">   b) el mismo 5 de enero el jefe del Almacén de Evidencia respondió que el</w:t>
        <w:br/>
        <w:t xml:space="preserve">      pantalón de lona, las dos toallas y las calcetas no habían  ingresado</w:t>
        <w:br/>
        <w:t xml:space="preserve">      al almacén, y posteriormente reiteró su respuesta el 24 de  enero  de</w:t>
        <w:br/>
        <w:t xml:space="preserve">      2011, indicando que las tres pruebas habrían quedado a  cargo  de  un</w:t>
        <w:br/>
        <w:t xml:space="preserve">      químico  farmacéutico  de  la  Subdirección  Técnico  Científica  que</w:t>
        <w:br/>
        <w:t xml:space="preserve">      posteriormente se constituyó como el Instituto Nacional  de  Ciencias</w:t>
        <w:br/>
        <w:t xml:space="preserve">      Forenses (en adelante INACIF)[192];</w:t>
        <w:br/>
        <w:t xml:space="preserve">   c) el 14 de enero de 2011 el Agente Fiscal de la Agencia  No.  1  de  la</w:t>
        <w:br/>
        <w:t xml:space="preserve">      Fiscalía Municipal de Mixco envió una solicitud al jefe  del  Almacén</w:t>
        <w:br/>
        <w:t xml:space="preserve">      Central de Evidencias del Ministerio Público para hacer “una búsqueda</w:t>
        <w:br/>
        <w:t xml:space="preserve">      exhaustiva  de  la  evidencia  [extraviada],  por  ser  un  caso   de</w:t>
        <w:br/>
        <w:t xml:space="preserve">      impacto”[193], y</w:t>
        <w:br/>
        <w:t xml:space="preserve">   d) ante la reiteración de solicitud de esta prueba por el Agente  Fiscal</w:t>
        <w:br/>
        <w:t xml:space="preserve">      de la Agencia No. 1 de la Fiscalía Municipal de Mixco los días 10  de</w:t>
        <w:br/>
        <w:t xml:space="preserve">      junio de 2011[194] y el 11 de julio de 2011,  la  Secretaría  General</w:t>
        <w:br/>
        <w:t xml:space="preserve">      del INACIF remitió  un  escrito  al  Agente  Fiscal  de  la  Fiscalía</w:t>
        <w:br/>
        <w:t xml:space="preserve">      Municipal de Mixco, en el  cual  informó  a  que  “el  INACIF  habría</w:t>
        <w:br/>
        <w:t xml:space="preserve">      iniciado  labores  en   el   área   pericial   de   Laboratorios   de</w:t>
        <w:br/>
        <w:t xml:space="preserve">      Criminalística[195] el  12  de  noviembre  de  2007[,…]  por  lo  que</w:t>
        <w:br/>
        <w:t xml:space="preserve">      lamentablemente   no   podía   darse   respuesta   a   la    petición</w:t>
        <w:br/>
        <w:t xml:space="preserve">      planteada”[196]. A este momento no obra en el  expediente  prueba  de</w:t>
        <w:br/>
        <w:t xml:space="preserve">      que se conozca el paradero de las prendas extraviadas.</w:t>
        <w:br/>
        <w:br/>
        <w:br/>
        <w:t>118. Aspectos relacionados con las alegaciones de discriminación.– Se  han</w:t>
        <w:br/>
        <w:t xml:space="preserve">    formulado  alegaciones  de  que  en  el   caso   existiría   un   sesgo</w:t>
        <w:br/>
        <w:t xml:space="preserve">    discriminatorio que impediría el avance de las investigaciones.  A  tal</w:t>
        <w:br/>
        <w:t xml:space="preserve">    efecto, pueden señalarse los hechos siguientes:</w:t>
        <w:br/>
        <w:br/>
        <w:t xml:space="preserve">   a)  el  20  de  febrero  de  2002  los  técnicos   en   investigaciones</w:t>
        <w:br/>
        <w:t xml:space="preserve">      criminalísticas encargados del caso rindieron su informe acerca  del</w:t>
        <w:br/>
        <w:t xml:space="preserve">      resultado de las diligencias preliminares  del  homicidio  de  María</w:t>
        <w:br/>
        <w:t xml:space="preserve">      Isabel.  Entre otras cosas los técnicos expresaron que el  alias  de</w:t>
        <w:br/>
        <w:t xml:space="preserve">      María Isabel era  “LA  LOCA”  y  se  refirieron  a  aspectos  de  su</w:t>
        <w:br/>
        <w:t xml:space="preserve">      comportamiento, como su forma de vestir, su vida social y nocturna o</w:t>
        <w:br/>
        <w:t xml:space="preserve">      sus creencias religiosas, así como a  la  falta  de  vigilancia  por</w:t>
        <w:br/>
        <w:t xml:space="preserve">      parte de su familia[197]. El 21 de febrero de 2002  el  investigador</w:t>
        <w:br/>
        <w:t xml:space="preserve">      del Servicio de Investigación Criminal de  la  PNC,  de  la  Sección</w:t>
        <w:br/>
        <w:t xml:space="preserve">      contra  Homicidios,  presentó  un   informe   de   las   diligencias</w:t>
        <w:br/>
        <w:t xml:space="preserve">      practicadas hasta ese momento concluyó que el móvil del homicidio de</w:t>
        <w:br/>
        <w:t xml:space="preserve">      María  Isabel  había  sido  la  “posible   infidelidad   con   algún</w:t>
        <w:br/>
        <w:t xml:space="preserve">      novio”[198];</w:t>
        <w:br/>
        <w:t xml:space="preserve">   b) el 18 de marzo de 2003 el investigador encargado emitió  un  informe</w:t>
        <w:br/>
        <w:t xml:space="preserve">      para la Auxiliar Fiscal de la Agencia No.  5  de  Mixco  en  el  que</w:t>
        <w:br/>
        <w:t xml:space="preserve">      recomendó que se citara a la mamá de María Isabel para  interrogarla</w:t>
        <w:br/>
        <w:t xml:space="preserve">      sobre la  vida  de  su  hija  en  especial  sobre  “sus  actividades</w:t>
        <w:br/>
        <w:t xml:space="preserve">      nocturnas, la relación  con  mareros,  adicción  a  alguna  droga  y</w:t>
        <w:br/>
        <w:t xml:space="preserve">      relación con su padrastro”[199];</w:t>
        <w:br/>
        <w:t xml:space="preserve">   c)         el 30 de agosto de 2004 la señora Franco Sandoval remitió un</w:t>
        <w:br/>
        <w:t xml:space="preserve">      escrito al  Fiscal  General  y  Jefe  del  Ministerio  Público  para</w:t>
        <w:br/>
        <w:t xml:space="preserve">      informarle que la Auxiliar Fiscal de la Agencia No. 5  de  Mixco  le</w:t>
        <w:br/>
        <w:t xml:space="preserve">      había dicho que María  Isabel  “era  una  cualquiera”,  por  lo  que</w:t>
        <w:br/>
        <w:t xml:space="preserve">      solicitó que no se continuara hablando mal de su  hija[200].  En  el</w:t>
        <w:br/>
        <w:t xml:space="preserve">      Informe de Fondo, la Comisión se refirió a las declaraciones de Rosa</w:t>
        <w:br/>
        <w:t xml:space="preserve">      Elvira Franco  durante  la  audiencia  ante  la  Comisión,  y  a  la</w:t>
        <w:br/>
        <w:t xml:space="preserve">      comunicación de la misma dirigida a la Comisión el 27  de  abril  de</w:t>
        <w:br/>
        <w:t xml:space="preserve">      2007, donde manifestó que aproximadamente la semana anterior del  28</w:t>
        <w:br/>
        <w:t xml:space="preserve">      de agosto de 2004, cuando fue a preguntar sobre  el  avance  de  las</w:t>
        <w:br/>
        <w:t xml:space="preserve">      investigaciones, la Auxiliar Fiscal “sacó de lo último de una de sus</w:t>
        <w:br/>
        <w:t xml:space="preserve">      gavetas de su archivo, el expediente de [su] hija,  y  enfrente  del</w:t>
        <w:br/>
        <w:t xml:space="preserve">      que era su jefe, [l]e dijo ‘a su hija  la  mataron  porque  era  una</w:t>
        <w:br/>
        <w:t xml:space="preserve">      cualquiera, una prostituta’, incluso hizo ademanes con sus hombros y</w:t>
        <w:br/>
        <w:t xml:space="preserve">      cabeza riéndose de mi hija y de mi dolor. El jefe agachó  la  cabeza</w:t>
        <w:br/>
        <w:t xml:space="preserve">      no [l]e dijo disculpe, solo  la  observó,  y  [la  Auxiliar  Fiscal]</w:t>
        <w:br/>
        <w:t xml:space="preserve">      comenzó a reírse a carcajadas”[201], y</w:t>
        <w:br/>
        <w:t xml:space="preserve">   d) el 14 de septiembre de 2011 un  perito  del  Instituto  Nacional  de</w:t>
        <w:br/>
        <w:t xml:space="preserve">      Ciencias Forenses de  Guatemala  emitió  un  informe  de  evaluación</w:t>
        <w:br/>
        <w:t xml:space="preserve">      psicológica practicada a una  amiga  de  María  Isabel,  en  el  que</w:t>
        <w:br/>
        <w:t xml:space="preserve">      concluyó que la víctima había manifestado  “inestabilidad  emocional</w:t>
        <w:br/>
        <w:t xml:space="preserve">      al andar con varios novios y amigos”[202].</w:t>
        <w:br/>
        <w:br/>
        <w:br/>
        <w:t>119. Estado actual de la investigación.- Como ya se  indicó  (supra  párr.</w:t>
        <w:br/>
        <w:t xml:space="preserve">    106), las actuaciones de investigación  no  han  llevado  a  resultados</w:t>
        <w:br/>
        <w:t xml:space="preserve">    positivos. A más de doce años del homicidio de María Isabel, no  se  ha</w:t>
        <w:br/>
        <w:t xml:space="preserve">    pasado de  la  etapa  preparatoria  o  de  investigación.  Las  últimas</w:t>
        <w:br/>
        <w:t xml:space="preserve">    actuaciones relacionadas con el trámite son las siguientes:</w:t>
        <w:br/>
        <w:br/>
        <w:t xml:space="preserve">   a) el 12 de octubre  de  2009  el  Juzgado  Primero  de  Mixco  solicitó</w:t>
        <w:br/>
        <w:t xml:space="preserve">      información a  la  Agencia  Fiscal  respecto  a  “qué  se  encontraba</w:t>
        <w:br/>
        <w:t xml:space="preserve">      pendiente  de  investigar”  y  “qué  se  ha  investigado   hasta   la</w:t>
        <w:br/>
        <w:t xml:space="preserve">      fecha”[203] , y el 21 de octubre de 2009 el Auxiliar Fiscal  solicitó</w:t>
        <w:br/>
        <w:t xml:space="preserve">      dejar el caso en el estado que se encuentra  “en  virtud  de  que  la</w:t>
        <w:br/>
        <w:t xml:space="preserve">      [investigación] se encuentra en proceso en la Corte Interamericana” y</w:t>
        <w:br/>
        <w:t xml:space="preserve">      tenía conocimiento de ello la Comisión Presidencial  Coordinadora  de</w:t>
        <w:br/>
        <w:t xml:space="preserve">      la Política del Ejecutivo en materia de  Derechos  Humanos  (COPREDH)</w:t>
        <w:br/>
        <w:t xml:space="preserve">      así como el Centro por la Justicia y Derecho Internacional (CEJIL)[,]</w:t>
        <w:br/>
        <w:t xml:space="preserve">      por lo que a la presente fecha [sería] uno de los casos que  encabeza</w:t>
        <w:br/>
        <w:t xml:space="preserve">      los Femicidios impunes en Guatemala”[204];</w:t>
        <w:br/>
        <w:t xml:space="preserve">   b) el 16 de mayo de 2012 la Fiscalía  Municipal  de  Mixco  solicitó  al</w:t>
        <w:br/>
        <w:t xml:space="preserve">      Secretario General del Ministerio Público  que  le  fueran  asignados</w:t>
        <w:br/>
        <w:t xml:space="preserve">      tres investigadores para dar seguimiento al caso  debido  a  que  “la</w:t>
        <w:br/>
        <w:t xml:space="preserve">      fiscalía ya no contaba con los investigadores que  venían  trabajando</w:t>
        <w:br/>
        <w:t xml:space="preserve">      en el mismo”[205];</w:t>
        <w:br/>
        <w:t xml:space="preserve">   c) el 8 de febrero de 2012 el Juzgado  de  Primera  Instancia  de  Mixco</w:t>
        <w:br/>
        <w:t xml:space="preserve">      emitió un requerimiento conclusivo en el proceso  y  le  otorgó  ocho</w:t>
        <w:br/>
        <w:t xml:space="preserve">      días al Ministerio Público para que se pronunciara al respecto. El 23</w:t>
        <w:br/>
        <w:t xml:space="preserve">      de febrero de 2012 el Agente Fiscal solicitó al  Juez  no  cerrar  el</w:t>
        <w:br/>
        <w:t xml:space="preserve">      caso y reiteró esta solicitud en una audiencia  realizada  el  29  de</w:t>
        <w:br/>
        <w:t xml:space="preserve">      marzo de 2012[206], y</w:t>
        <w:br/>
        <w:t xml:space="preserve">   d) el 27 de septiembre de 2012 se celebró una “audiencia  oral  de  acto</w:t>
        <w:br/>
        <w:t xml:space="preserve">      conclusivo” en la que el Ministerio Público solicitó que el  “proceso</w:t>
        <w:br/>
        <w:t xml:space="preserve">      continúe en etapa de investigación toda vez que  queda[ba]  pendiente</w:t>
        <w:br/>
        <w:t xml:space="preserve">      [una] declaración”. El Juez “resolvió […c]on lugar  la  solicitud”  y</w:t>
        <w:br/>
        <w:t xml:space="preserve">      “señal[ó] fecha de audiencia de acto conclusivo para el  día  [3]  de</w:t>
        <w:br/>
        <w:t xml:space="preserve">      diciembre de [2012]”[207].</w:t>
        <w:br/>
        <w:br/>
        <w:br/>
        <w:br/>
        <w:br/>
        <w:br/>
        <w:br/>
        <w:br/>
        <w:br/>
        <w:br/>
        <w:br/>
        <w:t>VIII</w:t>
        <w:br/>
        <w:br/>
        <w:br/>
        <w:t>DERECHOS A LA VIDA, A LA INTEGRIDAD PERSONAL Y A LA LIBERTAD PERSONAL, EN</w:t>
        <w:br/>
        <w:t>RELACIÓN CON LOS DERECHOS DEL NIÑO, Y LAS OBLIGACIONES DE RESPETAR Y</w:t>
        <w:br/>
        <w:t>GARANTIZAR LOS DERECHOS SIN DISCRIMINACIÓN, Y PREVENIR LA VIOLENCIA CONTRA</w:t>
        <w:br/>
        <w:t>LA MUJER</w:t>
        <w:br/>
        <w:br/>
        <w:br/>
        <w:t>A. Argumentos de la Comisión y de las partes</w:t>
        <w:br/>
        <w:br/>
        <w:t>120. La Comisión Interamericana señaló que la observancia del  artículo  4</w:t>
        <w:br/>
        <w:t xml:space="preserve">    de la Convención, en relación con su artículo 1.1,  no  sólo  presupone</w:t>
        <w:br/>
        <w:t xml:space="preserve">    que ninguna persona sea privada de su vida  arbitrariamente,  sino  que</w:t>
        <w:br/>
        <w:t xml:space="preserve">    además requiere que los Estados adopten todas  las  medidas  apropiadas</w:t>
        <w:br/>
        <w:t xml:space="preserve">    para proteger y preservar el derecho a la vida y agregó que:</w:t>
        <w:br/>
        <w:br/>
        <w:t xml:space="preserve">  la protección del derecho a la vida es un componente crítico  del  deber</w:t>
        <w:br/>
        <w:t xml:space="preserve">  de debida diligencia de parte de los Estados para proteger a la mujer de</w:t>
        <w:br/>
        <w:t xml:space="preserve">  actos de  violencia  [y  que  dicha  obligación]  pertenece  a  todo  la</w:t>
        <w:br/>
        <w:t xml:space="preserve">  estructura estatal y comprende igualmente  las  obligaciones  que  puede</w:t>
        <w:br/>
        <w:t xml:space="preserve">  tener el Estado para prevenir y responder a las acciones de  actores  no</w:t>
        <w:br/>
        <w:t xml:space="preserve">  estatales y particulares.</w:t>
        <w:br/>
        <w:br/>
        <w:t>121. Además, consideró que los Estados deben “contar con un adecuado marco</w:t>
        <w:br/>
        <w:t xml:space="preserve">    jurídico de protección, con una aplicación efectiva  del  mismo  y  con</w:t>
        <w:br/>
        <w:t xml:space="preserve">    políticas de prevención y  prácticas  que  permitan  actuar  de  manera</w:t>
        <w:br/>
        <w:t xml:space="preserve">    eficaz ante las denuncias”. Al respecto señaló  que  la  Convención  de</w:t>
        <w:br/>
        <w:t xml:space="preserve">    Belém do Pará establece  obligaciones  para  los  Estados  de  “adoptar</w:t>
        <w:br/>
        <w:t xml:space="preserve">    medidas razonables y  diligentes  para  prevenir  la  violencia  contra</w:t>
        <w:br/>
        <w:t xml:space="preserve">    mujeres y niñas  independientemente  de  si  ocurre  en  el  hogar,  la</w:t>
        <w:br/>
        <w:t xml:space="preserve">    comunidad o la esfera pública”.</w:t>
        <w:br/>
        <w:br/>
        <w:t>122. Asimismo, indicó que:</w:t>
        <w:br/>
        <w:br/>
        <w:t xml:space="preserve">  en  casos  de  violencia  contra  mujeres,  surge  un  deber  de  debida</w:t>
        <w:br/>
        <w:t xml:space="preserve">  diligencia estricta frente a denuncias de desaparición,  respecto  a  su</w:t>
        <w:br/>
        <w:t xml:space="preserve">  búsqueda durante las primeras horas y  primeros  días  [que]  exige  una</w:t>
        <w:br/>
        <w:t xml:space="preserve">  respuesta inmediata y eficaz por  parte  de  las  autoridades  ante  las</w:t>
        <w:br/>
        <w:t xml:space="preserve">  denuncias de desaparición y prevenir adecuadamente la  violencia  contra</w:t>
        <w:br/>
        <w:t xml:space="preserve">  la mujer.</w:t>
        <w:br/>
        <w:br/>
        <w:t>123. También la Comisión manifestó  que  “en  casos  de  violencia  contra</w:t>
        <w:br/>
        <w:t xml:space="preserve">    niñas, el deber de protección estatal vinculado al derecho a la vida se</w:t>
        <w:br/>
        <w:t xml:space="preserve">    considera  especialmente  riguroso”[208].   Expresó  que  “los  Estados</w:t>
        <w:br/>
        <w:t xml:space="preserve">    tienen el deber de  asegurar  que  las  niñas  sean  encontradas  a  la</w:t>
        <w:br/>
        <w:t xml:space="preserve">    brevedad una vez que los familiares reportaran su ausencia. Para  ello,</w:t>
        <w:br/>
        <w:t xml:space="preserve">    deben de activar todos los recursos para  movilizar  a  las  diferentes</w:t>
        <w:br/>
        <w:t xml:space="preserve">    instituciones y desplegar mecanismos internos para obtener  información</w:t>
        <w:br/>
        <w:t xml:space="preserve">    que permita localizar a las niñas con rapidez”.</w:t>
        <w:br/>
        <w:br/>
        <w:t>124. En el caso particular, afirmó que “el Estado tenía un deber reforzado</w:t>
        <w:br/>
        <w:t xml:space="preserve">    de proteger los derechos de María Isabel Veliz Franco por su minoría de</w:t>
        <w:br/>
        <w:t xml:space="preserve">    edad y obligación de adoptar medidas especiales de cuidado,  prevención</w:t>
        <w:br/>
        <w:t xml:space="preserve">    y garantía”. En específico, señaló  que  “correspondía  que  el  Estado</w:t>
        <w:br/>
        <w:t xml:space="preserve">    frente a una situación de riesgo que enfrentaba la  niña  María  Isabel</w:t>
        <w:br/>
        <w:t xml:space="preserve">    Veliz Franco al ser reportada  como  desaparecida,  adopt[ara]  medidas</w:t>
        <w:br/>
        <w:t xml:space="preserve">    inmediatas de búsqueda”. Afirmó que funcionarios estales le indicaron a</w:t>
        <w:br/>
        <w:t xml:space="preserve">    la señora Rosa Elvira que “no podían tomar  la  denuncia  en  tanto  no</w:t>
        <w:br/>
        <w:t xml:space="preserve">    habían transcurrido 48  horas  de  la  desaparición”  de  su  hija.  La</w:t>
        <w:br/>
        <w:t xml:space="preserve">    Comisión destacó que el Estado “no tomó la declaración de [Rosa  Elvira</w:t>
        <w:br/>
        <w:t xml:space="preserve">    Franco] la cual pudo arrojar algunas pistas, no se apersonó  al  último</w:t>
        <w:br/>
        <w:t xml:space="preserve">    lugar en  donde  se  […]  vio  con  vida  [a  María  Isabel]  y  no  se</w:t>
        <w:br/>
        <w:t xml:space="preserve">    entrevistaron inmediatamente a las últimas personas que  la  vieron  el</w:t>
        <w:br/>
        <w:t xml:space="preserve">    día de su desaparición y/o las personas más cercanas a la víctima”.</w:t>
        <w:br/>
        <w:br/>
        <w:t>125. Por todo lo anterior, concluyó  que  “el  Estado  no  demostró  haber</w:t>
        <w:br/>
        <w:t xml:space="preserve">    adoptado  medidas  razonables  de  búsqueda”.  Igualmente  destacó  que</w:t>
        <w:br/>
        <w:t xml:space="preserve">    “[e]ste incumplimiento al deber de garantía  es  particularmente  serio</w:t>
        <w:br/>
        <w:t xml:space="preserve">    debido a un contexto de  violencia  contra  las  mujeres  y  las  niñas</w:t>
        <w:br/>
        <w:t xml:space="preserve">    conocido por el Estado”. Además, consideró que “el Estado  no  demostró</w:t>
        <w:br/>
        <w:t xml:space="preserve">    haber adoptado normas o implementado medidas necesarias conforme  a  la</w:t>
        <w:br/>
        <w:t xml:space="preserve">    Convención de Belém do Pará, que permitieran a las autoridades  ofrecer</w:t>
        <w:br/>
        <w:t xml:space="preserve">    una respuesta inmediata y eficaz ante las denuncias de  desaparición  y</w:t>
        <w:br/>
        <w:t xml:space="preserve">    prevenir adecuadamente la violencia contra la mujer en la época de  los</w:t>
        <w:br/>
        <w:t xml:space="preserve">    hechos”. La Comisión concluyó que, por lo expuesto, el Estado violó, en</w:t>
        <w:br/>
        <w:t xml:space="preserve">    relación con el artículo 1.1 de la Convención, sus artículos 4, 5, 19 y</w:t>
        <w:br/>
        <w:t xml:space="preserve">    24, así como el artículo 7 de la Convención de Belém do Pará.</w:t>
        <w:br/>
        <w:br/>
        <w:t>126. La representante señaló que el “Estado incumplió  de  forma  absoluta</w:t>
        <w:br/>
        <w:t xml:space="preserve">    con su deber de prevenir violaciones  a  los  derechos  a  la  libertad</w:t>
        <w:br/>
        <w:t xml:space="preserve">    personal, la integridad y la vida de la niña María Isabel Veliz  Franco</w:t>
        <w:br/>
        <w:t xml:space="preserve">    a pesar de conocer la situación de riesgo real e inminente en la que se</w:t>
        <w:br/>
        <w:t xml:space="preserve">    encontraba”. Al respecto, indicó que frente a  la  denuncia  presentada</w:t>
        <w:br/>
        <w:t xml:space="preserve">    por la mamá de María Isabel, el Estado “no adoptó una sola acción  para</w:t>
        <w:br/>
        <w:t xml:space="preserve">    proteger a María Isabel y prevenir lo ocurrido”. Lo anterior, según  la</w:t>
        <w:br/>
        <w:t xml:space="preserve">    representante,  “resulta  especialmente  grave   en   virtud   de   las</w:t>
        <w:br/>
        <w:t xml:space="preserve">    obligaciones de protección que el Estado estaba obligado a  procurar  a</w:t>
        <w:br/>
        <w:t xml:space="preserve">    María Isabel en razón de su condición  de  niña  y  del  incremento  de</w:t>
        <w:br/>
        <w:t xml:space="preserve">    asesinatos de mujeres que se registraba desde la época de los hechos de</w:t>
        <w:br/>
        <w:t xml:space="preserve">    acuerdo a la información de la Policía Nacional, órgano que recibió  la</w:t>
        <w:br/>
        <w:t xml:space="preserve">    denuncia por su desaparición”.</w:t>
        <w:br/>
        <w:br/>
        <w:t>127. Igualmente, manifestó  que  el  “Estado  incumplió  sus  obligaciones</w:t>
        <w:br/>
        <w:t xml:space="preserve">    procesales en relación con una efectiva garantía de los derechos  a  la</w:t>
        <w:br/>
        <w:t xml:space="preserve">    libertad, a la integridad y a la vida de la  niña  María  Isabel  Veliz</w:t>
        <w:br/>
        <w:t xml:space="preserve">    Franco”. Sobre el particular, argumentaron que “las autoridades a cargo</w:t>
        <w:br/>
        <w:t xml:space="preserve">    de la investigación han violado el deber de debida diligencia de  forma</w:t>
        <w:br/>
        <w:t xml:space="preserve">    flagrante desde las más tempranas fases de la investigación”.</w:t>
        <w:br/>
        <w:br/>
        <w:t>128. Por el aducido “incumpli[miento del] deber de prevención” y  por  “no</w:t>
        <w:br/>
        <w:t xml:space="preserve">    investigar de manera efectiva los hechos relativos a [la] desaparición,</w:t>
        <w:br/>
        <w:t xml:space="preserve">    maltrato y muerte” de  María  Isabel  Veliz  Franco,  la  representante</w:t>
        <w:br/>
        <w:t xml:space="preserve">    afirmó que el Estado vulneró, en perjuicio de la persona nombrada,  los</w:t>
        <w:br/>
        <w:t xml:space="preserve">    artículos “7, 5 y 4 de la C[onvención Americana,] en  concordancia  con</w:t>
        <w:br/>
        <w:t xml:space="preserve">    el  incumplimiento  de  […]  los  artículos  1.1,  2  y  19  del  mismo</w:t>
        <w:br/>
        <w:t xml:space="preserve">    instrumento y 7 de la Convención de Belém do Pará”.</w:t>
        <w:br/>
        <w:br/>
        <w:t>129. El Estado señaló que “el derecho a la vida es respetado y garantizado</w:t>
        <w:br/>
        <w:t xml:space="preserve">    por […] Guatemala, ya que está reconocido en el  ordenamiento  jurídico</w:t>
        <w:br/>
        <w:t xml:space="preserve">    guatemalteco, como en la Política de la República” y que es “consciente</w:t>
        <w:br/>
        <w:t xml:space="preserve">    de que la obligación de los Estados en la protección del derecho  a  la</w:t>
        <w:br/>
        <w:t xml:space="preserve">    vida es tanto negativa como positiva”. Por ello, conforme expresó,  “ha</w:t>
        <w:br/>
        <w:t xml:space="preserve">    tomado las medidas pertinentes para garantizar la vida de su población,</w:t>
        <w:br/>
        <w:t xml:space="preserve">    brindándole a todos el acceso a la justicia para obtener ya sea medidas</w:t>
        <w:br/>
        <w:t xml:space="preserve">    de seguridad o investigación por  parte  del  Ministerio  Público  para</w:t>
        <w:br/>
        <w:t xml:space="preserve">    procesar a los sindicatos que sea posible individualizar”.</w:t>
        <w:br/>
        <w:br/>
        <w:t>130. Además, manifestó que en el presente caso no violó el  derecho  a  la</w:t>
        <w:br/>
        <w:t xml:space="preserve">    vida de María Isabel Veliz Franco,  ya  que  “en  cumplimiento  de  sus</w:t>
        <w:br/>
        <w:t xml:space="preserve">    obligaciones  para  respetar  y  proteger  el  derecho   en   cuestión,</w:t>
        <w:br/>
        <w:t xml:space="preserve">    consciente del fenómeno de violencia, contempla en su  legislación  las</w:t>
        <w:br/>
        <w:t xml:space="preserve">    instituciones de la Tutela y la Patria Potestad”. Asimismo, indicó  que</w:t>
        <w:br/>
        <w:t xml:space="preserve">    “ha […] crea[do] instituciones que velan y fiscalizan el pleno goce  de</w:t>
        <w:br/>
        <w:t xml:space="preserve">    los derechos de las personas, así como aquellas  a  las  que  se  puede</w:t>
        <w:br/>
        <w:t xml:space="preserve">    acudir para tener acceso al sistema de justicia”. Esto con  el  fin  de</w:t>
        <w:br/>
        <w:t xml:space="preserve">    “compartir con los padres  o  tutores,  la  eficaz  supervisión  de  la</w:t>
        <w:br/>
        <w:t xml:space="preserve">    garantía y respeto de los derechos de los menores […] resguardando  así</w:t>
        <w:br/>
        <w:t xml:space="preserve">    de manera especial la garantía y respeto del derecho a la vida de María</w:t>
        <w:br/>
        <w:t xml:space="preserve">    Isabel”. Explicó que:</w:t>
        <w:br/>
        <w:br/>
        <w:t xml:space="preserve">  en principio, la familia debe proporcionar la mejor  protección  de  los</w:t>
        <w:br/>
        <w:t xml:space="preserve">  niños contra el abuso, el descuido y la explotación, y que  para  cuando</w:t>
        <w:br/>
        <w:t xml:space="preserve">  se dio aviso al Estado de la desaparición de  María  Isabel,  es  cuando</w:t>
        <w:br/>
        <w:t xml:space="preserve">  empieza su obligación de interferir en la protección directa de la niña,</w:t>
        <w:br/>
        <w:t xml:space="preserve">  debido a que se salió de las manos de su familia su resguardo  efectivo,</w:t>
        <w:br/>
        <w:t xml:space="preserve">  y el Estado si tenía contempladas las políticas y los  medios  adecuados</w:t>
        <w:br/>
        <w:t xml:space="preserve">  para que la madre solicitara el apoyo del Estado.</w:t>
        <w:br/>
        <w:br/>
        <w:t>131. Además, Guatemala afirmó que:</w:t>
        <w:br/>
        <w:br/>
        <w:t xml:space="preserve">  de haber sido posible individualizar al o los responsables  del  trágico</w:t>
        <w:br/>
        <w:t xml:space="preserve">  resultado de  la  desaparición  de  María  Isabel,  habría  aplicado  la</w:t>
        <w:br/>
        <w:t xml:space="preserve">  legislación  vigente  en  el  momento  de  cometido  el   delito,   para</w:t>
        <w:br/>
        <w:t xml:space="preserve">  sancionarlos; no obstante […] no ha sido posible  independientemente  de</w:t>
        <w:br/>
        <w:t xml:space="preserve">  la ardua labor del ente  investigador  […],  por  lo  que  no  se  puede</w:t>
        <w:br/>
        <w:t xml:space="preserve">  condenar arbitrariamente a ningún individuo aunque el Estado repudie  lo</w:t>
        <w:br/>
        <w:t xml:space="preserve">  ocurrido a la menor.</w:t>
        <w:br/>
        <w:br/>
        <w:t>B. Consideraciones de la Corte</w:t>
        <w:br/>
        <w:br/>
        <w:t>132.  La  Corte  nota  que  la  representante  adujo,   inter   alia,   la</w:t>
        <w:br/>
        <w:t xml:space="preserve">    inobservancia del artículo 2  de  la  Convención  American[209].  Dicha</w:t>
        <w:br/>
        <w:t xml:space="preserve">    norma no fue señalada como violada por la Comisión Interamericana en su</w:t>
        <w:br/>
        <w:t xml:space="preserve">    escrito de sometimiento ni en el Informe  de  Fondo.  Al  respecto,  la</w:t>
        <w:br/>
        <w:t xml:space="preserve">    Corte reitera que “las presuntas víctimas o sus  representantes  pueden</w:t>
        <w:br/>
        <w:t xml:space="preserve">    invocar derechos distintos de los comprendidos por la  Comisión,  sobre</w:t>
        <w:br/>
        <w:t xml:space="preserve">    la base de los hechos presentados por ésta”[210]. Por  otra  parte,  la</w:t>
        <w:br/>
        <w:t xml:space="preserve">    representante alegó la vulneración de los derechos a  la  integridad  y</w:t>
        <w:br/>
        <w:t xml:space="preserve">    libertad personales, recogidos, respectivamente, en los artículos 5 y 7</w:t>
        <w:br/>
        <w:t xml:space="preserve">    de la Convención Americana[211], en perjuicio  de  María  Isabel  Veliz</w:t>
        <w:br/>
        <w:t xml:space="preserve">    Franco. La Corte advierte que la petición inicial  presentada  ante  la</w:t>
        <w:br/>
        <w:t xml:space="preserve">    Comisión, en lo atinente a la aducida  violación  de  ambas  normas  en</w:t>
        <w:br/>
        <w:t xml:space="preserve">    perjuicio de la niña, habían sido declaradas inadmisibles en el Informe</w:t>
        <w:br/>
        <w:t xml:space="preserve">    de Admisibilidad del caso. No obstante, dicha inadmisión se hizo  sobre</w:t>
        <w:br/>
        <w:t xml:space="preserve">    la base de una apreciación prima facie de los hechos por  parte  de  la</w:t>
        <w:br/>
        <w:t xml:space="preserve">    Comisión. Luego, en  el  Informe  de  Fondo,  aunque  no  se  consideró</w:t>
        <w:br/>
        <w:t xml:space="preserve">    vulnerado el citado artículo 7 en perjuicio  de  María  Isabel,  sí  se</w:t>
        <w:br/>
        <w:t xml:space="preserve">    concluyó que ella fue víctima de la transgresión del referido  artículo</w:t>
        <w:br/>
        <w:t xml:space="preserve">    5. En el  presente  caso,  dados  los  fundamentos  expresados  por  la</w:t>
        <w:br/>
        <w:t xml:space="preserve">    Comisión en el Informe de Admisibilidad, es  procedente  que  la  Corte</w:t>
        <w:br/>
        <w:t xml:space="preserve">    analice la alegada  inobservancia  de  las  normas  indicadas[212].  Al</w:t>
        <w:br/>
        <w:t xml:space="preserve">    respecto, la Corte estima pertinente realizar un análisis  conjunto  de</w:t>
        <w:br/>
        <w:t xml:space="preserve">    las alegadas violaciones a los  derechos  a  la  vida[213],  integridad</w:t>
        <w:br/>
        <w:t xml:space="preserve">    personal  y  libertad  personal,  en  relación  con  los  derechos  del</w:t>
        <w:br/>
        <w:t xml:space="preserve">    niño[214], el derecho a la igual  protección  de  la  ley[215],  y  las</w:t>
        <w:br/>
        <w:t xml:space="preserve">    obligaciones  de  garantizar  los  derechos  sin   discriminación[216],</w:t>
        <w:br/>
        <w:t xml:space="preserve">    adoptar disposiciones  de  derecho  interno  y  prevenir,  sancionar  y</w:t>
        <w:br/>
        <w:t xml:space="preserve">    erradicar la violencia contra la mujer[217]. Ello, en razón de que  las</w:t>
        <w:br/>
        <w:t xml:space="preserve">    circunstancias propias de los hechos ocurridos en este caso  evidencian</w:t>
        <w:br/>
        <w:t xml:space="preserve">    la interrelación de las aducidas afectaciones  a  diversos  derechos  y</w:t>
        <w:br/>
        <w:t xml:space="preserve">    obligaciones, haciendo conveniente un examen conjunto.</w:t>
        <w:br/>
        <w:br/>
        <w:t xml:space="preserve">    B.1) Obligaciones de garantía</w:t>
        <w:br/>
        <w:br/>
        <w:t>133. De conformidad con las características del  caso  sub  examine,  debe</w:t>
        <w:br/>
        <w:t xml:space="preserve">    señalarse que, en relación  con  niñas,  los  derechos  y  obligaciones</w:t>
        <w:br/>
        <w:t xml:space="preserve">    antedichos deben observarse en el marco del acatamiento del artículo 19</w:t>
        <w:br/>
        <w:t xml:space="preserve">    de la Convención  Americana  y,  siendo  pertinente,  atendiendo  a  lo</w:t>
        <w:br/>
        <w:t xml:space="preserve">    dispuesto en la Convención de Belém do  Pará.  El  artículo  19  de  la</w:t>
        <w:br/>
        <w:t xml:space="preserve">    Convención establece, como se  ha  dicho  en  otras  oportunidades,  el</w:t>
        <w:br/>
        <w:t xml:space="preserve">    derecho de “[l]os niños  y  las  niñas  a  […]  medidas  especiales  de</w:t>
        <w:br/>
        <w:t xml:space="preserve">    protección  [que]  deben  ser  definidas   según   las   circunstancias</w:t>
        <w:br/>
        <w:t xml:space="preserve">    particulares de cada caso  concreto”[218].  El  Tribunal  ha  indicado,</w:t>
        <w:br/>
        <w:t xml:space="preserve">    asimismo, que “[l]a adopción de [tales] medidas […]  corresponde  tanto</w:t>
        <w:br/>
        <w:t xml:space="preserve">    al Estado como a la familia, la comunidad y la sociedad a  la  que  [el</w:t>
        <w:br/>
        <w:t xml:space="preserve">    niño o la niña] pertenece”[219]. Además, la Corte ha  “reitera[do]  que</w:t>
        <w:br/>
        <w:t xml:space="preserve">    revisten especial gravedad los casos en  los  cuales  las  víctimas  de</w:t>
        <w:br/>
        <w:t xml:space="preserve">    violaciones a derechos humanos son niñas y niños”[220], quienes,  “[e]n</w:t>
        <w:br/>
        <w:t xml:space="preserve">    razón de su nivel de desarrollo y vulnerabilidad, requieren  protección</w:t>
        <w:br/>
        <w:t xml:space="preserve">    que garantice el ejercicio de sus derechos dentro de la familia, de  la</w:t>
        <w:br/>
        <w:t xml:space="preserve">    sociedad y con respecto  al  Estado”[221].  En  ese  sentido,  “han  de</w:t>
        <w:br/>
        <w:t xml:space="preserve">    ceñirse [al criterio del interés superior del niño]  las  acciones  del</w:t>
        <w:br/>
        <w:t xml:space="preserve">    Estado y de la sociedad en lo que respecta a la protección de los niños</w:t>
        <w:br/>
        <w:t xml:space="preserve">    y a la promoción y preservación de sus derechos”[222]. Por otra  parte,</w:t>
        <w:br/>
        <w:t xml:space="preserve">    el artículo 7 de la a Convención de Belém do  Pará,  sobre  el  que  el</w:t>
        <w:br/>
        <w:t xml:space="preserve">    Tribunal es competente (supra párr. 32),  instituye  deberes  estatales</w:t>
        <w:br/>
        <w:t xml:space="preserve">    para  “prevenir,  sancionar  y  erradicar  [la]  violencia  [contra  la</w:t>
        <w:br/>
        <w:t xml:space="preserve">    mujer]”[223] que especifican y complementan las obligaciones que  tiene</w:t>
        <w:br/>
        <w:t xml:space="preserve">    el Estado respecto al cumplimiento de los derechos  consagrados  en  la</w:t>
        <w:br/>
        <w:t xml:space="preserve">    Convención Americana, tales como los establecidos en los artículos 4, 5</w:t>
        <w:br/>
        <w:t xml:space="preserve">    y 7[224].</w:t>
        <w:br/>
        <w:br/>
        <w:t>134. De lo anterior se colige que, conforme el marco  normativo  expuesto,</w:t>
        <w:br/>
        <w:t xml:space="preserve">    en relación con la violencia contra la  mujer,  el  deber  de  garantía</w:t>
        <w:br/>
        <w:t xml:space="preserve">    adquiere especial intensidad en relación con niñas. Esto es así  debido</w:t>
        <w:br/>
        <w:t xml:space="preserve">    a que la vulnerabilidad  consustancial  a  la  niñez[225]  puede  verse</w:t>
        <w:br/>
        <w:t xml:space="preserve">    enmarcada y potenciada debido a la  condición  de  ser  mujer.  En  ese</w:t>
        <w:br/>
        <w:t xml:space="preserve">    sentido, debe advertirse que las  niñas  son,  como  se  ha  aseverado,</w:t>
        <w:br/>
        <w:t xml:space="preserve">    “particularmente  vulnerables  a  la   violencia”[226].   La   especial</w:t>
        <w:br/>
        <w:t xml:space="preserve">    intensidad mencionada se traduce en el deber estatal de actuar  con  la</w:t>
        <w:br/>
        <w:t xml:space="preserve">    mayor y más estricta diligencia para proteger y asegurar el ejercicio y</w:t>
        <w:br/>
        <w:t xml:space="preserve">    goce de los derechos de las niñas frente al hecho o mera posibilidad de</w:t>
        <w:br/>
        <w:t xml:space="preserve">    su vulneración por actos que, en forma actual  o  potencial  implicaren</w:t>
        <w:br/>
        <w:t xml:space="preserve">    violencia por razones de género o pudieren derivar en tal violencia.</w:t>
        <w:br/>
        <w:br/>
        <w:br/>
        <w:t>135. Una manifestación del deber de garantía es  el  deber  de  prevención</w:t>
        <w:br/>
        <w:t xml:space="preserve">    que, como la Corte ha afirmado:</w:t>
        <w:br/>
        <w:br/>
        <w:t xml:space="preserve">  abarca  todas  aquellas   medidas   de   carácter   jurídico,   político,</w:t>
        <w:br/>
        <w:t xml:space="preserve">  administrativo y cultural que promuevan la salvaguarda  de  los  derechos</w:t>
        <w:br/>
        <w:t xml:space="preserve">  humanos y que aseguren que las eventuales violaciones a los  mismos  sean</w:t>
        <w:br/>
        <w:t xml:space="preserve">  efectivamente consideradas y tratadas como un  hecho  ilícito  que,  como</w:t>
        <w:br/>
        <w:t xml:space="preserve">  tal, es susceptible de acarrear sanciones para quien las cometa, así como</w:t>
        <w:br/>
        <w:t xml:space="preserve">  la  obligación  de  indemnizar  a  las  víctimas  por  sus  consecuencias</w:t>
        <w:br/>
        <w:t xml:space="preserve">  perjudiciales. Es claro, a su vez, que la obligación de  prevenir  es  de</w:t>
        <w:br/>
        <w:t xml:space="preserve">  medio o comportamiento y no se demuestra su incumplimiento  por  el  mero</w:t>
        <w:br/>
        <w:t xml:space="preserve">  hecho de que un derecho haya sido violado[227].</w:t>
        <w:br/>
        <w:br/>
        <w:t>136. El deber de prevención ha sido específicamente  señalado  respecto  a</w:t>
        <w:br/>
        <w:t xml:space="preserve">    mujeres, inclusive niñas, desde antes de 2001 y  mediante  instrumentos</w:t>
        <w:br/>
        <w:t xml:space="preserve">    distintos  a  la  Convención  de  Belém  do  Pará[228],   tratado   que</w:t>
        <w:br/>
        <w:t xml:space="preserve">    expresamente lo contempla en el citado artículo 7.b). Por  otra  parte,</w:t>
        <w:br/>
        <w:t xml:space="preserve">    las niñas, entre ellas, las adolescentes, requieren medidas  especiales</w:t>
        <w:br/>
        <w:t xml:space="preserve">    de protección[229]. La Corte ya  ha  tenido  oportunidad  de  expresar,</w:t>
        <w:br/>
        <w:t xml:space="preserve">    respecto a mujeres y niñas, que:</w:t>
        <w:br/>
        <w:br/>
        <w:t xml:space="preserve">   [l]a estrategia de prevención debe ser integral, es decir, debe  prevenir</w:t>
        <w:br/>
        <w:t xml:space="preserve">   los factores de riesgo y a la vez fortalecer las instituciones  para  que</w:t>
        <w:br/>
        <w:t xml:space="preserve">   puedan proporcionar una respuesta  efectiva  a  los  casos  de  violencia</w:t>
        <w:br/>
        <w:t xml:space="preserve">   contra la mujer. Asimismo, los Estados deben adoptar medidas  preventivas</w:t>
        <w:br/>
        <w:t xml:space="preserve">   en casos específicos en los que es evidente que  determinadas  mujeres  y</w:t>
        <w:br/>
        <w:t xml:space="preserve">   niñas pueden ser víctimas de violencia[230].</w:t>
        <w:br/>
        <w:br/>
        <w:t>137. Ahora bien, como ha señalado el Tribunal,</w:t>
        <w:br/>
        <w:br/>
        <w:t xml:space="preserve">   es claro que un Estado no puede ser responsable por  cualquier  violación</w:t>
        <w:br/>
        <w:t xml:space="preserve">   de  derechos  humanos  cometida   entre   particulares   dentro   de   su</w:t>
        <w:br/>
        <w:t xml:space="preserve">   jurisdicción. En efecto, las obligaciones convencionales  de  garantía  a</w:t>
        <w:br/>
        <w:t xml:space="preserve">   cargo de los Estados no implican una  responsabilidad  ilimitada  de  los</w:t>
        <w:br/>
        <w:t xml:space="preserve">   Estados frente a cualquier acto o hecho de particulares, pues sus deberes</w:t>
        <w:br/>
        <w:t xml:space="preserve">   de adoptar medidas de prevención y protección de los particulares en  sus</w:t>
        <w:br/>
        <w:t xml:space="preserve">   relaciones entre sí se encuentran condicionados al  conocimiento  de  una</w:t>
        <w:br/>
        <w:t xml:space="preserve">   situación de riesgo real  e  inmediato  para  un  individuo  o  grupo  de</w:t>
        <w:br/>
        <w:t xml:space="preserve">   individuos determinado y a las posibilidades  razonables  de  prevenir  o</w:t>
        <w:br/>
        <w:t xml:space="preserve">   evitar ese riesgo. Es decir, aunque un acto u omisión  de  un  particular</w:t>
        <w:br/>
        <w:t xml:space="preserve">   tenga como consecuencia jurídica la violación  de  determinados  derechos</w:t>
        <w:br/>
        <w:t xml:space="preserve">   humanos de otro particular, aquél no  es  automáticamente  atribuible  al</w:t>
        <w:br/>
        <w:t xml:space="preserve">   Estado, pues debe atenderse a las circunstancias particulares del caso  y</w:t>
        <w:br/>
        <w:t xml:space="preserve">   a la concreción de dichas obligaciones de garantía[231].</w:t>
        <w:br/>
        <w:br/>
        <w:br/>
        <w:t>138.  En el presente caso, existen dos momentos claves en los que el deber</w:t>
        <w:br/>
        <w:t xml:space="preserve">    de  prevención  debe  ser  analizado.  El  primero  es  antes   de   la</w:t>
        <w:br/>
        <w:t xml:space="preserve">    desaparición  de  la  presunta  víctima  y  el  segundo  antes  de   la</w:t>
        <w:br/>
        <w:t xml:space="preserve">    localización de su cuerpo sin vida.</w:t>
        <w:br/>
        <w:br/>
        <w:t>139. Sobre el primer momento –antes de la desaparición de la  víctima-  la</w:t>
        <w:br/>
        <w:t xml:space="preserve">    Corte, de modo análogo  a  cómo  lo  ha  hecho  con  anterioridad[232],</w:t>
        <w:br/>
        <w:t xml:space="preserve">    considera que la eventual falta de prevención  de  la  desaparición  no</w:t>
        <w:br/>
        <w:t xml:space="preserve">    conlleva per se la responsabilidad internacional del Estado  porque,  a</w:t>
        <w:br/>
        <w:t xml:space="preserve">    pesar de que  éste  conocía  o  debía  conocer  (supra  párr.  79)  una</w:t>
        <w:br/>
        <w:t xml:space="preserve">    situación de  incremento  de  actos  violentos  que  involucraba  actos</w:t>
        <w:br/>
        <w:t xml:space="preserve">    cometidos contra mujeres, inclusive niñas, no ha sido  establecido  que</w:t>
        <w:br/>
        <w:t xml:space="preserve">    tenía conocimiento de un riesgo real e inmediato  para  la  víctima  de</w:t>
        <w:br/>
        <w:t xml:space="preserve">    este caso.  Aunque  el  contexto  en  este  caso  y  las  “obligaciones</w:t>
        <w:br/>
        <w:t xml:space="preserve">    internacionales le imponen al Estado una responsabilidad reforzada  con</w:t>
        <w:br/>
        <w:t xml:space="preserve">    respecto a la protección de mujeres”[233], en especial las  niñas,  que</w:t>
        <w:br/>
        <w:t xml:space="preserve">    incluye el deber de prevención (supra párr. 136),  no  le  imponen  una</w:t>
        <w:br/>
        <w:t xml:space="preserve">    responsabilidad ilimitada frente a cualquier hecho ilícito en contra de</w:t>
        <w:br/>
        <w:t xml:space="preserve">    ellas. Además, en relación con este primer momento,  el  Tribunal  nota</w:t>
        <w:br/>
        <w:t xml:space="preserve">    que con anterioridad  a  diciembre  de  2001,  se  efectuaron  acciones</w:t>
        <w:br/>
        <w:t xml:space="preserve">    estatales vinculadas a la problemática de la violencia  contra  mujeres</w:t>
        <w:br/>
        <w:t xml:space="preserve">    (supra párr. 82).</w:t>
        <w:br/>
        <w:br/>
        <w:t>140. En el presente caso,  la  Corte  observa  que  los  alegatos  de  las</w:t>
        <w:br/>
        <w:t xml:space="preserve">    representantes y la Comisión se vinculan al segundo  momento  indicado;</w:t>
        <w:br/>
        <w:t xml:space="preserve">    es decir, el tiempo transcurrido entre la  denuncia  efectuada  por  la</w:t>
        <w:br/>
        <w:t xml:space="preserve">    señora Franco Sandoval y el hallazgo del cuerpo sin vida de su hija. En</w:t>
        <w:br/>
        <w:t xml:space="preserve">    tal sentido, aducen que el Estado tuvo conocimiento de una situación de</w:t>
        <w:br/>
        <w:t xml:space="preserve">    riesgo a partir de la denuncia presentada por la madre de María  Isabel</w:t>
        <w:br/>
        <w:t xml:space="preserve">    a las autoridades (supra párr. 93).</w:t>
        <w:br/>
        <w:br/>
        <w:t>141. En cuanto a este momento –antes del hallazgo del cuerpo-  corresponde</w:t>
        <w:br/>
        <w:t xml:space="preserve">    dilucidar si, dadas las  circunstancias  particulares  del  caso  y  el</w:t>
        <w:br/>
        <w:t xml:space="preserve">    contexto en que se inserta el Estado tuvo conocimiento de  que  existía</w:t>
        <w:br/>
        <w:t xml:space="preserve">    un riesgo real e inmediato de que María Isabel  fuera  agredida  y  si,</w:t>
        <w:br/>
        <w:t xml:space="preserve">    dado lo anterior, surgió un deber de debida diligencia que al  ser  más</w:t>
        <w:br/>
        <w:t xml:space="preserve">    estricta, exige la realización exhaustiva de actividades  de  búsqueda.</w:t>
        <w:br/>
        <w:t xml:space="preserve">    En particular, es imprescindible la actuación pronta e inmediata de las</w:t>
        <w:br/>
        <w:t xml:space="preserve">    autoridades  policiales,  fiscales  y  judiciales   ordenando   medidas</w:t>
        <w:br/>
        <w:t xml:space="preserve">    oportunas y necesarias dirigidas a la determinación del paradero de  la</w:t>
        <w:br/>
        <w:t xml:space="preserve">    víctima. Deben existir procedimientos adecuados para  las  denuncias  y</w:t>
        <w:br/>
        <w:t xml:space="preserve">    que éstas conlleven  una  investigación  efectiva  desde  las  primeras</w:t>
        <w:br/>
        <w:t xml:space="preserve">    horas. Las autoridades deben presumir que la persona desaparecida sigue</w:t>
        <w:br/>
        <w:t xml:space="preserve">    con vida hasta que se ponga fin a la incertidumbre sobre la suerte  que</w:t>
        <w:br/>
        <w:t xml:space="preserve">    ha corrido[234].</w:t>
        <w:br/>
        <w:br/>
        <w:t>142. Por lo expuesto, a fin de dilucidar la existencia de  responsabilidad</w:t>
        <w:br/>
        <w:t xml:space="preserve">    internacional estatal, debe  determinarse  si,  en  el  caso  concreto,</w:t>
        <w:br/>
        <w:t xml:space="preserve">    existía una situación de riesgo atinente a la niña y si, respecto de la</w:t>
        <w:br/>
        <w:t xml:space="preserve">    misma, el Estado pudo adoptar, en el marco de sus atribuciones, medidas</w:t>
        <w:br/>
        <w:t xml:space="preserve">    tendientes a prevenirla  o  evitarla  y  que  razonablemente  juzgadas,</w:t>
        <w:br/>
        <w:t xml:space="preserve">    fueran susceptibles de lograr su cometido. A tal efecto,  es  necesario</w:t>
        <w:br/>
        <w:t xml:space="preserve">    evaluar  si:  a)  el  Estado  tuvo  oportunamente,   o   debió   tener,</w:t>
        <w:br/>
        <w:t xml:space="preserve">    conocimiento de la situación de riesgo  real  e  inmediato  en  que  se</w:t>
        <w:br/>
        <w:t xml:space="preserve">    encontraba a María Isabel Veliz Franco[235]; b) si, en  su  caso,  tuvo</w:t>
        <w:br/>
        <w:t xml:space="preserve">    posibilidades razonables de prevenir o evitar la consumación y, de  ser</w:t>
        <w:br/>
        <w:t xml:space="preserve">    así[236], c) si concretó la diligencia debida con  medidas  o  acciones</w:t>
        <w:br/>
        <w:t xml:space="preserve">    para evitar la lesión de los derechos de la niña nombrada[237].</w:t>
        <w:br/>
        <w:br/>
        <w:t>143. El examen referido debe hacerse teniendo en  consideración  lo  dicho</w:t>
        <w:br/>
        <w:t xml:space="preserve">    sobre el deber estatal de actuar con estricta diligencia en la garantía</w:t>
        <w:br/>
        <w:t xml:space="preserve">    de los derechos de las niñas (supra párr.  134).  Por  otra  parte,  de</w:t>
        <w:br/>
        <w:t xml:space="preserve">    acuerdo a lo fijado  por  la  jurisprudencia  de  este  Tribunal,  para</w:t>
        <w:br/>
        <w:t xml:space="preserve">    establecer  que  se  ha  producido  una  violación  de   los   derechos</w:t>
        <w:br/>
        <w:t xml:space="preserve">    consagrados  en  la  Convención  no  es  necesario  que  se  pruebe  la</w:t>
        <w:br/>
        <w:t xml:space="preserve">    responsabilidad del Estado más allá de toda duda razonable  ni  que  se</w:t>
        <w:br/>
        <w:t xml:space="preserve">    identifique individualmente a los agentes a los cuales se atribuyen los</w:t>
        <w:br/>
        <w:t xml:space="preserve">    hechos violatorios[238], sino que es suficiente demostrar  que  se  han</w:t>
        <w:br/>
        <w:t xml:space="preserve">    verificado acciones u omisiones que hayan permitido la perpetración  de</w:t>
        <w:br/>
        <w:t xml:space="preserve">    esas violaciones o que, en relación con estas,  exista  una  obligación</w:t>
        <w:br/>
        <w:t xml:space="preserve">    del Estado que haya sido incumplida[239].</w:t>
        <w:br/>
        <w:br/>
        <w:br/>
        <w:t xml:space="preserve">      B.1.1. Existencia de una situación de riesgo en perjuicio de María</w:t>
        <w:br/>
        <w:t xml:space="preserve">      Isabel Veliz Franco</w:t>
        <w:br/>
        <w:br/>
        <w:br/>
        <w:br/>
        <w:t>144. Sentado lo anterior, debe resaltarse que corresponde asumir como  una</w:t>
        <w:br/>
        <w:t xml:space="preserve">    posibilidad cierta  que  cuándo  el  Estado  tomó  conocimiento  de  la</w:t>
        <w:br/>
        <w:t xml:space="preserve">    desaparición de María Isabel Veliz Franco, ella se encontraba viva y en</w:t>
        <w:br/>
        <w:t xml:space="preserve">    una situación de grave peligro. En tal sentido,  no  surge  del  acervo</w:t>
        <w:br/>
        <w:t xml:space="preserve">    probatorio que en el  curso  de  la  investigación  se  determinara  el</w:t>
        <w:br/>
        <w:t xml:space="preserve">    momento de la muerte de la niña, y los únicos señalamientos que constan</w:t>
        <w:br/>
        <w:t xml:space="preserve">    al respecto indican que no habría muerto antes de las 16:00  horas  del</w:t>
        <w:br/>
        <w:t xml:space="preserve">    17 de diciembre de 2001, cuando el Servicio de Investigación de la  PNC</w:t>
        <w:br/>
        <w:t xml:space="preserve">    formalizó la recepción de la denuncia presentada por  la  madre  de  la</w:t>
        <w:br/>
        <w:t xml:space="preserve">    niña (supra párr. 95). Por el contrario, de  modo  no  conclusivo,  los</w:t>
        <w:br/>
        <w:t xml:space="preserve">    indicios existentes denotan que habría muerto en  momentos  cercanos  a</w:t>
        <w:br/>
        <w:t xml:space="preserve">    las primeras horas del día 18 de diciembre de 2001 (supra  párr.  98  y</w:t>
        <w:br/>
        <w:t xml:space="preserve">    111).</w:t>
        <w:br/>
        <w:br/>
        <w:t>145. Por otra parte, puede asumirse,  dadas  las  características  de  los</w:t>
        <w:br/>
        <w:t xml:space="preserve">    hechos y las circunstancias en que se encontró el  cadáver,  que  María</w:t>
        <w:br/>
        <w:t xml:space="preserve">    Isabel Veliz Franco  padeció  vejámenes  antes  de  sufrir  una  muerte</w:t>
        <w:br/>
        <w:t xml:space="preserve">    violenta. Por el contrario, no existen  indicios  concluyentes  de  que</w:t>
        <w:br/>
        <w:t xml:space="preserve">    permaneciera privada de la libertad con antelación al  momento  en  que</w:t>
        <w:br/>
        <w:t xml:space="preserve">    sufrió los hechos que derivaron en su muerte. Por lo tanto, la Corte no</w:t>
        <w:br/>
        <w:t xml:space="preserve">    encuentra elementos que justifiquen la aducida vinculación de  acciones</w:t>
        <w:br/>
        <w:t xml:space="preserve">    u omisiones estatales con la  alegada  vulneración  del  derecho  a  la</w:t>
        <w:br/>
        <w:t xml:space="preserve">    libertad personal de  la  niña,  tutelado  por  el  artículo  7  de  la</w:t>
        <w:br/>
        <w:t xml:space="preserve">    Convención Americana.</w:t>
        <w:br/>
        <w:br/>
        <w:t>146. En cuanto al conocimiento estatal de dicha situación de riesgo,  cabe</w:t>
        <w:br/>
        <w:t xml:space="preserve">    atender las circunstancias particulares del caso en cuanto al  modo  en</w:t>
        <w:br/>
        <w:t xml:space="preserve">    que el Estado tuvo noticia de los  hechos  relevantes.  De  los  hechos</w:t>
        <w:br/>
        <w:t xml:space="preserve">    probados surge que las autoridades, mediante la denuncia efectuada  por</w:t>
        <w:br/>
        <w:t xml:space="preserve">    la señora Rosa Elvira Franco el 17 de diciembre de 2001, conocieron que</w:t>
        <w:br/>
        <w:t xml:space="preserve">    María Isabel se encontraba desaparecida y que habían pasado cerca de 20</w:t>
        <w:br/>
        <w:t xml:space="preserve">    horas, incluyendo toda una noche, desde que debió regresar a su  hogar.</w:t>
        <w:br/>
        <w:t xml:space="preserve">    También supieron, en el mismo acto, que la madre de la niña ya la había</w:t>
        <w:br/>
        <w:t xml:space="preserve">    buscado y que ésta búsqueda había resultado infructuosa.  Asimismo,  la</w:t>
        <w:br/>
        <w:t xml:space="preserve">    señora Franco Sandoval expresó que, de acuerdo  a  la  información  que</w:t>
        <w:br/>
        <w:t xml:space="preserve">    ella había  podido  recabar,  era  probable  que  su  hija  se  hubiera</w:t>
        <w:br/>
        <w:t xml:space="preserve">    encontrado, en las últimas horas de la tarde del día anterior al de  la</w:t>
        <w:br/>
        <w:t xml:space="preserve">    denuncia, con un hombre a quien ella (Rosa Elvira Franco)  no  conocía,</w:t>
        <w:br/>
        <w:t xml:space="preserve">    sino que sólo tenía algunas referencias sobre su posible nombre.   </w:t>
        <w:br/>
        <w:br/>
        <w:t>147. Teniendo en cuenta lo narrado en la denuncia presentada por la señora</w:t>
        <w:br/>
        <w:t xml:space="preserve">    Franco Sandoval, considerando también que María Isabel era una  niña  y</w:t>
        <w:br/>
        <w:t xml:space="preserve">    que, como fue señalado (supra párr. 74), el momento de  los  hechos  se</w:t>
        <w:br/>
        <w:t xml:space="preserve">    insertaba en un lapso en que la evolución de la violencia homicida  por</w:t>
        <w:br/>
        <w:t xml:space="preserve">    año crecía en Guatemala en forma superior al  crecimiento  poblacional,</w:t>
        <w:br/>
        <w:t xml:space="preserve">    la Corte  colige  que  las  autoridades  estatales  debieron  tener  lo</w:t>
        <w:br/>
        <w:t xml:space="preserve">    denunciado por Rosa Elvira Franco como una indicación  de  la  probable</w:t>
        <w:br/>
        <w:t xml:space="preserve">    vulneración de los derechos de la niña. Si bien la citada  denuncia  no</w:t>
        <w:br/>
        <w:t xml:space="preserve">    indicó explícitamente que María Isabel había sido víctima  de  un  acto</w:t>
        <w:br/>
        <w:t xml:space="preserve">    ilícito, resultaba razonable desprender que se  encontraba  en  riesgo.</w:t>
        <w:br/>
        <w:t xml:space="preserve">    Este Tribunal entiende  que,  en  el  marco  de  la  debida  diligencia</w:t>
        <w:br/>
        <w:t xml:space="preserve">    estricta que debe observar el Estado en la garantía de los  derechos  a</w:t>
        <w:br/>
        <w:t xml:space="preserve">    la vida e integridad personal de las niñas (supra párr.  134),  en  las</w:t>
        <w:br/>
        <w:t xml:space="preserve">    circunstancias del caso, los señalamientos efectuados por  Rosa  Elvira</w:t>
        <w:br/>
        <w:t xml:space="preserve">    Franco debían tomarse  en  cuenta,  a  efectos  de  la  realización  de</w:t>
        <w:br/>
        <w:t xml:space="preserve">    acciones de prevención, como una noticia de la  posibilidad  cierta  de</w:t>
        <w:br/>
        <w:t xml:space="preserve">    que María Isabel sufriera atentados en su contra.</w:t>
        <w:br/>
        <w:br/>
        <w:t>148. En relación con lo anterior, cabe  advertir  que  el  Comité  de  los</w:t>
        <w:br/>
        <w:t xml:space="preserve">    Derechos del Niño de las Naciones Unidas expresó respecto de  Guatemala</w:t>
        <w:br/>
        <w:t xml:space="preserve">    en julio de 2001, su “[p]reocupa[ción] profunda [por] las noticias  del</w:t>
        <w:br/>
        <w:t xml:space="preserve">    aumento de la violencia contra los  niños”,  y  recomendó  a  Guatemala</w:t>
        <w:br/>
        <w:t xml:space="preserve">    “d[ar] máxima prioridad a la adopción de todas las  medidas  necesarias</w:t>
        <w:br/>
        <w:t xml:space="preserve">    para prevenir esas graves violaciones de los derechos del niño  y  para</w:t>
        <w:br/>
        <w:t xml:space="preserve">    asegurar que se investiguen debidamente”[240].</w:t>
        <w:br/>
        <w:br/>
        <w:t>149. Coadyuva a la conclusión  expresada,  dado  el  contexto  en  que  se</w:t>
        <w:br/>
        <w:t xml:space="preserve">    insertaban los hechos del caso, que María Isabel fuera  una  mujer.  En</w:t>
        <w:br/>
        <w:t xml:space="preserve">    este sentido, como fue señalado (supra párr. 81), en diciembre de 2001,</w:t>
        <w:br/>
        <w:t xml:space="preserve">    en  el  marco  del  aumento  de  la  cantidad  de  homicidios,  no  era</w:t>
        <w:br/>
        <w:t xml:space="preserve">    excepcional el acaecimiento de homicidios de  mujeres  por  razones  de</w:t>
        <w:br/>
        <w:t xml:space="preserve">    género. Debe destacarse al respecto, que la Comisión Interamericana, en</w:t>
        <w:br/>
        <w:t xml:space="preserve">    abril de 2001, emitió un informe en que señaló su preocupación  por  la</w:t>
        <w:br/>
        <w:t xml:space="preserve">    violencia basada  en  género  en  Guatemala.  En  esa  oportunidad,  la</w:t>
        <w:br/>
        <w:t xml:space="preserve">    Comisión efectuó también recomendaciones a Guatemala a fin  de  lograr,</w:t>
        <w:br/>
        <w:t xml:space="preserve">    respecto de las “víctimas” de la “violencia de género”, “[el incremento</w:t>
        <w:br/>
        <w:t xml:space="preserve">    de] la sensibilidad y eficacia de [la] respuesta” de “los funcionarios”</w:t>
        <w:br/>
        <w:t xml:space="preserve">    que “se encargan de recibir las denuncias”,  “particularmente  [de]  la</w:t>
        <w:br/>
        <w:t xml:space="preserve">    Policía Nacional Civil y del Ministerio Público”[241].</w:t>
        <w:br/>
        <w:br/>
        <w:t>150. Ahora bien, se ha afirmado, incluso por el Órgano de Coordinación  de</w:t>
        <w:br/>
        <w:t xml:space="preserve">    la Prevención, el Castigo y la Erradicación de la Violencia Familiar  y</w:t>
        <w:br/>
        <w:t xml:space="preserve">    la  Violencia  contra  la  Mujer  (CONAPREVI)  un  ente   estatal,   la</w:t>
        <w:br/>
        <w:t xml:space="preserve">    insuficiencia  de  la  información  estadística  en  relación  con   la</w:t>
        <w:br/>
        <w:t xml:space="preserve">    violencia contra las mujeres (supra párr. 71, e infra nota  al  pie  de</w:t>
        <w:br/>
        <w:t xml:space="preserve">    página 244). De ello no se deriva necesariamente el desconocimiento del</w:t>
        <w:br/>
        <w:t xml:space="preserve">    Estado de dicho contexto para diciembre de 2001, ya que  de  la  prueba</w:t>
        <w:br/>
        <w:t xml:space="preserve">    surgen datos relevantes tanto de  bases  estatales  como  de  entidades</w:t>
        <w:br/>
        <w:t xml:space="preserve">    estatales, así como del pronunciamiento de un organismo  internacional,</w:t>
        <w:br/>
        <w:t xml:space="preserve">    vinculado a la cuestión (supra párrs. 76 y 79). Además, el Estado había</w:t>
        <w:br/>
        <w:t xml:space="preserve">    adoptado,  antes  de  2001,  medidas  relativas  a   la   situación   y</w:t>
        <w:br/>
        <w:t xml:space="preserve">    discriminación  contra  la  mujer,  siendo  especialmente  atinente  la</w:t>
        <w:br/>
        <w:t xml:space="preserve">    problemática de  la  violencia  contra  la  mujer  la  creación  de  la</w:t>
        <w:br/>
        <w:t xml:space="preserve">    CONAPREVI en noviembre de 2000  (supra  nota  al  pie  de  página  93).</w:t>
        <w:br/>
        <w:t xml:space="preserve">    Además, sin perjuicio de lo afirmado por  la  CONAPREVI,  Guatemala  ha</w:t>
        <w:br/>
        <w:t xml:space="preserve">    reportado contar con organismos, creados antes de  diciembre  de  2001,</w:t>
        <w:br/>
        <w:t xml:space="preserve">    entre  cuyas  funciones   se   encuentran   el   “seguimiento   de   la</w:t>
        <w:br/>
        <w:t xml:space="preserve">    implementación” de la Convención de Belém do Pará[242].</w:t>
        <w:br/>
        <w:br/>
        <w:t>151. En forma adicional, debe señalarse que el Estado tiene,  desde  antes</w:t>
        <w:br/>
        <w:t xml:space="preserve">    de diciembre de 2001, un deber de adoptar las medidas  necesarias  para</w:t>
        <w:br/>
        <w:t xml:space="preserve">    contar con información suficiente sobre la situación de los derechos de</w:t>
        <w:br/>
        <w:t xml:space="preserve">    las niñas en Guatemala, al menos en  el  nivel  mínimo  necesario  para</w:t>
        <w:br/>
        <w:t xml:space="preserve">    poder  cumplir  de  manera  adecuada  sus  obligaciones  inmediatamente</w:t>
        <w:br/>
        <w:t xml:space="preserve">    exigibles. Esto, pues  resulta  evidente  que  para  cumplir  en  forma</w:t>
        <w:br/>
        <w:t xml:space="preserve">    adecuada con las obligaciones previstas en los artículos 1.1 y 2 de  la</w:t>
        <w:br/>
        <w:t xml:space="preserve">    Convención Americana,  los  Estados  deben  procurarse  la  información</w:t>
        <w:br/>
        <w:t xml:space="preserve">    pertinente sobre la situación de los derechos  convencionales,  ya  que</w:t>
        <w:br/>
        <w:t xml:space="preserve">    ello es necesario para poder evaluar las  medidas  o  acciones  que  es</w:t>
        <w:br/>
        <w:t xml:space="preserve">    preciso adoptar. Esto es pertinente en relación con los derechos de las</w:t>
        <w:br/>
        <w:t xml:space="preserve">    niñas[243]. También corresponde a las “medidas de  protección”  que  el</w:t>
        <w:br/>
        <w:t xml:space="preserve">    artículo 19 manda adoptar respecto a niños y niñas. En relación con los</w:t>
        <w:br/>
        <w:t xml:space="preserve">    deberes estatales respecto al tratamiento de  la  violencia  contra  la</w:t>
        <w:br/>
        <w:t xml:space="preserve">    mujer, el deber referido  es  también  evidente  en  el  ámbito  de  la</w:t>
        <w:br/>
        <w:t xml:space="preserve">    aplicación de la Convención de Belém  do  Pará[244].  En  ese  sentido,</w:t>
        <w:br/>
        <w:t xml:space="preserve">    resulta necesario para la implementación de las medidas y “políticas” a</w:t>
        <w:br/>
        <w:t xml:space="preserve">    que se refiere el artículo 7 de ese tratado. Por otra parte,  el  deber</w:t>
        <w:br/>
        <w:t xml:space="preserve">    mencionado también  surge  de  las  estipulaciones  existentes  en  los</w:t>
        <w:br/>
        <w:t xml:space="preserve">    tratados respectivos sobre los sistemas internacionales de monitoreo de</w:t>
        <w:br/>
        <w:t xml:space="preserve">    la situación de los derechos. De este modo, la Convención  Americana  y</w:t>
        <w:br/>
        <w:t xml:space="preserve">    la Convención de Belém do Pará, en forma independiente  al  sistema  de</w:t>
        <w:br/>
        <w:t xml:space="preserve">    peticiones individuales, prevén,  en  sus  artículos  41  a  43  y  10,</w:t>
        <w:br/>
        <w:t xml:space="preserve">    respectivamente, la presentación de informes por parte de los Estados a</w:t>
        <w:br/>
        <w:t xml:space="preserve">    organismos   internacionales.   Lo   mismo   hacen    otros    tratados</w:t>
        <w:br/>
        <w:t xml:space="preserve">    internacionales en vigor  de  los  que  Guatemala  es  parte,  como  la</w:t>
        <w:br/>
        <w:t xml:space="preserve">    Convención sobre los Derechos del Niño[245],  en  su  artículo  44;  la</w:t>
        <w:br/>
        <w:t xml:space="preserve">    Convención sobre la Eliminación de todas las formas  de  Discriminación</w:t>
        <w:br/>
        <w:t xml:space="preserve">    contra la Mujer, en  el  artículo  18,  o  el  Pacto  Internacional  de</w:t>
        <w:br/>
        <w:t xml:space="preserve">    Derechos Civiles y Políticos, en su artículo 40.</w:t>
        <w:br/>
        <w:br/>
        <w:t>152. Desde luego, no corresponde a la Corte evaluar si Guatemala recabó  o</w:t>
        <w:br/>
        <w:t xml:space="preserve">    sistematizó información en relación con la situación de los derechos de</w:t>
        <w:br/>
        <w:t xml:space="preserve">    las niñas, ni tampoco si  la  información  con  que  cuenta  el  Estado</w:t>
        <w:br/>
        <w:t xml:space="preserve">    resulta suficiente o idónea para cumplir sus obligaciones.  En  lo  que</w:t>
        <w:br/>
        <w:t xml:space="preserve">    compete al Tribunal y es pertinente  para  el  análisis  del  caso  sub</w:t>
        <w:br/>
        <w:t xml:space="preserve">    examine, basta constatar que el Estado tiene el  deber  de  recabar  la</w:t>
        <w:br/>
        <w:t xml:space="preserve">    información básica que sea  necesaria  para  cumplir  sus  obligaciones</w:t>
        <w:br/>
        <w:t xml:space="preserve">    convencionales en relación con los derechos de las niñas,  respecto  de</w:t>
        <w:br/>
        <w:t xml:space="preserve">    cuya garantía tiene un deber de actuar con  la  mayor  y  más  estricta</w:t>
        <w:br/>
        <w:t xml:space="preserve">    diligencia. Por ello, frente a indicaciones claras sobre la  existencia</w:t>
        <w:br/>
        <w:t xml:space="preserve">    del contexto referido y  su  conocimiento  por  parte  del  Estado,  la</w:t>
        <w:br/>
        <w:t xml:space="preserve">    eventual insuficiencia de la información estatal  no  podría  obrar  en</w:t>
        <w:br/>
        <w:t xml:space="preserve">    detrimento de la exigibilidad de  la  observancia  debida  del  aludido</w:t>
        <w:br/>
        <w:t xml:space="preserve">    deber de garantía. En ese sentido, de lo reseñado antes  (supra  párrs.</w:t>
        <w:br/>
        <w:t xml:space="preserve">    73 a 81) surge la existencia de un contexto, en diciembre de  2001,  de</w:t>
        <w:br/>
        <w:t xml:space="preserve">    incremento de la  criminalidad  violenta  en  Guatemala,  inclusive  de</w:t>
        <w:br/>
        <w:t xml:space="preserve">    homicidios de mujeres, e indicaciones de que el mismo era conocido  por</w:t>
        <w:br/>
        <w:t xml:space="preserve">    el Estado.</w:t>
        <w:br/>
        <w:br/>
        <w:t>153. El contexto señalado, además, no puede desvincularse, al menos en sus</w:t>
        <w:br/>
        <w:t xml:space="preserve">    aspectos generales, de la impunidad generalizada existente en  el  país</w:t>
        <w:br/>
        <w:t xml:space="preserve">    (supra párr. 83). Por ende, la existencia de tal situación obra como un</w:t>
        <w:br/>
        <w:t xml:space="preserve">    factor  adicional  que  coadyuva  al  conocimiento  estatal  sobre  una</w:t>
        <w:br/>
        <w:t xml:space="preserve">    situación de riesgo.</w:t>
        <w:br/>
        <w:br/>
        <w:t>154. Por todo lo expuesto, la Corte colige que a  partir  de  la  denuncia</w:t>
        <w:br/>
        <w:t xml:space="preserve">    formalizada por Rosa  Elvira  Franco  Sandoval,  el  Estado  estuvo  en</w:t>
        <w:br/>
        <w:t xml:space="preserve">    conocimiento de la situación de riesgo en que se  encontraba  su  hija,</w:t>
        <w:br/>
        <w:t xml:space="preserve">    María Isabel Veliz Franco. El Estado además conocía, o  debió  conocer,</w:t>
        <w:br/>
        <w:t xml:space="preserve">    que era posible que lo narrado en  tal  denuncia  se  insertara  en  un</w:t>
        <w:br/>
        <w:t xml:space="preserve">    contexto que potenciaba la posibilidad de una lesión a los derechos  de</w:t>
        <w:br/>
        <w:t xml:space="preserve">    esa niña.</w:t>
        <w:br/>
        <w:br/>
        <w:br/>
        <w:t xml:space="preserve">      B.1.2. Posibilidades de una actuación estatal diligente para prevenir</w:t>
        <w:br/>
        <w:t xml:space="preserve">      el riesgo y su concreción</w:t>
        <w:br/>
        <w:br/>
        <w:br/>
        <w:t>155. Aunado a lo expuesto, ha quedado establecida la posibilidad cierta de</w:t>
        <w:br/>
        <w:t xml:space="preserve">    que María Isabel Veliz Franco estuviera viva cuando su  madre  denunció</w:t>
        <w:br/>
        <w:t xml:space="preserve">    su desaparición a las  autoridades  (supra  párr.  144).  La  falta  de</w:t>
        <w:br/>
        <w:t xml:space="preserve">    certeza al respecto, además, es atribuible a la falta de  determinación</w:t>
        <w:br/>
        <w:t xml:space="preserve">    por el Estado, en el marco de la investigación, del momento preciso del</w:t>
        <w:br/>
        <w:t xml:space="preserve">    deceso. Luego de recibida tal denuncia, y hasta el hallazgo del cuerpo,</w:t>
        <w:br/>
        <w:t xml:space="preserve">    el Estado no siguió ninguna acción sustantiva tendiente a investigar lo</w:t>
        <w:br/>
        <w:t xml:space="preserve">    sucedido o evitar eventuales vulneraciones de derechos de la niña. Dada</w:t>
        <w:br/>
        <w:t xml:space="preserve">    la incertidumbre existente en ese momento sobre la situación en que  se</w:t>
        <w:br/>
        <w:t xml:space="preserve">    encontraba María Isabel Veliz Franco, y dado el riesgo  que  corría  la</w:t>
        <w:br/>
        <w:t xml:space="preserve">    niña,  resultaba  imperioso  obrar  diligente   para   garantizar   sus</w:t>
        <w:br/>
        <w:t xml:space="preserve">    derechos[246].</w:t>
        <w:br/>
        <w:br/>
        <w:t>156. No alteran la conclusión anterior los argumentos estatales  sobre  la</w:t>
        <w:br/>
        <w:t xml:space="preserve">    garantía del derecho a la vida a través de su reconocimiento legal,  de</w:t>
        <w:br/>
        <w:t xml:space="preserve">    la regulación de las “instituciones de la patria potestad y la  tutela”</w:t>
        <w:br/>
        <w:t xml:space="preserve">    y el acceso a la justicia. La Corte advierte que, en efecto, resulta de</w:t>
        <w:br/>
        <w:t xml:space="preserve">    una importancia fundamental el reconocimiento normativo del  derecho  a</w:t>
        <w:br/>
        <w:t xml:space="preserve">    la vida, así como en relación con, inter  alia,  los  derechos  de  las</w:t>
        <w:br/>
        <w:t xml:space="preserve">    niñas, la regulación de la  patria  potestad  y  la  tutela[247].  Esto</w:t>
        <w:br/>
        <w:t xml:space="preserve">    último, no obstante, no exime a los Estados de  adoptar  otras  medidas</w:t>
        <w:br/>
        <w:t xml:space="preserve">    necesarias, de acuerdo  a  las  circunstancias,  para  garantizar  esos</w:t>
        <w:br/>
        <w:t xml:space="preserve">    derechos[248]. Como el propio Estado ha advertido, cuando se dio  aviso</w:t>
        <w:br/>
        <w:t xml:space="preserve">    al Estado de la desaparición de María Isabel,  es  cuando  emp[ezó]  su</w:t>
        <w:br/>
        <w:t xml:space="preserve">    obligación de interferir en la protección directa de la niña.</w:t>
        <w:br/>
        <w:br/>
        <w:br/>
        <w:t>157. En cuanto al acceso a la justicia, la representante ha  indicado  que</w:t>
        <w:br/>
        <w:t xml:space="preserve">    el Estado incumplió sus “obligaciones procesales” en relación  con  los</w:t>
        <w:br/>
        <w:t xml:space="preserve">    derechos de María Isabel Veliz Franco por la falta de debida diligencia</w:t>
        <w:br/>
        <w:t xml:space="preserve">    en la investigación,  desde  sus  primeras  fases,  que  derivó  en  la</w:t>
        <w:br/>
        <w:t xml:space="preserve">    impunidad de los hechos antes referidos. Al respecto, queda comprendido</w:t>
        <w:br/>
        <w:t xml:space="preserve">    en lo expuesto lo atinente a la actuación del Estado  en  las  primeras</w:t>
        <w:br/>
        <w:t xml:space="preserve">    horas posteriores a la denuncia de  la  desaparición  de  la  niña.  En</w:t>
        <w:br/>
        <w:t xml:space="preserve">    cuanto al resto de las acciones de investigación,  lo  pertinente  será</w:t>
        <w:br/>
        <w:t xml:space="preserve">    considerado al efectuar el análisis de las alegadas violaciones  a  los</w:t>
        <w:br/>
        <w:t xml:space="preserve">    derechos a las garantías judiciales[249] y protección judicial[250]  en</w:t>
        <w:br/>
        <w:t xml:space="preserve">    el caso (infra párr. 178 a 226).</w:t>
        <w:br/>
        <w:br/>
        <w:t xml:space="preserve">    B.2) Conclusión</w:t>
        <w:br/>
        <w:br/>
        <w:t>158. Por lo expuesto, la Corte Interamericana concluye que Guatemala violó</w:t>
        <w:br/>
        <w:t xml:space="preserve">    su deber de garantizar el libre y pleno ejercicio de los derechos a  la</w:t>
        <w:br/>
        <w:t xml:space="preserve">    vida e integridad personal, reconocidos en los artículos 4.1 y  5.1  de</w:t>
        <w:br/>
        <w:t xml:space="preserve">    la  Convención  Americana,  en  relación  con  los  derechos  del  niño</w:t>
        <w:br/>
        <w:t xml:space="preserve">    consagrados en el artículo 19 de la  Convención  y  con  la  obligación</w:t>
        <w:br/>
        <w:t xml:space="preserve">    general de garantizar los derechos sin discriminación,  contemplada  en</w:t>
        <w:br/>
        <w:t xml:space="preserve">    el artículo 1.1 del  mismo  tratado,  así  como  con  las  obligaciones</w:t>
        <w:br/>
        <w:t xml:space="preserve">    contempladas en el artículo 7.b) de la Convención de Belém do Pará,  en</w:t>
        <w:br/>
        <w:t xml:space="preserve">    perjuicio de María Isabel Veliz Franco.</w:t>
        <w:br/>
        <w:br/>
        <w:br/>
        <w:br/>
        <w:br/>
        <w:br/>
        <w:t>IX</w:t>
        <w:br/>
        <w:br/>
        <w:br/>
        <w:t>GARANTÍAS JUDICIALES, IGUALDAD ANTE LA LEY y PROTECCIÓN JUDICIAL, EN</w:t>
        <w:br/>
        <w:t>RELACIÓN CON LAS OBLIGACIONES GENERALES DE RESPETAR Y GARANTIZAR LOS</w:t>
        <w:br/>
        <w:t>DERECHOS Y ADOPTAR DISPOSICIONES DE DERECHO INTERNO Y CON EL DEBER DE</w:t>
        <w:br/>
        <w:t>PREVENIR, SANCIONAR Y ERRADICAR LA VIOLENCIA CONTRA LA MUJER</w:t>
        <w:br/>
        <w:br/>
        <w:br/>
        <w:br/>
        <w:t xml:space="preserve">  Argumentos de la Comisión y de las partes</w:t>
        <w:br/>
        <w:br/>
        <w:br/>
        <w:t>159. En su informe de fondo, la Comisión indicó que la Convención de Belém</w:t>
        <w:br/>
        <w:t xml:space="preserve">    do Pará “afirma que la obligación de actuar con la  debida  diligencia,</w:t>
        <w:br/>
        <w:t xml:space="preserve">    adquiere una connotación especial en  casos  de  violencia  contra  las</w:t>
        <w:br/>
        <w:t xml:space="preserve">    mujeres”, y  su  artículo  7  establece  un  conjunto  de  obligaciones</w:t>
        <w:br/>
        <w:t xml:space="preserve">    complementarias  e  inmediatas  del  Estado  para  lograr  la  efectiva</w:t>
        <w:br/>
        <w:t xml:space="preserve">    prevención, investigación, sanción y reparación en casos  de  violencia</w:t>
        <w:br/>
        <w:t xml:space="preserve">    contra las mujeres. A la vez se refirió a lo señalado en  la  sentencia</w:t>
        <w:br/>
        <w:t xml:space="preserve">    sobre el caso González y otras (“Campo Algodonero”) respecto a que  “la</w:t>
        <w:br/>
        <w:t xml:space="preserve">    falta de debida diligencia que  conlleva  la  impunidad,  reproduce  la</w:t>
        <w:br/>
        <w:t xml:space="preserve">    violencia que se pretende atacar, sin perjuicio de que constituye en sí</w:t>
        <w:br/>
        <w:t xml:space="preserve">    misma una discriminación en el acceso a la justicia”.  En  el  presente</w:t>
        <w:br/>
        <w:t xml:space="preserve">    caso manifestó  que,  “si  bien  el  Estado  ha  realizado  y  continúa</w:t>
        <w:br/>
        <w:t xml:space="preserve">    realizando diligencias, el Estado no ha cumplido con su  obligación  de</w:t>
        <w:br/>
        <w:t xml:space="preserve">    actuar con la debida diligencia para identificar a los responsables  de</w:t>
        <w:br/>
        <w:t xml:space="preserve">    la desaparición y  muerte  de  María  Isabel,  quedando  este  acto  de</w:t>
        <w:br/>
        <w:t xml:space="preserve">    violencia en la impunidad  y  creando  como  consecuencia  un  ambiente</w:t>
        <w:br/>
        <w:t xml:space="preserve">    propicio para la repetición crónica de actos de violaciones contra  las</w:t>
        <w:br/>
        <w:t xml:space="preserve">    mujeres”.</w:t>
        <w:br/>
        <w:br/>
        <w:t>160. La Comisión alegó que desde el  momento  de  la  presentación  de  la</w:t>
        <w:br/>
        <w:t xml:space="preserve">    denuncia las autoridades estatales no actuaron con la debida diligencia</w:t>
        <w:br/>
        <w:t xml:space="preserve">    para investigar su desaparición y posterior  muerte  como  un  caso  de</w:t>
        <w:br/>
        <w:t xml:space="preserve">    violencia basada en género,  en  contravención   de   los  deberes  que</w:t>
        <w:br/>
        <w:t xml:space="preserve">    impone la Convención  de  Belém  do  Pará  para  este  tipo  de  casos.</w:t>
        <w:br/>
        <w:t xml:space="preserve">    Consideró que esta falta de debida diligencia constituyó una  forma  de</w:t>
        <w:br/>
        <w:t xml:space="preserve">    discriminación, así como una violación al derecho a la igualdad ante la</w:t>
        <w:br/>
        <w:t xml:space="preserve">    ley. Indicó que no obstante los esfuerzos adoptados en  años  recientes</w:t>
        <w:br/>
        <w:t xml:space="preserve">    por el Estado para enfrentar  la  situación  de  violencia  contra  las</w:t>
        <w:br/>
        <w:t xml:space="preserve">    mujeres, “para la época en que ocurrieron  los  hechos,  el  Estado  no</w:t>
        <w:br/>
        <w:t xml:space="preserve">    había adoptado las políticas ni las medidas necesarias, conforme a  las</w:t>
        <w:br/>
        <w:t xml:space="preserve">    obligaciones contraídas al ratificar la Convención de  Belém  do  Pará,</w:t>
        <w:br/>
        <w:t xml:space="preserve">    para garantizar la efectiva investigación y sanción de hechos violentos</w:t>
        <w:br/>
        <w:t xml:space="preserve">    contra las mujeres en Guatemala”.</w:t>
        <w:br/>
        <w:br/>
        <w:t>161.  Afirmó  que  en  el  presente  caso  se  presentaron  una  serie  de</w:t>
        <w:br/>
        <w:t xml:space="preserve">    irregularidades durante la investigación de la desaparición y posterior</w:t>
        <w:br/>
        <w:t xml:space="preserve">    muerte de María Isabel por la falta  de  diligencia,  y  aludió  a  los</w:t>
        <w:br/>
        <w:t xml:space="preserve">    hechos del  caso[251].  Además  señaló  que  las  autoridades  debieron</w:t>
        <w:br/>
        <w:t xml:space="preserve">    preservar evidencias específicas  en  caso  de  sospecha  de  violencia</w:t>
        <w:br/>
        <w:t xml:space="preserve">    sexual conforme al Manual de  las  Naciones  Unidas  para  la  Efectiva</w:t>
        <w:br/>
        <w:t xml:space="preserve">    Prevención e Investigación de las Ejecuciones Extralegales, Arbitrarias</w:t>
        <w:br/>
        <w:t xml:space="preserve">    y Sumarias, por lo que el Estado no cumplió con los estándares  mínimos</w:t>
        <w:br/>
        <w:t xml:space="preserve">    establecidos en dicho manual y  por  la  jurisprudencia  de  la  Corte.</w:t>
        <w:br/>
        <w:t xml:space="preserve">    Asimismo, aludió a que el Estado aceptó en el trámite ante la  Comisión</w:t>
        <w:br/>
        <w:t xml:space="preserve">    su responsabilidad “por la falta de debida diligencia en el proceso  de</w:t>
        <w:br/>
        <w:t xml:space="preserve">    investigación respecto de la  muerte  de  María  Isabel,  esto  por  la</w:t>
        <w:br/>
        <w:t xml:space="preserve">    omisión de practicar algunas pruebas forenses  sobre  el  cadáver[,...]</w:t>
        <w:br/>
        <w:t xml:space="preserve">    por el atraso que hubo en la investigación causado por un conflicto  de</w:t>
        <w:br/>
        <w:t xml:space="preserve">    competencia territorial, y por no haber establecido una medida cautelar</w:t>
        <w:br/>
        <w:t xml:space="preserve">    efectiva para asegurar la presencia de [l…] sospechoso del  asesinato”.</w:t>
        <w:br/>
        <w:t xml:space="preserve">    En ese  sentido,  destacó  que  durante  nueve  meses,  desde  marzo  a</w:t>
        <w:br/>
        <w:t xml:space="preserve">    diciembre  de  2002,  la  investigación  estuvo  paralizada  debido  al</w:t>
        <w:br/>
        <w:t xml:space="preserve">    conflicto de competencia entre las autoridades.</w:t>
        <w:br/>
        <w:br/>
        <w:t>162. La Comisión también señaló que  las  actitudes  de  los  funcionarios</w:t>
        <w:br/>
        <w:t xml:space="preserve">    estatales reflejadas hacia Rosa Elvira Franco demuestran la  existencia</w:t>
        <w:br/>
        <w:t xml:space="preserve">    de estereotipos que habrían incidido en la falta de  diligencia  en  la</w:t>
        <w:br/>
        <w:t xml:space="preserve">    investigación. La Comisión concluyó que en el presente caso  el  Estado</w:t>
        <w:br/>
        <w:t xml:space="preserve">    falló con su deber de actuar con la debida diligencia para efectuar una</w:t>
        <w:br/>
        <w:t xml:space="preserve">    adecuada investigación y sanción de los hechos referentes a  la  muerte</w:t>
        <w:br/>
        <w:t xml:space="preserve">    de María Isabel Veliz Franco y evitar la impunidad, en violación de los</w:t>
        <w:br/>
        <w:t xml:space="preserve">    artículos “7 de la Convención de Belém  do  Pará  en  relación  con  el</w:t>
        <w:br/>
        <w:t xml:space="preserve">    artículo 24 de la Convención Americana,  en  concordancia  con  […]  el</w:t>
        <w:br/>
        <w:t xml:space="preserve">    artículo  1.1  de  este  instrumento  internacional”,   así   como   en</w:t>
        <w:br/>
        <w:t xml:space="preserve">    transgresión a 8.1 y 25 de la Convención, en relación con los artículos</w:t>
        <w:br/>
        <w:t xml:space="preserve">    1.1 y 24 de ese tratado en perjuicio de sus familiares.</w:t>
        <w:br/>
        <w:br/>
        <w:t>163. La representante manifestó que las principales falencias y  omisiones</w:t>
        <w:br/>
        <w:t xml:space="preserve">    en que han  incurrido  las  autoridades  en  la  investigación  por  lo</w:t>
        <w:br/>
        <w:t xml:space="preserve">    sucedido  a  María  Isabel  Veliz  Franco  son  las  relativas   a   la</w:t>
        <w:br/>
        <w:t xml:space="preserve">    estigmatización de  la  víctima.  En  este  sentido  se  remitió  a  la</w:t>
        <w:br/>
        <w:t xml:space="preserve">    jurisprudencia de este Tribunal y consideró que las directrices fijadas</w:t>
        <w:br/>
        <w:t xml:space="preserve">    en casos de violencia contra  mujeres  como  el  presente  “constituyen</w:t>
        <w:br/>
        <w:t xml:space="preserve">    estándares irreductibles para garantizar el acceso  a  la  justicia  de</w:t>
        <w:br/>
        <w:t xml:space="preserve">    mujeres y  niñas”.  Se  refirió  también  al  informe  de  la  Comisión</w:t>
        <w:br/>
        <w:t xml:space="preserve">    Interamericana sobre el Acceso a la Justicia para las Mujeres  Víctimas</w:t>
        <w:br/>
        <w:t xml:space="preserve">    de  Violencia  Sexual   en   Mesoamérica,   a   diversos   expertos   y</w:t>
        <w:br/>
        <w:t xml:space="preserve">    organizaciones internacionales[252] que  han  documentado  el  problema</w:t>
        <w:br/>
        <w:t xml:space="preserve">    sobre la violencia sexual, prejuicios y  estereotipos  discriminatorios</w:t>
        <w:br/>
        <w:t xml:space="preserve">    que hace que la respuesta judicial tienda a ser sesgada. Consideró  que</w:t>
        <w:br/>
        <w:t xml:space="preserve">    el proceso de investigación de  lo  ocurrido  a  María  Isabel  resulta</w:t>
        <w:br/>
        <w:t xml:space="preserve">    paradigmático  respecto  de  [esas]  prácticas,   así   como   de   las</w:t>
        <w:br/>
        <w:t xml:space="preserve">    consecuencias que  tienen  para  la  investigación  y  sanción  de  los</w:t>
        <w:br/>
        <w:t xml:space="preserve">    responsables”. Agregó que “el sesgo discriminatorio  con  que  actuaron</w:t>
        <w:br/>
        <w:t xml:space="preserve">    los  investigadores  de  este  caso  tuvo  como  consecuencia  que   la</w:t>
        <w:br/>
        <w:t xml:space="preserve">    averiguación de la muerte de María Isabel  fuera  considerada  como  no</w:t>
        <w:br/>
        <w:t xml:space="preserve">    prioritaria, lo que se  refleja  en  la  forma  negligente  en  que  se</w:t>
        <w:br/>
        <w:t xml:space="preserve">    llevaron a cabo las primeras diligencias y  las  múltiples  acciones  y</w:t>
        <w:br/>
        <w:t xml:space="preserve">    omisiones en que incurrieron las autoridades y que han provocado que al</w:t>
        <w:br/>
        <w:t xml:space="preserve">    día de hoy los hechos permanezcan en la más absoluta impunidad”.</w:t>
        <w:br/>
        <w:br/>
        <w:t>164.  La representante sostuvo que otra falencia  es  que  el  Estado  “no</w:t>
        <w:br/>
        <w:t xml:space="preserve">    actuó con la debida diligencia en la investigación de los hechos”,  más</w:t>
        <w:br/>
        <w:t xml:space="preserve">    bien “incurrió en acciones y omisiones que llevaron  a  la  pérdida  de</w:t>
        <w:br/>
        <w:t xml:space="preserve">    evidencias útiles- y en algunos casos imprescindibles- para  determinar</w:t>
        <w:br/>
        <w:t xml:space="preserve">    la verdad de lo ocurrido y que no pueden  ser  recuperadas”.  Manifestó</w:t>
        <w:br/>
        <w:t xml:space="preserve">    que el Estado incurrió en irregularidades  en  la  preservación  de  la</w:t>
        <w:br/>
        <w:t xml:space="preserve">    escena del hallazgo del cuerpo, que la investigación  adoleció  de  una</w:t>
        <w:br/>
        <w:t xml:space="preserve">    inadecuada recolección y manejo  de  las  evidencias,  de  omisiones  e</w:t>
        <w:br/>
        <w:t xml:space="preserve">    irregularidades en la realización de pericias indispensables  y  no  ha</w:t>
        <w:br/>
        <w:t xml:space="preserve">    abarcado todas las violaciones cometidas en perjuicio de María  Isabel,</w:t>
        <w:br/>
        <w:t xml:space="preserve">    ya que “s[ó]lo abarca el asesinato de la [presunta] víctima, a pesar de</w:t>
        <w:br/>
        <w:t xml:space="preserve">    que su cuerpo presentaba lesiones y signos que indicaban que podía  ser</w:t>
        <w:br/>
        <w:t xml:space="preserve">    víctima de abuso sexual. La absoluta  falta  de  investigación  de  los</w:t>
        <w:br/>
        <w:t xml:space="preserve">    hechos de violencia sexual y del ensañamiento contra el  cuerpo  de  la</w:t>
        <w:br/>
        <w:t xml:space="preserve">    niña […] resulta especialmente grave en virtud del contexto en  que  se</w:t>
        <w:br/>
        <w:t xml:space="preserve">    insertan los hechos del presente caso”. Por último, adujo  que  “[e]sta</w:t>
        <w:br/>
        <w:t xml:space="preserve">    omisión no s[ó]lo impide que eventualmente se  pueda  sancionar  a  los</w:t>
        <w:br/>
        <w:t xml:space="preserve">    responsables de acuerdo a la gravedad de sus acciones, sino  que  envía</w:t>
        <w:br/>
        <w:t xml:space="preserve">    un claro mensaje de que las violaciones a la integridad de las  mujeres</w:t>
        <w:br/>
        <w:t xml:space="preserve">    son toleradas por el Estado  y  no  conllevan  consecuencias  para  los</w:t>
        <w:br/>
        <w:t xml:space="preserve">    autores”.</w:t>
        <w:br/>
        <w:br/>
        <w:t>165.  Además, expresó que las actuaciones no se desarrollaron en un  plazo</w:t>
        <w:br/>
        <w:t xml:space="preserve">    razonable, ya que los hechos ocurrieron  en  diciembre  de  2001  y  ha</w:t>
        <w:br/>
        <w:t xml:space="preserve">    transcurrido más de una  década  sin  que  ninguna  persona  haya  sido</w:t>
        <w:br/>
        <w:t xml:space="preserve">    procesada.  Reconoció  que  “el  presente  caso   reviste   de   cierta</w:t>
        <w:br/>
        <w:t xml:space="preserve">    complejidad, [pero que] la demora es absolutamente imputable al  Estado</w:t>
        <w:br/>
        <w:t xml:space="preserve">    […] en virtud de las actuaciones y omisiones  de  sus  agentes  en  los</w:t>
        <w:br/>
        <w:t xml:space="preserve">    primeros momentos de la investigación que afectaron  las  posibilidades</w:t>
        <w:br/>
        <w:t xml:space="preserve">    de  contar  con  prueba  esencial  e  irrepetible”,  y   posteriormente</w:t>
        <w:br/>
        <w:t xml:space="preserve">    “incurrieron  en  actuaciones  que   generaron   demoras   adicionales,</w:t>
        <w:br/>
        <w:t xml:space="preserve">    provocando que el proceso se encuentre aún en estado de investigación”.</w:t>
        <w:br/>
        <w:t xml:space="preserve">    Aseveró además que la madre de María Isabel, “no sólo ha cooperado  con</w:t>
        <w:br/>
        <w:t xml:space="preserve">    la investigación sino que se evidencia a lo largo del expediente  [que]</w:t>
        <w:br/>
        <w:t xml:space="preserve">    ha sugerido y allegado prueba  al  proceso  y  ha  realizado  múltiples</w:t>
        <w:br/>
        <w:t xml:space="preserve">    gestiones para impulsarla desde que sucedieron los hechos”. Indicó que,</w:t>
        <w:br/>
        <w:t xml:space="preserve">    por  el  contrario,  la  conducta  de  las   autoridades   “ha   estado</w:t>
        <w:br/>
        <w:t xml:space="preserve">    caracterizada por períodos de inacción, la práctica tardía  y  reactiva</w:t>
        <w:br/>
        <w:t xml:space="preserve">    de diligencias y por la reiteración mecánica de gestiones sin  un  plan</w:t>
        <w:br/>
        <w:t xml:space="preserve">    de investigación o hipótesis claras”. Así, entre otras cosas, señalaron</w:t>
        <w:br/>
        <w:t xml:space="preserve">    que se generó un conflicto de competencia tan sólo tres  meses  después</w:t>
        <w:br/>
        <w:t xml:space="preserve">    de ocurridos los hechos, “el 11 de marzo  de  2002,  que  fue  resuelto</w:t>
        <w:br/>
        <w:t xml:space="preserve">    hasta diciembre de 2002, siete meses después”. Esto  contribuyó  a  que</w:t>
        <w:br/>
        <w:t xml:space="preserve">    las autoridades no practicaran diligencias esenciales sino hasta  meses</w:t>
        <w:br/>
        <w:t xml:space="preserve">    o inclusive años después. Esto implicó una demora en el proceso,  y  en</w:t>
        <w:br/>
        <w:t xml:space="preserve">    otros  casos  provocó  que  las  gestiones  fueran   infructuosas.   La</w:t>
        <w:br/>
        <w:t xml:space="preserve">    representante  concluyó  que  el  retraso  de  las  investigaciones  es</w:t>
        <w:br/>
        <w:t xml:space="preserve">    atribuible únicamente a las actuaciones del Estado.</w:t>
        <w:br/>
        <w:br/>
        <w:t>166. La representante mencionó, asimismo, que el análisis  del  desplegado</w:t>
        <w:br/>
        <w:t xml:space="preserve">    de llamadas del celular de María Isabel “fue realizado hasta junio  del</w:t>
        <w:br/>
        <w:t xml:space="preserve">    2005 [… y] la mayoría de las declaraciones ante el Ministerio Público y</w:t>
        <w:br/>
        <w:t xml:space="preserve">    demás pruebas […] fueron evacuadas meses o años después [del  homicidio</w:t>
        <w:br/>
        <w:t xml:space="preserve">    de María Isabel] reduciendo la posibilidad de esclarecer lo  ocurrido”.</w:t>
        <w:br/>
        <w:t xml:space="preserve">    Alegó también que “las diligencias [efectuadas] se  realizaron  con  el</w:t>
        <w:br/>
        <w:t xml:space="preserve">    único fin de demostrar actividad  procesal,  pues  las  autoridades  no</w:t>
        <w:br/>
        <w:t xml:space="preserve">    profundizaron en las entrevistas, ni se evidencia que hayan  respondido</w:t>
        <w:br/>
        <w:t xml:space="preserve">    a una línea de investigación predefinida”.</w:t>
        <w:br/>
        <w:br/>
        <w:t>167. La representante indicó que según los  estándares  de  la  Corte,  la</w:t>
        <w:br/>
        <w:t xml:space="preserve">    investigación emprendida por el Estado debía “incluir  una  perspectiva</w:t>
        <w:br/>
        <w:t xml:space="preserve">    de género[253]; emprender líneas de investigación específicas  respecto</w:t>
        <w:br/>
        <w:t xml:space="preserve">    a violencia sexual, para lo cual se  deben  involucrar  las  líneas  de</w:t>
        <w:br/>
        <w:t xml:space="preserve">    investigación  sobre  los  patrones  respectivos  en  la  zona  […]   y</w:t>
        <w:br/>
        <w:t xml:space="preserve">    realizarse por funcionarios altamente capacitados en casos similares  y</w:t>
        <w:br/>
        <w:t xml:space="preserve">    en atención a víctimas de  discriminación  y  violencia  por  razón  de</w:t>
        <w:br/>
        <w:t xml:space="preserve">    género”.</w:t>
        <w:br/>
        <w:br/>
        <w:t>168. Por último, la representante se refirió a la falta de sanción de  los</w:t>
        <w:br/>
        <w:t xml:space="preserve">    funcionarios  públicos  responsables  de  las  irregularidades  en   la</w:t>
        <w:br/>
        <w:t xml:space="preserve">    tramitación del proceso interno del presente  caso.  Manifestó  que  la</w:t>
        <w:br/>
        <w:t xml:space="preserve">    falta de investigación de estas conductas “resulta […]  preocupante  en</w:t>
        <w:br/>
        <w:t xml:space="preserve">    virtud que el Estado ha reconocido en el proceso internacional  algunas</w:t>
        <w:br/>
        <w:t xml:space="preserve">    de estas falencias, sin que ello haya sido motivo de acción alguna para</w:t>
        <w:br/>
        <w:t xml:space="preserve">    sancionar a los responsables y prevenir su reiteración en el marco  del</w:t>
        <w:br/>
        <w:t xml:space="preserve">    grave contexto de violencia contra la mujer que existe  en  Guatemala”.</w:t>
        <w:br/>
        <w:t xml:space="preserve">    Agregó que ninguna investigación se  inició  pese  a  que  “existe  una</w:t>
        <w:br/>
        <w:t xml:space="preserve">    Resolución del Procurador de [los] Derechos Humanos que  determinó  que</w:t>
        <w:br/>
        <w:t xml:space="preserve">    se había configurado una violación al debido proceso  y  responsabilizó</w:t>
        <w:br/>
        <w:t xml:space="preserve">    directamente a los agentes fiscales a cargo del caso”.</w:t>
        <w:br/>
        <w:br/>
        <w:t>169. Por todo lo anterior, la representante solicitó que la Corte  declare</w:t>
        <w:br/>
        <w:t xml:space="preserve">    al Estado responsable por la violación, en perjuicio de los  familiares</w:t>
        <w:br/>
        <w:t xml:space="preserve">    de María Isabel  Veliz  Franco,  de  los  derechos  contenidos  en  los</w:t>
        <w:br/>
        <w:t xml:space="preserve">    artículos 8 y 25 de la Convención Americana y por el incumplimiento  de</w:t>
        <w:br/>
        <w:t xml:space="preserve">    las obligaciones contenidas en el artículo 1.1 del mismo instrumento, y</w:t>
        <w:br/>
        <w:t xml:space="preserve">    el artículo  7  de  la  Convención  de  Belém  do  Pará  por  no  haber</w:t>
        <w:br/>
        <w:t xml:space="preserve">    investigado  las  distintas  irregularidades  en  que  incurrieron  las</w:t>
        <w:br/>
        <w:t xml:space="preserve">    autoridades a cargo de las  investigaciones.  Asimismo,  adujo  que  se</w:t>
        <w:br/>
        <w:t xml:space="preserve">    vulneraron, en perjuicio de María Isabel Veliz Franco, los artículos 4,</w:t>
        <w:br/>
        <w:t xml:space="preserve">    5,  y  7  de  la  Convención  Americana,  “en   concordancia   con   el</w:t>
        <w:br/>
        <w:t xml:space="preserve">    incumplimiento de las obligaciones contenidas en los artículos 1.1, 2 y</w:t>
        <w:br/>
        <w:t xml:space="preserve">    19 del mismo instrumento, y 7 de la Convención de Belém do Pará”.</w:t>
        <w:br/>
        <w:br/>
        <w:t>170. El Estado señaló que no puede reclamársele  la  omisión  o  falta  de</w:t>
        <w:br/>
        <w:t xml:space="preserve">    diligencia en la investigación, pues “consta en los expedientes  […]  y</w:t>
        <w:br/>
        <w:t xml:space="preserve">    en los hechos  investigados  […]  que  se  han  desarrollado  múltiples</w:t>
        <w:br/>
        <w:t xml:space="preserve">    diligencias en cuanto al esclarecimiento de los hechos[,  n]o  obstante</w:t>
        <w:br/>
        <w:t xml:space="preserve">    […] no ha podido proceder al juzgamiento previsto en los artículos 8  y</w:t>
        <w:br/>
        <w:t xml:space="preserve">    25 de la  [Convención],  ya  que  no  ha  sido  posible  atribuirle  la</w:t>
        <w:br/>
        <w:t xml:space="preserve">    sustracción y posterior muerte de María  Isabel  a  ningún  individuo”.</w:t>
        <w:br/>
        <w:t xml:space="preserve">    Además indicó que “si  el  Estado  formulara  acusación  en  contra  de</w:t>
        <w:br/>
        <w:t xml:space="preserve">    alguien, o de cualquier sospechoso de los que ha señalado la  madre  de</w:t>
        <w:br/>
        <w:t xml:space="preserve">    [María Isabel], esta acusación sería arbitraria e ilegítima”, en  vista</w:t>
        <w:br/>
        <w:t xml:space="preserve">    de que “el Estado no puede procesar sin sustentar su acusación con  una</w:t>
        <w:br/>
        <w:t xml:space="preserve">    plataforma fáctica contundente”. Asimismo, reiteró que “toda vez que el</w:t>
        <w:br/>
        <w:t xml:space="preserve">    Estado a través de su ente investigador [,..] ha hecho todo lo  posible</w:t>
        <w:br/>
        <w:t xml:space="preserve">    por esclarecer el hecho y no se le ha negado [a los familiares de María</w:t>
        <w:br/>
        <w:t xml:space="preserve">    Isabel] en ningún momento el acceso a la información ni a los  recursos</w:t>
        <w:br/>
        <w:t xml:space="preserve">    legales que le corresponden”.</w:t>
        <w:br/>
        <w:br/>
        <w:t>171.   Igualmente,  en  cuanto  a  las  supuestas  irregularidades  en  la</w:t>
        <w:br/>
        <w:t xml:space="preserve">    preservación  de  la  escena  del  hallazgo  del  cuerpo  e  inadecuada</w:t>
        <w:br/>
        <w:t xml:space="preserve">    recolección y manejo de evidencias, el Estado explicó que reconoció  su</w:t>
        <w:br/>
        <w:t xml:space="preserve">    responsabilidad internacional en el trámite del caso ante  la  Comisión</w:t>
        <w:br/>
        <w:t xml:space="preserve">    sobre la falta  de  debida  diligencia  por  ciertas  omisiones  en  la</w:t>
        <w:br/>
        <w:t xml:space="preserve">    investigación, sin embargo manifestó que “al momento de los hechos, las</w:t>
        <w:br/>
        <w:t xml:space="preserve">    pruebas que se  realizaban  a  los  cadáveres  de  tanto  hombres  como</w:t>
        <w:br/>
        <w:t xml:space="preserve">    mujeres, se realizaban de conformidad con los procedimientos requeridos</w:t>
        <w:br/>
        <w:t xml:space="preserve">    por los fiscales  o  jueces  en  dicha  época  y  de  acuerdo  a  [sus]</w:t>
        <w:br/>
        <w:t xml:space="preserve">    posibilidades”. Agregó que “con el paso del tiempo  el  Estado  ha  ido</w:t>
        <w:br/>
        <w:t xml:space="preserve">    subsanando estos vacíos durante la última década, adoptando  una  serie</w:t>
        <w:br/>
        <w:t xml:space="preserve">    de medidas que hoy por hoy hacen más uniforme y ordenada la  diligencia</w:t>
        <w:br/>
        <w:t xml:space="preserve">    del levantamiento  del  cadáver  y  el  modo  de  [la]  recolección  de</w:t>
        <w:br/>
        <w:t xml:space="preserve">    evidencias” y por tanto no se  le  puede  atribuir  la  responsabilidad</w:t>
        <w:br/>
        <w:t xml:space="preserve">    internacional por “omisión de pruebas que s[ó]lo se pueden  realizar  a</w:t>
        <w:br/>
        <w:t xml:space="preserve">    partir de la creación del Instituto Nacional de Ciencias  Forenses”  en</w:t>
        <w:br/>
        <w:t xml:space="preserve">    el año 2007. Explicó el Estado que “al momento de  ocurrir  los  hechos</w:t>
        <w:br/>
        <w:t xml:space="preserve">    [del  caso,  en  diciembre  de   2001,]   no   había   legislación   ni</w:t>
        <w:br/>
        <w:t xml:space="preserve">    procedimientos específicos para casos de  violencia  contra  la  mujer,</w:t>
        <w:br/>
        <w:t xml:space="preserve">    pero [para diciembre de 2012] si los hay”.</w:t>
        <w:br/>
        <w:br/>
        <w:t>172.  En sus alegatos finales escritos indicó que en la necropsia de María</w:t>
        <w:br/>
        <w:t xml:space="preserve">    Isabel se estableció como la principal causa de la muerte “el trauma de</w:t>
        <w:br/>
        <w:t xml:space="preserve">    cráneo” y se realizaron diversos exámenes: “un examen externo donde  se</w:t>
        <w:br/>
        <w:t xml:space="preserve">    establecieron las lesiones que presentaba  el  cadáver;  un  examen  de</w:t>
        <w:br/>
        <w:t xml:space="preserve">    cráneo; de los órganos cérvico torácicos; del tórax; del abdomen; y  de</w:t>
        <w:br/>
        <w:t xml:space="preserve">    los genitales, donde se estableció que los mismos estaban normales,  lo</w:t>
        <w:br/>
        <w:t xml:space="preserve">    cual no evidencia[ba] una violación”. Aludió que  en  el  año  2001  no</w:t>
        <w:br/>
        <w:t xml:space="preserve">    estaban  contemplados  en  la  legislación  vigente   lineamientos   ni</w:t>
        <w:br/>
        <w:t xml:space="preserve">    protocolos para realizar necropsias, por lo  que  “cada  necropsia  era</w:t>
        <w:br/>
        <w:t xml:space="preserve">    elaborada según los criterios y solicitudes de los fiscales” a cargo de</w:t>
        <w:br/>
        <w:t xml:space="preserve">    la  investigación,  principalmente  para  la  “identificación  […]   de</w:t>
        <w:br/>
        <w:t xml:space="preserve">    cadáveres y [establecer la causa de] muerte”, y en esa época  “sólo  se</w:t>
        <w:br/>
        <w:t xml:space="preserve">    hacía un reconocimiento externo  del  cuerpo”,  el  cual  se  “enfocaba</w:t>
        <w:br/>
        <w:t xml:space="preserve">    únicamente en un procedimiento  visual”.  “No  existían  circunstancias</w:t>
        <w:br/>
        <w:t xml:space="preserve">    preestablecidas en las cuales los médicos forense estuvieran  obligados</w:t>
        <w:br/>
        <w:t xml:space="preserve">    a practicar pruebas de violencia sexual”. Agregó que “en los  casos  en</w:t>
        <w:br/>
        <w:t xml:space="preserve">    que se practicaban otras pruebas era producto de  que  los  fiscales  a</w:t>
        <w:br/>
        <w:t xml:space="preserve">    cargo de las investigaciones de su muerte las requerían”. Pese a que no</w:t>
        <w:br/>
        <w:t xml:space="preserve">    se realizaron algunas  pruebas  forenses,  sí  se  hizo  el  examen  de</w:t>
        <w:br/>
        <w:t xml:space="preserve">    necropsia, pruebas de luminiscencia con lámpara  UV  y  fosfata  ácida,</w:t>
        <w:br/>
        <w:t xml:space="preserve">    análisis biológico de la ropa íntima y en  dos  toallas,  mediante  las</w:t>
        <w:br/>
        <w:t xml:space="preserve">    cuales se encontró presencia de sangre, elementos pilosos  pero  no  se</w:t>
        <w:br/>
        <w:t xml:space="preserve">    encontró la presencia de semen, y que no se ha realizado la  diligencia</w:t>
        <w:br/>
        <w:t xml:space="preserve">    de cotejo de los elementos pilosos, porque no se ha  individualizado  a</w:t>
        <w:br/>
        <w:t xml:space="preserve">    un presunto sindicado.</w:t>
        <w:br/>
        <w:br/>
        <w:t>173. Pese a lo manifestado en el trámite ante  la  Comisión  (supra  párr.</w:t>
        <w:br/>
        <w:t xml:space="preserve">    19), el Estado rechazó que haya incurrido en un  retardo  injustificado</w:t>
        <w:br/>
        <w:t xml:space="preserve">    en las investigaciones en razón del conflicto de competencias ocurrido,</w:t>
        <w:br/>
        <w:t xml:space="preserve">    en vista de que este “es legítimo en la legislación interna y el  mismo</w:t>
        <w:br/>
        <w:t xml:space="preserve">    ha de ser resuelto por la Corte Suprema de Justicia” y que “no se trató</w:t>
        <w:br/>
        <w:t xml:space="preserve">    de que los jueces a cargo de controlar la investigación no haya querido</w:t>
        <w:br/>
        <w:t xml:space="preserve">    fiscalizarla, sino que deben estar facultados y  ser  competentes  para</w:t>
        <w:br/>
        <w:t xml:space="preserve">    hacerlo”.  Resaltó  “que  la  obligación  del  Ministerio  Público   es</w:t>
        <w:br/>
        <w:t xml:space="preserve">    investigar de forma objetiva,  y  si  bien  las  investigaciones  toman</w:t>
        <w:br/>
        <w:t xml:space="preserve">    tiempo,  a  pesar  del   conflicto   de   competencia   suscitado,   la</w:t>
        <w:br/>
        <w:t xml:space="preserve">    investigación ha avanzado a lo largo del tiempo”. Asimismo, señaló  las</w:t>
        <w:br/>
        <w:t xml:space="preserve">    diversas actuaciones que se hicieron  durante  el  lapso  que  duró  la</w:t>
        <w:br/>
        <w:t xml:space="preserve">    “cuestión incidental”, por lo que recalcó que este lapso “no  significa</w:t>
        <w:br/>
        <w:t xml:space="preserve">    que el Estado no haya practicado ninguna prueba en ese momento”.</w:t>
        <w:br/>
        <w:br/>
        <w:t>174. Además, el Estado señaló que alegar el artículo 7 de la Convención de</w:t>
        <w:br/>
        <w:t xml:space="preserve">    Belém do Pará “carece de sentido, ya que el Estado  […]  condena  todas</w:t>
        <w:br/>
        <w:t xml:space="preserve">    las formas de violencia contra la mujer  y  ha  intentado  adoptar  por</w:t>
        <w:br/>
        <w:t xml:space="preserve">    todos los medios apropiados y sin dilaciones dentro de la medida de sus</w:t>
        <w:br/>
        <w:t xml:space="preserve">    posibilidades, políticas orientadas a los preceptos de la  norma  legal</w:t>
        <w:br/>
        <w:t xml:space="preserve">    en cuestión”. Alegó que tanto la Comisión y las  representantes  desean</w:t>
        <w:br/>
        <w:t xml:space="preserve">    atribuirle la muerte de María Isabel por alguna omisión,  no  obstante,</w:t>
        <w:br/>
        <w:t xml:space="preserve">    rechazó dicha acusación, toda vez que “los órganos estatales encargados</w:t>
        <w:br/>
        <w:t xml:space="preserve">    de investigar su paradero, así lo hicieron”.</w:t>
        <w:br/>
        <w:br/>
        <w:t>175.  El Estado alegó que “si bien no  consiente  ni  aprueba  de  ninguna</w:t>
        <w:br/>
        <w:t xml:space="preserve">    forma la violencia  en  contra  de  la  mujer,  no  todos  los  delitos</w:t>
        <w:br/>
        <w:t xml:space="preserve">    cometidos en contra de seres humanos de género femenino son perpetrados</w:t>
        <w:br/>
        <w:t xml:space="preserve">    en su contra por su calidad de mujeres” y, en específico, señaló que en</w:t>
        <w:br/>
        <w:t xml:space="preserve">    el presente caso ni la Comisión ni las  representantes  han  probado  o</w:t>
        <w:br/>
        <w:t xml:space="preserve">    manifestado “siquiera que María Isabel desapareció y fue asesinada  por</w:t>
        <w:br/>
        <w:t xml:space="preserve">    el hecho de  ser  mujer”.  Por  ello,  solicitó  a  la  Corte  que  “se</w:t>
        <w:br/>
        <w:t xml:space="preserve">    manifieste al respecto porque si bien se trata la vida de una  persona,</w:t>
        <w:br/>
        <w:t xml:space="preserve">    no se tiene ningún indicio siquiera de que los  responsables  la  hayan</w:t>
        <w:br/>
        <w:t xml:space="preserve">    matado por ser mujer”.</w:t>
        <w:br/>
        <w:br/>
        <w:t>176. En relación con los señalamientos de que  la  investigación  ha  sido</w:t>
        <w:br/>
        <w:t xml:space="preserve">    llevada a cabo de forma sesgada y discriminatoria, el Estado  manifestó</w:t>
        <w:br/>
        <w:t xml:space="preserve">    que “no consta en ningún lado que  las  autoridades  hayan  actuado  de</w:t>
        <w:br/>
        <w:t xml:space="preserve">    forma arbitraria en este sentido[, a]l contrario, han  desempeñado  sus</w:t>
        <w:br/>
        <w:t xml:space="preserve">    labores dentro del marco de la ley vigente al momento de acaecidos  los</w:t>
        <w:br/>
        <w:t xml:space="preserve">    hechos”. Además, sobre lo alegado por las representantes y la  Comisión</w:t>
        <w:br/>
        <w:t xml:space="preserve">    de que existen algunas declaraciones sesgadas o discriminatorias en los</w:t>
        <w:br/>
        <w:t xml:space="preserve">    informes rendidos por las autoridades, indicó  que  las  mismas  fueron</w:t>
        <w:br/>
        <w:t xml:space="preserve">    vertidas por terceras personas, las cuales “expresaron su  conocimiento</w:t>
        <w:br/>
        <w:t xml:space="preserve">    y proporcionaron su información que a su juicio era  necesaria”  y  que</w:t>
        <w:br/>
        <w:t xml:space="preserve">    por tanto “queda claro que los funcionarios a cargo de la investigación</w:t>
        <w:br/>
        <w:t xml:space="preserve">    en ningún momento han  atentado  contra  la  honra  y  dignidad  de  la</w:t>
        <w:br/>
        <w:t xml:space="preserve">    víctima, ni han atendido con desigualdad el caso por ser la víctima una</w:t>
        <w:br/>
        <w:t xml:space="preserve">    mujer, ni han discriminado a su madre para tal efecto”.  Agregó que “de</w:t>
        <w:br/>
        <w:t xml:space="preserve">    ninguna manera se ha dado un trato desigual a María  Isabel  por  haber</w:t>
        <w:br/>
        <w:t xml:space="preserve">    sido una víctima mujer ni por ser niña”. El Estado sostuvo que  tampoco</w:t>
        <w:br/>
        <w:t xml:space="preserve">    ha dado un trato desigual a la madre  de  la  presunta  víctima  en  la</w:t>
        <w:br/>
        <w:t xml:space="preserve">    búsqueda de justicia, y que esta ha  ejercido  con  toda  libertad  sus</w:t>
        <w:br/>
        <w:t xml:space="preserve">    derechos con plena igualdad ante la ley, independientemente de  que  el</w:t>
        <w:br/>
        <w:t xml:space="preserve">    resultado de la investigación no sea satisfactorio.</w:t>
        <w:br/>
        <w:br/>
        <w:t>177. En cuanto a que el Estado no investigó ni sancionó a los funcionarios</w:t>
        <w:br/>
        <w:t xml:space="preserve">    públicos responsables indicó que “si bien la señora Franco Sandoval  ha</w:t>
        <w:br/>
        <w:t xml:space="preserve">    hecho patentes sus inconformidades con el proceso y con las personas  a</w:t>
        <w:br/>
        <w:t xml:space="preserve">    su cargo en las instancias correspondientes, ello no significa  que  no</w:t>
        <w:br/>
        <w:t xml:space="preserve">    se haya indagado en el asunto para determinar si  efectivamente  habría</w:t>
        <w:br/>
        <w:t xml:space="preserve">    correspondido  alguna  sanción”.  Reiteró  que  los  agentes  estatales</w:t>
        <w:br/>
        <w:t xml:space="preserve">    “actuaron de conformidad con la ley vigente al momento de  acaecer  los</w:t>
        <w:br/>
        <w:t xml:space="preserve">    hechos y en consecuencia no puede reclamar a dichas personas  la  forma</w:t>
        <w:br/>
        <w:t xml:space="preserve">    en que realizaron el trabajo”.</w:t>
        <w:br/>
        <w:br/>
        <w:t>A. Consideraciones de la Corte</w:t>
        <w:br/>
        <w:br/>
        <w:t>178. Este Tribunal ya ha determinado que si bien no puede  aseverarse  que</w:t>
        <w:br/>
        <w:t xml:space="preserve">    todos los homicidios de mujeres sucedidos en la  época  de  los  hechos</w:t>
        <w:br/>
        <w:t xml:space="preserve">    fueran por razones de género, resulta verosímil que el de María  Isabel</w:t>
        <w:br/>
        <w:t xml:space="preserve">    si lo fuera, de acuerdo a cómo se encontró el cuerpo  de  la  niña.  En</w:t>
        <w:br/>
        <w:t xml:space="preserve">    efecto, se ha indicado que  las  mujeres  víctimas  de  homicidios  por</w:t>
        <w:br/>
        <w:t xml:space="preserve">    razones de género con frecuencia presentaban signos de brutalidad en la</w:t>
        <w:br/>
        <w:t xml:space="preserve">    violencia ejercida contra ellas, así como signos de violencia sexual  o</w:t>
        <w:br/>
        <w:t xml:space="preserve">    la mutilación de los cuerpos (supra párr. 78). De forma acorde a  tales</w:t>
        <w:br/>
        <w:t xml:space="preserve">    características,  el  cadáver  de  María  Isabel  fue  encontrado   con</w:t>
        <w:br/>
        <w:t xml:space="preserve">    evidentes signos de violencia, inclusive señales de  ahorcamiento,  una</w:t>
        <w:br/>
        <w:t xml:space="preserve">    herida en el cráneo, una cortadura en  la  oreja  y  mordiscos  en  las</w:t>
        <w:br/>
        <w:t xml:space="preserve">    extremidades superiores; su cabeza estaba envuelta por  toallas  y  una</w:t>
        <w:br/>
        <w:t xml:space="preserve">    bolsa, y tenía alimentos en su  boca  y  su  nariz  (supra  párr.  99),</w:t>
        <w:br/>
        <w:t xml:space="preserve">    además, la blusa y el bloomer que llevaba estaban  rotos  en  la  parte</w:t>
        <w:br/>
        <w:t xml:space="preserve">    inferior (supra párr. 110). Ello resulta relevante y suficiente  a  los</w:t>
        <w:br/>
        <w:t xml:space="preserve">    efectos de la aplicación al caso del artículo 7  de  la  Convención  de</w:t>
        <w:br/>
        <w:t xml:space="preserve">    Belém do Pará[254]. Interesa aclarar que la falta de  certeza  absoluta</w:t>
        <w:br/>
        <w:t xml:space="preserve">    sobre  lo  expresado  se  vincula  a  la  falta  de  conclusión  de  la</w:t>
        <w:br/>
        <w:t xml:space="preserve">    investigación interna, así como al modo en que ésta hasta ahora  se  ha</w:t>
        <w:br/>
        <w:t xml:space="preserve">    desarrollado.  Así,  por  ejemplo,  elementos  trascendentes  como   la</w:t>
        <w:br/>
        <w:t xml:space="preserve">    presencia de violencia sexual en los hechos no han sido determinados en</w:t>
        <w:br/>
        <w:t xml:space="preserve">    una forma certera (supra párr. 111 e infra párr. 196.b).</w:t>
        <w:br/>
        <w:br/>
        <w:t>179. También la  Corte  considera  relevante  recordar  su  jurisprudencia</w:t>
        <w:br/>
        <w:t xml:space="preserve">    respecto a los criterios aplicables a la valoración de la prueba en  un</w:t>
        <w:br/>
        <w:t xml:space="preserve">    caso. Este Tribunal ha señalado desde su primer  caso  contencioso  que</w:t>
        <w:br/>
        <w:t xml:space="preserve">    para un tribunal internacional los criterios de valoración de la prueba</w:t>
        <w:br/>
        <w:t xml:space="preserve">    son menos rígidos que en los sistemas legales internos y  ha  sostenido</w:t>
        <w:br/>
        <w:t xml:space="preserve">    que puede evaluar libremente las pruebas. La  Corte  debe  aplicar  una</w:t>
        <w:br/>
        <w:t xml:space="preserve">    valoración de  la  prueba  que  tenga  en  cuenta  la  gravedad  de  la</w:t>
        <w:br/>
        <w:t xml:space="preserve">    atribución de responsabilidad internacional a  un  Estado  y  que,  sin</w:t>
        <w:br/>
        <w:t xml:space="preserve">    perjuicio de ello, sea capaz de crear la convicción de la verdad de los</w:t>
        <w:br/>
        <w:t xml:space="preserve">    hechos alegados[255].</w:t>
        <w:br/>
        <w:br/>
        <w:t>180. En cuanto a los  alegados  impedimentos  para  realizar  determinadas</w:t>
        <w:br/>
        <w:t xml:space="preserve">    diligencias adecuadamente al momento de los hechos (supra  párr.  171),</w:t>
        <w:br/>
        <w:t xml:space="preserve">    la Corte recuerda que es un principio básico del Derecho Internacional,</w:t>
        <w:br/>
        <w:t xml:space="preserve">    respaldado por la jurisprudencia internacional, que los  Estados  deben</w:t>
        <w:br/>
        <w:t xml:space="preserve">    acatar  sus  obligaciones  convencionales  de  buena  fe  (pacta   sunt</w:t>
        <w:br/>
        <w:t xml:space="preserve">    servanda) y, como ya ha señalado este Tribunal y lo dispone el artículo</w:t>
        <w:br/>
        <w:t xml:space="preserve">    27 de la Convención de Viena sobre el Derecho de los Tratados de  1969,</w:t>
        <w:br/>
        <w:t xml:space="preserve">    aquellos  no  pueden  por   razones   de   orden   interno   dejar   de</w:t>
        <w:br/>
        <w:t xml:space="preserve">    cumplirla[256]. Por lo que el Estado no puede excusar el incumplimiento</w:t>
        <w:br/>
        <w:t xml:space="preserve">    de su obligación de investigar  con  la  debida  diligencia  porque  al</w:t>
        <w:br/>
        <w:t xml:space="preserve">    momento de los hechos no existía normativa,  procedimientos  o  medidas</w:t>
        <w:br/>
        <w:t xml:space="preserve">    para realizar las diligencias investigativas iniciales adecuadamente de</w:t>
        <w:br/>
        <w:t xml:space="preserve">    acuerdo a los estándares de derecho internacional que se desprenden  de</w:t>
        <w:br/>
        <w:t xml:space="preserve">    tratados aplicables y en vigor al momento de los  hechos,  y  que  este</w:t>
        <w:br/>
        <w:t xml:space="preserve">    Tribunal ha precisado en su jurisprudencia (infra párr. 188 y 189). Sin</w:t>
        <w:br/>
        <w:t xml:space="preserve">    perjuicio de esto, la Corte ha constado  que  en  Guatemala  ha  habido</w:t>
        <w:br/>
        <w:t xml:space="preserve">    avances de conformidad con  la  legislación  vigente  y  creado  varios</w:t>
        <w:br/>
        <w:t xml:space="preserve">    organismos, como la INACIF que han  permitido  la  realización  de  las</w:t>
        <w:br/>
        <w:t xml:space="preserve">    diligencias de manera técnica y científica (infra párr. 267).</w:t>
        <w:br/>
        <w:br/>
        <w:t>181. Además, la Corte recuerda que Guatemala aceptó en el trámite ante  la</w:t>
        <w:br/>
        <w:t xml:space="preserve">    Comisión la falta a la debida diligencia en el proceso de investigación</w:t>
        <w:br/>
        <w:t xml:space="preserve">    llevada a cabo por la muerte de  María  Isabel  Veliz  Franco  por  los</w:t>
        <w:br/>
        <w:t xml:space="preserve">    siguientes hechos: la omisión en  practicar  algunas  pruebas  forenses</w:t>
        <w:br/>
        <w:t xml:space="preserve">    sobre el cadáver relativas al levantamiento del cadáver, el  atraso  en</w:t>
        <w:br/>
        <w:t xml:space="preserve">    la investigación por causa de un conflicto de  competencia,  y  por  no</w:t>
        <w:br/>
        <w:t xml:space="preserve">    haber  establecido  una  medida  cautelar  efectiva  para  asegurar  la</w:t>
        <w:br/>
        <w:t xml:space="preserve">    presencia de un sospechoso del homicidio de María Isabel  (supra  párr.</w:t>
        <w:br/>
        <w:t xml:space="preserve">    19).</w:t>
        <w:br/>
        <w:br/>
        <w:t>182. En consideración de lo anterior, debe  analizarse,  considerando  los</w:t>
        <w:br/>
        <w:t xml:space="preserve">    señalamientos  de  las  partes  y  la   Comisión,   si   las   alegadas</w:t>
        <w:br/>
        <w:t xml:space="preserve">    irregularidades en la investigación que cursa para  el  esclarecimiento</w:t>
        <w:br/>
        <w:t xml:space="preserve">    de los hechos ocurridos a María Isabel constituyen o no  una  violación</w:t>
        <w:br/>
        <w:t xml:space="preserve">    de las obligaciones  derivadas  en  los  derechos  consagrados  en  los</w:t>
        <w:br/>
        <w:t xml:space="preserve">    artículos 8.1 y 25.1 de la Convención Americana, en  relación  con  los</w:t>
        <w:br/>
        <w:t xml:space="preserve">    artículos 24 y 1.1 de la misma, así  como  con  el  artículo  7  de  la</w:t>
        <w:br/>
        <w:t xml:space="preserve">    Convención de Belém do Pará.</w:t>
        <w:br/>
        <w:br/>
        <w:t>183. La Corte reitera que  la  obligación  de  investigar  violaciones  de</w:t>
        <w:br/>
        <w:t xml:space="preserve">    derechos humanos se encuentra dentro de las medidas positivas que deben</w:t>
        <w:br/>
        <w:t xml:space="preserve">    adoptar los Estados para garantizar  los  derechos  reconocidos  en  la</w:t>
        <w:br/>
        <w:t xml:space="preserve">    Convención[257]. El deber de investigar es una obligación de  medios  y</w:t>
        <w:br/>
        <w:t xml:space="preserve">    no de resultado. Sin embargo, debe ser asumida por el  Estado  como  un</w:t>
        <w:br/>
        <w:t xml:space="preserve">    deber jurídico propio y no como  una  simple  formalidad  condenada  de</w:t>
        <w:br/>
        <w:t xml:space="preserve">    antemano a ser infructuosa,  o  como  una  mera  gestión  de  intereses</w:t>
        <w:br/>
        <w:t xml:space="preserve">    particulares, que dependa de la iniciativa procesal de las  víctimas  o</w:t>
        <w:br/>
        <w:t xml:space="preserve">    de  sus  familiares  o  de   la   aportación   privada   de   elementos</w:t>
        <w:br/>
        <w:t xml:space="preserve">    probatorios[258]. A la luz de ese deber, una vez  que  las  autoridades</w:t>
        <w:br/>
        <w:t xml:space="preserve">    estatales tengan conocimiento del hecho, deben iniciar ex officio y sin</w:t>
        <w:br/>
        <w:t xml:space="preserve">    dilación una  investigación  seria,  imparcial  y  efectiva[259].  Esta</w:t>
        <w:br/>
        <w:t xml:space="preserve">    investigación  debe  ser  realizada  por  todos  los   medios   legales</w:t>
        <w:br/>
        <w:t xml:space="preserve">    disponibles, y ser orientada  a  la  determinación  de  la  verdad.  La</w:t>
        <w:br/>
        <w:t xml:space="preserve">    obligación del Estado de investigar debe cumplirse diligentemente  para</w:t>
        <w:br/>
        <w:t xml:space="preserve">    evitar la impunidad y que este tipo de hechos vuelvan a  repetirse.  En</w:t>
        <w:br/>
        <w:t xml:space="preserve">    este sentido, la Corte recuerda que la impunidad fomenta la  repetición</w:t>
        <w:br/>
        <w:t xml:space="preserve">    de las violaciones  de  derechos  humanos[260].  De  otra  parte,  este</w:t>
        <w:br/>
        <w:t xml:space="preserve">    Tribunal ha advertido que esta obligación se mantiene  “cualquiera  sea</w:t>
        <w:br/>
        <w:t xml:space="preserve">    el agente al cual pueda eventualmente atribuirse la violación, aún  los</w:t>
        <w:br/>
        <w:t xml:space="preserve">    particulares, pues, si sus hechos no  son  investigados  con  seriedad,</w:t>
        <w:br/>
        <w:t xml:space="preserve">    resultarían, en cierto modo, auxiliados por el poder  público,  lo  que</w:t>
        <w:br/>
        <w:t xml:space="preserve">    comprometería la responsabilidad internacional del Estado”[261].</w:t>
        <w:br/>
        <w:br/>
        <w:t>184. La Corte también ha señalado que del artículo 8 de la  Convención  se</w:t>
        <w:br/>
        <w:t xml:space="preserve">    desprende que las víctimas de violaciones de derechos  humanos,  o  sus</w:t>
        <w:br/>
        <w:t xml:space="preserve">    familiares, deben contar con  amplias  posibilidades  de  ser  oídos  y</w:t>
        <w:br/>
        <w:t xml:space="preserve">    actuar  en   los   respectivos   procesos,   tanto   en   procura   del</w:t>
        <w:br/>
        <w:t xml:space="preserve">    esclarecimiento de los hechos y del castigo de los  responsables,  como</w:t>
        <w:br/>
        <w:t xml:space="preserve">    en busca de  una  debida  reparación[262].  Asimismo,  el  Tribunal  ha</w:t>
        <w:br/>
        <w:t xml:space="preserve">    establecido que  la  obligación  de  investigar  y  el  correspondiente</w:t>
        <w:br/>
        <w:t xml:space="preserve">    derecho de la presunta víctima o de los familiares no sólo se desprende</w:t>
        <w:br/>
        <w:t xml:space="preserve">    de las normas convencionales de derecho internacional imperativas  para</w:t>
        <w:br/>
        <w:t xml:space="preserve">    los Estados Parte, sino que además se deriva de la legislación  interna</w:t>
        <w:br/>
        <w:t xml:space="preserve">    que hace referencia al deber de investigar de oficio ciertas  conductas</w:t>
        <w:br/>
        <w:t xml:space="preserve">    ilícitas y a las normas que permiten que las víctimas o sus  familiares</w:t>
        <w:br/>
        <w:t xml:space="preserve">    denuncien o presenten querellas, pruebas o peticiones o cualquier  otra</w:t>
        <w:br/>
        <w:t xml:space="preserve">    diligencia,  con  la  finalidad  de  participar  procesalmente  en   la</w:t>
        <w:br/>
        <w:t xml:space="preserve">    investigación penal con la pretensión de establecer la  verdad  de  los</w:t>
        <w:br/>
        <w:t xml:space="preserve">    hechos[263].</w:t>
        <w:br/>
        <w:br/>
        <w:t>185. La Corte recuerda que en casos  de  violencia  contra  la  mujer  las</w:t>
        <w:br/>
        <w:t xml:space="preserve">    obligaciones generales establecidas en los  artículos  8  y  25  de  la</w:t>
        <w:br/>
        <w:t xml:space="preserve">    Convención Americana se complementan y refuerzan para aquellos  Estados</w:t>
        <w:br/>
        <w:t xml:space="preserve">    que  son  Parte,   con   las   obligaciones   derivadas   del   tratado</w:t>
        <w:br/>
        <w:t xml:space="preserve">    interamericano específico, la Convención de Belém do Pará[264].  En  su</w:t>
        <w:br/>
        <w:t xml:space="preserve">    artículo 7.b dicha Convención obliga de manera específica a los Estados</w:t>
        <w:br/>
        <w:t xml:space="preserve">    Partes a utilizar la  debida  diligencia  para  prevenir,  sancionar  y</w:t>
        <w:br/>
        <w:t xml:space="preserve">    erradicar la violencia contra la mujer[265].  En  su  artículo  7.c  la</w:t>
        <w:br/>
        <w:t xml:space="preserve">    Convención de Belém do Pará obliga a los Estados Partes  a  adoptar  la</w:t>
        <w:br/>
        <w:t xml:space="preserve">    normativa necesaria para investigar y sancionar la violencia contra  la</w:t>
        <w:br/>
        <w:t xml:space="preserve">    mujer[266]. En estos casos, las autoridades estatales deben iniciar  ex</w:t>
        <w:br/>
        <w:t xml:space="preserve">    officio y sin dilación, una investigación seria, imparcial  y  efectiva</w:t>
        <w:br/>
        <w:t xml:space="preserve">    una vez que tomen conocimiento de los hechos que constituyan  violencia</w:t>
        <w:br/>
        <w:t xml:space="preserve">    contra la mujer, incluyendo la violencia sexual[267]. De tal modo,  que</w:t>
        <w:br/>
        <w:t xml:space="preserve">    ante un acto de violencia contra  una  mujer,  resulta  particularmente</w:t>
        <w:br/>
        <w:t xml:space="preserve">    importante que las autoridades a cargo de la  investigación  la  lleven</w:t>
        <w:br/>
        <w:t xml:space="preserve">    adelante con determinación y eficacia, teniendo en cuenta el  deber  de</w:t>
        <w:br/>
        <w:t xml:space="preserve">    la  sociedad  de  rechazar  la  violencia  contra  las  mujeres  y  las</w:t>
        <w:br/>
        <w:t xml:space="preserve">    obligaciones del Estado de erradicarla y de  brindar  confianza  a  las</w:t>
        <w:br/>
        <w:t xml:space="preserve">    víctimas en las instituciones estatales para su protección[268].</w:t>
        <w:br/>
        <w:br/>
        <w:t>186. La Corte también ha señalado que el deber de investigar efectivamente</w:t>
        <w:br/>
        <w:t xml:space="preserve">    tiene alcances adicionales cuando se trata de una mujer que  sufre  una</w:t>
        <w:br/>
        <w:t xml:space="preserve">    muerte, maltrato o afectación a su libertad personal en el marco de  un</w:t>
        <w:br/>
        <w:t xml:space="preserve">    contexto general de violencia contra las mujeres[269].</w:t>
        <w:br/>
        <w:br/>
        <w:t>187. El criterio  anterior  es  totalmente  aplicable  al  analizarse  los</w:t>
        <w:br/>
        <w:t xml:space="preserve">    alcances del deber de debida diligencia en la investigación de casos de</w:t>
        <w:br/>
        <w:t xml:space="preserve">    violencia por razón de género[270]. A menudo es difícil  probar  en  la</w:t>
        <w:br/>
        <w:t xml:space="preserve">    práctica que un homicidio o acto de agresión violenta contra una  mujer</w:t>
        <w:br/>
        <w:t xml:space="preserve">    ha sido perpetrado por razón de género.  Dicha  imposibilidad  a  veces</w:t>
        <w:br/>
        <w:t xml:space="preserve">    deriva de la ausencia de una  investigación  profunda  y  efectiva  por</w:t>
        <w:br/>
        <w:t xml:space="preserve">    parte de las autoridades sobre el incidente violento y sus  causas.  Es</w:t>
        <w:br/>
        <w:t xml:space="preserve">    por  ello  que  las  autoridades  estatales  tienen  la  obligación  de</w:t>
        <w:br/>
        <w:t xml:space="preserve">    investigar ex officio las posibles connotaciones  discriminatorias  por</w:t>
        <w:br/>
        <w:t xml:space="preserve">    razón de género en un acto de violencia perpetrado  contra  una  mujer,</w:t>
        <w:br/>
        <w:t xml:space="preserve">    especialmente cuando existen indicios concretos de violencia sexual  de</w:t>
        <w:br/>
        <w:t xml:space="preserve">    algún tipo o evidencias de ensañamiento contra el cuerpo  de  la  mujer</w:t>
        <w:br/>
        <w:t xml:space="preserve">    (por ejemplo, mutilaciones), o bien cuando dicho acto se enmarca dentro</w:t>
        <w:br/>
        <w:t xml:space="preserve">    de un contexto de violencia contra la mujer que se  da  en  un  país  o</w:t>
        <w:br/>
        <w:t xml:space="preserve">    región determinada.</w:t>
        <w:br/>
        <w:br/>
        <w:t>188. Asimismo, la Corte  ha  establecido  que  en  casos  de  sospecha  de</w:t>
        <w:br/>
        <w:t xml:space="preserve">    homicidio por razón de género, la obligación estatal de investigar  con</w:t>
        <w:br/>
        <w:t xml:space="preserve">    la debida diligencia incluye el deber de ordenar de oficio los exámenes</w:t>
        <w:br/>
        <w:t xml:space="preserve">    y pericias correspondientes tendientes a verificar si el homicidio tuvo</w:t>
        <w:br/>
        <w:t xml:space="preserve">    un móvil sexual o si se produjo algún tipo de violencia sexual. En este</w:t>
        <w:br/>
        <w:t xml:space="preserve">    sentido, la investigación sobre un  supuesto  homicidio  por  razón  de</w:t>
        <w:br/>
        <w:t xml:space="preserve">    género no debe limitarse a la muerte  de  la  víctima,  sino  que  debe</w:t>
        <w:br/>
        <w:t xml:space="preserve">    abarcar otras afectaciones específicas contra la  integridad  personal,</w:t>
        <w:br/>
        <w:t xml:space="preserve">    tales como torturas y actos de violencia sexual. En  una  investigación</w:t>
        <w:br/>
        <w:t xml:space="preserve">    penal por violencia sexual es necesario que se documenten  y  coordinen</w:t>
        <w:br/>
        <w:t xml:space="preserve">    los actos investigativos y se maneje diligentemente la prueba,  tomando</w:t>
        <w:br/>
        <w:t xml:space="preserve">    muestras suficientes, realizando estudios para  determinar  la  posible</w:t>
        <w:br/>
        <w:t xml:space="preserve">    autoría del hecho, asegurando otras pruebas como la ropa de la víctima,</w:t>
        <w:br/>
        <w:t xml:space="preserve">    la investigación inmediata del lugar de los hechos  y  garantizando  la</w:t>
        <w:br/>
        <w:t xml:space="preserve">    correcta cadena de custodia[271]. En ese tenor, las primeras  fases  de</w:t>
        <w:br/>
        <w:t xml:space="preserve">    la  investigación  pueden  ser  especialmente  cruciales  en  casos  de</w:t>
        <w:br/>
        <w:t xml:space="preserve">    homicidio contra la mujer por razón de género, ya que las fallas que se</w:t>
        <w:br/>
        <w:t xml:space="preserve">    puedan producir en  diligencias  tales  como  las  autopsias  y  en  la</w:t>
        <w:br/>
        <w:t xml:space="preserve">    recolección y  conservación  de  evidencias  físicas  pueden  llegar  a</w:t>
        <w:br/>
        <w:t xml:space="preserve">    impedir u obstaculizar la  prueba  de  aspectos  relevantes,  como  por</w:t>
        <w:br/>
        <w:t xml:space="preserve">    ejemplo, la violencia sexual. En cuanto a la realización  de  autopsias</w:t>
        <w:br/>
        <w:t xml:space="preserve">    en  un  contexto  de  homicidio  por  razón  de  género,  la  Corte  ha</w:t>
        <w:br/>
        <w:t xml:space="preserve">    especificado que se debe examinar cuidadosamente las  áreas  genital  y</w:t>
        <w:br/>
        <w:t xml:space="preserve">    para-genital en búsqueda de señales de abuso sexual, así como preservar</w:t>
        <w:br/>
        <w:t xml:space="preserve">    líquido oral, vaginal  y  rectal,  y  vello  externo  y  púbico  de  la</w:t>
        <w:br/>
        <w:t xml:space="preserve">    víctima[272]. Asimismo, en casos de supuestos actos de violencia contra</w:t>
        <w:br/>
        <w:t xml:space="preserve">    la mujer, la investigación penal debe incluir una perspectiva de género</w:t>
        <w:br/>
        <w:t xml:space="preserve">    y realizarse por funcionarios  capacitados  en  casos  similares  y  en</w:t>
        <w:br/>
        <w:t xml:space="preserve">    atención  a  víctimas  de  discriminación  y  violencia  por  razón  de</w:t>
        <w:br/>
        <w:t xml:space="preserve">    género[273].</w:t>
        <w:br/>
        <w:br/>
        <w:t>189. Adicionalmente, la Corte señala que los Estados tienen la  obligación</w:t>
        <w:br/>
        <w:t xml:space="preserve">    de adoptar normas o implementar las  medidas  necesarias,  conforme  al</w:t>
        <w:br/>
        <w:t xml:space="preserve">    artículo 2  de  la  Convención  Americana  y  al  artículo  7.c  de  la</w:t>
        <w:br/>
        <w:t xml:space="preserve">    Convención de Belém do Pará, que permitan a las autoridades ofrecer una</w:t>
        <w:br/>
        <w:t xml:space="preserve">    investigación con debida diligencia  en  casos  de  supuesta  violencia</w:t>
        <w:br/>
        <w:t xml:space="preserve">    contra la mujer[274].</w:t>
        <w:br/>
        <w:br/>
        <w:t>190. En el presente acápite el Tribunal analizará los siguientes aspectos:</w:t>
        <w:br/>
        <w:t xml:space="preserve">    B.1) Irregularidades a partir del hallazgo del cuerpo de María  Isabel,</w:t>
        <w:br/>
        <w:t xml:space="preserve">    y posteriores actuaciones de los funcionarios estatales (resguardo  del</w:t>
        <w:br/>
        <w:t xml:space="preserve">    lugar  del  hallazgo,  inspección  ocular,  acta  de  levantamiento  de</w:t>
        <w:br/>
        <w:t xml:space="preserve">    cadáver, cadena de custodia de las evidencias, autopsia, y  peritajes);</w:t>
        <w:br/>
        <w:t xml:space="preserve">    B.2) Seguimiento de llamadas telefónicas; B.3)  Falta  de  adopción  de</w:t>
        <w:br/>
        <w:t xml:space="preserve">    medidas cautelares respecto a  un  sospechoso;  B.4)  Discriminación  y</w:t>
        <w:br/>
        <w:t xml:space="preserve">    falta  de  investigación  con  perspectiva  de  género,  y  B.5)  Plazo</w:t>
        <w:br/>
        <w:t xml:space="preserve">    razonable.</w:t>
        <w:br/>
        <w:br/>
        <w:br/>
        <w:t xml:space="preserve">    B.1) Irregularidades a partir del hallazgo del cuerpo de María Isabel,</w:t>
        <w:br/>
        <w:t xml:space="preserve">    y posteriores actuaciones de los funcionarios estatales (resguardo del</w:t>
        <w:br/>
        <w:t xml:space="preserve">    lugar del  hallazgo,  inspección  ocular,  acta  de  levantamiento  de</w:t>
        <w:br/>
        <w:t xml:space="preserve">    cadáver, cadena de custodia de las evidencias, autopsia, y peritajes)</w:t>
        <w:br/>
        <w:br/>
        <w:br/>
        <w:t>191. En otras oportunidades esta Corte ha  establecido  que  la  eficiente</w:t>
        <w:br/>
        <w:t xml:space="preserve">    determinación de la verdad en el marco de la obligación  de  investigar</w:t>
        <w:br/>
        <w:t xml:space="preserve">    una muerte, debe mostrarse desde  las  primeras  diligencias  con  toda</w:t>
        <w:br/>
        <w:t xml:space="preserve">    acuciosidad[275]. En este sentido, este Tribunal  ha  especificado  los</w:t>
        <w:br/>
        <w:t xml:space="preserve">    principios rectores que es preciso observar en una investigación cuando</w:t>
        <w:br/>
        <w:t xml:space="preserve">    se está frente a una muerte violenta.  Las  autoridades  estatales  que</w:t>
        <w:br/>
        <w:t xml:space="preserve">    conducen una investigación de este tipo deben  intentar,  como  mínimo,</w:t>
        <w:br/>
        <w:t xml:space="preserve">    inter alia: i) identificar a la víctima; ii) recuperar y  preservar  el</w:t>
        <w:br/>
        <w:t xml:space="preserve">    material probatorio relacionado con la muerte, con el fin de ayudar  en</w:t>
        <w:br/>
        <w:t xml:space="preserve">    cualquier potencial  investigación  penal  de  los  responsables;  iii)</w:t>
        <w:br/>
        <w:t xml:space="preserve">    identificar posibles testigos y obtener sus declaraciones  en  relación</w:t>
        <w:br/>
        <w:t xml:space="preserve">    con la muerte que se investiga; iv) determinar la causa, forma, lugar y</w:t>
        <w:br/>
        <w:t xml:space="preserve">    momento de la muerte, así como cualquier patrón o  práctica  que  pueda</w:t>
        <w:br/>
        <w:t xml:space="preserve">    haber causado la muerte, y v) distinguir entre muerte  natural,  muerte</w:t>
        <w:br/>
        <w:t xml:space="preserve">    accidental, suicidio  y  homicidio.  Además,  es  necesario  investigar</w:t>
        <w:br/>
        <w:t xml:space="preserve">    exhaustivamente la escena del crimen, se  deben  realizar  autopsias  y</w:t>
        <w:br/>
        <w:t xml:space="preserve">    análisis de  restos  humanos,  en  forma  rigurosa,  por  profesionales</w:t>
        <w:br/>
        <w:t xml:space="preserve">    competentes y empleando los procedimientos  más  apropiados[276].  Este</w:t>
        <w:br/>
        <w:t xml:space="preserve">    Tribunal ha establecido que la  falta  de  protección  adecuada  de  la</w:t>
        <w:br/>
        <w:t xml:space="preserve">    escena del crimen puede afectar la investigación, por  tratarse  de  un</w:t>
        <w:br/>
        <w:t xml:space="preserve">    elemento fundamental para su buen curso[277].</w:t>
        <w:br/>
        <w:br/>
        <w:t>192. Además, los estándares internacionales señalan que, en  relación  con</w:t>
        <w:br/>
        <w:t xml:space="preserve">    la  escena  del  crimen,  los  investigadores   deben,   como   mínimo,</w:t>
        <w:br/>
        <w:t xml:space="preserve">    fotografiar dicha escena, cualquier otra evidencia física y  el  cuerpo</w:t>
        <w:br/>
        <w:t xml:space="preserve">    como se encontró y después de moverlo; todas las  muestras  de  sangre,</w:t>
        <w:br/>
        <w:t xml:space="preserve">    cabello,  fibras,  hilos  u  otras  pistas  deben   ser   recogidas   y</w:t>
        <w:br/>
        <w:t xml:space="preserve">    conservadas; examinar  el  área  en  busca  de  huellas  de  zapatos  o</w:t>
        <w:br/>
        <w:t xml:space="preserve">    cualquier otra que tenga naturaleza de evidencia, y  hacer  un  informe</w:t>
        <w:br/>
        <w:t xml:space="preserve">    detallando cualquier observación de la  escena,  las  acciones  de  los</w:t>
        <w:br/>
        <w:t xml:space="preserve">    investigadores y la disposición de toda la evidencia coleccionada[278].</w:t>
        <w:br/>
        <w:t xml:space="preserve">    Una de las acciones en el sitio del hallazgo  de  mayor  riesgo  es  la</w:t>
        <w:br/>
        <w:t xml:space="preserve">    manipulación del cadáver,  el  cual  no  debe  ser  manipulado  sin  la</w:t>
        <w:br/>
        <w:t xml:space="preserve">    presencia de profesionales,  quienes  deben  examinarlo  y  movilizarlo</w:t>
        <w:br/>
        <w:t xml:space="preserve">    adecuadamente según la  condición  del  cuerpo[279].  El  Protocolo  de</w:t>
        <w:br/>
        <w:t xml:space="preserve">    Minnesota establece, entre otras obligaciones, que  al  investigar  una</w:t>
        <w:br/>
        <w:t xml:space="preserve">    escena del crimen se  debe  cerrar  la  zona  contigua  al  cadáver,  y</w:t>
        <w:br/>
        <w:t xml:space="preserve">    prohibir, salvo para el investigador y  su  equipo,  el  ingreso  a  la</w:t>
        <w:br/>
        <w:t xml:space="preserve">    misma[280].  Mientras  ello   no   suceda   debe   evitarse   cualquier</w:t>
        <w:br/>
        <w:t xml:space="preserve">    contaminación de la misma y mantenerla bajo  custodia  permanente[281].</w:t>
        <w:br/>
        <w:t xml:space="preserve">    Además es fundamental como lo establece el Protocolo de  Minnesota  que</w:t>
        <w:br/>
        <w:t xml:space="preserve">    “los funcionarios  encargados  del  cumplimiento  de  la  ley  y  otros</w:t>
        <w:br/>
        <w:t xml:space="preserve">    investigadores no médicos […] coordin[en] sus actividades […en el lugar</w:t>
        <w:br/>
        <w:t xml:space="preserve">    con el] personal médico”[282].</w:t>
        <w:br/>
        <w:br/>
        <w:t>193. Además, la debida diligencia en una investigación médico-legal de una</w:t>
        <w:br/>
        <w:t xml:space="preserve">    muerte exige el mantenimiento de la cadena de custodia de todo elemento</w:t>
        <w:br/>
        <w:t xml:space="preserve">    de prueba forense[283]. Ello consiste en  llevar  un  registro  escrito</w:t>
        <w:br/>
        <w:t xml:space="preserve">    preciso, complementado, según  corresponda,  por  fotografías  y  demás</w:t>
        <w:br/>
        <w:t xml:space="preserve">    elementos gráficos para documentar la historia del elemento de prueba a</w:t>
        <w:br/>
        <w:t xml:space="preserve">    medida que pasa por las manos de diversos investigadores encargados del</w:t>
        <w:br/>
        <w:t xml:space="preserve">    caso[284].</w:t>
        <w:br/>
        <w:br/>
        <w:t>194. En cuanto a las autopsias, como lo ha señalado la Corte, tienen  como</w:t>
        <w:br/>
        <w:t xml:space="preserve">    objetivo recolectar, como mínimo, información  para  identificar  a  la</w:t>
        <w:br/>
        <w:t xml:space="preserve">    persona muerta, la hora, la fecha, causa y forma de muerte. Éstas deben</w:t>
        <w:br/>
        <w:t xml:space="preserve">    respetar ciertas formalidades básicas, como indicar la fecha y hora  de</w:t>
        <w:br/>
        <w:t xml:space="preserve">    inicio y finalización, así como el lugar donde se realiza y  el  nombre</w:t>
        <w:br/>
        <w:t xml:space="preserve">    del  funcionario  que  la  ejecuta.  Asimismo,  se  debe,  inter  alia,</w:t>
        <w:br/>
        <w:t xml:space="preserve">    fotografiar adecuadamente el cuerpo; tomar radiografías del cadáver, de</w:t>
        <w:br/>
        <w:t xml:space="preserve">    su bolsa o envoltorio y después de desvestirlo, documentar toda lesión.</w:t>
        <w:br/>
        <w:t xml:space="preserve">    Se debe documentar la ausencia, soltura o daño de los dientes, así como</w:t>
        <w:br/>
        <w:t xml:space="preserve">    cualquier trabajo dental, y examinar cuidadosamente las áreas genital y</w:t>
        <w:br/>
        <w:t xml:space="preserve">    para-genital en búsqueda de señales de abuso sexual (supra párr.  188).</w:t>
        <w:br/>
        <w:t xml:space="preserve">    Asimismo, el Manual de Naciones Unidas indica que en los protocolos  de</w:t>
        <w:br/>
        <w:t xml:space="preserve">    autopsia se debe anotar la  posición  del  cuerpo  y  sus  condiciones,</w:t>
        <w:br/>
        <w:t xml:space="preserve">    incluyendo si está tibio o frío, ligero o rígido;  proteger  las  manos</w:t>
        <w:br/>
        <w:t xml:space="preserve">    del cadáver, registrar la temperatura del ambiente y recoger  cualquier</w:t>
        <w:br/>
        <w:t xml:space="preserve">    insecto[285].</w:t>
        <w:br/>
        <w:br/>
        <w:t>195. Además, la jurisprudencia de la Corte ha señalado que un Estado puede</w:t>
        <w:br/>
        <w:t xml:space="preserve">    ser responsable por dejar de “ordenar, practicar o valorar pruebas  que</w:t>
        <w:br/>
        <w:t xml:space="preserve">    hubieran sido de mucha importancia para el  debido  esclarecimiento  de</w:t>
        <w:br/>
        <w:t xml:space="preserve">    los homicidios”[286].</w:t>
        <w:br/>
        <w:br/>
        <w:t>196. Esta Corte ha constado lo siguiente:</w:t>
        <w:br/>
        <w:br/>
        <w:t xml:space="preserve">   a) las autoridades estatales no adoptaron  las  medidas  adecuadas  para</w:t>
        <w:br/>
        <w:t xml:space="preserve">      resguardar debidamente el lugar del  hallazgo  del  cuerpo  de  María</w:t>
        <w:br/>
        <w:t xml:space="preserve">      Isabel y evitar la pérdida de evidencia y la contaminación  de  zonas</w:t>
        <w:br/>
        <w:t xml:space="preserve">      aledañas a la escena  del  crimen,  en  las  cuales  podrían  haberse</w:t>
        <w:br/>
        <w:t xml:space="preserve">      recuperado  evidencias  útiles  (infra   párr.   197).   Las   mismas</w:t>
        <w:br/>
        <w:t xml:space="preserve">      autoridades señalaron que se “contaminó” la escena y  al  momento  de</w:t>
        <w:br/>
        <w:t xml:space="preserve">      realizar la inspección ocular ya estaba contaminada[287] (supra párr.</w:t>
        <w:br/>
        <w:t xml:space="preserve">      101);</w:t>
        <w:br/>
        <w:br/>
        <w:t xml:space="preserve">   b) al momento del levantamiento  del  cadáver,  ante  la  existencia  de</w:t>
        <w:br/>
        <w:t xml:space="preserve">      señales evidentes de abuso o violencia en el cuerpo  de  la  víctima,</w:t>
        <w:br/>
        <w:t xml:space="preserve">      las  autoridades  omitieron  solicitar  que  en   la   necropsia   se</w:t>
        <w:br/>
        <w:t xml:space="preserve">      practicaran las pruebas pertinentes (tales como  hisopado  vaginal  y</w:t>
        <w:br/>
        <w:t xml:space="preserve">      anal)[288] para determinar si María Isabel Veliz  Franco  había  sido</w:t>
        <w:br/>
        <w:t xml:space="preserve">      víctima de violencia sexual[289](supra párr. 110),  omisión  que  fue</w:t>
        <w:br/>
        <w:t xml:space="preserve">      calificada más tarde “desafortunad[a]”[290] por parte de los  propios</w:t>
        <w:br/>
        <w:t xml:space="preserve">      agentes estatales a cargo de la investigación del  caso.  Tampoco  se</w:t>
        <w:br/>
        <w:t xml:space="preserve">      verificó la  existencia  de  semen  en  su  cuerpo.  El  informe  del</w:t>
        <w:br/>
        <w:t xml:space="preserve">      protocolo de necropsia de 13 de febrero de 2002 se limitó  a  señalar</w:t>
        <w:br/>
        <w:t xml:space="preserve">      dentro del análisis del área del abdomen que los órganos genitales se</w:t>
        <w:br/>
        <w:t xml:space="preserve">      encontraban “normales” (supra párr. 111). Aunque  si  se  realizó  un</w:t>
        <w:br/>
        <w:t xml:space="preserve">      examen pericial sobre las ropas de  la  víctima,  que  dio  resultado</w:t>
        <w:br/>
        <w:t xml:space="preserve">      negativo para la presencia de semen, dicho examen se practicó después</w:t>
        <w:br/>
        <w:t xml:space="preserve">      de que las mismas estuvieran en poder de su madre,  con  lo  cual  ya</w:t>
        <w:br/>
        <w:t xml:space="preserve">      habían sido contaminadas (supra párr. 105 e infra párr. 197);</w:t>
        <w:br/>
        <w:br/>
        <w:t xml:space="preserve">   c) el informe de la inspección ocular y  el  acta  de  levantamiento  de</w:t>
        <w:br/>
        <w:t xml:space="preserve">      cadáver[291], elaborado por la Auxiliar Fiscal I de la Agencia No.  5</w:t>
        <w:br/>
        <w:t xml:space="preserve">      de Mixco, son incompletos y  presentan  contradicciones[292].  En  el</w:t>
        <w:br/>
        <w:t xml:space="preserve">      informe se indica que se hizo  un  croquis  del  lugar,  pero  no  se</w:t>
        <w:br/>
        <w:t xml:space="preserve">      adjunta; no hay constancia de la posición del cuerpo con respecto  al</w:t>
        <w:br/>
        <w:t xml:space="preserve">      lugar en que  apareció  ni  quienes  lo  movieron  previamente  a  su</w:t>
        <w:br/>
        <w:t xml:space="preserve">      levantamiento (supra párr. 97). No está documentado, por ejemplo,  si</w:t>
        <w:br/>
        <w:t xml:space="preserve">      se le dio protección a las manos  de  la  víctima,  para  posteriores</w:t>
        <w:br/>
        <w:t xml:space="preserve">      exámenes, forma en que estaban las evidencias, el estado de la ropa y</w:t>
        <w:br/>
        <w:t xml:space="preserve">      si tenía manchas de sangre, cabellos, fibras; si se buscaron  huellas</w:t>
        <w:br/>
        <w:t xml:space="preserve">      u otras evidencias. Además el cadáver fue trasladado a la  morgue  en</w:t>
        <w:br/>
        <w:t xml:space="preserve">      una unidad de la policía. Además, el “Reportaje Fotográfico” remitido</w:t>
        <w:br/>
        <w:t xml:space="preserve">      al Ministerio Público en el mes de marzo de 2002 (supra  párr.  113),</w:t>
        <w:br/>
        <w:t xml:space="preserve">      casi tres meses después del hallazgo  del  cuerpo  de  María  Isabel,</w:t>
        <w:br/>
        <w:t xml:space="preserve">      contiene 8 fotografías que no describen adecuadamente lo detallado en</w:t>
        <w:br/>
        <w:t xml:space="preserve">      los informes antes señalados en relación con  la  escena  del  crimen</w:t>
        <w:br/>
        <w:t xml:space="preserve">      (supra  párrs. 96 y 97);</w:t>
        <w:br/>
        <w:br/>
        <w:t xml:space="preserve">   d) dadas las carencias de los  informes,  en  el  año  2009,  ocho  años</w:t>
        <w:br/>
        <w:t xml:space="preserve">      después de su elaboración, el Ministerio Público trató  de  ubicar  a</w:t>
        <w:br/>
        <w:t xml:space="preserve">      los agentes de policía  que  participaron  en  las  diligencias  para</w:t>
        <w:br/>
        <w:t xml:space="preserve">      establecer aspectos fácticos relacionados con la situación del cuerpo</w:t>
        <w:br/>
        <w:t xml:space="preserve">      y evidencias al momento del hallazgo, en concreto, si la  víctima  se</w:t>
        <w:br/>
        <w:t xml:space="preserve">      encontraba dentro de una bolsa.  Sobre  ese  particular,  declaró  un</w:t>
        <w:br/>
        <w:t xml:space="preserve">      agente de la policía ante el Ministerio Público el  21  de  julio  de</w:t>
        <w:br/>
        <w:t xml:space="preserve">      2009, indicó que “cuando […] lleg[ó] a la escena del crimen” retiró a</w:t>
        <w:br/>
        <w:t xml:space="preserve">      las “personas curiosas” y “la persona fallecida estaba  tapada,  pero</w:t>
        <w:br/>
        <w:t xml:space="preserve">      no rec[ordó] la posición  del  cadáver  por  el  tiempo  que  [había]</w:t>
        <w:br/>
        <w:t xml:space="preserve">      pasado”[293]. Además, el Auxiliar Fiscal de la Agencia No.  1  de  la</w:t>
        <w:br/>
        <w:t xml:space="preserve">      Fiscalía Municipal de Mixco pidió información el 13 de julio de  2009</w:t>
        <w:br/>
        <w:t xml:space="preserve">      al Jefe de Bomberos Municipales de  la  ciudad  capital,  respecto  a</w:t>
        <w:br/>
        <w:t xml:space="preserve">      “[los] procedimiento[s] que cubri[eron] el día  18  de  diciembre  de</w:t>
        <w:br/>
        <w:t xml:space="preserve">      2001 en [el] terreno” donde fue ubicado el  cuerpo  de  María  Isabel</w:t>
        <w:br/>
        <w:t xml:space="preserve">      Veliz Franco”[294]. El 27 de julio de 2009  el  Secretario  Ejecutivo</w:t>
        <w:br/>
        <w:t xml:space="preserve">      del Cuerpo de Bomberos Municipales respondió que en sus  archivos  no</w:t>
        <w:br/>
        <w:t xml:space="preserve">      constaban datos sobre el hecho en cuestión  (supra  nota  al  pie  de</w:t>
        <w:br/>
        <w:t xml:space="preserve">      página 190)[295];</w:t>
        <w:br/>
        <w:br/>
        <w:t xml:space="preserve">   e) las primeras diligencias fueron reportadas de manera distinta por las</w:t>
        <w:br/>
        <w:t xml:space="preserve">      autoridades. Así, en la inspección ocular se señala que la diligencia</w:t>
        <w:br/>
        <w:t xml:space="preserve">      finalizó a las 16:15 horas, pero según el informe de los  agentes  de</w:t>
        <w:br/>
        <w:t xml:space="preserve">      la  PNC  que  acudieron  al  lugar  del  hallazgo,  los  técnicos  de</w:t>
        <w:br/>
        <w:t xml:space="preserve">      inspecciones oculares de la Unidad de Homicidios llegaron a las 15:20</w:t>
        <w:br/>
        <w:t xml:space="preserve">      horas. No obstante, en el acta de levantamiento del cadáver se indica</w:t>
        <w:br/>
        <w:t xml:space="preserve">      que el cuerpo fue trasladado a la morgue en la unidad policial No. 16-</w:t>
        <w:br/>
        <w:t xml:space="preserve">      045, a las 15:45 horas,  después  de  finalizada  la  diligencia[296]</w:t>
        <w:br/>
        <w:t xml:space="preserve">      (supra párr. 97);</w:t>
        <w:br/>
        <w:br/>
        <w:t xml:space="preserve">   f) en el informe policial se indica que los objetos encontrados quedaron</w:t>
        <w:br/>
        <w:t xml:space="preserve">      en poder de la Auxiliar Fiscal del Ministerio  Público,  pero  en  el</w:t>
        <w:br/>
        <w:t xml:space="preserve">      acta elaborada por ella no consigna lo ocurrido con  dichos  objetos.</w:t>
        <w:br/>
        <w:t xml:space="preserve">      Además,  las  prendas  de  vestir  de  María  Isabel   y   un   nylon</w:t>
        <w:br/>
        <w:t xml:space="preserve">      transparente, señaladas en el acta de remisión  de  indicios,  fueron</w:t>
        <w:br/>
        <w:t xml:space="preserve">      entregadas a la madre de la menor, por lo que, el 19 de diciembre  de</w:t>
        <w:br/>
        <w:t xml:space="preserve">      2001 fueron recolectadas en el lugar en donde se velaba el cuerpo  de</w:t>
        <w:br/>
        <w:t xml:space="preserve">      la  niña.  Dichos   objetos   fueron   embalados   ese   mismo   día,</w:t>
        <w:br/>
        <w:t xml:space="preserve">      identificándose  nueve  indicios,  y  enviados  al  Laboratorio   del</w:t>
        <w:br/>
        <w:t xml:space="preserve">      Departamento Técnico Científico del Ministerio Público  (supra  párr.</w:t>
        <w:br/>
        <w:t xml:space="preserve">      110). Sin embargo, con posterioridad fueron extraviados “un  pantalón</w:t>
        <w:br/>
        <w:t xml:space="preserve">      de lona, dos toallas y un par de calcetas”. El 14 de enero de 2011 el</w:t>
        <w:br/>
        <w:t xml:space="preserve">      Agente Fiscal requirió su búsqueda exhaustiva. Por lo que,  al  menos</w:t>
        <w:br/>
        <w:t xml:space="preserve">      hasta julio de 2011 se desconocía su ubicación, y</w:t>
        <w:br/>
        <w:br/>
        <w:t xml:space="preserve">   g) en la autopsia no aparece la hora ni la fecha de la muerte  de  María</w:t>
        <w:br/>
        <w:t xml:space="preserve">      Isabel,  y  posteriormente  se  solicitó  una  interpretación  de  la</w:t>
        <w:br/>
        <w:t xml:space="preserve">      autopsia, en la cual sólo se estimó que el  tiempo  de  fallecimiento</w:t>
        <w:br/>
        <w:t xml:space="preserve">      fue “de seis y doce horas” (supra párr. 111), pero no se indica si es</w:t>
        <w:br/>
        <w:t xml:space="preserve">      a partir del hallazgo del cuerpo o partir de la necropsia.  Ésta,  de</w:t>
        <w:br/>
        <w:t xml:space="preserve">      acuerdo al médico que la firmó, no posibilitaba la determinación “del</w:t>
        <w:br/>
        <w:t xml:space="preserve">      momento y forma en que falleció [María Isabel]”  (supra  párr.  111).</w:t>
        <w:br/>
        <w:t xml:space="preserve">      Tampoco se hicieron exámenes para determinar si la  niña  había  sido</w:t>
        <w:br/>
        <w:t xml:space="preserve">      objeto o no de violencia sexual[297]. Por lo que la  recopilación  de</w:t>
        <w:br/>
        <w:t xml:space="preserve">      información  fue  incompleta.  El  perito  José  Mario  Nájera  Ochoa</w:t>
        <w:br/>
        <w:t xml:space="preserve">      manifestó que: “la descripción de  los  fenómenos  cadavéricos  [era]</w:t>
        <w:br/>
        <w:t xml:space="preserve">      incompleta”, pese a que se indicó que el cadáver presentaba “estigmas</w:t>
        <w:br/>
        <w:t xml:space="preserve">      de mordidas, no se hizo mención a la obtención  de  muestras  de  las</w:t>
        <w:br/>
        <w:t xml:space="preserve">      áreas para efectuar estudios de  ADN”[298],  “no  describ[ió]  ningún</w:t>
        <w:br/>
        <w:t xml:space="preserve">      dato  compatible  con  asfixia  mecánica[299]”,  y  pese  a  que  “se</w:t>
        <w:br/>
        <w:t xml:space="preserve">      encontraron restos alimenticios en el estómago [no] se consign[ó] que</w:t>
        <w:br/>
        <w:t xml:space="preserve">      fuer[a]n enviados al laboratorio”. Por lo que concluyó  que  en  este</w:t>
        <w:br/>
        <w:t xml:space="preserve">      caso “la investigación forense fue deficiente”.  Por  otro  lado,  el</w:t>
        <w:br/>
        <w:t xml:space="preserve">      Estado señaló que “[e]n el año 2001 no [estaba] contemplado dentro de</w:t>
        <w:br/>
        <w:t xml:space="preserve">      la legislación vigente,  lineamientos  ni  protocolos  para  realizar</w:t>
        <w:br/>
        <w:t xml:space="preserve">      necropsias”.</w:t>
        <w:br/>
        <w:br/>
        <w:t>197. Como se demostró respecto a las prendas de vestir de María  Isabel  y</w:t>
        <w:br/>
        <w:t xml:space="preserve">    las dos toallas, no se aseguró la cadena de custodia, por lo que se han</w:t>
        <w:br/>
        <w:t xml:space="preserve">    visto expuestas y no se podría asegurar que no hayan sido contaminadas.</w:t>
        <w:br/>
        <w:t xml:space="preserve">    Dicha evidencia después fue objeto de diversos exámenes para determinar</w:t>
        <w:br/>
        <w:t xml:space="preserve">    la existencia de sangre, semen y elementos pilosos, entre otros, y como</w:t>
        <w:br/>
        <w:t xml:space="preserve">    se indicó en el apartado sobre hechos (supra párr.  110),  respecto  de</w:t>
        <w:br/>
        <w:t xml:space="preserve">    algunas prendas resultó  negativa  la  presencia  de  sangre  y  semen.</w:t>
        <w:br/>
        <w:t xml:space="preserve">    Igualmente los residuos de vómito  en  las  prendas  fueron  objeto  de</w:t>
        <w:br/>
        <w:t xml:space="preserve">    exámenes de toxicología, y del informe se desprende que no se contó con</w:t>
        <w:br/>
        <w:t xml:space="preserve">    una muestra útil, ya que  los  residuos  eran  insuficientes  o  ya  se</w:t>
        <w:br/>
        <w:t xml:space="preserve">    encontraban secos (supra párr. 110), lo que  demuestra  que  al  no  al</w:t>
        <w:br/>
        <w:t xml:space="preserve">    asegurarse   adecuadamente   la   prueba   los   análisis    resultaron</w:t>
        <w:br/>
        <w:t xml:space="preserve">    infructuosos. Posteriormente, recién en el año 2011  se  han  efectuado</w:t>
        <w:br/>
        <w:t xml:space="preserve">    pruebas de ADN y  se  realizó  una  comparación  entre  el  ADN  de  un</w:t>
        <w:br/>
        <w:t xml:space="preserve">    sospechoso y algunas de las prendas de vestir de María Isabel,  ya  que</w:t>
        <w:br/>
        <w:t xml:space="preserve">    no se cuenta con una muestra de ADN de  la  niña[300].  En  el  informe</w:t>
        <w:br/>
        <w:t xml:space="preserve">    pericial se destaca que “en algunas de las  prendas  no  se  encontraba</w:t>
        <w:br/>
        <w:t xml:space="preserve">    material genético útil para ser comparado” (supra párr. 112).  Respecto</w:t>
        <w:br/>
        <w:t xml:space="preserve">    a este punto, el Estado alegó que “si bien aceptó su responsabilidad de</w:t>
        <w:br/>
        <w:t xml:space="preserve">    no haber practicado todas las pruebas al cadáver, lo hizo a la  luz  de</w:t>
        <w:br/>
        <w:t xml:space="preserve">    las  que  puede  practicar  a  partir  de  2007,  cuando  ya  se  había</w:t>
        <w:br/>
        <w:t xml:space="preserve">    establecido el [INACIF], [p]or lo que la aceptación del Estado no  debe</w:t>
        <w:br/>
        <w:t xml:space="preserve">    interpretarse por no  haber  realizado  las  pruebas  que  tenía  a  su</w:t>
        <w:br/>
        <w:t xml:space="preserve">    disposición en el momento  de  los  hechos”.  El  perito  Nájera  Ochoa</w:t>
        <w:br/>
        <w:t xml:space="preserve">    manifestó que cuando “ocurrió el hecho,  los  estudios  de  ADN  no  se</w:t>
        <w:br/>
        <w:t xml:space="preserve">    efectuaban   en   Guatemala   y   las   muestras   eran   llevadas   al</w:t>
        <w:br/>
        <w:t xml:space="preserve">    extranjero”[301], lo cual  no  fue  controvertido  por  el  Estado.  No</w:t>
        <w:br/>
        <w:t xml:space="preserve">    obstante, si bien el Estado no contaba con dicha  prueba,  como  mínimo</w:t>
        <w:br/>
        <w:t xml:space="preserve">    debió  observar  los  estándares  mínimos   internacionales   para   la</w:t>
        <w:br/>
        <w:t xml:space="preserve">    recolección  y  preservación  de  las  evidencias.   Dichas   falencias</w:t>
        <w:br/>
        <w:t xml:space="preserve">    investigativas  difícilmente  pueden  ser  subsanadas  por  tardías   e</w:t>
        <w:br/>
        <w:t xml:space="preserve">    insuficientes diligencias probatorias  que  el  Estado  ha  tratado  de</w:t>
        <w:br/>
        <w:t xml:space="preserve">    impulsar. Claramente no se siguieron los debidos protocolos de  acuerdo</w:t>
        <w:br/>
        <w:t xml:space="preserve">    a los estándares fijados  por  este  Tribunal  a  la  luz  de  diversos</w:t>
        <w:br/>
        <w:t xml:space="preserve">    instrumentos internacionales para asegurar la cadena de custodia de las</w:t>
        <w:br/>
        <w:t xml:space="preserve">    evidencias y preservarlas para posteriores exámenes, lo que  repercutió</w:t>
        <w:br/>
        <w:t xml:space="preserve">    en los análisis periciales. La  pérdida  de  evidencia  podría  impedir</w:t>
        <w:br/>
        <w:t xml:space="preserve">    identificar al verdadero responsable de los hechos.</w:t>
        <w:br/>
        <w:br/>
        <w:t>198. De todo lo expuesto  se  desprende  que  el  Estado  no  realizó  las</w:t>
        <w:br/>
        <w:t xml:space="preserve">    diligencias  indispensables a partir del hallazgo, el 18  de  diciembre</w:t>
        <w:br/>
        <w:t xml:space="preserve">    de 2001,  del  cuerpo  de  María  Isabel.  En  esta  primera  etapa  se</w:t>
        <w:br/>
        <w:t xml:space="preserve">    presentaron  diversas  irregularidades  que  han  repercutido   en   la</w:t>
        <w:br/>
        <w:t xml:space="preserve">    investigación y que difícilmente podrían  ser  subsanadas  por  tardías</w:t>
        <w:br/>
        <w:t xml:space="preserve">    diligencias, a saber: a) falta de aseguramiento del lugar del  hallazgo</w:t>
        <w:br/>
        <w:t xml:space="preserve">    del cadáver; b) falta  de  rigurosidad  en  la  inspección  ocular;  c)</w:t>
        <w:br/>
        <w:t xml:space="preserve">    deficiencias en la elaboración del acta de levantamiento  del  cadáver;</w:t>
        <w:br/>
        <w:t xml:space="preserve">    d) traslado inadecuado del cadáver; e) recolección  inadecuada  de  las</w:t>
        <w:br/>
        <w:t xml:space="preserve">    evidencias y su manejo indebido; f) no se aseguró la cadena de custodia</w:t>
        <w:br/>
        <w:t xml:space="preserve">    de las evidencias, y g) necropsia incompleta.</w:t>
        <w:br/>
        <w:br/>
        <w:br/>
        <w:t xml:space="preserve">    B.2) Seguimiento de llamadas telefónicas</w:t>
        <w:br/>
        <w:br/>
        <w:br/>
        <w:t>199. En cuanto al seguimiento de la llamada telefónica  realizada  por  un</w:t>
        <w:br/>
        <w:t xml:space="preserve">    informante anónimo el 18 de diciembre de 2001 en la  que  aportó  datos</w:t>
        <w:br/>
        <w:t xml:space="preserve">    sobre la muerte de María Isabel, el Estado señaló  que  se  realizó  el</w:t>
        <w:br/>
        <w:t xml:space="preserve">    “allanamiento” en la dirección  suministrada  por  aquél  (supra  párr.</w:t>
        <w:br/>
        <w:t xml:space="preserve">    109)[302]. No obstante, se cumplió en forma efectiva el 8 de  julio  de</w:t>
        <w:br/>
        <w:t xml:space="preserve">    2003, es decir, transcurrido más de un año y  medio  desde  la  llamada</w:t>
        <w:br/>
        <w:t xml:space="preserve">    referida. Ni esta diligencia ni la inspección ocular (supra párr.  109)</w:t>
        <w:br/>
        <w:t xml:space="preserve">    tuvieron resultados positivos.</w:t>
        <w:br/>
        <w:br/>
        <w:t>200. En lo que se refiere al despliegue de las llamadas  del  celular  que</w:t>
        <w:br/>
        <w:t xml:space="preserve">    portaba María Isabel el día de los hechos, del expediente se  desprende</w:t>
        <w:br/>
        <w:t xml:space="preserve">    que el 26 de marzo de  2002  se  autorizó  requerir  el  despliegue  de</w:t>
        <w:br/>
        <w:t xml:space="preserve">    llamadas a diversas empresas de telecomunicaciones con el propósito  de</w:t>
        <w:br/>
        <w:t xml:space="preserve">    establecer a quien pertenecían determinados  números  de  teléfono,  la</w:t>
        <w:br/>
        <w:t xml:space="preserve">    dirección dónde puede ser  localizada  la  persona  propietaria  y  las</w:t>
        <w:br/>
        <w:t xml:space="preserve">    llamadas entrantes y salientes  entre  el  15  y  24  de  diciembre  de</w:t>
        <w:br/>
        <w:t xml:space="preserve">    2001[303]. Sin embargo, fue recién el 8 de junio de 2005 que el Técnico</w:t>
        <w:br/>
        <w:t xml:space="preserve">    en  Investigaciones  Criminalísticas  remitió  al  auxiliar  fiscal  el</w:t>
        <w:br/>
        <w:t xml:space="preserve">    informe sobre el desplegado de llamadas telefónicas con un  análisis  y</w:t>
        <w:br/>
        <w:t xml:space="preserve">    esquemas de las mismas (supra nota al pie de página 148). Con  base  en</w:t>
        <w:br/>
        <w:t xml:space="preserve">    ese informe se hicieron algunas investigaciones complementarias.</w:t>
        <w:br/>
        <w:br/>
        <w:t>201. Sin perjuicio de la pertinencia de  las  medidas  efectuadas,  de  lo</w:t>
        <w:br/>
        <w:t xml:space="preserve">    expuesto se deriva que, en el caso subjudice, el Estado no actuó con la</w:t>
        <w:br/>
        <w:t xml:space="preserve">    debida  prontitud  para  procurar  la   efectividad   de   determinadas</w:t>
        <w:br/>
        <w:t xml:space="preserve">    diligencias dirigidas a esclarecer los hechos, pues el allanamiento  se</w:t>
        <w:br/>
        <w:t xml:space="preserve">    efectuó más de un año y seis  meses  después  de  haberse  recibido  la</w:t>
        <w:br/>
        <w:t xml:space="preserve">    llamada anónima de 18 de diciembre  de  2001,  y  el  análisis  de  las</w:t>
        <w:br/>
        <w:t xml:space="preserve">    llamadas telefónicas fue considerado después más de tres años de contar</w:t>
        <w:br/>
        <w:t xml:space="preserve">    con la información.</w:t>
        <w:br/>
        <w:br/>
        <w:t xml:space="preserve">    B.3) Falta de adopción de medidas cautelares respecto a un sospechoso</w:t>
        <w:br/>
        <w:br/>
        <w:t>202. Este Tribunal ha constatado que la ampliación de 10 de abril de  2002</w:t>
        <w:br/>
        <w:t xml:space="preserve">    de un informe rendido el 20 de febrero de 2002 contiene un análisis  de</w:t>
        <w:br/>
        <w:t xml:space="preserve">    la relación entre María Isabel y uno de los sospechosos y los  indicios</w:t>
        <w:br/>
        <w:t xml:space="preserve">    que podrían hacer pensar que él  sería  responsable  del  homicidio  de</w:t>
        <w:br/>
        <w:t xml:space="preserve">    María Isabel, por  lo  que  los  investigadores  sugieren  capturar  al</w:t>
        <w:br/>
        <w:t xml:space="preserve">    sospechoso ante “el peligro de su fuga”. Posteriormente, el 21 de junio</w:t>
        <w:br/>
        <w:t xml:space="preserve">    de 2006 la Dirección de Investigaciones Criminalísticas  señaló  en  su</w:t>
        <w:br/>
        <w:t xml:space="preserve">    informe que no había sido posible ubicarlo (supra nota al pie de página</w:t>
        <w:br/>
        <w:t xml:space="preserve">    171).</w:t>
        <w:br/>
        <w:br/>
        <w:t>203. El Estado aceptó su responsabilidad en este punto (supra párr. 19)  y</w:t>
        <w:br/>
        <w:t xml:space="preserve">    de acuerdo a los expedientes aportados, no fue aplicada  al  sospechoso</w:t>
        <w:br/>
        <w:t xml:space="preserve">    medida cautelar alguna  y  cuando  se  pretendió  ubicar  de  nuevo  su</w:t>
        <w:br/>
        <w:t xml:space="preserve">    paradero, cuatro años después, no fue posible  localizarlo.  La  Corte,</w:t>
        <w:br/>
        <w:t xml:space="preserve">    teniendo en cuenta el reconocimiento estatal, considera que  el  Estado</w:t>
        <w:br/>
        <w:t xml:space="preserve">    no dio el debido  seguimiento  a  los  indicios  o  circunstancias  del</w:t>
        <w:br/>
        <w:t xml:space="preserve">    sospechoso que podrían haber fundado la necesidad de la adopción de una</w:t>
        <w:br/>
        <w:t xml:space="preserve">    medida cautelar. Dicha circunstancia impidió una  debida  investigación</w:t>
        <w:br/>
        <w:t xml:space="preserve">    del sospechoso, afectando la investigación.</w:t>
        <w:br/>
        <w:br/>
        <w:br/>
        <w:t xml:space="preserve">    B.4) Discriminación y falta de investigación con perspectiva de género</w:t>
        <w:br/>
        <w:br/>
        <w:br/>
        <w:t>204. El Tribunal ha establecido en su jurisprudencia que el  artículo  1.1</w:t>
        <w:br/>
        <w:t xml:space="preserve">    de la Convención es una norma de carácter general,  cuyo  contenido  se</w:t>
        <w:br/>
        <w:t xml:space="preserve">    extiende a todas las disposiciones  del  tratado,  ya  que  dispone  la</w:t>
        <w:br/>
        <w:t xml:space="preserve">    obligación de los Estados Partes de respetar y garantizar  el  pleno  y</w:t>
        <w:br/>
        <w:t xml:space="preserve">    libre ejercicio de los derechos  y  libertades  allí  reconocidos  “sin</w:t>
        <w:br/>
        <w:t xml:space="preserve">    discriminación alguna”. Es decir, cualquiera sea el origen o  la  forma</w:t>
        <w:br/>
        <w:t xml:space="preserve">    que asuma, todo tratamiento que pueda ser  considerado  discriminatorio</w:t>
        <w:br/>
        <w:t xml:space="preserve">    respecto del ejercicio de cualquiera de los derechos garantizados en la</w:t>
        <w:br/>
        <w:t xml:space="preserve">    Convención es per se incompatible con la misma[304]. El  incumplimiento</w:t>
        <w:br/>
        <w:t xml:space="preserve">    por el Estado, mediante cualquier tratamiento  discriminatorio,  de  la</w:t>
        <w:br/>
        <w:t xml:space="preserve">    obligación general de respetar y garantizar los  derechos  humanos,  le</w:t>
        <w:br/>
        <w:t xml:space="preserve">    genera responsabilidad internacional[305]. Es por ello  que  existe  un</w:t>
        <w:br/>
        <w:t xml:space="preserve">    vínculo indisoluble entre la obligación de respetar  y  garantizar  los</w:t>
        <w:br/>
        <w:t xml:space="preserve">    derechos humanos y el principio de igualdad y no discriminación[306].</w:t>
        <w:br/>
        <w:br/>
        <w:t>205. El principio de la protección igualitaria y efectiva de la ley  y  de</w:t>
        <w:br/>
        <w:t xml:space="preserve">    la no discriminación constituye un dato  sobresaliente  en  el  sistema</w:t>
        <w:br/>
        <w:t xml:space="preserve">    tutelar de los derechos humanos consagrado  en  numerosos  instrumentos</w:t>
        <w:br/>
        <w:t xml:space="preserve">    internacionales y desarrollado por la doctrina  y  jurisprudencia[307].</w:t>
        <w:br/>
        <w:t xml:space="preserve">    En la actual etapa  de  la  evolución  del  derecho  internacional,  el</w:t>
        <w:br/>
        <w:t xml:space="preserve">    principio fundamental de igualdad y no discriminación ha  ingresado  en</w:t>
        <w:br/>
        <w:t xml:space="preserve">    el dominio del jus cogens. Sobre él descansa el andamiaje jurídico  del</w:t>
        <w:br/>
        <w:t xml:space="preserve">    orden público nacional e internacional y permean todo  el  ordenamiento</w:t>
        <w:br/>
        <w:t xml:space="preserve">    jurídico[308].</w:t>
        <w:br/>
        <w:br/>
        <w:t>206. Además, el Tribunal ha establecido que los Estados  deben  abstenerse</w:t>
        <w:br/>
        <w:t xml:space="preserve">    de realizar acciones que de cualquier manera vayan dirigidas, directa o</w:t>
        <w:br/>
        <w:t xml:space="preserve">    indirectamente, a crear situaciones de  discriminación  de  jure  o  de</w:t>
        <w:br/>
        <w:t xml:space="preserve">    facto[309]. Los Estados están obligados  a  adoptar  medidas  positivas</w:t>
        <w:br/>
        <w:t xml:space="preserve">    para revertir o cambiar situaciones discriminatorias existentes en  sus</w:t>
        <w:br/>
        <w:t xml:space="preserve">    sociedades, en perjuicio de determinado grupo de personas. Esto implica</w:t>
        <w:br/>
        <w:t xml:space="preserve">    el deber especial de protección que el Estado debe ejercer con respecto</w:t>
        <w:br/>
        <w:t xml:space="preserve">    a actuaciones y  prácticas  de  terceros  que,  bajo  su  tolerancia  o</w:t>
        <w:br/>
        <w:t xml:space="preserve">    aquiescencia,   creen,   mantengan   o   favorezcan   las   situaciones</w:t>
        <w:br/>
        <w:t xml:space="preserve">    discriminatorias[310].</w:t>
        <w:br/>
        <w:br/>
        <w:t>207. La Corte estima que la violencia basada en el  género,  es  decir  la</w:t>
        <w:br/>
        <w:t xml:space="preserve">    violencia dirigida contra una mujer por ser mujer o  la  violencia  que</w:t>
        <w:br/>
        <w:t xml:space="preserve">    afecta  a  la  mujer  de  manera  desproporcionada,  es  una  forma  de</w:t>
        <w:br/>
        <w:t xml:space="preserve">    discriminación en contra de la  mujer,  tal  como  han  señalado  otros</w:t>
        <w:br/>
        <w:t xml:space="preserve">    organismos internacionales de protección de derechos humanos,  como  el</w:t>
        <w:br/>
        <w:t xml:space="preserve">    Tribunal  Europeo  de  Derechos  Humanos  y  el  CEDAW[311].  Tanto  la</w:t>
        <w:br/>
        <w:t xml:space="preserve">    Convención de Belém do Pará (preámbulo y  artículo  6)  como  el  CEDAW</w:t>
        <w:br/>
        <w:t xml:space="preserve">    (preámbulo) han reconocido el  vínculo  existente  entre  la  violencia</w:t>
        <w:br/>
        <w:t xml:space="preserve">    contra las mujeres  y  la  discriminación.  En  el  mismo  sentido,  el</w:t>
        <w:br/>
        <w:t xml:space="preserve">    Convenio del Consejo de Europa  sobre  prevención  y  lucha  contra  la</w:t>
        <w:br/>
        <w:t xml:space="preserve">    violencia contra las mujeres y la violencia doméstica (Estambul,  2011)</w:t>
        <w:br/>
        <w:t xml:space="preserve">    afirma que “la violencia contra las mujeres  es  una  manifestación  de</w:t>
        <w:br/>
        <w:t xml:space="preserve">    desequilibrio histórico entre la mujer y el hombre que ha llevado a  la</w:t>
        <w:br/>
        <w:t xml:space="preserve">    dominación y a la discriminación de la mujer por  el  hombre,  privando</w:t>
        <w:br/>
        <w:t xml:space="preserve">    así a la mujer de su plena emancipación”, así como que  “la  naturaleza</w:t>
        <w:br/>
        <w:t xml:space="preserve">    estructural de la violencia  contra  las  mujeres  está  basada  en  el</w:t>
        <w:br/>
        <w:t xml:space="preserve">    género”[312].</w:t>
        <w:br/>
        <w:br/>
        <w:t>208.  La  Corte  reitera  que  la  ineficacia  judicial  frente  a   casos</w:t>
        <w:br/>
        <w:t xml:space="preserve">    individuales de violencia contra las mujeres propicia  un  ambiente  de</w:t>
        <w:br/>
        <w:t xml:space="preserve">    impunidad que facilita y  promueve  la  repetición  de  los  hechos  de</w:t>
        <w:br/>
        <w:t xml:space="preserve">    violencia en general y envía un mensaje  según  el  cual  la  violencia</w:t>
        <w:br/>
        <w:t xml:space="preserve">    contra las mujeres puede ser tolerada y aceptada, lo  que  favorece  su</w:t>
        <w:br/>
        <w:t xml:space="preserve">    perpetuación y la aceptación social del fenómeno, el sentimiento  y  la</w:t>
        <w:br/>
        <w:t xml:space="preserve">    sensación de inseguridad de  las  mujeres,  así  como  una  persistente</w:t>
        <w:br/>
        <w:t xml:space="preserve">    desconfianza de estas en el sistema de administración de justicia[313].</w:t>
        <w:br/>
        <w:t xml:space="preserve">    Dicha  ineficacia  o  indiferencia   constituye   en   sí   misma   una</w:t>
        <w:br/>
        <w:t xml:space="preserve">    discriminación [de la mujer] en el acceso a la justicia[314]. Por ello,</w:t>
        <w:br/>
        <w:t xml:space="preserve">    cuando existan indicios o sospechas concretas de violencia  de  género,</w:t>
        <w:br/>
        <w:t xml:space="preserve">    la falta de investigación por parte de las autoridades de los  posibles</w:t>
        <w:br/>
        <w:t xml:space="preserve">    móviles discriminatorios que tuvo un acto de violencia contra la mujer,</w:t>
        <w:br/>
        <w:t xml:space="preserve">    puede constituir en sí misma una forma de discriminación basada  en  el</w:t>
        <w:br/>
        <w:t xml:space="preserve">    género.</w:t>
        <w:br/>
        <w:br/>
        <w:t>209. Según determinadas pautas internacionales  en  materia  de  violencia</w:t>
        <w:br/>
        <w:t xml:space="preserve">    contra la mujer y violencia sexual[315], las pruebas  relativas  a  los</w:t>
        <w:br/>
        <w:t xml:space="preserve">    antecedentes sexuales de la víctima son en principio inadmisibles,  por</w:t>
        <w:br/>
        <w:t xml:space="preserve">    lo que la apertura de líneas de investigación sobre  el  comportamiento</w:t>
        <w:br/>
        <w:t xml:space="preserve">    social o sexual previo de las víctimas en casos de violencia de  género</w:t>
        <w:br/>
        <w:t xml:space="preserve">    no es más que la manifestación de  políticas  o  actitudes  basadas  en</w:t>
        <w:br/>
        <w:t xml:space="preserve">    estereotipos de género.</w:t>
        <w:br/>
        <w:br/>
        <w:t>210. Como ya fue demostrado en el presente caso, las autoridades  a  cargo</w:t>
        <w:br/>
        <w:t xml:space="preserve">    de la investigación omitieron pruebas pertinentes  para  determinar  la</w:t>
        <w:br/>
        <w:t xml:space="preserve">    violencia sexual, o las realizaron tardíamente cuando ya los  elementos</w:t>
        <w:br/>
        <w:t xml:space="preserve">    de  prueba,  cuya  cadena  de  custodia  no   se   resguardó,   estaban</w:t>
        <w:br/>
        <w:t xml:space="preserve">    contaminados (supra párr. 196.b). Además, la  Corte  considera  que  la</w:t>
        <w:br/>
        <w:t xml:space="preserve">    falta de debida diligencia en la  investigación  del  homicidio  de  la</w:t>
        <w:br/>
        <w:t xml:space="preserve">    víctima  está  estrechamente  vinculada  a  la  ausencia  de  normas  o</w:t>
        <w:br/>
        <w:t xml:space="preserve">    protocolos específicos para la investigación de casos de homicidios  de</w:t>
        <w:br/>
        <w:t xml:space="preserve">    mujeres por razón de género y de violencia contra la mujer en  general.</w:t>
        <w:br/>
        <w:t xml:space="preserve">    Tal como ha reconocido el Estado, en el momento de los hechos, no había</w:t>
        <w:br/>
        <w:t xml:space="preserve">    legislación ni procedimientos  específicos  para  investigar  casos  de</w:t>
        <w:br/>
        <w:t xml:space="preserve">    violencia contra la mujer. La mayoría  de  las  leyes  y  medidas  para</w:t>
        <w:br/>
        <w:t xml:space="preserve">    luchar contra dicho fenómeno han  sido  adoptadas  por  el  Estado  con</w:t>
        <w:br/>
        <w:t xml:space="preserve">    posterioridad a los hechos del presente caso[316], por lo  que  no  han</w:t>
        <w:br/>
        <w:t xml:space="preserve">    podido ser aplicadas al mismo ni han contribuido para la efectividad de</w:t>
        <w:br/>
        <w:t xml:space="preserve">    la investigación llevada a cabo en relación a la muerte de María Isabel</w:t>
        <w:br/>
        <w:t xml:space="preserve">    Veliz Franco. Lo anterior podría, en  parte,  explicar  la  negligencia</w:t>
        <w:br/>
        <w:t xml:space="preserve">    estatal,  pero  no  justificarla  o  fungir   como   eximente   de   la</w:t>
        <w:br/>
        <w:t xml:space="preserve">    responsabilidad internacional del Estado. Ello, en tanto las normas  en</w:t>
        <w:br/>
        <w:t xml:space="preserve">    que se sustentan los derechos y obligaciones aquí examinados mandan  la</w:t>
        <w:br/>
        <w:t xml:space="preserve">    plena observancia de éstas y aquéllos en forma inmediatamente  exigible</w:t>
        <w:br/>
        <w:t xml:space="preserve">    al Estado a partir de la entrada en vigor de los tratados  respectivos.</w:t>
        <w:br/>
        <w:t xml:space="preserve">    Por ello, el Tribunal no puede admitir el argumento del Estado según el</w:t>
        <w:br/>
        <w:t xml:space="preserve">    cual se eximiría de responsabilidad con base  en  que  las  autoridades</w:t>
        <w:br/>
        <w:t xml:space="preserve">    estatales tomaron todas las medidas pertinentes de conformidad  con  la</w:t>
        <w:br/>
        <w:t xml:space="preserve">    legislación vigente en ese momento y dentro de sus posibilidades.</w:t>
        <w:br/>
        <w:br/>
        <w:t>211. Adicionalmente, las dificultades  para  establecer  si  María  Isabel</w:t>
        <w:br/>
        <w:t xml:space="preserve">    Veliz Franco  fue  víctima  de  violencia  contra  la  mujer  según  la</w:t>
        <w:br/>
        <w:t xml:space="preserve">    Convención de Belém do Pará deriva en  parte  de  la  ausencia  de  una</w:t>
        <w:br/>
        <w:t xml:space="preserve">    investigación  profunda  y  efectiva  por  parte  de  las   autoridades</w:t>
        <w:br/>
        <w:t xml:space="preserve">    estatales sobre el  incidente  violento  que  causó  la  muerte  de  la</w:t>
        <w:br/>
        <w:t xml:space="preserve">    víctima, así como de sus posibles causas y motivaciones. La Corte ya ha</w:t>
        <w:br/>
        <w:t xml:space="preserve">    señalado que en el momento de los hechos ocurridos en el 2001,  existía</w:t>
        <w:br/>
        <w:t xml:space="preserve">    en Guatemala un contexto de incremento de  homicidios  que  involucraba</w:t>
        <w:br/>
        <w:t xml:space="preserve">    actos contra mujeres (supra párr. 81), a  lo  que  se  une  que  en  el</w:t>
        <w:br/>
        <w:t xml:space="preserve">    presente  caso  había  indicios  suficientes  para  sospechar  que   el</w:t>
        <w:br/>
        <w:t xml:space="preserve">    homicidio de la víctima pudo tener un  móvil  discriminatorio,  por  el</w:t>
        <w:br/>
        <w:t xml:space="preserve">    odio o desprecio por su condición de mujer, o que  fue  perpetrado  con</w:t>
        <w:br/>
        <w:t xml:space="preserve">    algún tipo de violencia sexual (supra párrs. 178 y 196.b) e infra párr.</w:t>
        <w:br/>
        <w:t xml:space="preserve">    225). Además, según se desprende del  expediente  judicial,  la  señora</w:t>
        <w:br/>
        <w:t xml:space="preserve">    Rosa Elvira Franco Sandoval comunicó mediante escrito al Fiscal General</w:t>
        <w:br/>
        <w:t xml:space="preserve">    y Jefe del Ministerio Público que cuando tuvo que  ir  a  la  morgue  a</w:t>
        <w:br/>
        <w:t xml:space="preserve">    reconocer a su hija, el forense “le  indicó  que  su  hija  había  sido</w:t>
        <w:br/>
        <w:t xml:space="preserve">    violada” (supra párr. 98).</w:t>
        <w:br/>
        <w:br/>
        <w:t>212. Este incumplimiento del deber de no discriminación se vio agravado en</w:t>
        <w:br/>
        <w:t xml:space="preserve">    el presente caso por el hecho de que algunos funcionarios a cargo de la</w:t>
        <w:br/>
        <w:t xml:space="preserve">    investigación  del  caso  efectuaron  declaraciones  que   denotan   la</w:t>
        <w:br/>
        <w:t xml:space="preserve">    existencia de prejuicios y estereotipos sobre  el  rol  social  de  las</w:t>
        <w:br/>
        <w:t xml:space="preserve">    mujeres. Del acervo probatorio se desprende que en algunos informes  de</w:t>
        <w:br/>
        <w:t xml:space="preserve">    la investigación se hizo referencia explícita a la forma de  vestir  de</w:t>
        <w:br/>
        <w:t xml:space="preserve">    María Isabel, a su vida social y nocturna, a sus creencias  religiosas,</w:t>
        <w:br/>
        <w:t xml:space="preserve">    así como a la falta de  preocupación  o  vigilancia  por  parte  de  su</w:t>
        <w:br/>
        <w:t xml:space="preserve">    familia. Según un escrito de la madre de la víctima de 27 de  abril  de</w:t>
        <w:br/>
        <w:t xml:space="preserve">    2007 (supra párr. 118), la Auxiliar Fiscal de la Agencia No. 5 de Mixco</w:t>
        <w:br/>
        <w:t xml:space="preserve">    le  habría  dicho  que  María   Isabel   “era   una   cualquiera,   una</w:t>
        <w:br/>
        <w:t xml:space="preserve">    prostituta”[317]. Asimismo, con base en información suministrada en  un</w:t>
        <w:br/>
        <w:t xml:space="preserve">    peritaje psicológico practicado a una amiga de María Isabel, el perito,</w:t>
        <w:br/>
        <w:t xml:space="preserve">    sin fundamento, en su informe, concluyó que la víctima  habría  sufrido</w:t>
        <w:br/>
        <w:t xml:space="preserve">    de “inestabilidad emocional al andar con varios novios y amigos” (supra</w:t>
        <w:br/>
        <w:t xml:space="preserve">    párr. 118). Si bien es cierto, como alegó el  Estado,  que  algunas  de</w:t>
        <w:br/>
        <w:t xml:space="preserve">    estas afirmaciones provenían de las declaraciones rendidas por testigos</w:t>
        <w:br/>
        <w:t xml:space="preserve">    o entrevistados (conocidos y amigos de la víctima) en el  marco  de  la</w:t>
        <w:br/>
        <w:t xml:space="preserve">    investigación,  el  hecho  de  que   se   diera   relevancia   en   los</w:t>
        <w:br/>
        <w:t xml:space="preserve">    interrogatorios y en los informes a ciertos aspectos de la vida privada</w:t>
        <w:br/>
        <w:t xml:space="preserve">    y del comportamiento previo de María Isabel demuestra la existencia  de</w:t>
        <w:br/>
        <w:t xml:space="preserve">    estereotipos de género. Esta conclusión coincide con el contexto al que</w:t>
        <w:br/>
        <w:t xml:space="preserve">    hacen  referencia   ciertos   estudios   y   testimonios   de   mujeres</w:t>
        <w:br/>
        <w:t xml:space="preserve">    sobrevivientes y sus familiares, así como la perita Solís García, sobre</w:t>
        <w:br/>
        <w:t xml:space="preserve">    la “tendencia de los investigadores a desacreditar  a  las  víctimas  y</w:t>
        <w:br/>
        <w:t xml:space="preserve">    culpabilizarlas por su estilo de vida,  o  ropa”  y  la  indagación  de</w:t>
        <w:br/>
        <w:t xml:space="preserve">    aspectos relativos a las relaciones  personales  y  sexualidad  de  las</w:t>
        <w:br/>
        <w:t xml:space="preserve">    víctimas (supra párr. 90).</w:t>
        <w:br/>
        <w:br/>
        <w:t>213. En  el  presente  caso,  los  estereotipos  de  género  tuvieron  una</w:t>
        <w:br/>
        <w:t xml:space="preserve">    influencia negativa en la investigación del caso, en la medida  en  que</w:t>
        <w:br/>
        <w:t xml:space="preserve">    trasladaron la culpa de lo acontecido a la víctima y a sus  familiares,</w:t>
        <w:br/>
        <w:t xml:space="preserve">    cerrando   otras   líneas   posibles   de   investigación   sobre   las</w:t>
        <w:br/>
        <w:t xml:space="preserve">    circunstancias del caso e identificación de los autores.  Al  respecto,</w:t>
        <w:br/>
        <w:t xml:space="preserve">    la Corte ya ha tenido ocasión de señalar  que  la  creación  y  uso  de</w:t>
        <w:br/>
        <w:t xml:space="preserve">    estereotipos se convierte en una de las causas y  consecuencias  de  la</w:t>
        <w:br/>
        <w:t xml:space="preserve">    violencia de género en contra de la mujer[318].</w:t>
        <w:br/>
        <w:br/>
        <w:br/>
        <w:t>214. La Corte, refiriéndose a los artículos 1.1 y 24 de la Convención,  ha</w:t>
        <w:br/>
        <w:t xml:space="preserve">    indicado que  “la diferencia entre los dos artículos radica en  que  la</w:t>
        <w:br/>
        <w:t xml:space="preserve">    obligación general del artículo 1.1 se refiere al deber del  Estado  de</w:t>
        <w:br/>
        <w:t xml:space="preserve">    respetar y garantizar ‘sin discriminación’ los derechos  contenidos  en</w:t>
        <w:br/>
        <w:t xml:space="preserve">    la Convención Americana. [E]n otras palabras, si un  Estado  discrimina</w:t>
        <w:br/>
        <w:t xml:space="preserve">    en el respeto o  garantía  de  un  derecho  convencional,  violaría  el</w:t>
        <w:br/>
        <w:t xml:space="preserve">    artículo 1.1 y el derecho sustantivo en cuestión. Si por  el  contrario</w:t>
        <w:br/>
        <w:t xml:space="preserve">    la discriminación se refiere  a  una  protección  desigual  de  la  ley</w:t>
        <w:br/>
        <w:t xml:space="preserve">    interna o su aplicación, el hecho debe analizarse a la luz del artículo</w:t>
        <w:br/>
        <w:t xml:space="preserve">    24”[319].</w:t>
        <w:br/>
        <w:br/>
        <w:br/>
        <w:t>215.  Los  hechos  del  presente  caso  comprenden  ambas  modalidades  de</w:t>
        <w:br/>
        <w:t xml:space="preserve">    discriminación y por  lo  tanto  no  se  hace  necesario  realizar  una</w:t>
        <w:br/>
        <w:t xml:space="preserve">    distinción, por lo cual la Corte considera que se ha violado  tanto  el</w:t>
        <w:br/>
        <w:t xml:space="preserve">    derecho a la igual protección de la ley (artículo 24) como el deber  de</w:t>
        <w:br/>
        <w:t xml:space="preserve">    respetar y garantizar sin discriminación los derechos contenidos en  la</w:t>
        <w:br/>
        <w:t xml:space="preserve">    Convención Americana (artículo 1.1).</w:t>
        <w:br/>
        <w:br/>
        <w:t>216. En consecuencia, la Corte estima que la investigación  del  homicidio</w:t>
        <w:br/>
        <w:t xml:space="preserve">    de María Isabel no ha sido conducida con una perspectiva de  género  de</w:t>
        <w:br/>
        <w:t xml:space="preserve">    acuerdo a las obligaciones especiales impuestas por  la  Convención  de</w:t>
        <w:br/>
        <w:t xml:space="preserve">    Belém do Pará. Por ello,  en  el  marco  de  la  investigación,  en  el</w:t>
        <w:br/>
        <w:t xml:space="preserve">    presente caso el Estado violó el derecho a la igual  protección  de  la</w:t>
        <w:br/>
        <w:t xml:space="preserve">    ley contenido en el artículo 24 de la Convención Americana, en relación</w:t>
        <w:br/>
        <w:t xml:space="preserve">    con el deber de no discriminación contenido  en  el  artículo  1.1  del</w:t>
        <w:br/>
        <w:t xml:space="preserve">    tratado.</w:t>
        <w:br/>
        <w:br/>
        <w:t xml:space="preserve">    B.5) Plazo razonable</w:t>
        <w:br/>
        <w:br/>
        <w:t>217. Por otra  parte,  en  cuanto  a  la  alegada  vulneración  del  plazo</w:t>
        <w:br/>
        <w:t xml:space="preserve">    razonable argumentado por las representantes, la Corte se remite a  sus</w:t>
        <w:br/>
        <w:t xml:space="preserve">    pronunciamientos anteriores en los que ha señalado  que,  para  que  la</w:t>
        <w:br/>
        <w:t xml:space="preserve">    investigación sea conducida de manera seria, imparcial y como un  deber</w:t>
        <w:br/>
        <w:t xml:space="preserve">    jurídico propio, el derecho de acceso a la  justicia  requiere  que  se</w:t>
        <w:br/>
        <w:t xml:space="preserve">    haga efectiva la determinación de  los  hechos  que  se  investigan  en</w:t>
        <w:br/>
        <w:t xml:space="preserve">    tiempo  razonable[320].  Este  Tribunal  ha  señalado  que  el   “plazo</w:t>
        <w:br/>
        <w:t xml:space="preserve">    razonable” al que se refiere el artículo 8.1 de la Convención  se  debe</w:t>
        <w:br/>
        <w:t xml:space="preserve">    apreciar en relación con la duración total  del  procedimiento  que  se</w:t>
        <w:br/>
        <w:t xml:space="preserve">    desarrolla hasta que se dicta la sentencia  definitiva[321].  La  Corte</w:t>
        <w:br/>
        <w:t xml:space="preserve">    considera que una demora prolongada, como la que se  ha  dado  en  este</w:t>
        <w:br/>
        <w:t xml:space="preserve">    caso, constituye en principio,  por  sí  misma,  una  violación  a  las</w:t>
        <w:br/>
        <w:t xml:space="preserve">    garantías judiciales[322].</w:t>
        <w:br/>
        <w:br/>
        <w:t>218. En el presente caso, la Corte resalta que en fase inicial durante  el</w:t>
        <w:br/>
        <w:t xml:space="preserve">    conflicto de competencia sustanciado entre el 11 de marzo y  el  21  de</w:t>
        <w:br/>
        <w:t xml:space="preserve">    noviembre de 2002 hubo un atraso en la  investigación,  como  el  mismo</w:t>
        <w:br/>
        <w:t xml:space="preserve">    Estado lo reconoció (supra párr. 19), de por lo menos ocho meses.  Cabe</w:t>
        <w:br/>
        <w:t xml:space="preserve">    señalar que si bien es posible plantear una duda  de  competencia[323],</w:t>
        <w:br/>
        <w:t xml:space="preserve">    como está normado  en  el  Código  Procesal  Penal  de  Guatemala[324],</w:t>
        <w:br/>
        <w:t xml:space="preserve">    también es fundamental que dicho conflicto se resuelva  con  prontitud,</w:t>
        <w:br/>
        <w:t xml:space="preserve">    para evitar dilaciones en la investigación o en el procedimiento penal.</w:t>
        <w:br/>
        <w:t xml:space="preserve">    En los expedientes aportados por las partes se desprende que durante el</w:t>
        <w:br/>
        <w:t xml:space="preserve">    período del conflicto se ordenó únicamente una diligencia sustantiva de</w:t>
        <w:br/>
        <w:t xml:space="preserve">    investigación por el Juzgado Primero de Mixco y se tramitaron distintos</w:t>
        <w:br/>
        <w:t xml:space="preserve">    oficios[325]. No obstante, en un oficio de un agente de la Fiscalía  de</w:t>
        <w:br/>
        <w:t xml:space="preserve">    Mixco se indicó que no se había continuado con la investigación  en  la</w:t>
        <w:br/>
        <w:t xml:space="preserve">    Fiscalía debido a que recibió instrucciones de su  superior  jerárquico</w:t>
        <w:br/>
        <w:t xml:space="preserve">    para no continuar con ésta, ya que no les correspondía,  y  señaló  que</w:t>
        <w:br/>
        <w:t xml:space="preserve">    una vez que el  juez  resolviera  la  declinatoria  de  competencia  se</w:t>
        <w:br/>
        <w:t xml:space="preserve">    enviaría el expediente a la Agencia [Fiscal] No. 5  de  Mixco[326].  En</w:t>
        <w:br/>
        <w:t xml:space="preserve">    consideración  del  reconocimiento  estatal  y  de  lo  expuesto,  este</w:t>
        <w:br/>
        <w:t xml:space="preserve">    Tribunal considera que la duda de competencia causó una inercia  en  la</w:t>
        <w:br/>
        <w:t xml:space="preserve">    investigación durante aproximadamente ocho meses.</w:t>
        <w:br/>
        <w:br/>
        <w:t>219. Además, hubo otros lapsos prolongados de ausencia de actividad.  Así,</w:t>
        <w:br/>
        <w:t xml:space="preserve">    de los hechos se desprende  que  no  hubo  actividad  de  investigación</w:t>
        <w:br/>
        <w:t xml:space="preserve">    sustantiva entre el 21 de julio de 2003 y el 19 de mayo de 2004,  entre</w:t>
        <w:br/>
        <w:t xml:space="preserve">    septiembre de 2004 y junio de 2005, entre febrero de 2007  y  julio  de</w:t>
        <w:br/>
        <w:t xml:space="preserve">    2009, y entre ese mes  y  diciembre  de  2010.  Asimismo,  no  ha  sido</w:t>
        <w:br/>
        <w:t xml:space="preserve">    allegada al Tribunal información  sobre  actuaciones  de  investigación</w:t>
        <w:br/>
        <w:t xml:space="preserve">    efectuadas durante el año 2013. Es claro en el caso que, siendo  el  de</w:t>
        <w:br/>
        <w:t xml:space="preserve">    investigar  un  deber  de  oficio  que  debe  ser  conducido  por   las</w:t>
        <w:br/>
        <w:t xml:space="preserve">    autoridades estatales, la inactividad durante  los  lapsos  mencionados</w:t>
        <w:br/>
        <w:t xml:space="preserve">    responden a la conducta de aquéllas. En consecuencia, para la Corte  no</w:t>
        <w:br/>
        <w:t xml:space="preserve">    es necesario realizar el análisis de los criterios mencionados dado que</w:t>
        <w:br/>
        <w:t xml:space="preserve">    es evidente que el tiempo transcurrido  es  atribuible  a  la  conducta</w:t>
        <w:br/>
        <w:t xml:space="preserve">    estatal, y sobrepasa excesivamente el plazo  que  pudiera  considerarse</w:t>
        <w:br/>
        <w:t xml:space="preserve">    razonable para que el Estado investigara los hechos del presente  caso.</w:t>
        <w:br/>
        <w:t xml:space="preserve">    Por lo tanto, los más de doce  años  que  ha  tomado  la  investigación</w:t>
        <w:br/>
        <w:t xml:space="preserve">    excede los límites de la razonabilidad[327], máxime siendo  que  en  la</w:t>
        <w:br/>
        <w:t xml:space="preserve">    actualidad el caso se encuentra aún  en  la  etapa  preparatoria  o  de</w:t>
        <w:br/>
        <w:t xml:space="preserve">    investigación[328]. Esta  falta  de  investigación  durante  tan  largo</w:t>
        <w:br/>
        <w:t xml:space="preserve">    período configura una flagrante denegación de justicia y una  violación</w:t>
        <w:br/>
        <w:t xml:space="preserve">    al derecho de acceso a la justicia de las víctimas.</w:t>
        <w:br/>
        <w:br/>
        <w:t>220. Lo anterior se refleja en que debido al tiempo transcurrido,  más  de</w:t>
        <w:br/>
        <w:t xml:space="preserve">    doce  años,  el  Juzgado  de  Primera  Instancia  de  Mixco  ha  pedido</w:t>
        <w:br/>
        <w:t xml:space="preserve">    información al Ministerio Público sobre el estado de la  investigación,</w:t>
        <w:br/>
        <w:t xml:space="preserve">    para emitir el acto conclusivo para presentar una acusación o  petición</w:t>
        <w:br/>
        <w:t xml:space="preserve">    de apertura a juicio[329]. En respuesta a ello, el  21  de  octubre  de</w:t>
        <w:br/>
        <w:t xml:space="preserve">    2009 el Ministerio Público manifestó  que  “solicita[ba]  [al  Juzgado]</w:t>
        <w:br/>
        <w:t xml:space="preserve">    dejar el caso en el estado que se encontraba [investigación]”,  ya  que</w:t>
        <w:br/>
        <w:t xml:space="preserve">    se encontraba en proceso ante Corte Interamericana y tenía conocimiento</w:t>
        <w:br/>
        <w:t xml:space="preserve">    del mismo la Comisión Presidencial  Coordinadora  de  la  Política  del</w:t>
        <w:br/>
        <w:t xml:space="preserve">    Ejecutivo en materia de Derechos Humanos (COPREDEH) y el Centro por  la</w:t>
        <w:br/>
        <w:t xml:space="preserve">    Justicia y Derecho Internacional (CEJIL), y que a  esa  fecha  “[sería]</w:t>
        <w:br/>
        <w:t xml:space="preserve">    uno de los casos que encabeza los  Femicidios  impunes  en  Guatemala”.</w:t>
        <w:br/>
        <w:t xml:space="preserve">    Como se advierte, las razones señaladas por el  Ministerio  Público  no</w:t>
        <w:br/>
        <w:t xml:space="preserve">    obedecieron a cuestiones de orden investigativo. Ante  otro  pedido  de</w:t>
        <w:br/>
        <w:t xml:space="preserve">    dicho juzgado, en el año 2012 el Ministerio Público  solicitó  mantener</w:t>
        <w:br/>
        <w:t xml:space="preserve">    abierto el proceso debido a que “la investigación estaba activa” (supra</w:t>
        <w:br/>
        <w:t xml:space="preserve">    nota al pie de página 207). Del  acervo  probatorio  se  desprende  que</w:t>
        <w:br/>
        <w:t xml:space="preserve">    actualmente en la investigación no se  ha  identificado  a  responsable</w:t>
        <w:br/>
        <w:t xml:space="preserve">    alguno ni se sigue alguna estrategia de investigativa de acuerdo  a  la</w:t>
        <w:br/>
        <w:t xml:space="preserve">    prueba e indicios recabados que permitan el esclarecimiento  del  caso.</w:t>
        <w:br/>
        <w:t xml:space="preserve">    Si bien esta Corte ha establecido que el  deber  de  investigar  es  un</w:t>
        <w:br/>
        <w:t xml:space="preserve">    deber de medios, no  de  resultados[330],  ello  no  significa  que  la</w:t>
        <w:br/>
        <w:t xml:space="preserve">    investigación  pueda  ser  emprendida  como  “una   simple   formalidad</w:t>
        <w:br/>
        <w:t xml:space="preserve">    condenada de antemano a ser infructuosa”[331]. Al respecto, el Tribunal</w:t>
        <w:br/>
        <w:t xml:space="preserve">    ha  establecido  que  “cada  acto  estatal  que  conforma  el   proceso</w:t>
        <w:br/>
        <w:t xml:space="preserve">    investigativo, así como la investigación en su  totalidad,  debe  estar</w:t>
        <w:br/>
        <w:t xml:space="preserve">    orientado hacia una finalidad específica, la determinación de la verdad</w:t>
        <w:br/>
        <w:t xml:space="preserve">    y la investigación, persecución, captura, enjuiciamiento, y en su caso,</w:t>
        <w:br/>
        <w:t xml:space="preserve">    la sanción de los responsables de los hechos”[332].</w:t>
        <w:br/>
        <w:br/>
        <w:t>221. Por otro lado, la Corte ha  constatado  que  la  señora  Rosa  Elvira</w:t>
        <w:br/>
        <w:t xml:space="preserve">    Franco ha tenido acceso a la investigación y ha participado activamente</w:t>
        <w:br/>
        <w:t xml:space="preserve">    en ésta a través de declaraciones, envío de escritos,  presentación  de</w:t>
        <w:br/>
        <w:t xml:space="preserve">    información y consultas a los funcionarios encargados del  caso,  entre</w:t>
        <w:br/>
        <w:t xml:space="preserve">    otros. Sin embargo, el Estado ha argumentado que dicha intervención  de</w:t>
        <w:br/>
        <w:t xml:space="preserve">    la señora Franco ha obstaculizado la investigación al  aportar  diversa</w:t>
        <w:br/>
        <w:t xml:space="preserve">    información, contradictoria o inconsistente, que  a  su  juicio  no  ha</w:t>
        <w:br/>
        <w:t xml:space="preserve">    resultado útil. Al respecto, este Tribunal considera que dicho  alegato</w:t>
        <w:br/>
        <w:t xml:space="preserve">    del Estado es inadmisible para justificar una demora  indebida  en  los</w:t>
        <w:br/>
        <w:t xml:space="preserve">    procedimientos, ya que en la jurisdicción  interna  corresponde  a  los</w:t>
        <w:br/>
        <w:t xml:space="preserve">    órganos competentes dirigir la investigación y encauzarla de acuerdo  a</w:t>
        <w:br/>
        <w:t xml:space="preserve">    las estrategias o líneas de investigación determinadas por  ellos  para</w:t>
        <w:br/>
        <w:t xml:space="preserve">    el esclarecimiento de los hechos y, en todo caso, la investigación debe</w:t>
        <w:br/>
        <w:t xml:space="preserve">    ser impulsada de oficio, sin que sean las  víctimas  o  sus  familiares</w:t>
        <w:br/>
        <w:t xml:space="preserve">    quienes tengan la carga de asumir tal iniciativa[333], que  corresponde</w:t>
        <w:br/>
        <w:t xml:space="preserve">    al Estado.</w:t>
        <w:br/>
        <w:br/>
        <w:t>222. De lo expuesto, la Corte concluye que el lapso de más  de  doce  años</w:t>
        <w:br/>
        <w:t xml:space="preserve">    que ha demorado la justicia interna sólo en la fase de investigación de</w:t>
        <w:br/>
        <w:t xml:space="preserve">    los hechos sobrepasa excesivamente  un  plazo  que  pueda  considerarse</w:t>
        <w:br/>
        <w:t xml:space="preserve">    razonable para que el Estado realizara las correspondientes diligencias</w:t>
        <w:br/>
        <w:t xml:space="preserve">    investigativas, y constituye una flagrante denegación de justicia.  Por</w:t>
        <w:br/>
        <w:t xml:space="preserve">    consiguiente, el presente caso se encuentra en un estado  de  impunidad</w:t>
        <w:br/>
        <w:t xml:space="preserve">    en el que no han sido identificados ni, en  su  caso,  sancionados  los</w:t>
        <w:br/>
        <w:t xml:space="preserve">    responsables del homicidio de María Isabel  y  sus  familiares  no  han</w:t>
        <w:br/>
        <w:t xml:space="preserve">    podido conocer la verdad de los hechos. La  obligación  del  Estado  de</w:t>
        <w:br/>
        <w:t xml:space="preserve">    investigar debe cumplirse diligentemente para evitar la impunidad y que</w:t>
        <w:br/>
        <w:t xml:space="preserve">    este tipo de hechos vuelvan a repetirse (supra párr. 183).</w:t>
        <w:br/>
        <w:br/>
        <w:t>223. Aunado a lo anterior, este Tribunal resalta que la  violencia  contra</w:t>
        <w:br/>
        <w:t xml:space="preserve">    la mujer, en razón de su género, es un  problema  histórico,  social  y</w:t>
        <w:br/>
        <w:t xml:space="preserve">    cultural que se encuentra arraigado en la sociedad  guatemalteca.  Ello</w:t>
        <w:br/>
        <w:t xml:space="preserve">    en razón de que durante y después  del  conflicto  armado  las  mujeres</w:t>
        <w:br/>
        <w:t xml:space="preserve">    sufrieron formas específicas  de  violencia  de  género,  quedando  los</w:t>
        <w:br/>
        <w:t xml:space="preserve">    perpetradores en total impunidad, por la incapacidad de los  tribunales</w:t>
        <w:br/>
        <w:t xml:space="preserve">    de justicia de investigar, juzgar,  y  en  su  caso,  sancionar  a  los</w:t>
        <w:br/>
        <w:t xml:space="preserve">    responsables (supra párrs. 68, 69, 81,83 y 84). Pese  a  que  Guatemala</w:t>
        <w:br/>
        <w:t xml:space="preserve">    fue uno de los primeros Estados en ratificar la Convención de Belém  do</w:t>
        <w:br/>
        <w:t xml:space="preserve">    Pará, por esas razones históricas, la  violencia  contra  la  mujer  ha</w:t>
        <w:br/>
        <w:t xml:space="preserve">    permanecido invisibilizada, situación que se refleja  en  la  falta  de</w:t>
        <w:br/>
        <w:t xml:space="preserve">    investigar los homicidios desde una perspectiva de género, ya  que  las</w:t>
        <w:br/>
        <w:t xml:space="preserve">    muertes  de  mujeres  son   investigadas   como   homicidios   simples,</w:t>
        <w:br/>
        <w:t xml:space="preserve">    manteniéndose dichos hechos  en  la  impunidad.  Asimismo,  no  existen</w:t>
        <w:br/>
        <w:t xml:space="preserve">    estadísticas oficiales respecto de los  delitos  por  razón  de  género</w:t>
        <w:br/>
        <w:t xml:space="preserve">    antes del año 2008,  que  permitan  visibilizar  la  situación  de  las</w:t>
        <w:br/>
        <w:t xml:space="preserve">    mujeres, y que  las  autoridades  estatales  tomen  consciencia  de  la</w:t>
        <w:br/>
        <w:t xml:space="preserve">    problemática y adopten las políticas públicas necesarias para  combatir</w:t>
        <w:br/>
        <w:t xml:space="preserve">    este tipo de hechos.</w:t>
        <w:br/>
        <w:br/>
        <w:t>224. Por otro lado, en cuanto  a  la  alegada  falta  de  sanción  de  los</w:t>
        <w:br/>
        <w:t xml:space="preserve">    funcionarios  públicos  responsables  de  las  irregularidades  en   la</w:t>
        <w:br/>
        <w:t xml:space="preserve">    tramitación de la  investigación,  este  Tribunal  en  algunos  de  los</w:t>
        <w:br/>
        <w:t xml:space="preserve">    apartados anteriores  ya  consideró  las  referidas  irregularidades  o</w:t>
        <w:br/>
        <w:t xml:space="preserve">    negligencias en las investigaciones, por lo que queda comprendido dicho</w:t>
        <w:br/>
        <w:t xml:space="preserve">    alegato, y no resulta necesario pronunciarse al respecto.</w:t>
        <w:br/>
        <w:br/>
        <w:t>C. Conclusión</w:t>
        <w:br/>
        <w:br/>
        <w:t>225.  Por lo expuesto, la Corte colige que  pese  a  indicios  de  que  el</w:t>
        <w:br/>
        <w:t xml:space="preserve">    homicidio de María  Isabel  podría  haberse  cometido  por  razones  de</w:t>
        <w:br/>
        <w:t xml:space="preserve">    género, la investigación no fue conducida con una perspectiva de género</w:t>
        <w:br/>
        <w:t xml:space="preserve">    y se demostró que hubo faltas a la debida diligencia y actos  de  sesgo</w:t>
        <w:br/>
        <w:t xml:space="preserve">    discriminatorio  en  la  misma.  La   investigación,   ha   sobrepasado</w:t>
        <w:br/>
        <w:t xml:space="preserve">    excesivamente  el  plazo  razonable  y  aún   continúa   en   su   fase</w:t>
        <w:br/>
        <w:t xml:space="preserve">    investigativa inicial. Además, la falta de diligencia en el caso,  como</w:t>
        <w:br/>
        <w:t xml:space="preserve">    reconoció  el  Estado,  se  vinculó  a  la  inexistencia  de  normas  y</w:t>
        <w:br/>
        <w:t xml:space="preserve">    protocolos para la investigación de este tipo de hechos.  Por  todo  lo</w:t>
        <w:br/>
        <w:t xml:space="preserve">    dicho, esta Corte concluye que la investigación abierta a nivel interno</w:t>
        <w:br/>
        <w:t xml:space="preserve">    no ha garantizado el acceso a la justicia de los  familiares  de  María</w:t>
        <w:br/>
        <w:t xml:space="preserve">    Isabel Veliz Franco, lo cual constituye una violación de los derechos a</w:t>
        <w:br/>
        <w:t xml:space="preserve">    las garantías judiciales y a la protección judicial consagrados en  los</w:t>
        <w:br/>
        <w:t xml:space="preserve">    artículos 8.1 y 25.1 de la Convención Americana,  y  el  derecho  a  la</w:t>
        <w:br/>
        <w:t xml:space="preserve">    igualdad ante ley consagrado en el artículo 24  de  la  Convención,  en</w:t>
        <w:br/>
        <w:t xml:space="preserve">    relación con las obligaciones generales contenidas en los artículos 1.1</w:t>
        <w:br/>
        <w:t xml:space="preserve">    y 2 de la Convención Americana, y con los artículos 7.b  y  7.c  de  la</w:t>
        <w:br/>
        <w:t xml:space="preserve">    Convención de Belém do Pará, en perjuicio la señora Rosa Elvira  Franco</w:t>
        <w:br/>
        <w:t xml:space="preserve">    Sandoval, Leonel Enrique Veliz Franco, José Roberto Franco,  y  de  los</w:t>
        <w:br/>
        <w:t xml:space="preserve">    abuelos ya fallecidos Cruz Elvira Sandoval  Polanco  y  Roberto  Franco</w:t>
        <w:br/>
        <w:t xml:space="preserve">    Pérez.</w:t>
        <w:br/>
        <w:br/>
        <w:t>226. Este Tribunal considera que las alegaciones referidas a la  violación</w:t>
        <w:br/>
        <w:t xml:space="preserve">    del artículo 19 de la Convención ya fueron examinadas  en  el  capítulo</w:t>
        <w:br/>
        <w:t xml:space="preserve">    anterior.  Por  otra  parte,  el  Tribunal  no  advierte  que   en   la</w:t>
        <w:br/>
        <w:t xml:space="preserve">    investigación  posterior  al  hallazgo  del  cuerpo   hubiera   medidas</w:t>
        <w:br/>
        <w:t xml:space="preserve">    especiales que el Estado hubiera debido adoptar en función de  carácter</w:t>
        <w:br/>
        <w:t xml:space="preserve">    de niña de la víctima. Por lo tanto, la  Corte  no  se  pronunciará  al</w:t>
        <w:br/>
        <w:t xml:space="preserve">    respecto en este apartado. Asimismo, en cuanto a la alegada vulneración</w:t>
        <w:br/>
        <w:t xml:space="preserve">    al deber de garantizar los derechos de María Isabel Veliz Franco por la</w:t>
        <w:br/>
        <w:t xml:space="preserve">    falta de investigación, lo pertinente, relativo a la  conducta  estatal</w:t>
        <w:br/>
        <w:t xml:space="preserve">    hasta el momento del hallazgo del cuerpo, ya ha sido  analizado  (supra</w:t>
        <w:br/>
        <w:t xml:space="preserve">    párr. 157).</w:t>
        <w:br/>
        <w:br/>
        <w:br/>
        <w:t>X</w:t>
        <w:br/>
        <w:br/>
        <w:br/>
        <w:t>DERECHO A LA INTEGRIDAD PERSONAL DE LOS FAMILIARES, EN RELACION CON LAS</w:t>
        <w:br/>
        <w:t>OBLIGACIONES DE RESPETAR Y GARANTIZAR LOS DERECHOS</w:t>
        <w:br/>
        <w:br/>
        <w:br/>
        <w:t>A. Argumentos de la Comisión y de las partes</w:t>
        <w:br/>
        <w:br/>
        <w:t>227. La Comisión señaló en su Informe de Fondo  que  el  Estado  violó  el</w:t>
        <w:br/>
        <w:t xml:space="preserve">    artículo 5.1 de la Convención, en  relación  con  artículo  1.1  de  la</w:t>
        <w:br/>
        <w:t xml:space="preserve">    misma, en perjuicio de Rosa  Elvira  Franco  Sandoval,  Leonel  Enrique</w:t>
        <w:br/>
        <w:t xml:space="preserve">    Veliz Franco,  José  Roberto  Franco  Sandoval,  Cruz  Elvira  Sandoval</w:t>
        <w:br/>
        <w:t xml:space="preserve">    Polanco  y  Roberto  Franco  Pérez,  en  virtud  de  que:  “ha  quedado</w:t>
        <w:br/>
        <w:t xml:space="preserve">    demostrado que los familiares de María Isabel Veliz Franco han padecido</w:t>
        <w:br/>
        <w:t xml:space="preserve">    un  profundo   sufrimiento   y   angustia   a   consecuencia   de   las</w:t>
        <w:br/>
        <w:t xml:space="preserve">    irregularidades  y  demoras  del  Estado  (…(  en   la   prevención   e</w:t>
        <w:br/>
        <w:t xml:space="preserve">    investigación de su desaparición y posterior muerte, y que  pese  a  la</w:t>
        <w:br/>
        <w:t xml:space="preserve">    gravedad de los hechos, a nueve años desde que se encontró  el  cadáver</w:t>
        <w:br/>
        <w:t xml:space="preserve">    asesinado, no haya sanción para los responsables”. Además  observó  “la</w:t>
        <w:br/>
        <w:t xml:space="preserve">    escasa importancia y sensibilidad que  los  funcionarios  estatales  le</w:t>
        <w:br/>
        <w:t xml:space="preserve">    otorgaron a las preocupaciones y al sufrimiento de la  madre  de  María</w:t>
        <w:br/>
        <w:t xml:space="preserve">    Isabel Veliz Franco, cuando intentaba impulsar las investigaciones”.</w:t>
        <w:br/>
        <w:br/>
        <w:t>228. La representante coincidió con lo sostenido por la Comisión y  señaló</w:t>
        <w:br/>
        <w:t xml:space="preserve">    que su madre, sus abuelos  y  hermanos  “vivían  con  María  Isabel  al</w:t>
        <w:br/>
        <w:t xml:space="preserve">    momento de su muerte y mantenían una relación cercana con ella, por  lo</w:t>
        <w:br/>
        <w:t xml:space="preserve">    que experimentaron angustia e incertidumbre ante  la  inacción  de  las</w:t>
        <w:br/>
        <w:t xml:space="preserve">    autoridades una vez que se reportó la desaparición”. Agregó que “(…(  a</w:t>
        <w:br/>
        <w:t xml:space="preserve">    lo largo del proceso de investigación, se calificó a  María  Isabel  de</w:t>
        <w:br/>
        <w:t xml:space="preserve">    ser una persona que “tenía relación con maras”, “tenía muchos novios” e</w:t>
        <w:br/>
        <w:t xml:space="preserve">    incluso se hizo  referencia  a  ella  como  “la  loca”.  Además  se  ha</w:t>
        <w:br/>
        <w:t xml:space="preserve">    calificado  a  su  madre  como  negligente(…(”;   estos   calificativos</w:t>
        <w:br/>
        <w:t xml:space="preserve">    “aumentaron  el  profundo  sufrimiento  que   ya   experimentaban   los</w:t>
        <w:br/>
        <w:t xml:space="preserve">    familiares de María Isabel”.</w:t>
        <w:br/>
        <w:br/>
        <w:t>229.  Además, argumentó que “(l(a señora Rosa  Elvira  en  su  empeño  por</w:t>
        <w:br/>
        <w:t xml:space="preserve">    obtener justicia para  su  hija,  se  ha  visto  expuesta  a  múltiples</w:t>
        <w:br/>
        <w:t xml:space="preserve">    amenazas y hostigamientos que han sido motivo de angustia y  dolor,  no</w:t>
        <w:br/>
        <w:t xml:space="preserve">    solo para ella, sino para los  hermanos  y  abuelos  de  María  Isabel,</w:t>
        <w:br/>
        <w:t xml:space="preserve">    frente a la posibilidad de que esta pueda ver  afectada  su  integridad</w:t>
        <w:br/>
        <w:t xml:space="preserve">    personal  o  incluso  su  vida  (…(”.  Finalmente,  las  representantes</w:t>
        <w:br/>
        <w:t xml:space="preserve">    mencionaron que “(l(os hechos del presente caso, no dejan duda  de  los</w:t>
        <w:br/>
        <w:t xml:space="preserve">    sufrimientos que experimentó la niña María Isabel. Estos hechos también</w:t>
        <w:br/>
        <w:t xml:space="preserve">    afectaron profundamente a su madre, hermanos, abuela y abuelo,  quienes</w:t>
        <w:br/>
        <w:t xml:space="preserve">    además de vivir la angustia de su desaparición y el sufrimiento por  la</w:t>
        <w:br/>
        <w:t xml:space="preserve">    pérdida de un ser querido, tuvieron que afrontar el  descredito  y  los</w:t>
        <w:br/>
        <w:t xml:space="preserve">    ataques a la memoria de María Isabel”.</w:t>
        <w:br/>
        <w:br/>
        <w:t>230. El Estado argumentó  que  “está  probado  con  el  contenido  de  los</w:t>
        <w:br/>
        <w:t xml:space="preserve">    expedientes de investigación, que no  trasgredió  los  derechos  de  la</w:t>
        <w:br/>
        <w:t xml:space="preserve">    víctima ni de su madre” y manifestó que “lamenta y  se  solidariza  con</w:t>
        <w:br/>
        <w:t xml:space="preserve">    [los familiares de María Isabel] por el sufrimiento que les  ha  podido</w:t>
        <w:br/>
        <w:t xml:space="preserve">    producir su trágico fallecimiento, sin embargo el sufrimiento producido</w:t>
        <w:br/>
        <w:t xml:space="preserve">    por los hechos es una consecuencia de su acaecimiento y no  es  causado</w:t>
        <w:br/>
        <w:t xml:space="preserve">    por el Estado”.  Agregó  que  “dentro  de  las  instituciones  públicas</w:t>
        <w:br/>
        <w:t xml:space="preserve">    respectivas  el  Estado  cuenta  con  atención  psicológica   que   los</w:t>
        <w:br/>
        <w:t xml:space="preserve">    peticionarios podrían haber utilizado  de  considerar  necesario  algún</w:t>
        <w:br/>
        <w:t xml:space="preserve">    tratamiento para resguardar su integridad psíquica y oral; sin  embargo</w:t>
        <w:br/>
        <w:t xml:space="preserve">    no consta que en algún momento hayan requerido dicho apoyo”.</w:t>
        <w:br/>
        <w:br/>
        <w:t>231. En relación al trato que habrían recibido María Isabel y su  madre  a</w:t>
        <w:br/>
        <w:t xml:space="preserve">    lo largo del proceso de investigación, el  Estado  argumentó  que  “los</w:t>
        <w:br/>
        <w:t xml:space="preserve">    funcionarios del Estado en ninguna forma  han  tratado  a  Rosa  Elvira</w:t>
        <w:br/>
        <w:t xml:space="preserve">    Franco Sandoval sin humanidad y respeto”. Durante la audiencia  pública</w:t>
        <w:br/>
        <w:t xml:space="preserve">    ante la Corte, el Estado manifestó que “no se encuentran elementos  que</w:t>
        <w:br/>
        <w:t xml:space="preserve">    demuestren actos de desprecio público, persecución o discriminación  en</w:t>
        <w:br/>
        <w:t xml:space="preserve">    agravio de [los] familiares [de María Isabel]”.</w:t>
        <w:br/>
        <w:br/>
        <w:t>232. Finalmente, en lo que respecta a las amenazas y hostigamientos a  los</w:t>
        <w:br/>
        <w:t xml:space="preserve">    familiares de María Isabel, el Estado manifestó que “ha  obedecido  [a]</w:t>
        <w:br/>
        <w:t xml:space="preserve">    la orden de proteger extraordinariamente la vida e  integridad  de  los</w:t>
        <w:br/>
        <w:t xml:space="preserve">    familiares  de  [María  Isabel]  mediante  la  provisión   de   medidas</w:t>
        <w:br/>
        <w:t xml:space="preserve">    cautelares [de la Comisión Interamericana]”.</w:t>
        <w:br/>
        <w:br/>
        <w:t>B. Consideraciones de la Corte</w:t>
        <w:br/>
        <w:br/>
        <w:t>233. La Corte ha considerado en numerosos casos que los familiares de  las</w:t>
        <w:br/>
        <w:t xml:space="preserve">    víctimas de violaciones de los derechos humanos pueden ser, a  su  vez,</w:t>
        <w:br/>
        <w:t xml:space="preserve">    víctimas[334]. En este punto, la Corte ha entendido violado el  derecho</w:t>
        <w:br/>
        <w:t xml:space="preserve">    a la integridad psíquica y moral de algunos familiares de las  víctimas</w:t>
        <w:br/>
        <w:t xml:space="preserve">    con motivo del  sufrimiento  adicional  que  estos  han  padecido  como</w:t>
        <w:br/>
        <w:t xml:space="preserve">    producto  de  las  circunstancias  particulares  de   las   violaciones</w:t>
        <w:br/>
        <w:t xml:space="preserve">    perpetradas contra sus seres queridos y  a  causa  de  las  posteriores</w:t>
        <w:br/>
        <w:t xml:space="preserve">    actuaciones u omisiones de  las  autoridades  estatales  frente  a  los</w:t>
        <w:br/>
        <w:t xml:space="preserve">    hechos[335].</w:t>
        <w:br/>
        <w:br/>
        <w:t>234. En el caso  sub  judice  la  Corte  considera  oportuno  señalar  que</w:t>
        <w:br/>
        <w:t xml:space="preserve">    estableció la responsabilidad internacional del Estado por la falta  de</w:t>
        <w:br/>
        <w:t xml:space="preserve">    prevención en relación  con  la  privación  de  la  vida  e  integridad</w:t>
        <w:br/>
        <w:t xml:space="preserve">    personal, así como por la falta a la protección y garantías judiciales,</w:t>
        <w:br/>
        <w:t xml:space="preserve">    en relación con la falta de debida diligencia  en  las  investigaciones</w:t>
        <w:br/>
        <w:t xml:space="preserve">    efectuadas. En particular, se demostró que el Estado tuvo  conocimiento</w:t>
        <w:br/>
        <w:t xml:space="preserve">    del riesgo de la  niña  a  partir  de  la  denuncia  y  no  adoptó  las</w:t>
        <w:br/>
        <w:t xml:space="preserve">    diligencias para prevenirlo y evitar su concreción, y  las  autoridades</w:t>
        <w:br/>
        <w:t xml:space="preserve">    estatales no realizaron acciones  diligentes  en  forma  oportuna  para</w:t>
        <w:br/>
        <w:t xml:space="preserve">    investigar dentro de un plazo razonable el homicidio  de  María  Isabel</w:t>
        <w:br/>
        <w:t xml:space="preserve">    Veliz Franco. Dado lo  anterior,  la  Corte  analizará  los  argumentos</w:t>
        <w:br/>
        <w:t xml:space="preserve">    respecto a las afectaciones a la integridad personal de los  familiares</w:t>
        <w:br/>
        <w:t xml:space="preserve">    de María Isabel que hayan sido ocasionadas por la falta  de  diligencia</w:t>
        <w:br/>
        <w:t xml:space="preserve">    en la prevención del hecho y las investigaciones y su trámite  sesgado,</w:t>
        <w:br/>
        <w:t xml:space="preserve">    así como por las amenazas y actos de hostigamientos recibidos.</w:t>
        <w:br/>
        <w:br/>
        <w:t>235. En la declaración rendida por la señora Rosa Elvira  Franco  Sandoval</w:t>
        <w:br/>
        <w:t xml:space="preserve">    en la audiencia pública ante este Tribunal, manifestó que:</w:t>
        <w:br/>
        <w:br/>
        <w:t xml:space="preserve">   [c]onocí la maldad de las  personas  que  trabajan  en  el  sistema  de</w:t>
        <w:br/>
        <w:t xml:space="preserve">   justicia, de injusticia de Guatemala […] me trataban mal a mí, trataban</w:t>
        <w:br/>
        <w:t xml:space="preserve">   mal a mi hija […] han sido muchos ataques, una  persecución  contra  mi</w:t>
        <w:br/>
        <w:t xml:space="preserve">   persona desde un  principio,  contra  mis  dos  hijos  […]  he  sufrido</w:t>
        <w:br/>
        <w:t xml:space="preserve">   demasiado […] a un principio ya no quería vivir, y si no  fuera  porque</w:t>
        <w:br/>
        <w:t xml:space="preserve">   tengo dos hijos no me interesa vivir […] yo  estoy  enferma  por  esto,</w:t>
        <w:br/>
        <w:t xml:space="preserve">   porque no hay justicia en Guatemala.</w:t>
        <w:br/>
        <w:br/>
        <w:t>236. Asimismo, en la declaración rendida mediante affidávit por  el  señor</w:t>
        <w:br/>
        <w:t xml:space="preserve">    Leonel Enrique Veliz Franco, expresó que:</w:t>
        <w:br/>
        <w:br/>
        <w:t xml:space="preserve">   [l]a lucha de mi mamá al  principio  nos  causó  malestar  […]  por  lo</w:t>
        <w:br/>
        <w:t xml:space="preserve">   peligroso de eso […] Hubo problemas familiares porque le decían  [a  mi</w:t>
        <w:br/>
        <w:t xml:space="preserve">   mamá] que se alejará de esto […] Desde [el homicidio de  María  Isabel]</w:t>
        <w:br/>
        <w:t xml:space="preserve">   mi vida cambió para siempre,  me  afectó,  emocional,  psicológic[a]  y</w:t>
        <w:br/>
        <w:t xml:space="preserve">   económicamente. Hasta hoy en día el hecho de  que  la  muerte  de  [su]</w:t>
        <w:br/>
        <w:t xml:space="preserve">   hermana no se haya esclarecido [l]e genera impotencia y frustración  al</w:t>
        <w:br/>
        <w:t xml:space="preserve">   no encontrar justicia. Mis nervios no son estables, desde  ese  día  me</w:t>
        <w:br/>
        <w:t xml:space="preserve">   tiemblan las manos, las piernas y el  ojo,  yo  no  soy  el  mismo,  mi</w:t>
        <w:br/>
        <w:t xml:space="preserve">   temperamento cambió, […] me considero violento […] regularmente  [tengo</w:t>
        <w:br/>
        <w:t xml:space="preserve">   problemas para respirar] y tengo problemas de  salud.  Mi  mamá  es  la</w:t>
        <w:br/>
        <w:t xml:space="preserve">   farmacia andante, eso me ha afectado  a  mí,  lleva  medicamentos  para</w:t>
        <w:br/>
        <w:t xml:space="preserve">   todo, porque está mal. [La búsqueda  de  justicia]  nos  afectó  en  la</w:t>
        <w:br/>
        <w:t xml:space="preserve">   economía familiar porque mi mamá dejó de hacer cosas[336].</w:t>
        <w:br/>
        <w:br/>
        <w:t>237. Por otra parte, el  señor  José  Roberto  Franco  en  su  declaración</w:t>
        <w:br/>
        <w:t xml:space="preserve">    mediante affidávit manifestó siguiente:</w:t>
        <w:br/>
        <w:br/>
        <w:t xml:space="preserve">    [y]o recuerdo que tenía mucho temor porque me  hiciera  daño  cualquier</w:t>
        <w:br/>
        <w:t xml:space="preserve">    persona […] Me afectó mucho porque tengo miedo que les hagan algo a las</w:t>
        <w:br/>
        <w:t xml:space="preserve">    personas que más quiero […] en mi mamá [hay  afectaciones  como]  mucha</w:t>
        <w:br/>
        <w:t xml:space="preserve">    depresión llevándola incluso a querer quitarse la  vida,  […]  Dios  la</w:t>
        <w:br/>
        <w:t xml:space="preserve">    salvó de eso [y] también [de] tantas enfermedades  […]  me  he  sentido</w:t>
        <w:br/>
        <w:t xml:space="preserve">    intimidado que alguien nos quiera hacer algo por  lo  que  mi  mamá  ha</w:t>
        <w:br/>
        <w:t xml:space="preserve">    buscado esclarecer la muerte de mi hermana[337].</w:t>
        <w:br/>
        <w:br/>
        <w:br/>
        <w:t>238.  Además,  en  su  peritaje  Rodolfo  Kepfer  Rodríguez  analizó   las</w:t>
        <w:br/>
        <w:t xml:space="preserve">    afectaciones sufridas por Rosa Elvira Franco Sandoval,  Leonel  Enrique</w:t>
        <w:br/>
        <w:t xml:space="preserve">    Veliz Franco y José Roberto Franco, respecto de lo cual expresó que:</w:t>
        <w:br/>
        <w:br/>
        <w:br/>
        <w:t xml:space="preserve">    [l]a vida de la señora […]  Franco  [Sandoval]  se  [vio]  sometida  al</w:t>
        <w:br/>
        <w:t xml:space="preserve">    desaliento e indignación  debido  a  la  desatención  que  ponen  a  su</w:t>
        <w:br/>
        <w:t xml:space="preserve">    necesidad de obtención de  justicia  […]  La  ligereza,  negligencia  y</w:t>
        <w:br/>
        <w:t xml:space="preserve">    pasividad que exhiben  las  autoridades  del  Estado  ante  la  actitud</w:t>
        <w:br/>
        <w:t xml:space="preserve">    persistente, consistente y decidida que exhibe la  [señora  Franco]  en</w:t>
        <w:br/>
        <w:t xml:space="preserve">    busca de la aplicación de justicia son cruciales en  el  desarrollo  de</w:t>
        <w:br/>
        <w:t xml:space="preserve">    actitudes y sentimientos que a lo largo del tiempo  van  a  afectar  en</w:t>
        <w:br/>
        <w:t xml:space="preserve">    forma adversa el curso de la salud de la señora Franco. […] Los efectos</w:t>
        <w:br/>
        <w:t xml:space="preserve">    específicos en la señora Franco y sus hijos Leonel y  José  Roberto  se</w:t>
        <w:br/>
        <w:t xml:space="preserve">    han venido desenvolviendo a lo largo de los años: los dos primeros años</w:t>
        <w:br/>
        <w:t xml:space="preserve">    perturban especialmente al hijo menor, ya que modifican todo el esquema</w:t>
        <w:br/>
        <w:t xml:space="preserve">    de vida de  un  niño  de  once  años,  causándole  retrasos  escolares,</w:t>
        <w:br/>
        <w:t xml:space="preserve">    timidez, y un perlado de más o menos un año de inhibición social. A  la</w:t>
        <w:br/>
        <w:t xml:space="preserve">    par, el hermano mayor Leonel, se ve forzado a  desarrollar  habilidades</w:t>
        <w:br/>
        <w:t xml:space="preserve">    confrontativas, con las  que  enfrenta  las  demandas  de  su  vida  de</w:t>
        <w:br/>
        <w:t xml:space="preserve">    adolescente, creándose así un carácter  enérgico  y  tajante,  el  cual</w:t>
        <w:br/>
        <w:t xml:space="preserve">    fortalece con la participación religiosa[338].</w:t>
        <w:br/>
        <w:br/>
        <w:br/>
        <w:t>239. En consideración  de  las  declaraciones  anteriores  y  el  peritaje</w:t>
        <w:br/>
        <w:t xml:space="preserve">    rendido, y atendiendo los hechos del caso, la Corte  considera  que  la</w:t>
        <w:br/>
        <w:t xml:space="preserve">    falta de prevención en el caso, así como  la  falta  de  una  actuación</w:t>
        <w:br/>
        <w:t xml:space="preserve">    diligente  de  las  autoridades  estatales  en  la  investigación   del</w:t>
        <w:br/>
        <w:t xml:space="preserve">    homicidio de María Isabel y la impunidad en que permanecen los hechos y</w:t>
        <w:br/>
        <w:t xml:space="preserve">    la investigación, generó un sufrimiento a la señora Rosa Elvira  Franco</w:t>
        <w:br/>
        <w:t xml:space="preserve">    Sandoval. Además está demostrado que durante la investigación la señora</w:t>
        <w:br/>
        <w:t xml:space="preserve">    Franco Sandoval fue objeto de tratos despectivos  e  irrespetuosos  por</w:t>
        <w:br/>
        <w:t xml:space="preserve">    parte de agentes estatales, referidos a ella y respecto a su hija María</w:t>
        <w:br/>
        <w:t xml:space="preserve">    Isabel, por lo que produjo a la señora Franco una afectación  adicional</w:t>
        <w:br/>
        <w:t xml:space="preserve">    a su integridad personal.</w:t>
        <w:br/>
        <w:br/>
        <w:br/>
        <w:t>240. En lo que se refiere a Leonel  Enrique  Veliz  Franco,  José  Roberto</w:t>
        <w:br/>
        <w:t xml:space="preserve">    Franco, Cruz Elvira Sandoval Polanco de Franco y Roberto Franco  Pérez,</w:t>
        <w:br/>
        <w:t xml:space="preserve">    la  Corte  no  encuentra  elementos  suficientes  para  demostrar   una</w:t>
        <w:br/>
        <w:t xml:space="preserve">    afectación a su integridad personal  derivada  del  incumplimiento  del</w:t>
        <w:br/>
        <w:t xml:space="preserve">    deber de prevención, de la falta de la debida diligencia  y  demora  en</w:t>
        <w:br/>
        <w:t xml:space="preserve">    las investigaciones que actualmente cursan en la jurisdicción interna.</w:t>
        <w:br/>
        <w:br/>
        <w:br/>
        <w:t>241. En cuanto a la alegación de  que  el  Estado  es  responsable  de  la</w:t>
        <w:br/>
        <w:t xml:space="preserve">    violación  del  artículo  5  de  la  Convención  por  las  amenazas   y</w:t>
        <w:br/>
        <w:t xml:space="preserve">    hostigamientos de que han sido  objeto  Rosa  Elvira  Franco  Sandoval,</w:t>
        <w:br/>
        <w:t xml:space="preserve">    Leonel Enrique Veliz Franco y José Roberto Franco, luego de  la  muerte</w:t>
        <w:br/>
        <w:t xml:space="preserve">    de su hija y hermana (supra párr. 26), la Corte no se referirá  a  ello</w:t>
        <w:br/>
        <w:t xml:space="preserve">    ya que como lo señaló (supra párr.  27)  dichos  hechos  se  encuentran</w:t>
        <w:br/>
        <w:t xml:space="preserve">    fuera del marco fáctico del Informe de Fondo del presente caso.</w:t>
        <w:br/>
        <w:br/>
        <w:br/>
        <w:t>242. Consecuentemente, la Corte considera que el Estado es responsable  de</w:t>
        <w:br/>
        <w:t xml:space="preserve">    la violación del derecho a la integridad  personal,  consagrado  en  el</w:t>
        <w:br/>
        <w:t xml:space="preserve">    artículo 5.1 de la Convención Americana, en relación  con  el  artículo</w:t>
        <w:br/>
        <w:t xml:space="preserve">    1.1 de la misma, en perjuicio de Rosa Elvira Franco Sandoval.</w:t>
        <w:br/>
        <w:br/>
        <w:br/>
        <w:br/>
        <w:br/>
        <w:br/>
        <w:br/>
        <w:br/>
        <w:br/>
        <w:t>XI</w:t>
        <w:br/>
        <w:br/>
        <w:br/>
        <w:t>REPARACIONES</w:t>
        <w:br/>
        <w:br/>
        <w:t xml:space="preserve">          (Aplicación del artículo 63.1 de la Convención Americana)</w:t>
        <w:br/>
        <w:br/>
        <w:br/>
        <w:t>243. Sobre la base de lo dispuesto en el artículo 63.1  de  la  Convención</w:t>
        <w:br/>
        <w:t xml:space="preserve">    Americana[339], la Corte ha dicho que toda violación de una  obligación</w:t>
        <w:br/>
        <w:t xml:space="preserve">    internacional que haya producido daño comporta el  deber  de  repararlo</w:t>
        <w:br/>
        <w:t xml:space="preserve">    adecuadamente y que esa disposición recoge  una  norma  consuetudinaria</w:t>
        <w:br/>
        <w:t xml:space="preserve">    que  constituye  uno  de  los  principios  fundamentales  del   Derecho</w:t>
        <w:br/>
        <w:t xml:space="preserve">    Internacional contemporáneo sobre responsabilidad de un Estado[340]. En</w:t>
        <w:br/>
        <w:t xml:space="preserve">    el presente caso la  Corte  ha  considerado  la  necesidad  de  otorgar</w:t>
        <w:br/>
        <w:t xml:space="preserve">    diversas  medidas  de  reparación,  a  fin  de  garantizar  el  derecho</w:t>
        <w:br/>
        <w:t xml:space="preserve">    conculcado y resarcir los daños de manera íntegra.</w:t>
        <w:br/>
        <w:br/>
        <w:t>244. Debe señalarse que este Tribunal ha establecido que las  reparaciones</w:t>
        <w:br/>
        <w:t xml:space="preserve">    deben tener un nexo causal con los hechos  del  caso,  las  violaciones</w:t>
        <w:br/>
        <w:t xml:space="preserve">    declaradas, los daños acreditados, así  como  las  medidas  solicitadas</w:t>
        <w:br/>
        <w:t xml:space="preserve">    para reparar los daños respectivos.  Por  lo  tanto,  la  Corte  deberá</w:t>
        <w:br/>
        <w:t xml:space="preserve">    observar dicha concurrencia para pronunciarse debidamente y conforme  a</w:t>
        <w:br/>
        <w:t xml:space="preserve">    derecho[341].</w:t>
        <w:br/>
        <w:br/>
        <w:t>245. De acuerdo con las consideraciones expuestas sobre  el  fondo  y  las</w:t>
        <w:br/>
        <w:t xml:space="preserve">    violaciones a la Convención Americana declaradas en los Capítulos VIII,</w:t>
        <w:br/>
        <w:t xml:space="preserve">    IX y X, el Tribunal procederá a analizar las  pretensiones  presentadas</w:t>
        <w:br/>
        <w:t xml:space="preserve">    por la Comisión y la representante, así como los argumentos del Estado,</w:t>
        <w:br/>
        <w:t xml:space="preserve">    a la luz de los criterios fijados en su jurisprudencia en relación  con</w:t>
        <w:br/>
        <w:t xml:space="preserve">    la naturaleza y alcance de la obligación de reparar, con el  objeto  de</w:t>
        <w:br/>
        <w:t xml:space="preserve">    disponer las medidas dirigidas a reparar los daños  ocasionados  a  las</w:t>
        <w:br/>
        <w:t xml:space="preserve">    víctimas[342].</w:t>
        <w:br/>
        <w:br/>
        <w:br/>
        <w:t xml:space="preserve">  Parte Lesionada</w:t>
        <w:br/>
        <w:br/>
        <w:br/>
        <w:t>246. El Tribunal reitera que se considera parte lesionada, en los términos</w:t>
        <w:br/>
        <w:t xml:space="preserve">    del artículo 63.1 de la Convención, a quien ha sido  declarado  víctima</w:t>
        <w:br/>
        <w:t xml:space="preserve">    de la violación de algún derecho reconocido en la misma. Por lo  tanto,</w:t>
        <w:br/>
        <w:t xml:space="preserve">    esta Corte considera  como  “parte  lesionada”  a  María  Isabel  Veliz</w:t>
        <w:br/>
        <w:t xml:space="preserve">    Franco, Rosa Elvira Franco Sandoval, Leonel Enrique Veliz Franco,  José</w:t>
        <w:br/>
        <w:t xml:space="preserve">    Roberto Franco, Cruz Elvira Sandoval Polanco y  Roberto  Franco  Pérez,</w:t>
        <w:br/>
        <w:t xml:space="preserve">    quienes en su carácter de víctimas de las violaciones declaradas, según</w:t>
        <w:br/>
        <w:t xml:space="preserve">    sea el  caso,  en  los  Capítulos  VIII,  IX  y  X  serán  considerados</w:t>
        <w:br/>
        <w:t xml:space="preserve">    beneficiarios de las reparaciones que ordene el Tribunal.</w:t>
        <w:br/>
        <w:br/>
        <w:br/>
        <w:t xml:space="preserve">  B. Obligación de investigar los hechos e  identificar  y,  en  su  caso,</w:t>
        <w:br/>
        <w:t xml:space="preserve">  sancionar a los responsables</w:t>
        <w:br/>
        <w:br/>
        <w:br/>
        <w:br/>
        <w:br/>
        <w:t xml:space="preserve">    B.1) Argumentos de la Comisión y de las partes</w:t>
        <w:br/>
        <w:br/>
        <w:br/>
        <w:t>247.  La  Comisión  Interamericana  solicitó  que  se  ordene  al   Estado</w:t>
        <w:br/>
        <w:t xml:space="preserve">    “[c]ompletar la investigación de manera oportuna,  inmediata,  seria  e</w:t>
        <w:br/>
        <w:t xml:space="preserve">    imparcial con el objeto de esclarecer  el  asesinato  de  María  Isabel</w:t>
        <w:br/>
        <w:t xml:space="preserve">    V[e]liz Franco e identificar, juzgar y, en su  caso,  sancionar  a  los</w:t>
        <w:br/>
        <w:t xml:space="preserve">    responsables”.</w:t>
        <w:br/>
        <w:br/>
        <w:t>248. Por su parte, la representante al igual que la Comisión solicitó  que</w:t>
        <w:br/>
        <w:t xml:space="preserve">    se ordene al Estado la investigación de los hechos ocurridos en  contra</w:t>
        <w:br/>
        <w:t xml:space="preserve">    de la niña María Isabel Veliz Franco.  Para  ello,  indicaron  que  “el</w:t>
        <w:br/>
        <w:t xml:space="preserve">    Estado debe remover todos los obstáculos de jure  o  de  facto  que  le</w:t>
        <w:br/>
        <w:t xml:space="preserve">    impidan la debida investigación de  los  hechos  y  el  desarrollo  del</w:t>
        <w:br/>
        <w:t xml:space="preserve">    proceso judicial”, así como que la investigación debe de  incluir  “una</w:t>
        <w:br/>
        <w:t xml:space="preserve">    perspectiva de género y de derechos humanos de las mujeres”, por lo que</w:t>
        <w:br/>
        <w:t xml:space="preserve">    se deben “estable[cer] líneas de investigación específicas respecto  de</w:t>
        <w:br/>
        <w:t xml:space="preserve">    los actos de violencia cometidos en contra de la víctima”. Por  último,</w:t>
        <w:br/>
        <w:t xml:space="preserve">    solicitaron que “[l]os resultados de las  investigaciones  deb[an]  ser</w:t>
        <w:br/>
        <w:t xml:space="preserve">    divulgados pública y ampliamente, para que la sociedad guatemalteca los</w:t>
        <w:br/>
        <w:t xml:space="preserve">    conozca”.</w:t>
        <w:br/>
        <w:br/>
        <w:t>249. El Estado  “reiter[ó]  que  se  ha  llevado  a  cabo  una  exhaustiva</w:t>
        <w:br/>
        <w:t xml:space="preserve">    investigación para esclarecer el  asesinato  de  María  Isabel,  y  que</w:t>
        <w:br/>
        <w:t xml:space="preserve">    lastimosamente  no   se   ha   podido   obtener   como   resultado   la</w:t>
        <w:br/>
        <w:t xml:space="preserve">    individualización del  o  los  presuntos  responsables”.  No  obstante,</w:t>
        <w:br/>
        <w:t xml:space="preserve">    “expres[ó] que</w:t>
        <w:br/>
        <w:br/>
        <w:br/>
        <w:t xml:space="preserve">  mantendrá abierta la investigación, mientras considere que es legalmente</w:t>
        <w:br/>
        <w:t xml:space="preserve">  posible obtener algún resultado positivo, y que de suceder lo  anterior,</w:t>
        <w:br/>
        <w:t xml:space="preserve">  efectivamente procesará y sancionará a los responsables, si y  solo  si,</w:t>
        <w:br/>
        <w:t xml:space="preserve">  se logra establecer la participación de alguno de los sospechosos en  la</w:t>
        <w:br/>
        <w:t xml:space="preserve">  trágica muerte de la menor.</w:t>
        <w:br/>
        <w:br/>
        <w:br/>
        <w:br/>
        <w:t xml:space="preserve">    B.2) Consideraciones de la Corte</w:t>
        <w:br/>
        <w:br/>
        <w:br/>
        <w:t>250. La Corte  considera  que  el  Estado  está  obligado  a  combatir  la</w:t>
        <w:br/>
        <w:t xml:space="preserve">    impunidad por todos los medios disponibles, ya  que  ésta  propicia  la</w:t>
        <w:br/>
        <w:t xml:space="preserve">    repetición crónica de las  violaciones  de  derechos  humanos[343].  La</w:t>
        <w:br/>
        <w:t xml:space="preserve">    ausencia de una investigación completa  y  efectiva  sobre  los  hechos</w:t>
        <w:br/>
        <w:t xml:space="preserve">    constituye una fuente de sufrimiento  y  angustia  adicional  para  las</w:t>
        <w:br/>
        <w:t xml:space="preserve">    víctimas,  quienes  tienen  el  derecho  a  conocer  la  verdad  de  lo</w:t>
        <w:br/>
        <w:t xml:space="preserve">    ocurrido[344].</w:t>
        <w:br/>
        <w:br/>
        <w:t>251. Por ello, la Corte dispone que el Estado debe conducir eficazmente la</w:t>
        <w:br/>
        <w:t xml:space="preserve">    investigación y, en su caso, abrir el proceso penal correspondiente  y,</w:t>
        <w:br/>
        <w:t xml:space="preserve">    de  ser  pertinente,  otros  que  correspondieren,  para   identificar,</w:t>
        <w:br/>
        <w:t xml:space="preserve">    procesar y, en su caso, sancionar a los responsables de los vejámenes y</w:t>
        <w:br/>
        <w:t xml:space="preserve">    privación de la vida de la niña María Isabel Veliz Franco,  conforme  a</w:t>
        <w:br/>
        <w:t xml:space="preserve">    los lineamientos de esta Sentencia, a fin de evitar  la  repetición  de</w:t>
        <w:br/>
        <w:t xml:space="preserve">    hechos iguales o análogos a los del presente caso. Dicha  investigación</w:t>
        <w:br/>
        <w:t xml:space="preserve">    deberá  incluir  una  perspectiva  de  género,  emprender   líneas   de</w:t>
        <w:br/>
        <w:t xml:space="preserve">    investigación específicas respecto a violencia sexual, y posibilitar  a</w:t>
        <w:br/>
        <w:t xml:space="preserve">    los familiares de la  víctima  información  sobre  los  avances  en  la</w:t>
        <w:br/>
        <w:t xml:space="preserve">    investigación, de conformidad con la legislación interna, y en su caso,</w:t>
        <w:br/>
        <w:t xml:space="preserve">    la  participación  adecuada  en  el   proceso   penal.   Asimismo,   la</w:t>
        <w:br/>
        <w:t xml:space="preserve">    investigación debe realizarse por  funcionarios  capacitados  en  casos</w:t>
        <w:br/>
        <w:t xml:space="preserve">    similares y en atención a víctimas de discriminación  y  violencia  por</w:t>
        <w:br/>
        <w:t xml:space="preserve">    razón de  género.  Por  último,  deberá  asegurarse  que  las  personas</w:t>
        <w:br/>
        <w:t xml:space="preserve">    encargadas de la investigación y del proceso penal, así como, de ser el</w:t>
        <w:br/>
        <w:t xml:space="preserve">    caso, otras personas involucradas, como testigos, peritos, o familiares</w:t>
        <w:br/>
        <w:t xml:space="preserve">    de la víctima, cuenten con las debidas garantías de seguridad.</w:t>
        <w:br/>
        <w:br/>
        <w:t xml:space="preserve">  C. Medidas de satisfacción</w:t>
        <w:br/>
        <w:br/>
        <w:t>252. La jurisprudencia internacional, y en  particular  de  la  Corte,  ha</w:t>
        <w:br/>
        <w:t xml:space="preserve">    establecido reiteradamente que la sentencia constituye per se una forma</w:t>
        <w:br/>
        <w:t xml:space="preserve">    de reparación[345]. No obstante, considerando  las  circunstancias  del</w:t>
        <w:br/>
        <w:t xml:space="preserve">    caso y las afectaciones a las víctimas derivadas de las violaciones  de</w:t>
        <w:br/>
        <w:t xml:space="preserve">    la Convención Americana declaradas en su  perjuicio,  la  Corte  estima</w:t>
        <w:br/>
        <w:t xml:space="preserve">    pertinente analizar los argumentos de  la  Comisión  y  de  las  partes</w:t>
        <w:br/>
        <w:t xml:space="preserve">    respecto a la determinación de medidas de satisfacción.</w:t>
        <w:br/>
        <w:br/>
        <w:br/>
        <w:t xml:space="preserve">    C.1) Argumentos de la Comisión y de las partes</w:t>
        <w:br/>
        <w:br/>
        <w:br/>
        <w:br/>
        <w:t>253.  La  Comisión  Interamericana  solicitó  de  manera  general  que  se</w:t>
        <w:br/>
        <w:t xml:space="preserve">    “repar[e] plenamente a los familiares de María  Isabel  V[e]liz  Franco</w:t>
        <w:br/>
        <w:t xml:space="preserve">    por las violaciones de los derechos humanos”. No obstante,  no  realizó</w:t>
        <w:br/>
        <w:t xml:space="preserve">    ninguna solicitud expresa en cuanto a las medidas de satisfacción.</w:t>
        <w:br/>
        <w:br/>
        <w:t>254. La representante solicitó  a  la  Corte  que  ordene  las  siguientes</w:t>
        <w:br/>
        <w:t xml:space="preserve">    medidas de satisfacción: a)  publicar  los  capítulos  de  “contexto  y</w:t>
        <w:br/>
        <w:t xml:space="preserve">    hechos probados, así como la parte  resolutiva  de  la  Sentencia”  que</w:t>
        <w:br/>
        <w:t xml:space="preserve">    dicte la Corte  en  “el  Diario  Oficial  y  en  un  diario  de  amplia</w:t>
        <w:br/>
        <w:t xml:space="preserve">    circulación nacional”; b) realizar un acto público de reconocimiento de</w:t>
        <w:br/>
        <w:t xml:space="preserve">    responsabilidad internacional y disculpas públicas a los miembros de la</w:t>
        <w:br/>
        <w:t xml:space="preserve">    familia de María Isabel Veliz Franco; c) “[c]onstruir un  monumento  en</w:t>
        <w:br/>
        <w:t xml:space="preserve">    memoria de las mujeres víctimas de femicidio, entre ellas María  Isabel</w:t>
        <w:br/>
        <w:t xml:space="preserve">    V[e]liz Franco”; d) crear un fondo de becas de  estudios  para  jóvenes</w:t>
        <w:br/>
        <w:t xml:space="preserve">    sobrevivientes  de  violencia  en  honor   a   María   Isabel   V[e]liz</w:t>
        <w:br/>
        <w:t xml:space="preserve">    Franco[346], y e) otorgar una beca  de  estudios  para  Leonel  Enrique</w:t>
        <w:br/>
        <w:t xml:space="preserve">    Veliz Franco y José Roberto Franco[347].</w:t>
        <w:br/>
        <w:br/>
        <w:t>255. Por su parte, en cuanto a las medidas de satisfacción solicitadas por</w:t>
        <w:br/>
        <w:t xml:space="preserve">    la representante, el Estado se opuso a las siguientes: a)  realizar  un</w:t>
        <w:br/>
        <w:t xml:space="preserve">    acto público  de  reconocimiento  de  responsabilidad  internacional  y</w:t>
        <w:br/>
        <w:t xml:space="preserve">    pedido de perdón; b) construir un monumento en memoria de  las  mujeres</w:t>
        <w:br/>
        <w:t xml:space="preserve">    víctimas de femicidio entre ellas, María  Isabel;  c)  creación  de  un</w:t>
        <w:br/>
        <w:t xml:space="preserve">    fondo de becas de estudios para jóvenes sobrevivientes de violencia  en</w:t>
        <w:br/>
        <w:t xml:space="preserve">    honor a María Isabel Veliz  Franco[348],  y  d)  otorgar  una  beca  de</w:t>
        <w:br/>
        <w:t xml:space="preserve">    estudios para los hermanos de María Isabel[349].</w:t>
        <w:br/>
        <w:br/>
        <w:br/>
        <w:t xml:space="preserve">    C.2) Consideraciones de la Corte</w:t>
        <w:br/>
        <w:br/>
        <w:br/>
        <w:br/>
        <w:t xml:space="preserve">       C.2.1. Publicación de la Sentencia</w:t>
        <w:br/>
        <w:br/>
        <w:br/>
        <w:t>256. La Corte ordena que el Estado publique, en el plazo  de  seis  meses,</w:t>
        <w:br/>
        <w:t xml:space="preserve">    contado a partir de la notificación de la  presente  Sentencia:  a)  el</w:t>
        <w:br/>
        <w:t xml:space="preserve">    resumen oficial de la presente Sentencia elaborado por  la  Corte,  por</w:t>
        <w:br/>
        <w:t xml:space="preserve">    una sola vez en el Diario Oficial de Guatemala; b) el  resumen  oficial</w:t>
        <w:br/>
        <w:t xml:space="preserve">    de la presente Sentencia elaborado por la Corte, por una sola  vez,  en</w:t>
        <w:br/>
        <w:t xml:space="preserve">    un diario de amplia circulación nacional, y c) la presente Sentencia en</w:t>
        <w:br/>
        <w:t xml:space="preserve">    su integridad, disponible por un período de un año,  en  un  sitio  web</w:t>
        <w:br/>
        <w:t xml:space="preserve">    oficial del Poder Judicial,  así  como  en  sitios  web  oficiales  del</w:t>
        <w:br/>
        <w:t xml:space="preserve">    Ministerio Público y de la Policía Nacional Civil.</w:t>
        <w:br/>
        <w:br/>
        <w:br/>
        <w:t xml:space="preserve">       C.2.2. Acto de disculpas públicas</w:t>
        <w:br/>
        <w:br/>
        <w:br/>
        <w:br/>
        <w:br/>
        <w:br/>
        <w:t>257. El Tribunal estima que el Estado debe realizar un acto  de  disculpas</w:t>
        <w:br/>
        <w:t xml:space="preserve">    públicas, en relación con los hechos  del  presente  caso  ocurridos  a</w:t>
        <w:br/>
        <w:t xml:space="preserve">    María Isabel Veliz Franco y su posterior investigación. En  dicho  acto</w:t>
        <w:br/>
        <w:t xml:space="preserve">    el Estado deberá hacer referencia a las violaciones de derechos humanos</w:t>
        <w:br/>
        <w:t xml:space="preserve">    declaradas en la presente Sentencia. El acto  deberá  llevarse  a  cabo</w:t>
        <w:br/>
        <w:t xml:space="preserve">    mediante una ceremonia pública y ser divulgado ampliamente.  El  Estado</w:t>
        <w:br/>
        <w:t xml:space="preserve">    deberá asegurar la participación de Rosa Elvira Franco Sandoval, Leonel</w:t>
        <w:br/>
        <w:t xml:space="preserve">    Enrique Veliz Franco y José Roberto Franco, si dichas personas  así  lo</w:t>
        <w:br/>
        <w:t xml:space="preserve">    desean, e invitar al evento a las organizaciones  que  representaron  a</w:t>
        <w:br/>
        <w:t xml:space="preserve">    los  familiares  de  María  Isabel  en  las  instancias  nacionales   e</w:t>
        <w:br/>
        <w:t xml:space="preserve">    internacionales. La  realización  y  demás  particularidades  de  dicha</w:t>
        <w:br/>
        <w:t xml:space="preserve">    ceremonia pública deben  consultarse  previa  y  debidamente  con  Rosa</w:t>
        <w:br/>
        <w:t xml:space="preserve">    Elvira Franco. En caso de disenso entre ella  y  el  Estado,  la  Corte</w:t>
        <w:br/>
        <w:t xml:space="preserve">    resolverá. Para cumplir con esta obligación el  Estado  cuenta  con  un</w:t>
        <w:br/>
        <w:t xml:space="preserve">    plazo de un año a partir de la notificación de la presente Sentencia.</w:t>
        <w:br/>
        <w:br/>
        <w:t>258. En cuanto a las autoridades estatales que deberán estar  presentes  o</w:t>
        <w:br/>
        <w:t xml:space="preserve">    participar en dicho acto, el Tribunal, como lo ha hecho en otros casos,</w:t>
        <w:br/>
        <w:t xml:space="preserve">    señala que deberán ser altos funcionarios estatales.  Corresponderá  al</w:t>
        <w:br/>
        <w:t xml:space="preserve">    Estado definir a quienes se encomienda tal tarea.</w:t>
        <w:br/>
        <w:br/>
        <w:br/>
        <w:t xml:space="preserve">       C.2.3. Otras medidas solicitadas</w:t>
        <w:br/>
        <w:br/>
        <w:br/>
        <w:t>259. La Corte considera suficientes las medidas de satisfacción  otorgadas</w:t>
        <w:br/>
        <w:t xml:space="preserve">    y, por lo tanto, no estima procedentes  las  demás  solicitudes  de  la</w:t>
        <w:br/>
        <w:t xml:space="preserve">    representante. En cuanto a la solicitud de que se otorgue  una  beca  a</w:t>
        <w:br/>
        <w:t xml:space="preserve">    los hermanos de María Isabel Veliz Franco, la Corte considera  que  las</w:t>
        <w:br/>
        <w:t xml:space="preserve">    indemnizaciones  dispuestas  resultan  suficientes  y  adecuadas   para</w:t>
        <w:br/>
        <w:t xml:space="preserve">    remediar  las  violaciones  sufridas  por  las  víctimas  y  no  estima</w:t>
        <w:br/>
        <w:t xml:space="preserve">    necesario ordenar dicha medida. Además, el Tribunal  toma  nota  de  lo</w:t>
        <w:br/>
        <w:t xml:space="preserve">    dicho por el Estado sobre programas de becas disponibles.</w:t>
        <w:br/>
        <w:br/>
        <w:br/>
        <w:t xml:space="preserve">  D. Garantías de no repetición</w:t>
        <w:br/>
        <w:br/>
        <w:br/>
        <w:t>260. En casos como el presente, las garantías de no  repetición  adquieren</w:t>
        <w:br/>
        <w:t xml:space="preserve">    una mayor relevancia como medida de reparación, a  fin  de  que  hechos</w:t>
        <w:br/>
        <w:t xml:space="preserve">    similares no se vuelvan a repetir y contribuyan a  la  prevención[350].</w:t>
        <w:br/>
        <w:t xml:space="preserve">    En este sentido, la Corte recuerda  que  el  Estado  debe  prevenir  la</w:t>
        <w:br/>
        <w:t xml:space="preserve">    recurrencia de violaciones a los derechos humanos como las descritas en</w:t>
        <w:br/>
        <w:t xml:space="preserve">    este  caso  y,  por  ello,   adoptar   todas   las   medidas   legales,</w:t>
        <w:br/>
        <w:t xml:space="preserve">    administrativas  y  de  otra  índole  que  sean  pertinentes  para  tal</w:t>
        <w:br/>
        <w:t xml:space="preserve">    efecto[351].</w:t>
        <w:br/>
        <w:br/>
        <w:t>261. Tanto la Comisión Interamericana como la representante solicitaron  a</w:t>
        <w:br/>
        <w:t xml:space="preserve">    la Corte que ordenará al Estado diversas garantías  de  no  repetición.</w:t>
        <w:br/>
        <w:t xml:space="preserve">    Sin embargo, la representante no requirió  ciertas  medidas  reclamadas</w:t>
        <w:br/>
        <w:t xml:space="preserve">    por la Comisión,  pero  pidió  otras  que  no  fueron  pretendidas  por</w:t>
        <w:br/>
        <w:t xml:space="preserve">    aquella. En virtud de  lo  anterior,  la  Corte  procederá  a  analizar</w:t>
        <w:br/>
        <w:t xml:space="preserve">    primeramente las medidas solicitadas por  la  Comisión  Interamericana,</w:t>
        <w:br/>
        <w:t xml:space="preserve">    luego aquellas medidas similares cuya procedencia fue  aducida  por  la</w:t>
        <w:br/>
        <w:t xml:space="preserve">    representante y la Comisión, y por último, las que hayan sido  instadas</w:t>
        <w:br/>
        <w:t xml:space="preserve">    únicamente por la representante.</w:t>
        <w:br/>
        <w:br/>
        <w:br/>
        <w:t xml:space="preserve">    D.1) Solicitud de fortalecer la capacidad institucional para  combatir</w:t>
        <w:br/>
        <w:t xml:space="preserve">    la impunidad  frente  a  casos  de  violencia  contra  las  mujeres  y</w:t>
        <w:br/>
        <w:t xml:space="preserve">    garantizar  que  los  dichos  casos  sean  adecuadamente   prevenidos,</w:t>
        <w:br/>
        <w:t xml:space="preserve">    investigados, sancionados y reparados</w:t>
        <w:br/>
        <w:br/>
        <w:br/>
        <w:t xml:space="preserve">       D.1.1. Argumentos de la Comisión y el Estado</w:t>
        <w:br/>
        <w:br/>
        <w:br/>
        <w:br/>
        <w:t>262. La Comisión consideró que la  Corte  ordene  al  Estado  adoptar  una</w:t>
        <w:br/>
        <w:t xml:space="preserve">    “política […] integral y coordinada, respaldada con  recursos  públicos</w:t>
        <w:br/>
        <w:t xml:space="preserve">    adecuados, para garantizar  que  los  casos  específicos  de  violencia</w:t>
        <w:br/>
        <w:t xml:space="preserve">    contra  las  mujeres  sean  adecuadamente   prevenidos,   investigados,</w:t>
        <w:br/>
        <w:t xml:space="preserve">    sancionados y  reparados”.  Además,  solicitó  que  se  fortalezca  “la</w:t>
        <w:br/>
        <w:t xml:space="preserve">    capacidad institucional para combatir la impunidad frente  a  casos  de</w:t>
        <w:br/>
        <w:t xml:space="preserve">    violencia contra las mujeres a  través  de  investigaciones  criminales</w:t>
        <w:br/>
        <w:t xml:space="preserve">    efectivas con perspectiva de género, que  tengan  seguimiento  judicial</w:t>
        <w:br/>
        <w:t xml:space="preserve">    consistente, garantizado así una adecuada sanción y reparación”.</w:t>
        <w:br/>
        <w:br/>
        <w:t>263. El Estado manifestó que “ya  cuenta  con  programas  cuyo  objeto  es</w:t>
        <w:br/>
        <w:t xml:space="preserve">    fortalecer la capacidad institucional para  combatir  la  impunidad  en</w:t>
        <w:br/>
        <w:t xml:space="preserve">    casos de  violencia  contra  mujeres,  [cuyo]  enfoque  es  prevenirla,</w:t>
        <w:br/>
        <w:t xml:space="preserve">    sancionarla  y  lograr  erradicarla”.  Igualmente,   indicó   que   “en</w:t>
        <w:br/>
        <w:t xml:space="preserve">    cumplimiento de la garantía y respeto de los derechos  humanos  […]  ha</w:t>
        <w:br/>
        <w:t xml:space="preserve">    adoptado las [siguientes] medidas”: a) aprobación de  “[d]ecretos  como</w:t>
        <w:br/>
        <w:t xml:space="preserve">    la Ley contra el Femicidio […] y la Ley  Contra  la  Violencia  Sexual,</w:t>
        <w:br/>
        <w:t xml:space="preserve">    Explotación y trata  de  Personas”;  b)  creación  de  la  Coordinadora</w:t>
        <w:br/>
        <w:t xml:space="preserve">    Nacional para la Prevención de la Violencia Intrafamiliar y  contra  la</w:t>
        <w:br/>
        <w:t xml:space="preserve">    Mujer (CONAPREVI), de la Secretaría Presidencial de la Mujer  (SEPREM),</w:t>
        <w:br/>
        <w:t xml:space="preserve">    de la Secretaría contra la Violencia Sexual,  Explotación  y  Trata  de</w:t>
        <w:br/>
        <w:t xml:space="preserve">    Personas (SVET), de la  Comisión  Presidencial  para  el  Abordaje  del</w:t>
        <w:br/>
        <w:t xml:space="preserve">    Femicidio en Guatemala (COPAF), de la Defensoría de la  Mujer  Indígena</w:t>
        <w:br/>
        <w:t xml:space="preserve">    de la Presidencia de la República, de la  Fuerza  de  Tarea  contra  el</w:t>
        <w:br/>
        <w:t xml:space="preserve">    Femicidio en el ámbito del  Ministerio  de  Gobernación,  del  Gabinete</w:t>
        <w:br/>
        <w:t xml:space="preserve">    Específico de la Mujer (GEM), del Programa de Prevención y Erradicación</w:t>
        <w:br/>
        <w:t xml:space="preserve">    de la Violencia Intrafamiliar  (PROPEVI),  la  Unidad  de  la  Mujer  y</w:t>
        <w:br/>
        <w:t xml:space="preserve">    Análisis de Género del Organismo Judicial (a partir de Acuerdo  69/2012</w:t>
        <w:br/>
        <w:t xml:space="preserve">    de 30 de abril de 2012, por la Presidencia del Organismo Judicial y  de</w:t>
        <w:br/>
        <w:t xml:space="preserve">    la Corte Suprema de Justicia de la República de  Guatemala,  denominada</w:t>
        <w:br/>
        <w:t xml:space="preserve">    Secretaría de la Mujer y Análisis de Género del Organismo Judicial), de</w:t>
        <w:br/>
        <w:t xml:space="preserve">    “Juzgados y Tribunales con competencia en Femicidio y otras  Formas  de</w:t>
        <w:br/>
        <w:t xml:space="preserve">    Violencia contra la Mujer”, de la Comisión de la Mujer en el  Organismo</w:t>
        <w:br/>
        <w:t xml:space="preserve">    Legislativo, de la Fiscalía de la Mujer, de fiscalías especializadas en</w:t>
        <w:br/>
        <w:t xml:space="preserve">    “los delitos de femicidio”, y del  Departamento  de  Delitos  Sexuales,</w:t>
        <w:br/>
        <w:t xml:space="preserve">    Trata  de   Personas,   Menores,   Niñez,   Adolescencia   y   personas</w:t>
        <w:br/>
        <w:t xml:space="preserve">    desaparecidas (DESEXTRANA); c) formulación de las siguientes  políticas</w:t>
        <w:br/>
        <w:t xml:space="preserve">    públicas: Política Nacional de Promoción y Desarrollo Integral  de  las</w:t>
        <w:br/>
        <w:t xml:space="preserve">    Mujeres (PNPDIM),  Plan  de  Equidad  y  Oportunidades  (PEO),  y  Plan</w:t>
        <w:br/>
        <w:t xml:space="preserve">    Nacional de Prevención y Erradicación de la Violencia  Intrafamiliar  y</w:t>
        <w:br/>
        <w:t xml:space="preserve">    contra las mujeres (PLANOVI), y  d) accionar de la Procuraduría General</w:t>
        <w:br/>
        <w:t xml:space="preserve">    de la Nación en la “coordina[ción d]el sistema de alerta de la Ley Alba-</w:t>
        <w:br/>
        <w:t xml:space="preserve">    Kenneth[, que] busca proteger de mejor manera  a  los  niños,  niñas  y</w:t>
        <w:br/>
        <w:t xml:space="preserve">    adolescentes contra el secuestro, el tráfico y la trata para  cualquier</w:t>
        <w:br/>
        <w:t xml:space="preserve">    fin o en cualquier forma”.</w:t>
        <w:br/>
        <w:br/>
        <w:t xml:space="preserve">       D.1.2. Consideraciones de la Corte</w:t>
        <w:br/>
        <w:br/>
        <w:br/>
        <w:t>264. El Tribunal valora los esfuerzos del Estado para adoptar legislación,</w:t>
        <w:br/>
        <w:t xml:space="preserve">    otros actos jurídicos, instituciones y políticas públicas orientadas  a</w:t>
        <w:br/>
        <w:t xml:space="preserve">    combatir la violencia por razón de género, así  como  su  esfuerzo  por</w:t>
        <w:br/>
        <w:t xml:space="preserve">    adecuar su  sistema  en  materia  de  investigación  penal[352].  Estos</w:t>
        <w:br/>
        <w:t xml:space="preserve">    avances  constituyen  indicadores  estructurales  relacionados  con  la</w:t>
        <w:br/>
        <w:t xml:space="preserve">    adopción de medidas que, en principio, tienen como  objetivo  enfrentar</w:t>
        <w:br/>
        <w:t xml:space="preserve">    la violencia y discriminación contra la  mujer,  o  que  su  aplicación</w:t>
        <w:br/>
        <w:t xml:space="preserve">    coadyuva a ello.</w:t>
        <w:br/>
        <w:br/>
        <w:t>265. En este  marco,  frente  al  señalamiento  de  las  diversas  medidas</w:t>
        <w:br/>
        <w:t xml:space="preserve">    adoptadas por el Estado, la Corte no cuenta, a excepción de lo  que  se</w:t>
        <w:br/>
        <w:t xml:space="preserve">    señala  más  adelante  (infra  párrs.  267  a  269),  con   información</w:t>
        <w:br/>
        <w:t xml:space="preserve">    suficiente y actualizada para poder evaluar la  eventual  insuficiencia</w:t>
        <w:br/>
        <w:t xml:space="preserve">    de dichos actos jurídicos, instituciones y políticas. En particular, el</w:t>
        <w:br/>
        <w:t xml:space="preserve">    Tribunal no puede pronunciarse sobre  la  existencia  de  una  política</w:t>
        <w:br/>
        <w:t xml:space="preserve">    integral para superar  la  situación  de  violencia  contra  la  mujer,</w:t>
        <w:br/>
        <w:t xml:space="preserve">    discriminación  e  impunidad,  sin   información   sobre   las   fallas</w:t>
        <w:br/>
        <w:t xml:space="preserve">    estructurales  que  atravesarían  estas   políticas,   los   eventuales</w:t>
        <w:br/>
        <w:t xml:space="preserve">    problemas en  sus  procesos  de  implementación  y,  en  su  caso,  sus</w:t>
        <w:br/>
        <w:t xml:space="preserve">    resultados sobre el goce efectivo de derechos por parte de las víctimas</w:t>
        <w:br/>
        <w:t xml:space="preserve">    de dicha violencia.</w:t>
        <w:br/>
        <w:br/>
        <w:t>266. Esta insuficiencia de información, impide al  Tribunal,  considerando</w:t>
        <w:br/>
        <w:t xml:space="preserve">    las diversas medidas adoptadas por el Estado, pronunciarse  respecto  a</w:t>
        <w:br/>
        <w:t xml:space="preserve">    la necesidad, a efectos de la garantía de no repetición de lo  ocurrido</w:t>
        <w:br/>
        <w:t xml:space="preserve">    en este caso, de normas, acciones  o  políticas  públicas  distintas  o</w:t>
        <w:br/>
        <w:t xml:space="preserve">    complementarias. Ello, en términos generales y a excepción  de  lo  que</w:t>
        <w:br/>
        <w:t xml:space="preserve">    sigue.</w:t>
        <w:br/>
        <w:br/>
        <w:t>267. La Corte observa que el Estado ha indicado que a final de 2007 inició</w:t>
        <w:br/>
        <w:t xml:space="preserve">    sus labores el INACIF (supra párr. 171). La labor de  dicho  órgano  no</w:t>
        <w:br/>
        <w:t xml:space="preserve">    abarca sólo casos relativos a violencia contra mujeres  o  niñas,  pero</w:t>
        <w:br/>
        <w:t xml:space="preserve">    incluye los mismos. En tal sentido, el Estado manifestó que pruebas que</w:t>
        <w:br/>
        <w:t xml:space="preserve">    se omitieron en la investigación de los hechos del caso “sólo se pueden</w:t>
        <w:br/>
        <w:t xml:space="preserve">    realizar a partir de la  creación  del  [INACIF]”  (supra  párr.  171).</w:t>
        <w:br/>
        <w:t xml:space="preserve">    Asimismo, el artículo 21 de la Ley contra el Femicidio ordenó que “[e]l</w:t>
        <w:br/>
        <w:t xml:space="preserve">    Ministerio de Finanzas Públicas […] asign[e] los  recursos  dentro  del</w:t>
        <w:br/>
        <w:t xml:space="preserve">    Presupuesto  de  Ingresos  y  Egresos  del  Estado,   para   […]:   [el</w:t>
        <w:br/>
        <w:t xml:space="preserve">    f]ortalecimiento del […] INACIF”. Puede colegirse entonces, a partir de</w:t>
        <w:br/>
        <w:t xml:space="preserve">    lo aseverado por el Estado, y del texto de  la  norma  citada,  que  el</w:t>
        <w:br/>
        <w:t xml:space="preserve">    funcionamiento adecuado de esta entidad resulta relevante a fin de  que</w:t>
        <w:br/>
        <w:t xml:space="preserve">    los  casos  de  atentados  contra  mujeres   puedan   ser   debidamente</w:t>
        <w:br/>
        <w:t xml:space="preserve">    investigados. Ahora bien, se encuentra acreditados datos  de  2012  que</w:t>
        <w:br/>
        <w:t xml:space="preserve">    indican la necesidad de que el INACIF cuente con  mayores  recursos,  y</w:t>
        <w:br/>
        <w:t xml:space="preserve">    ello habría sido expresado también, en  2010,  por  autoridades  de  la</w:t>
        <w:br/>
        <w:t xml:space="preserve">    entidad[353]. Tal información no ha sido controvertida y no se ha hecho</w:t>
        <w:br/>
        <w:t xml:space="preserve">    llegar  a  la  Corte  información  que  demuestre  que  ha  habido  una</w:t>
        <w:br/>
        <w:t xml:space="preserve">    alteración en la situación referida. Además, en  el  mismo  sentido  se</w:t>
        <w:br/>
        <w:t xml:space="preserve">    expresó la perita María Eugenia Solís, señalando también que el  INACIF</w:t>
        <w:br/>
        <w:t xml:space="preserve">    “tiene debilidad porque no tiene despliegue territorial”.</w:t>
        <w:br/>
        <w:br/>
        <w:t>268. Por lo expuesto, la Corte considera pertinente ordenar al Estado que,</w:t>
        <w:br/>
        <w:t xml:space="preserve">    en un plazo razonable, elabore un plan de fortalecimiento calendarizado</w:t>
        <w:br/>
        <w:t xml:space="preserve">    del INACIF, que  incluya  una  asignación  de  adecuada  recursos  para</w:t>
        <w:br/>
        <w:t xml:space="preserve">    ampliar sus actividades en el territorio nacional y el cumplimiento  de</w:t>
        <w:br/>
        <w:t xml:space="preserve">    sus funciones.</w:t>
        <w:br/>
        <w:br/>
        <w:t>269. Por otra parte, también surge de la  prueba  que  la  Ley  contra  el</w:t>
        <w:br/>
        <w:t xml:space="preserve">    Femicidio, aprobada en 2008, previó, en su artículo 15, la  “[c]reación</w:t>
        <w:br/>
        <w:t xml:space="preserve">    de los órganos jurisdiccionales especializados”. Además, en su artículo</w:t>
        <w:br/>
        <w:t xml:space="preserve">    14 estableció que “el Ministerio Público deberá crear  la  Fiscalía  de</w:t>
        <w:br/>
        <w:t xml:space="preserve">    Delitos contra la Vida e Integridad Física de la  Mujer,  especializada</w:t>
        <w:br/>
        <w:t xml:space="preserve">    en la investigación de los delitos creados por  [dicha]  ley,  con  los</w:t>
        <w:br/>
        <w:t xml:space="preserve">    recursos presupuestarios, físicos, materiales,  científicos  y  humanos</w:t>
        <w:br/>
        <w:t xml:space="preserve">    que le permitan el cumplimiento de los fines de la misma”. El Estado ha</w:t>
        <w:br/>
        <w:t xml:space="preserve">    informado que “la Corte Suprema de Justicia de  Guatemala  mediante  el</w:t>
        <w:br/>
        <w:t xml:space="preserve">    acuerdo 1-2010” aprobó la  creación  de  los  órganos  jurisdiccionales</w:t>
        <w:br/>
        <w:t xml:space="preserve">    especializados en ciertos departamentos del país, pero no surge  de  la</w:t>
        <w:br/>
        <w:t xml:space="preserve">    información allegada al Tribunal que ello se haya  hecho  respecto  del</w:t>
        <w:br/>
        <w:t xml:space="preserve">    resto de los  departamentos[354].  Asimismo,  no  ha  sido  cuestionada</w:t>
        <w:br/>
        <w:t xml:space="preserve">    información presentada a la Corte la existencia  de  una  situación  de</w:t>
        <w:br/>
        <w:t xml:space="preserve">    insuficiencia presupuestaria relativa al establecimiento de la Fiscalía</w:t>
        <w:br/>
        <w:t xml:space="preserve">    de Delitos contra la Vida e Integridad Física  de  la  Mujer,  que  fue</w:t>
        <w:br/>
        <w:t xml:space="preserve">    advertida por un Acuerdo de la  Fiscalía  General  de  3  de  julio  de</w:t>
        <w:br/>
        <w:t xml:space="preserve">    2008[355]. La Corte no ha sido informada de que tal situación haya sido</w:t>
        <w:br/>
        <w:t xml:space="preserve">    modificada.  Además,  es  pertinente  señalar  que  la  Ley  contra  el</w:t>
        <w:br/>
        <w:t xml:space="preserve">    Femicidio, aprobada en el año 2008, estableció en su  artículo  21  que</w:t>
        <w:br/>
        <w:t xml:space="preserve">    “[e]l Ministerio de  Finanzas  Públicas  deberá  asignar  los  recursos</w:t>
        <w:br/>
        <w:t xml:space="preserve">    dentro del Presupuesto de Ingresos y Egresos del Estado,  para[,  inter</w:t>
        <w:br/>
        <w:t xml:space="preserve">    alia, la  c]reación  de  la  Fiscalía  de  Delitos  contra  la  Vida  e</w:t>
        <w:br/>
        <w:t xml:space="preserve">    Integridad  Física  de  la   Mujer   [y   la   c]reación   de   órganos</w:t>
        <w:br/>
        <w:t xml:space="preserve">    jurisdiccionales especializados para el  conocimiento  de  los  delitos</w:t>
        <w:br/>
        <w:t xml:space="preserve">    contra la vida e integridad física de la mujer”. La ley,  además,  fijó</w:t>
        <w:br/>
        <w:t xml:space="preserve">    en  sus  artículos  22  y  23  el   plazo   de   12   meses   para   el</w:t>
        <w:br/>
        <w:t xml:space="preserve">    “estableci[miento]” de “[l]os órganos jurisdiccionales especializados a</w:t>
        <w:br/>
        <w:t xml:space="preserve">    que se refiere el artículo 15  […]  en  toda  la  República”,  y  “[l]a</w:t>
        <w:br/>
        <w:t xml:space="preserve">    fiscalía a la que se refiere  el  artículo  14”.  Por  otra  parte,  el</w:t>
        <w:br/>
        <w:t xml:space="preserve">    Organismo Judicial, en su “Primer Informe sobre Juzgados  y  Tribunales</w:t>
        <w:br/>
        <w:t xml:space="preserve">    Penales de Delitos de Femicidio y otras Formas de Violencia  contra  la</w:t>
        <w:br/>
        <w:t xml:space="preserve">    Mujer”, emitido  en  2012,  reconoció  que  “[d]espués  de  entrada  en</w:t>
        <w:br/>
        <w:t xml:space="preserve">    vigencia la Ley contra el  Femicidio  […]  la  capacidad  de  respuesta</w:t>
        <w:br/>
        <w:t xml:space="preserve">    estatal no ha sido proporcional en materia de investigación, sanción  y</w:t>
        <w:br/>
        <w:t xml:space="preserve">    reparación  del  daño”.  En  forma   similar   se   ha   expresado   la</w:t>
        <w:br/>
        <w:t xml:space="preserve">    CONAPREVI[356].</w:t>
        <w:br/>
        <w:br/>
        <w:t>270. Por lo expuesto, teniendo en cuenta lo normado por la Ley  contra  el</w:t>
        <w:br/>
        <w:t xml:space="preserve">    Femicidio, la Corte considera pertinente ordenar al Estado que,  en  un</w:t>
        <w:br/>
        <w:t xml:space="preserve">    plazo razonable, implemente el funcionamiento  pleno  de  los  “órganos</w:t>
        <w:br/>
        <w:t xml:space="preserve">    jurisdiccionales especializados […] en toda la República”, así como  de</w:t>
        <w:br/>
        <w:t xml:space="preserve">    la fiscalía especializada indicada en dicha norma.</w:t>
        <w:br/>
        <w:br/>
        <w:br/>
        <w:t xml:space="preserve">    D.2)  Adopción  de  políticas  públicas  y  programas  institucionales</w:t>
        <w:br/>
        <w:t xml:space="preserve">    integrados destinados a  eliminar  los  estereotipos  discriminatorios</w:t>
        <w:br/>
        <w:t xml:space="preserve">    sobre el rol de las mujeres y promover  la  erradicación  de  patrones</w:t>
        <w:br/>
        <w:t xml:space="preserve">    socioculturales discriminatorios que impiden  su  acceso  pleno  a  la</w:t>
        <w:br/>
        <w:t xml:space="preserve">    justicia</w:t>
        <w:br/>
        <w:br/>
        <w:br/>
        <w:t xml:space="preserve">       D.2.1. Argumentos de la Comisión y las partes</w:t>
        <w:br/>
        <w:br/>
        <w:br/>
        <w:t>271.  La  Comisión  indicó  que  dichas  políticas  públicas  y  programas</w:t>
        <w:br/>
        <w:t xml:space="preserve">    institucionales  deben  incluir   “programas   de   capacitación   para</w:t>
        <w:br/>
        <w:t xml:space="preserve">    funcionarios públicos en todos los sectores del Estado,  incluyendo  el</w:t>
        <w:br/>
        <w:t xml:space="preserve">    sector educación, las ramas de la administración de la  justicia  y  la</w:t>
        <w:br/>
        <w:t xml:space="preserve">    policía, y políticas integrales de prevención”.</w:t>
        <w:br/>
        <w:br/>
        <w:t>272. Al respecto, la representante indicó que es necesario que  el  Estado</w:t>
        <w:br/>
        <w:t xml:space="preserve">    “adopte una serie de medidas con el fin de promover la  eliminación  de</w:t>
        <w:br/>
        <w:t xml:space="preserve">    los  estereotipos  y  patrones  socio-culturales   discriminatorios   y</w:t>
        <w:br/>
        <w:t xml:space="preserve">    garantizar el pleno acceso a la justicia de  las  mujeres  víctimas  de</w:t>
        <w:br/>
        <w:t xml:space="preserve">    violencia”. Entre dichas medidas señalaron: a)  la  “[c]reación  de  un</w:t>
        <w:br/>
        <w:t xml:space="preserve">    protocolo de acción  inmediata  en  casos  de  desaparición  de  niñas,</w:t>
        <w:br/>
        <w:t xml:space="preserve">    adolescentes y mujeres”; b) la “[a]dopción de protocolos estandarizados</w:t>
        <w:br/>
        <w:t xml:space="preserve">    de actuación conjunta para la atención  e  investigación  de  casos  de</w:t>
        <w:br/>
        <w:t xml:space="preserve">    violencia contra las mujeres y con perspectiva de derechos  humanos  de</w:t>
        <w:br/>
        <w:t xml:space="preserve">    las mujeres”; c) la “[c]reación de una unidad de análisis y apoyo a las</w:t>
        <w:br/>
        <w:t xml:space="preserve">    investigaciones de cosas  de  muertes  violentas  de  mujeres”;  d)  la</w:t>
        <w:br/>
        <w:t xml:space="preserve">    “implementa[ción  de]  programas  de  formación  y  capacitación   para</w:t>
        <w:br/>
        <w:t xml:space="preserve">    funcionarios públicos”, como un  “[p]rograma  de  formación  permanente</w:t>
        <w:br/>
        <w:t xml:space="preserve">    sobre  estándares  de  debida  diligencia  en  la   investigación   con</w:t>
        <w:br/>
        <w:t xml:space="preserve">    perspectiva de derechos humanos de las mujeres”, y  un  “[p]rograma  de</w:t>
        <w:br/>
        <w:t xml:space="preserve">    formación permanente sobre estándares en materia de prevención, sanción</w:t>
        <w:br/>
        <w:t xml:space="preserve">    y erradicación de la violencia contra las mujeres”; e) “[g]arantizar el</w:t>
        <w:br/>
        <w:t xml:space="preserve">    funcionamiento  de  las  instituciones  encargadas  de  las   políticas</w:t>
        <w:br/>
        <w:t xml:space="preserve">    públicas destinadas a prevenir y eliminar la violencia contra la  mujer</w:t>
        <w:br/>
        <w:t xml:space="preserve">    y de la atención de casos de violencia”, y f) “[g]arantizar un  sistema</w:t>
        <w:br/>
        <w:t xml:space="preserve">    de recopilación y producción de estadísticas confiable y accesible”.</w:t>
        <w:br/>
        <w:br/>
        <w:t>273. El Estado reiteró que “no tiene por probado que este caso se trate de</w:t>
        <w:br/>
        <w:t xml:space="preserve">    un ilícito cometido por razón de género [y] que si  ha  tomado  medidas</w:t>
        <w:br/>
        <w:t xml:space="preserve">    que han cambiado las circunstancias de cómo se  manejan  los  casos  de</w:t>
        <w:br/>
        <w:t xml:space="preserve">    violencia en contra de la mujeres de cuando sucedieron los  hechos  del</w:t>
        <w:br/>
        <w:t xml:space="preserve">    caso”.  Además,  señaló  que  estas   medidas   adoptadas   “han   sido</w:t>
        <w:br/>
        <w:t xml:space="preserve">    implementadas […] en aras de promover la más pronta y eficaz  respuesta</w:t>
        <w:br/>
        <w:t xml:space="preserve">    del Estado ante hechos de violencias contra las mujeres”.</w:t>
        <w:br/>
        <w:br/>
        <w:t xml:space="preserve">       D.2.2.Consideraciones de la Corte</w:t>
        <w:br/>
        <w:br/>
        <w:br/>
        <w:t>274. En cuanto a la solicitud relativa a un protocolo de acción  inmediata</w:t>
        <w:br/>
        <w:t xml:space="preserve">    en casos de desaparición de niñas, adolescentes  y  mujeres,  la  Corte</w:t>
        <w:br/>
        <w:t xml:space="preserve">    toma nota de lo indicado por el Estado sobre  el  “sistema  de  alerta”</w:t>
        <w:br/>
        <w:t xml:space="preserve">    promulgado por la Ley de Alerta Alba-Kenneth para  la  localización  de</w:t>
        <w:br/>
        <w:t xml:space="preserve">    niños y niñas desaparecidas (supra párr. 263)[357].  Dado lo  anterior,</w:t>
        <w:br/>
        <w:t xml:space="preserve">    y siendo que los hechos del caso se vinculan con la desaparición de una</w:t>
        <w:br/>
        <w:t xml:space="preserve">    niña, la Corte no considera procedente disponer que el Estado adopte un</w:t>
        <w:br/>
        <w:t xml:space="preserve">    protocolo específico.</w:t>
        <w:br/>
        <w:br/>
        <w:t>275. En lo que respecta a la implementación de programas  de  formación  y</w:t>
        <w:br/>
        <w:t xml:space="preserve">    capacitación para funcionarios  estatales,  la  Corte  dispone  que  el</w:t>
        <w:br/>
        <w:t xml:space="preserve">    Estado debe, en un plazo razonable, implementar programas y cursos para</w:t>
        <w:br/>
        <w:t xml:space="preserve">    funcionarios públicos  pertenecientes  al  Poder  Judicial,  Ministerio</w:t>
        <w:br/>
        <w:t xml:space="preserve">    Público  y  Policía  Nacional  Civil  que   estén   vinculados   a   la</w:t>
        <w:br/>
        <w:t xml:space="preserve">    investigación de actos de homicidio  de  mujeres  sobre  estándares  en</w:t>
        <w:br/>
        <w:t xml:space="preserve">    materia de prevención, eventual sanción y erradicación de homicidios de</w:t>
        <w:br/>
        <w:t xml:space="preserve">    mujeres y capacitarlos sobre  la  debida  aplicación  de  la  normativa</w:t>
        <w:br/>
        <w:t xml:space="preserve">    pertinente en la materia.</w:t>
        <w:br/>
        <w:br/>
        <w:t>276. En relación a garantizar un sistema de recopilación y  producción  de</w:t>
        <w:br/>
        <w:t xml:space="preserve">    estadísticas confiable y accesible, el Tribunal toma  en  consideración</w:t>
        <w:br/>
        <w:t xml:space="preserve">    que el artículo 20 de la Ley contra  el  Femicidio,  contempla  que  el</w:t>
        <w:br/>
        <w:t xml:space="preserve">    Instituto Nacional de Estadística está obligado a generar indicadores e</w:t>
        <w:br/>
        <w:t xml:space="preserve">    información  estadística,  debiendo  crear  un  Sistema   Nacional   de</w:t>
        <w:br/>
        <w:t xml:space="preserve">    Información sobre Violencia contra la Mujer. En sus alegatos finales el</w:t>
        <w:br/>
        <w:t xml:space="preserve">    Estado proporcionó la dirección de la  página  electrónica  en  la  que</w:t>
        <w:br/>
        <w:t xml:space="preserve">    puede   consultarse   dicho   Sistema    Nacional    de    Información:</w:t>
        <w:br/>
        <w:t xml:space="preserve">    http://www.ine.gob.gt/np/snvcm/index[358], y la Corte ha constatado que</w:t>
        <w:br/>
        <w:t xml:space="preserve">    el sitio contiene datos e información referente a la  violencia  contra</w:t>
        <w:br/>
        <w:t xml:space="preserve">    la mujer en Guatemala. Considerando lo anterior,  el  Tribunal  dispone</w:t>
        <w:br/>
        <w:t xml:space="preserve">    que no es necesario ordenar la creación de un sistema de recopilación y</w:t>
        <w:br/>
        <w:t xml:space="preserve">    producción de estadísticas.</w:t>
        <w:br/>
        <w:br/>
        <w:t>277. En lo relativo a las otras  medidas  de  reparación  solicitadas,  la</w:t>
        <w:br/>
        <w:t xml:space="preserve">    Corte considera que las medidas otorgadas son suficientes, por  lo  que</w:t>
        <w:br/>
        <w:t xml:space="preserve">    no estima necesario ordenar la adopción de otras medidas. En  cuanto  a</w:t>
        <w:br/>
        <w:t xml:space="preserve">    la solicitud de la Comisión de que que se ordene al  Estado  “[a]doptar</w:t>
        <w:br/>
        <w:t xml:space="preserve">    reformas en  los  programas  educativos  del  Estado,  desde  la  etapa</w:t>
        <w:br/>
        <w:t xml:space="preserve">    formativa y temprana, para promover el  respeto  de  las  mujeres  como</w:t>
        <w:br/>
        <w:t xml:space="preserve">    iguales, así como el respeto de sus derechos a la no violencia y  a  la</w:t>
        <w:br/>
        <w:t xml:space="preserve">    no discriminación” y que se implementen “medidas y campañas de difusión</w:t>
        <w:br/>
        <w:t xml:space="preserve">    destinadas  al  público  en  general  sobre  el  deber  de  respetar  y</w:t>
        <w:br/>
        <w:t xml:space="preserve">    garantizar los derechos humanos de las niñas y los niños”, la Corte  no</w:t>
        <w:br/>
        <w:t xml:space="preserve">    tiene acreditado que el deber de respetar  y  garantizar  los  derechos</w:t>
        <w:br/>
        <w:t xml:space="preserve">    humanos de las mujeres, las niñas y los niños no pueda ser  garantizado</w:t>
        <w:br/>
        <w:t xml:space="preserve">    mediante la continuación de los programas existentes y la  difusión  de</w:t>
        <w:br/>
        <w:t xml:space="preserve">    las medidas que, como señaló el Estado, se  encuentran  dentro  de  sus</w:t>
        <w:br/>
        <w:t xml:space="preserve">    actuaciones, e  igualmente  no  considera  pertinente  disponer  dichas</w:t>
        <w:br/>
        <w:t xml:space="preserve">    medidas por las razones expresadas anteriormente.</w:t>
        <w:br/>
        <w:br/>
        <w:br/>
        <w:t xml:space="preserve">  E. Atención y tratamientos médicos y psicológicos adecuados</w:t>
        <w:br/>
        <w:br/>
        <w:br/>
        <w:t xml:space="preserve">    E.1) Argumentos de la representante y el Estado</w:t>
        <w:br/>
        <w:br/>
        <w:t>278.  La  representante  solicitó  que  se  ordene  al   Estado   “brindar</w:t>
        <w:br/>
        <w:t xml:space="preserve">    gratuitamente y  de  forma  inmediata,  adecuada  y  efectiva  atención</w:t>
        <w:br/>
        <w:t xml:space="preserve">    psicológica y médica a favor de los familiares de María Isabel  V[e]liz</w:t>
        <w:br/>
        <w:t xml:space="preserve">    Franco: su madre Rosa Elvira Franco  Sandoval  y  sus  hermanos  Leonel</w:t>
        <w:br/>
        <w:t xml:space="preserve">    Enrique V[e]liz Franco y José Roberto Franco”. Especificaron que</w:t>
        <w:br/>
        <w:br/>
        <w:t xml:space="preserve">   este tratamiento debe ser  suministrado  a  partir  de  un  diagnóstico</w:t>
        <w:br/>
        <w:t xml:space="preserve">   integral de las condiciones médicas  y  psicológicas  de  cada  uno  de</w:t>
        <w:br/>
        <w:t xml:space="preserve">   ellos,  por  profesionales  especializados  que  tengan  experiencia  y</w:t>
        <w:br/>
        <w:t xml:space="preserve">   formación suficiente para tratar tanto los problemas de  salud  físicos</w:t>
        <w:br/>
        <w:t xml:space="preserve">   que padezcan como los traumas psicológicos ocasionados  como  resultado</w:t>
        <w:br/>
        <w:t xml:space="preserve">   de la violencia  de  género,  la  falta  de  respuesta,  estatal  y  la</w:t>
        <w:br/>
        <w:t xml:space="preserve">   impunidad,</w:t>
        <w:br/>
        <w:br/>
        <w:t>y que el mismo debe de “prestarse  por  el  tiempo  que  sea  necesario  e</w:t>
        <w:br/>
        <w:t>incluir  el  suministro  de  todos  los  medicamentos  que   eventualmente</w:t>
        <w:br/>
        <w:t>requieran”.</w:t>
        <w:br/>
        <w:br/>
        <w:t>279. El Estado indicó que</w:t>
        <w:br/>
        <w:br/>
        <w:t xml:space="preserve">   de haberlo solicitado, a la señora Rosa Elvira Franco y  a  sus  hijos,</w:t>
        <w:br/>
        <w:t xml:space="preserve">   […] se les habría prestado los servicios de  psicología  y  atención  a</w:t>
        <w:br/>
        <w:t xml:space="preserve">   víctimas con que cuenta el Estado dentro de las instituciones públicas,</w:t>
        <w:br/>
        <w:t xml:space="preserve">   como parte o complemento de las medidas cautelares que  se  les  dieron</w:t>
        <w:br/>
        <w:t xml:space="preserve">   por instrucción de la Comisión. Sin  embargo,  en  ningún  momento  los</w:t>
        <w:br/>
        <w:t xml:space="preserve">   familiares han manifestado, que deseen de apoyo psicológico para  algún</w:t>
        <w:br/>
        <w:t xml:space="preserve">   miembro de su grupo familiar.</w:t>
        <w:br/>
        <w:br/>
        <w:t xml:space="preserve">    E.2) Consideraciones de la Corte</w:t>
        <w:br/>
        <w:br/>
        <w:t>280. La Corte nota el argumento estatal sobre la posibilidad de  solicitar</w:t>
        <w:br/>
        <w:t xml:space="preserve">    los servicios de atención que brinda el Estado, y  valora  lo  señalado</w:t>
        <w:br/>
        <w:t xml:space="preserve">    por Guatemala en relación con su disposición para brindar  la  atención</w:t>
        <w:br/>
        <w:t xml:space="preserve">    necesaria. Por otra parte, sin perjuicio de lo referido por el  Estado,</w:t>
        <w:br/>
        <w:t xml:space="preserve">    las medidas de reparación que pueda dictar  la  Corte  tienen  sustento</w:t>
        <w:br/>
        <w:t xml:space="preserve">    directo en  los  daños  relativos  a  violaciones  a  derechos  humanos</w:t>
        <w:br/>
        <w:t xml:space="preserve">    declaradas en  este  caso.  Por  tanto,  como  lo  ha  hecho  en  otros</w:t>
        <w:br/>
        <w:t xml:space="preserve">    casos[359], ordena al Estado que brinde atención médica  o  psicológica</w:t>
        <w:br/>
        <w:t xml:space="preserve">    gratuita,  de  forma  inmediata,  adecuada  y  efectiva,  a  través  de</w:t>
        <w:br/>
        <w:t xml:space="preserve">    instituciones estatales de  salud  especializadas,  a  la  señora  Rosa</w:t>
        <w:br/>
        <w:t xml:space="preserve">    Elvira Franco Sandoval, cuya afectación a la  integridad  personal  fue</w:t>
        <w:br/>
        <w:t xml:space="preserve">    declarada por este Tribunal en el caso  sub  judice,  si  ésta  así  lo</w:t>
        <w:br/>
        <w:t xml:space="preserve">    desea.  El  Estado  deberá  asegurar  que  los  profesionales  de   las</w:t>
        <w:br/>
        <w:t xml:space="preserve">    instituciones de  salud  especializadas  que  sean  asignados  para  el</w:t>
        <w:br/>
        <w:t xml:space="preserve">    tratamiento  de  las  víctimas  valoren  debidamente  las   condiciones</w:t>
        <w:br/>
        <w:t xml:space="preserve">    psicológicas y  físicas  de  la  víctima  y  tengan  la  experiencia  y</w:t>
        <w:br/>
        <w:t xml:space="preserve">    formación suficientes para tratar tanto los problemas de salud  físicos</w:t>
        <w:br/>
        <w:t xml:space="preserve">    que padezca como los traumas psicológicos ocasionados como resultado de</w:t>
        <w:br/>
        <w:t xml:space="preserve">    la falta de respuesta estatal, la impunidad y el trato recibido durante</w:t>
        <w:br/>
        <w:t xml:space="preserve">    la investigación (supra  párr.  239).  Asimismo,  el  tratamiento  debe</w:t>
        <w:br/>
        <w:t xml:space="preserve">    prestarse por el tiempo que  sea  necesario  e  incluir  el  suministro</w:t>
        <w:br/>
        <w:t xml:space="preserve">    gratuito de todos los medicamentos que eventualmente requiera.</w:t>
        <w:br/>
        <w:br/>
        <w:t xml:space="preserve">  F. Indemnización por daños materiales e inmateriales.</w:t>
        <w:br/>
        <w:br/>
        <w:br/>
        <w:t xml:space="preserve">    F.1) Introducción</w:t>
        <w:br/>
        <w:br/>
        <w:br/>
        <w:t>281. La Corte toma en consideración que, de  forma  general,  la  Comisión</w:t>
        <w:br/>
        <w:t xml:space="preserve">    recomendó “[r]eparar adecuadamente las violaciones de derechos  humanos</w:t>
        <w:br/>
        <w:t xml:space="preserve">    declaradas en [su] informe [de fondo] tanto en el aspecto material como</w:t>
        <w:br/>
        <w:t xml:space="preserve">    moral” sin esbozar argumentos específicos.  La  representante,  por  su</w:t>
        <w:br/>
        <w:t xml:space="preserve">    parte, solicitó indemnizaciones compensatorias, de acuerdo a argumentos</w:t>
        <w:br/>
        <w:t xml:space="preserve">    que se reseñan más adelante. El Estado rechazó tales  solicitudes,  por</w:t>
        <w:br/>
        <w:t xml:space="preserve">    argumentos que también se detallan a continuación. En el presente caso,</w:t>
        <w:br/>
        <w:t xml:space="preserve">    la Corte estima pertinente abordar en forma conjunta  la  determinación</w:t>
        <w:br/>
        <w:t xml:space="preserve">    de las indemnizaciones de daños materiales e inmateriales.</w:t>
        <w:br/>
        <w:br/>
        <w:br/>
        <w:br/>
        <w:br/>
        <w:br/>
        <w:t xml:space="preserve">    F.2) Argumentos de las partes</w:t>
        <w:br/>
        <w:br/>
        <w:br/>
        <w:t>282.  La representante indicó que la muerte de María Isabel  Veliz  Franco</w:t>
        <w:br/>
        <w:t xml:space="preserve">    “trajo consigo gastos inesperados, el primero de ellos “la necesidad de</w:t>
        <w:br/>
        <w:t xml:space="preserve">    otorgarle una sepultura digna. Los gastos  funerarios  correspondientes</w:t>
        <w:br/>
        <w:t xml:space="preserve">    fueron sufragados en su totalidad por su familia”.  No obstante, señaló</w:t>
        <w:br/>
        <w:t xml:space="preserve">    que la señora Rosa Elvira Franco “no cuenta con todos  los  recibos  de</w:t>
        <w:br/>
        <w:t xml:space="preserve">    los gastos, los cuales fueron efectuados hace más de  10  años”,  y  en</w:t>
        <w:br/>
        <w:t xml:space="preserve">    consecuencia solicitaron que la  Corte  “determine  el  monto  de  esta</w:t>
        <w:br/>
        <w:t xml:space="preserve">    cantidad de acuerdo a criterios de equidad”.</w:t>
        <w:br/>
        <w:br/>
        <w:t>283. Manifestó también que “desde el momento de la muerte de María  Isabel</w:t>
        <w:br/>
        <w:t xml:space="preserve">    […] y a lo largo de los más de  10  años  que  han  transcurrido  desde</w:t>
        <w:br/>
        <w:t xml:space="preserve">    entonces,  su  madre  ha  realizado  numerosas  acciones  para  obtener</w:t>
        <w:br/>
        <w:t xml:space="preserve">    justicia y establecer la verdad de lo ocurrido, lo  cual  ha  implicado</w:t>
        <w:br/>
        <w:t xml:space="preserve">    muchas horas de dedicación”. Al respecto, señaló que durante el  tiempo</w:t>
        <w:br/>
        <w:t xml:space="preserve">    invertido en las diligencias,  “la  señora  […]  Franco  [Sandoval]  no</w:t>
        <w:br/>
        <w:t xml:space="preserve">    conserva los recibos de los”  gastos,  y  por  tanto  solicitó  que  se</w:t>
        <w:br/>
        <w:t xml:space="preserve">    “determine en equidad el monto que debe ser entregado a la  señora  […]</w:t>
        <w:br/>
        <w:t xml:space="preserve">    Franco [Sandoval]”.</w:t>
        <w:br/>
        <w:br/>
        <w:t>284. Además, la representante señaló que “el profundo dolor y la  angustia</w:t>
        <w:br/>
        <w:t xml:space="preserve">    que sintió y sigue experimentado la  señora  Rosa  Elvira  Franco  como</w:t>
        <w:br/>
        <w:t xml:space="preserve">    consecuencia [de los hechos], le  causaron  graves  afectaciones  a  su</w:t>
        <w:br/>
        <w:t xml:space="preserve">    salud, tales como depresión, hipertensión, hipotiroidismo,  una  hernia</w:t>
        <w:br/>
        <w:t xml:space="preserve">    entre otros”. En razón de ello, solicitó que “se  fije  en  equidad  la</w:t>
        <w:br/>
        <w:t xml:space="preserve">    cantidad que el Estado debe otorgar a la señora […]  Franco  [Sandoval]</w:t>
        <w:br/>
        <w:t xml:space="preserve">    por estos gastos”.</w:t>
        <w:br/>
        <w:br/>
        <w:t>285. Respecto al lucro cesante, manifestó que María Isabel  Veliz  Franco,</w:t>
        <w:br/>
        <w:t xml:space="preserve">    tenía 15 años cuando fue asesinada y que en el año “2001  la  esperanza</w:t>
        <w:br/>
        <w:t xml:space="preserve">    de vida para las mujeres en Guatemala era de 72 años,  por  lo  que  le</w:t>
        <w:br/>
        <w:t xml:space="preserve">    restaban por vivir aproximadamente 57 años”. Además,  indicó  que  ella</w:t>
        <w:br/>
        <w:t xml:space="preserve">    “había manifestado su deseo de cursar estudios superiores”  y  que,  en</w:t>
        <w:br/>
        <w:t xml:space="preserve">    virtud de “que no existen  posibilidades  de  estimar  el  salario  que</w:t>
        <w:br/>
        <w:t xml:space="preserve">    habría devengado […] al finalizar sus estudios” solicitó que con base a</w:t>
        <w:br/>
        <w:t xml:space="preserve">    los precedentes “fijados en la [S]entencia [sobre el caso]  González  y</w:t>
        <w:br/>
        <w:t xml:space="preserve">    otras  vs.   México   […]   establezca   en   equidad   un   monto   de</w:t>
        <w:br/>
        <w:t xml:space="preserve">    [US]$145[,]000.00” (ciento cuarenta y cinco mil dólares de los  Estados</w:t>
        <w:br/>
        <w:t xml:space="preserve">    Unidos de América).</w:t>
        <w:br/>
        <w:br/>
        <w:t>286. La representante se refirió también al daño inmaterial. Solicitó  que</w:t>
        <w:br/>
        <w:t xml:space="preserve">    por concepto de daño moral en perjuicio de María Isabel  Veliz  Franco,</w:t>
        <w:br/>
        <w:t xml:space="preserve">    el Estado pague la suma de US$40,000.00 (cuarenta mil  dólares  de  los</w:t>
        <w:br/>
        <w:t xml:space="preserve">    Estados Unidos de América). Ello por  “la  falta  de  garantía  de  los</w:t>
        <w:br/>
        <w:t xml:space="preserve">    derechos a la vida, la integridad personal, y a  la  libertad  personal</w:t>
        <w:br/>
        <w:t xml:space="preserve">    […] así como el incumplimiento por parte del Estado de su obligación de</w:t>
        <w:br/>
        <w:t xml:space="preserve">    brindarle especial protección por su condición  de  niña”.  Indicó  que</w:t>
        <w:br/>
        <w:t xml:space="preserve">    dicha suma “deberá de  ser  entregada  a  sus  familiares  conforme  al</w:t>
        <w:br/>
        <w:t xml:space="preserve">    derecho sucesorio vigente en la actualidad en Guatemala”.</w:t>
        <w:br/>
        <w:br/>
        <w:t>287. En cuanto a los familiares de María Isabel Veliz Franco,  señaló  que</w:t>
        <w:br/>
        <w:t xml:space="preserve">    “en el presente caso, resulta evidente el sufrimiento intenso”, ya  que</w:t>
        <w:br/>
        <w:t xml:space="preserve">    “experimentaron profundos sentimientos de angustia y dolor  a  raíz  de</w:t>
        <w:br/>
        <w:t xml:space="preserve">    [la] desaparición, de los vejámenes que sufrió y  de[l]  asesinato”  de</w:t>
        <w:br/>
        <w:t xml:space="preserve">    María Isabel. Adicionalmente indicó que, la madre  y  los  hermanos  de</w:t>
        <w:br/>
        <w:t xml:space="preserve">    María Isabel  siguen  “sufriendo  por  afectaciones  en  su  integridad</w:t>
        <w:br/>
        <w:t xml:space="preserve">    psíquica y moral debido a las negligencias de los funcionarios públicos</w:t>
        <w:br/>
        <w:t xml:space="preserve">    que  participaron  en  las  investigaciones  y  los   señalamientos   y</w:t>
        <w:br/>
        <w:t xml:space="preserve">    prejuicios que  emitieron  en  contra  de  María  Isabel  así  como  la</w:t>
        <w:br/>
        <w:t xml:space="preserve">    impunidad en que permanecen los hechos del  presente  caso”.  Manifestó</w:t>
        <w:br/>
        <w:t xml:space="preserve">    que “el  asesinato  de  María  Isabel  trajo  serias  implicaciones  al</w:t>
        <w:br/>
        <w:t xml:space="preserve">    proyecto de vida de su madre debido a que en ella recayó principalmente</w:t>
        <w:br/>
        <w:t xml:space="preserve">    la búsqueda de justicia y el impulso de las  investigaciones”.   Además</w:t>
        <w:br/>
        <w:t xml:space="preserve">    indicó  que  remitieron  un  peritaje  psicológico  para  demostrar  el</w:t>
        <w:br/>
        <w:t xml:space="preserve">    sufrimiento de los abuelos así como de los hermanos  de  María  Isabel.</w:t>
        <w:br/>
        <w:t xml:space="preserve">    Por todo lo anterior,  la  representante  solicitó  que  “con  base  al</w:t>
        <w:br/>
        <w:t xml:space="preserve">    principio de equidad  y  de  conformidad  con  la  jurisprudencia”  del</w:t>
        <w:br/>
        <w:t xml:space="preserve">    Tribunal se fije un monto por concepto de daño  moral  sufrido  por  la</w:t>
        <w:br/>
        <w:t xml:space="preserve">    mamá, hermanos y abuelos de María Isabel Veliz Franco.  Pidió  que  los</w:t>
        <w:br/>
        <w:t xml:space="preserve">    montos otorgados a favor de los  abuelos  “sea[n]  entregad[os]  a  sus</w:t>
        <w:br/>
        <w:t xml:space="preserve">    herederos legítimos de conformidad con la legislación guatemalteca”.</w:t>
        <w:br/>
        <w:br/>
        <w:t>288. El Estado, por su parte, resaltó  sobre  los  gastos  funerarios  que</w:t>
        <w:br/>
        <w:t xml:space="preserve">    existe una contradicción en la solicitud de la representante en  cuanto</w:t>
        <w:br/>
        <w:t xml:space="preserve">    “la señora […] Franco [Sandoval] no cuenta con todos los recibos”,  sin</w:t>
        <w:br/>
        <w:t xml:space="preserve">    embargo “entre los documentos  anexos  a  su  [escrito  de  solicitudes</w:t>
        <w:br/>
        <w:t xml:space="preserve">    argumentos] consta en el  anexo  identificado  como  Anexo  127  [sic],</w:t>
        <w:br/>
        <w:t xml:space="preserve">    comprobantes de los gastos funerarios, mismos  que  fueron  verificados</w:t>
        <w:br/>
        <w:t xml:space="preserve">    por agentes del Estado”.  En relación a ello, el Estado hizo  notar  la</w:t>
        <w:br/>
        <w:t xml:space="preserve">    diferencia  que  se  obtuvo  entre  la  “certificación  extendida  como</w:t>
        <w:br/>
        <w:t xml:space="preserve">    constancia por el servicio funerario de María Isabel” y “el  recibo  de</w:t>
        <w:br/>
        <w:t xml:space="preserve">    caja” presentado por la representante. El primero de ellos indicaba  un</w:t>
        <w:br/>
        <w:t xml:space="preserve">    valor total de “GTQ 2,500.00 (dos mil  quinientos  quetzales  exactos)”</w:t>
        <w:br/>
        <w:t xml:space="preserve">    mientras que el segundo indica que se cancelaron “GTQ  10,500.00  (diez</w:t>
        <w:br/>
        <w:t xml:space="preserve">    mil quinientos quetzales exactos) en  concepto  de  diferencia  por  el</w:t>
        <w:br/>
        <w:t xml:space="preserve">    valor de sándwiches y embalsamiento de María Isabel Veliz  Franco”.  El</w:t>
        <w:br/>
        <w:t xml:space="preserve">    Estado indicó que al observar la incongruencia  “se  presentaron  a  la</w:t>
        <w:br/>
        <w:t xml:space="preserve">    caja funeraria que extendió dicha certificación y el recibo de caja que</w:t>
        <w:br/>
        <w:t xml:space="preserve">    obra  en  sus  archivos,  para  verificar  la  autenticidad  de  dichos</w:t>
        <w:br/>
        <w:t xml:space="preserve">    documentos  y  legitimidad  del  contenido  del  mismo”.  No  obstante,</w:t>
        <w:br/>
        <w:t xml:space="preserve">    encontraron que la “señora Rosa Elvira Franco, incurrió en  una  acción</w:t>
        <w:br/>
        <w:t xml:space="preserve">    delictiva de conformidad con la legislación interna” en  vista  de  que</w:t>
        <w:br/>
        <w:t xml:space="preserve">    “el valor de ese recibo de caja, según indican las representantes de la</w:t>
        <w:br/>
        <w:t xml:space="preserve">    empresa funeraria […] es  de  GTQ  1,050.00  (mil  cincuenta  quetzales</w:t>
        <w:br/>
        <w:t xml:space="preserve">    exactos)”.  Asimismo expresó que</w:t>
        <w:br/>
        <w:br/>
        <w:t xml:space="preserve">  si bien se paga el embalsamamiento y sándwiches adicionales, el costo hoy</w:t>
        <w:br/>
        <w:t xml:space="preserve">  por hoy, de embalsamar el cuerpo es de GTQ 2,000.00  (dos  mil  quetzales</w:t>
        <w:br/>
        <w:t xml:space="preserve">  exactos), y que el precio de este servicio no se  ha  disminuido  en  los</w:t>
        <w:br/>
        <w:t xml:space="preserve">  últimos años, sino que ha aumentado, y que en el 2001, costaba GTQ 850.00</w:t>
        <w:br/>
        <w:t xml:space="preserve">  (ochocientos cincuenta quetzales exactos).</w:t>
        <w:br/>
        <w:br/>
        <w:t>Por último indicó que “en la esquina inferior izquierda del recibo de caja</w:t>
        <w:br/>
        <w:t>presentado por la madre de la víctima, se hace la observación de que  para</w:t>
        <w:br/>
        <w:t>el ‘Caso María Isabel Veliz Franco y Otros’ [por lo que] resulta  evidente</w:t>
        <w:br/>
        <w:t>que ese texto fue agregado” y que es una “exposición de mala fe con que la</w:t>
        <w:br/>
        <w:t>madre de la víctima y, en su caso,  su  representante,  se  conducen  para</w:t>
        <w:br/>
        <w:t>obtener beneficios económicos derivados de la trágica muerte de la menor”.</w:t>
        <w:br/>
        <w:br/>
        <w:br/>
        <w:t>289. Indicó también, sobre  los  aducidos  gastos  para  la  obtención  de</w:t>
        <w:br/>
        <w:t xml:space="preserve">    justicia, que “desconfía absolutamente de la veracidad, de lo dicho por</w:t>
        <w:br/>
        <w:t xml:space="preserve">    l[a] [representante], sin embargo  recuerda  […]  que  ninguno  de  los</w:t>
        <w:br/>
        <w:t xml:space="preserve">    gastos hasta ahora erogados por la señora Franco, son  necesarios  para</w:t>
        <w:br/>
        <w:t xml:space="preserve">    la obtención de justicia”.</w:t>
        <w:br/>
        <w:br/>
        <w:t>290. El Estado señaló además que “los peticionarios y su […] representante</w:t>
        <w:br/>
        <w:t xml:space="preserve">    […] solicita[ron] el reintegro de gastos médicos y  psicológicos,  pero</w:t>
        <w:br/>
        <w:t xml:space="preserve">    en el apartado en el  que  reclaman  el  reembolso  de  gastos  médicos</w:t>
        <w:br/>
        <w:t xml:space="preserve">    erogados  no  se  menciona  en  ningún  sentido  que   hayan   recibido</w:t>
        <w:br/>
        <w:t xml:space="preserve">    tratamientos psicológicos de ninguna clase”.</w:t>
        <w:br/>
        <w:br/>
        <w:t>291. En cuanto a la aducida pérdida de ingresos, expresó que</w:t>
        <w:br/>
        <w:br/>
        <w:br/>
        <w:t xml:space="preserve">    si hay posibilidades de estimar el salario que habría  devengado  María</w:t>
        <w:br/>
        <w:t xml:space="preserve">    Isabel al finalizar sus estudios. Para  tal  efecto,  el  Estado  puede</w:t>
        <w:br/>
        <w:t xml:space="preserve">    proporcionar información, si  la  Corte  la  requiere,  sobre  salarios</w:t>
        <w:br/>
        <w:t xml:space="preserve">    promedios de personas con grados académicos en actividades relacionadas</w:t>
        <w:br/>
        <w:t xml:space="preserve">    con el comercio, dado que María Isabel trabajaba como vendedora en  una</w:t>
        <w:br/>
        <w:t xml:space="preserve">    tienda y puede asumirse que éste era un ámbito de interés.</w:t>
        <w:br/>
        <w:br/>
        <w:t>Por último, consideró</w:t>
        <w:br/>
        <w:br/>
        <w:t xml:space="preserve">    exagerado que se establezca en equidad el monto total de supuesto lucro</w:t>
        <w:br/>
        <w:t xml:space="preserve">    cesante de US$145,000.00 [(ciento  cuarenta  y  cinco  mil  dólares  de</w:t>
        <w:br/>
        <w:t xml:space="preserve">    Estados Unidos de América)], pues en 10 años, esa cantidad  de  dólares</w:t>
        <w:br/>
        <w:t xml:space="preserve">    vienen a ser US$14,500.00 [catorce mil quinientos  dólares  de  Estados</w:t>
        <w:br/>
        <w:t xml:space="preserve">    Unidos  de  América]  anuales,  lo  que  mensualmente  vendrían  siendo</w:t>
        <w:br/>
        <w:t xml:space="preserve">    aproximadamente US$1,200.00 [mil  doscientos  dólares  de  los  Estados</w:t>
        <w:br/>
        <w:t xml:space="preserve">    Unidos de América] mensuales.</w:t>
        <w:br/>
        <w:br/>
        <w:br/>
        <w:t>292. Por todo lo anterior y tomando en cuenta que “la  menor  no  era  aún</w:t>
        <w:br/>
        <w:t xml:space="preserve">    profesional, resulta complicado para el Estado acreditar  legítimamente</w:t>
        <w:br/>
        <w:t xml:space="preserve">    que de  alguna  forma  habría  devengado,  en  caso  de  continuar  sus</w:t>
        <w:br/>
        <w:t xml:space="preserve">    estudios, casi 3 veces el salario mínimo establecido a la fecha  en  el</w:t>
        <w:br/>
        <w:t xml:space="preserve">    país, desde el momento en que saliera del colegio   hasta  que  muriera</w:t>
        <w:br/>
        <w:t xml:space="preserve">    por causas naturales”.</w:t>
        <w:br/>
        <w:br/>
        <w:t>293. En cuanto a la indemnización por daño inmaterial  a  favor  de  María</w:t>
        <w:br/>
        <w:t xml:space="preserve">    Isabel, el Estado señaló que “ha realizado una  investigación  seria  y</w:t>
        <w:br/>
        <w:t xml:space="preserve">    diligente […] para determinar lo sucedido [no  obstante,]  no  ha  sido</w:t>
        <w:br/>
        <w:t xml:space="preserve">    posible identificar y sancionar a los responsables”. Además indicó  que</w:t>
        <w:br/>
        <w:t xml:space="preserve">    “tomó todas las medidas idóneas para coadyuvar a la determinación de su</w:t>
        <w:br/>
        <w:t xml:space="preserve">    paradero, ya que remitió la denuncia a la oficina correspondiente  para</w:t>
        <w:br/>
        <w:t xml:space="preserve">    la búsqueda de menores y al aparecer el cuerpo se  emitió  oficio  para</w:t>
        <w:br/>
        <w:t xml:space="preserve">    determinar si las características del cuerpo  hallado  correspondían  a</w:t>
        <w:br/>
        <w:t xml:space="preserve">    las de alguna mujer cuya desaparición hubiera sido denunciada”.</w:t>
        <w:br/>
        <w:br/>
        <w:t>294. Expresó asimismo que “no se debe ningún tipo de reparación pecuniaria</w:t>
        <w:br/>
        <w:t xml:space="preserve">    por daño moral a ninguna de las supuestas víctimas en el presente  caso</w:t>
        <w:br/>
        <w:t xml:space="preserve">    (María Isabel ni familiares) toda vez que el Estado  no  ha  incumplido</w:t>
        <w:br/>
        <w:t xml:space="preserve">    ninguno de los términos a que el criterio de esta Corte se refiere para</w:t>
        <w:br/>
        <w:t xml:space="preserve">    establecer como evidente el daño inmaterial”.  Además  indicó  que  “ha</w:t>
        <w:br/>
        <w:t xml:space="preserve">    realizado  una  investigación  seria  y  diligente  por  parte  de  las</w:t>
        <w:br/>
        <w:t xml:space="preserve">    autoridades estatales para  determinar  lo  sucedido  a  aquellas”,  no</w:t>
        <w:br/>
        <w:t xml:space="preserve">    obstante “por los resultados de la investigación  no  ha  sido  posible</w:t>
        <w:br/>
        <w:t xml:space="preserve">    identificar y sancionar a los responsables,  asimismo,  dentro  de  sus</w:t>
        <w:br/>
        <w:t xml:space="preserve">    posibilidades y con la  premura  del  tiempo  en  que  se  hizo  de  su</w:t>
        <w:br/>
        <w:t xml:space="preserve">    conocimiento el riesgo que corría la menor y apareció muerta, tomó  las</w:t>
        <w:br/>
        <w:t xml:space="preserve">    medidas idóneas para coadyuvar a la determinación de su paradero”.  Por</w:t>
        <w:br/>
        <w:t xml:space="preserve">    último, señaló que “han transcurrido 11 años  desde  la  muerte  de  la</w:t>
        <w:br/>
        <w:t xml:space="preserve">    menor, y en todo este tiempo los familiares nunca han solicitado  ayuda</w:t>
        <w:br/>
        <w:t xml:space="preserve">    psicológica ni manifestado que tienen algún impedimento de recuperación</w:t>
        <w:br/>
        <w:t xml:space="preserve">    emocional al Estado”.</w:t>
        <w:br/>
        <w:br/>
        <w:t>F.3) Consideraciones de la Corte</w:t>
        <w:br/>
        <w:br/>
        <w:br/>
        <w:t>295. La Corte ha desarrollado en su jurisprudencia  el  concepto  de  daño</w:t>
        <w:br/>
        <w:t xml:space="preserve">    material y ha establecido que éste supone “la pérdida o  detrimento  de</w:t>
        <w:br/>
        <w:t xml:space="preserve">    los ingresos de las víctimas, los gastos efectuados con motivo  de  los</w:t>
        <w:br/>
        <w:t xml:space="preserve">    hechos y las consecuencias de carácter pecuniario que  tengan  un  nexo</w:t>
        <w:br/>
        <w:t xml:space="preserve">    causal con los hechos del caso”[360].  Del mismo modo, ha  desarrollado</w:t>
        <w:br/>
        <w:t xml:space="preserve">    en su jurisprudencia el concepto de daño inmaterial  y  ha  establecido</w:t>
        <w:br/>
        <w:t xml:space="preserve">    que éste “puede comprender tanto los  sufrimientos  y  las  aflicciones</w:t>
        <w:br/>
        <w:t xml:space="preserve">    causados  por  la  violación  como  el   menoscabo   de   valores   muy</w:t>
        <w:br/>
        <w:t xml:space="preserve">    significativos para las personas y cualquier alteración, de carácter no</w:t>
        <w:br/>
        <w:t xml:space="preserve">    pecuniario, en las condiciones de  existencia  de  las  víctimas”[361].</w:t>
        <w:br/>
        <w:t xml:space="preserve">    Dado que no es  posible  asignar  al  daño  inmaterial  un  equivalente</w:t>
        <w:br/>
        <w:t xml:space="preserve">    monetario preciso, sólo puede ser  objeto  de  compensación,  para  los</w:t>
        <w:br/>
        <w:t xml:space="preserve">    fines de la reparación integral a la víctima, mediante el pago  de  una</w:t>
        <w:br/>
        <w:t xml:space="preserve">    cantidad de dinero o la entrega de bienes o  servicios  apreciables  en</w:t>
        <w:br/>
        <w:t xml:space="preserve">    dinero, que el Tribunal determine en aplicación razonable del  arbitrio</w:t>
        <w:br/>
        <w:t xml:space="preserve">    judicial y en términos de equidad[362].  Asimismo, la Corte reitera  el</w:t>
        <w:br/>
        <w:t xml:space="preserve">    carácter compensatorio de las indemnizaciones, cuya naturaleza y  monto</w:t>
        <w:br/>
        <w:t xml:space="preserve">    dependen del daño ocasionado,  por  lo  que  no  pueden  significar  ni</w:t>
        <w:br/>
        <w:t xml:space="preserve">    enriquecimiento  ni   empobrecimiento   para   las   víctimas   o   sus</w:t>
        <w:br/>
        <w:t xml:space="preserve">    sucesores[363].</w:t>
        <w:br/>
        <w:br/>
        <w:t>296. De la información aportada sobre los gastos funerarios, este Tribunal</w:t>
        <w:br/>
        <w:t xml:space="preserve">    toma nota de la contradicción de  la  representante,  como  también  lo</w:t>
        <w:br/>
        <w:t xml:space="preserve">    señaló el Estado, que, por un lado, remitió comprobantes de los  gastos</w:t>
        <w:br/>
        <w:t xml:space="preserve">    funerarios en que incurrieron los familiares de la víctima, y por otro,</w:t>
        <w:br/>
        <w:t xml:space="preserve">    solicitó que la Corte fije en equidad el monto respectivo por no contar</w:t>
        <w:br/>
        <w:t xml:space="preserve">    con comprobantes. Además, el Estado presentó una certificación  emitida</w:t>
        <w:br/>
        <w:t xml:space="preserve">    por la funeraria contratada para el funeral de  María  Isabel  por  los</w:t>
        <w:br/>
        <w:t xml:space="preserve">    familiares  y   cuestionó   los   comprobantes   presentados   por   la</w:t>
        <w:br/>
        <w:t xml:space="preserve">    representante por considerar que el monto fue  supuestamente  alterado.</w:t>
        <w:br/>
        <w:t xml:space="preserve">    Sin perjuicio de ello, el Tribunal presume, como lo ha hecho  en  casos</w:t>
        <w:br/>
        <w:t xml:space="preserve">    anteriores[364], que los familiares incurrieron en diversos gastos  con</w:t>
        <w:br/>
        <w:t xml:space="preserve">    motivo de la muerte de María Isabel.  Del  mismo  modo,  considera  los</w:t>
        <w:br/>
        <w:t xml:space="preserve">    alegatos de la representante sobre los gastos en que incurrió la señora</w:t>
        <w:br/>
        <w:t xml:space="preserve">    Franco Sandoval para la obtención de justicia para determinar el  monto</w:t>
        <w:br/>
        <w:t xml:space="preserve">    indemnizatorio correspondiente (supra párr. 283).</w:t>
        <w:br/>
        <w:br/>
        <w:t>297. Por otra parte, este Tribunal desestima el pedido de la representante</w:t>
        <w:br/>
        <w:t xml:space="preserve">    en cuanto a los gastos médicos erogados, ya que de la prueba allegada a</w:t>
        <w:br/>
        <w:t xml:space="preserve">    la Corte  no  surge  la  demostración  de  un  nexo  causal  entre  las</w:t>
        <w:br/>
        <w:t xml:space="preserve">    afecciones puntuales que padece la  señora  Franco  y  las  violaciones</w:t>
        <w:br/>
        <w:t xml:space="preserve">    declaradas en esta Sentencia. Sin perjuicio de  lo  anterior,  se  deja</w:t>
        <w:br/>
        <w:t xml:space="preserve">    constancia que, respecto al daño relativo a la declarada  afectación  a</w:t>
        <w:br/>
        <w:t xml:space="preserve">    la integridad personal de la  señora  Franco  Sandoval,  se  ordena  la</w:t>
        <w:br/>
        <w:t xml:space="preserve">    reparación a través de la prestación de la atención  respectiva  (supra</w:t>
        <w:br/>
        <w:t xml:space="preserve">    párr. 280)</w:t>
        <w:br/>
        <w:br/>
        <w:t>298. En lo que se refiere a  la  alegada  pérdida  de  ingresos  de  María</w:t>
        <w:br/>
        <w:t xml:space="preserve">    Isabel,  la  Corte  nota  que  la   representante   solicitó   que   la</w:t>
        <w:br/>
        <w:t xml:space="preserve">    indemnización por ese concepto sea establecida con base en lo dispuesto</w:t>
        <w:br/>
        <w:t xml:space="preserve">    en lo pertinente en la sentencia sobre el caso  González  y  otras  Vs.</w:t>
        <w:br/>
        <w:t xml:space="preserve">    México. Al respecto, la Corte en el  referido  caso  concluyó  que  “el</w:t>
        <w:br/>
        <w:t xml:space="preserve">    ofrecimiento estatal realizado para compensar por el lucro cesante  […]</w:t>
        <w:br/>
        <w:t xml:space="preserve">    era adecuado” y lo tomó en cuenta para fijar los montos indemnizatorios</w:t>
        <w:br/>
        <w:t xml:space="preserve">    a favor de las víctimas por ese concepto[365]. En el presente caso,  la</w:t>
        <w:br/>
        <w:t xml:space="preserve">    representante no presentó prueba relacionada con los posibles  ingresos</w:t>
        <w:br/>
        <w:t xml:space="preserve">    futuros de la víctima ni tampoco datos relacionados con su  salario  en</w:t>
        <w:br/>
        <w:t xml:space="preserve">    su trabajo temporario, ni sobre su expectativa de vida.</w:t>
        <w:br/>
        <w:br/>
        <w:t>299. De otro lado, en lo que se refiere al daño inmaterial, este  Tribunal</w:t>
        <w:br/>
        <w:t xml:space="preserve">    ha sostenido que el daño inmaterial resulta evidente, pues es propio de</w:t>
        <w:br/>
        <w:t xml:space="preserve">    la naturaleza humana que toda persona que padece una  violación  a  sus</w:t>
        <w:br/>
        <w:t xml:space="preserve">    derechos humanos experimente un sufrimiento[366]. En relación con María</w:t>
        <w:br/>
        <w:t xml:space="preserve">    Isabel Veliz Franco,  en  el  presente  caso  la  Corte  estableció  la</w:t>
        <w:br/>
        <w:t xml:space="preserve">    responsabilidad  internacional  estatal  por  las  deficiencias  en  la</w:t>
        <w:br/>
        <w:t xml:space="preserve">    prevención de hechos que  vulneraron  los  bienes  protegidos  por  los</w:t>
        <w:br/>
        <w:t xml:space="preserve">    derechos a la vida e integridad personal de la  niña.  Asimismo,  quedó</w:t>
        <w:br/>
        <w:t xml:space="preserve">    establecido que diversas deficiencias  en  la  investigación  de  tales</w:t>
        <w:br/>
        <w:t xml:space="preserve">    hechos afectaron el acceso a la justicia de sus  familiares  y,  en  el</w:t>
        <w:br/>
        <w:t xml:space="preserve">    caso de su madre, adicionalmente se afectaron  su  integridad  personal</w:t>
        <w:br/>
        <w:t xml:space="preserve">    (supra párrs. 225 y 242). Al respecto, el daño inmaterial  sufrido  por</w:t>
        <w:br/>
        <w:t xml:space="preserve">    los abuelos de María Isabel, será tomado en cuenta  al  determinar  las</w:t>
        <w:br/>
        <w:t xml:space="preserve">    indemnizaciones correspondientes.</w:t>
        <w:br/>
        <w:br/>
        <w:t>300. En consideración de lo expuesto, este Tribunal  fija  en  equidad  la</w:t>
        <w:br/>
        <w:t xml:space="preserve">    cantidad de US$220,000.00 (doscientos veinte mil dólares de los Estados</w:t>
        <w:br/>
        <w:t xml:space="preserve">    Unidos de América) por concepto de  daños  materiales  e  inmateriales.</w:t>
        <w:br/>
        <w:t xml:space="preserve">    Dicha suma será distribuida de la siguiente manera:  para  Rosa  Elvira</w:t>
        <w:br/>
        <w:t xml:space="preserve">    Franco la cantidad de US$120,000.00 (ciento veinte mil dólares  de  los</w:t>
        <w:br/>
        <w:t xml:space="preserve">    Estados Unidos de América), y para Leonel Enrique Veliz Franco  y  José</w:t>
        <w:br/>
        <w:t xml:space="preserve">    Roberto Franco la suma  US$50,000.00  (cincuenta  mil  dólares  de  los</w:t>
        <w:br/>
        <w:t xml:space="preserve">    Estados Unidos de América) para cada uno.</w:t>
        <w:br/>
        <w:br/>
        <w:t xml:space="preserve">  G. Costas y gastos</w:t>
        <w:br/>
        <w:br/>
        <w:t xml:space="preserve">    G.1) Argumentos de la representante y el Estado</w:t>
        <w:br/>
        <w:br/>
        <w:t>301. La representante indicó que dos organizaciones han representado a  la</w:t>
        <w:br/>
        <w:t xml:space="preserve">    presunta víctima y  sus  familiares,  siendo  estas  CEJIL  y  REDNOVI.</w:t>
        <w:br/>
        <w:t xml:space="preserve">    Manifestó que “CEJIL ha actuado como representante  […]  desde  el  año</w:t>
        <w:br/>
        <w:t xml:space="preserve">    2005” y que en el ejercicio de dicha representación incurrió en  gastos</w:t>
        <w:br/>
        <w:t xml:space="preserve">    que  incluyen   “viajes,   alojamiento,   comunicaciones,   fotocopias,</w:t>
        <w:br/>
        <w:t xml:space="preserve">    papelería y envío de documentos”. Por lo expuesto, solicitó que se fije</w:t>
        <w:br/>
        <w:t xml:space="preserve">    en equidad la cantidad de US$8.251.63 (ocho mil doscientos cincuenta  y</w:t>
        <w:br/>
        <w:t xml:space="preserve">    un dólares con sesenta y tres centavos de dólar de los  Estados  Unidos</w:t>
        <w:br/>
        <w:t xml:space="preserve">    de América) y que dicho  monto  sea  reintegrado  directamente  por  el</w:t>
        <w:br/>
        <w:t xml:space="preserve">    Estado a CEJIL.</w:t>
        <w:br/>
        <w:br/>
        <w:t>302. REDNOVI, por su parte, según adujo,</w:t>
        <w:br/>
        <w:br/>
        <w:t xml:space="preserve">   ha dado seguimiento al caso desde el  año  2003  [y]  desde  entonces  ha</w:t>
        <w:br/>
        <w:t xml:space="preserve">   realizado múltiples gestiones de acompañamiento a  la  familia  de  María</w:t>
        <w:br/>
        <w:t xml:space="preserve">   Isabel durante el trámite ante la Comisión, tales  como  la  verificación</w:t>
        <w:br/>
        <w:t xml:space="preserve">   periódica del expediente judicial, gestión, obtención  de  fotocopias  de</w:t>
        <w:br/>
        <w:t xml:space="preserve">   documentos, participación en reuniones con autoridades,  gastos  para  la</w:t>
        <w:br/>
        <w:t xml:space="preserve">   elaboración de declaraciones y certificación de documentos, entre  otros.</w:t>
        <w:br/>
        <w:br/>
        <w:br/>
        <w:br/>
        <w:t>Además “se han llevado a cabo gastos relativos a viajes […]  a  Washington</w:t>
        <w:br/>
        <w:t>DC [… y] San José.” Adicionalmente indicó que “no cuenta con  los  recibos</w:t>
        <w:br/>
        <w:t>de los gastos realizados”  y  por  tanto  le  solicitó  a  la  Corte  “que</w:t>
        <w:br/>
        <w:t>determine en equidad un monto de US$10,000.00 (diez  mil  dólares  de  los</w:t>
        <w:br/>
        <w:t>Estados Unidos América)”. Solicitó que “el monto referente  a  los  gastos</w:t>
        <w:br/>
        <w:t>que ha incurrido la REDNOVI sea reintegrado directamente por el Estado,  a</w:t>
        <w:br/>
        <w:t>la Asociación Nuevos Horizontes, organización integrante de la REDNOVI”.</w:t>
        <w:br/>
        <w:br/>
        <w:t>303. Por último, solicitó que</w:t>
        <w:br/>
        <w:br/>
        <w:t xml:space="preserve">    se  abone  una  suma  dineraria  adicional  a  los  gastos  que  fueron</w:t>
        <w:br/>
        <w:t xml:space="preserve">    detallados anteriormente, en concepto  de  gastos  futuros  [entre  los</w:t>
        <w:br/>
        <w:t xml:space="preserve">    cuales comprenden] aquellos relacionados  con  el  cumplimiento  de  la</w:t>
        <w:br/>
        <w:t xml:space="preserve">    sentencia; los que demandará el trámite de supervisión de  cumplimiento</w:t>
        <w:br/>
        <w:t xml:space="preserve">    de la sentencia; los gastos de viaje para impulsar en  cumplimiento  de</w:t>
        <w:br/>
        <w:t xml:space="preserve">    la [S]entencia y si fuera el caso, los  gastos  internos  en  Guatemala</w:t>
        <w:br/>
        <w:t xml:space="preserve">    para poder verificar el cumplimiento de la [S]entencia.</w:t>
        <w:br/>
        <w:br/>
        <w:t>304. El Estado señaló que</w:t>
        <w:br/>
        <w:br/>
        <w:t xml:space="preserve">    dada la situación que se comprueba en el presente caso, en relación  a</w:t>
        <w:br/>
        <w:t xml:space="preserve">    la alteración de documentos que contienen  supuestos  gastos  erogados</w:t>
        <w:br/>
        <w:t xml:space="preserve">    por servicios funerarios, el Estado apreciaría de gran medida que  [la</w:t>
        <w:br/>
        <w:t xml:space="preserve">    Corte] tenga a bien  no  condenar  al  Estado  de  Guatemala  por  los</w:t>
        <w:br/>
        <w:t xml:space="preserve">    supuestos gastos y costas de su contraparte en este proceso.</w:t>
        <w:br/>
        <w:br/>
        <w:t>En particular, en cuanto a los montos  solicitados  por  CEJIL  el  Estado</w:t>
        <w:br/>
        <w:t>señaló que “no acepta el cobro de ninguno de los gastos  planteados;  toda</w:t>
        <w:br/>
        <w:t>vez que su participación en este proceso fue voluntaria [en vista que]  la</w:t>
        <w:br/>
        <w:t>peticionaria ya tenía como representante a REDNOVI”. Por último, sobre los</w:t>
        <w:br/>
        <w:t>gastos de REDNOVI, el Estado indicó  que  “no  se  responsabiliza  por  el</w:t>
        <w:br/>
        <w:t>reembolso de gastos que no sean comprobados”.</w:t>
        <w:br/>
        <w:br/>
        <w:t xml:space="preserve">    G.2) Consideraciones de la Corte</w:t>
        <w:br/>
        <w:br/>
        <w:br/>
        <w:t>305. La Corte reitera que, conforme a su jurisprudencia[367], las costas y</w:t>
        <w:br/>
        <w:t xml:space="preserve">    gastos hacen  parte  del  concepto  de  reparación,  toda  vez  que  la</w:t>
        <w:br/>
        <w:t xml:space="preserve">    actividad desplegada por las víctimas con el fin de  obtener  justicia,</w:t>
        <w:br/>
        <w:t xml:space="preserve">    tanto a nivel nacional como  internacional,  implican  erogaciones  que</w:t>
        <w:br/>
        <w:t xml:space="preserve">    deben ser  compensadas  cuando  la  responsabilidad  internacional  del</w:t>
        <w:br/>
        <w:t xml:space="preserve">    Estado es declarada mediante una sentencia condenatoria.</w:t>
        <w:br/>
        <w:br/>
        <w:t>306. Asimismo, la Corte reitera  que  no  es  suficiente  la  remisión  de</w:t>
        <w:br/>
        <w:t xml:space="preserve">    documentos probatorios, sino que se requiere que las partes  hagan  una</w:t>
        <w:br/>
        <w:t xml:space="preserve">    argumentación que relacione la prueba con el  hecho  que  se  considera</w:t>
        <w:br/>
        <w:t xml:space="preserve">    representado, y que, al tratarse de alegados desembolsos económicos, se</w:t>
        <w:br/>
        <w:t xml:space="preserve">    establezcan  con  claridad  los  rubros  y  la  justificación  de   los</w:t>
        <w:br/>
        <w:t xml:space="preserve">    mismos[368].</w:t>
        <w:br/>
        <w:br/>
        <w:t>307. En el presente caso, la prueba aportada por  la  representante  y  la</w:t>
        <w:br/>
        <w:t xml:space="preserve">    argumentación correspondiente no permite una justificación completa  de</w:t>
        <w:br/>
        <w:t xml:space="preserve">    los montos solicitados. Asimismo el Tribunal nota que en el escrito  de</w:t>
        <w:br/>
        <w:t xml:space="preserve">    solicitudes y argumentos, CEJIL solicitó el  pago  de  las  costas  del</w:t>
        <w:br/>
        <w:t xml:space="preserve">    proceso, no obstante mediante comunicación de  8  de  febrero  de  2013</w:t>
        <w:br/>
        <w:t xml:space="preserve">    indicó que “a partir de ese día no continuar[ía] con la  representación</w:t>
        <w:br/>
        <w:t xml:space="preserve">    legal de la señora Rosa Elvira  Franco  Sandoval  y  su  familia”,  sin</w:t>
        <w:br/>
        <w:t xml:space="preserve">    embargo no realizó ninguna solicitud sobre las costas  y  gastos  a  su</w:t>
        <w:br/>
        <w:t xml:space="preserve">    favor. En virtud de ello, la  Corte  no  se  pronunciará  al  respecto.</w:t>
        <w:br/>
        <w:t xml:space="preserve">    Teniendo en cuenta lo anterior, la Corte fija en equidad la cantidad de</w:t>
        <w:br/>
        <w:t xml:space="preserve">    US$10,000.00 (diez mil dólares de los Estados Unidos  de  América)  que</w:t>
        <w:br/>
        <w:t xml:space="preserve">    deben ser entregados a  REDNOVI,  con  motivo  de  los  gastos  por  la</w:t>
        <w:br/>
        <w:t xml:space="preserve">    tramitación del proceso ante  el  sistema  interamericano  de  derechos</w:t>
        <w:br/>
        <w:t xml:space="preserve">    humanos. Dicho monto deberá ser entregado a  la  representante.  En  la</w:t>
        <w:br/>
        <w:t xml:space="preserve">    etapa de supervisión de cumplimiento de la presente Sentencia, la Corte</w:t>
        <w:br/>
        <w:t xml:space="preserve">    podrá disponer el reembolso por parte del Estado a las víctimas  o  sus</w:t>
        <w:br/>
        <w:t xml:space="preserve">    representantes  de  gastos   posteriores   razonables   y   debidamente</w:t>
        <w:br/>
        <w:t xml:space="preserve">    comprobados[369].</w:t>
        <w:br/>
        <w:br/>
        <w:t xml:space="preserve">  H. Reintegro de los gastos al Fondo de Asistencia Legal de Víctimas</w:t>
        <w:br/>
        <w:br/>
        <w:t>308. En el 2008 la Asamblea General de  la  Organización  de  los  Estados</w:t>
        <w:br/>
        <w:t xml:space="preserve">    Americanos creó el Fondo de Asistencia Legal del Sistema Interamericano</w:t>
        <w:br/>
        <w:t xml:space="preserve">    de Derechos Humanos, con el “objeto [de] facilitar el acceso al sistema</w:t>
        <w:br/>
        <w:t xml:space="preserve">    interamericano de derechos humanos a aquellas personas que  actualmente</w:t>
        <w:br/>
        <w:t xml:space="preserve">    no tienen los recursos necesarios para llevar su caso al sistema”[370].</w:t>
        <w:br/>
        <w:t xml:space="preserve">    En el presente caso, mediante las Resoluciones del Presidente de  8  de</w:t>
        <w:br/>
        <w:t xml:space="preserve">    enero de 2013 y 10 de abril de 2013 (supra párrs. 9 y 11) se dispuso la</w:t>
        <w:br/>
        <w:t xml:space="preserve">    asistencia del Fondo de  Asistencia  Legal  para  sufragar  los  gastos</w:t>
        <w:br/>
        <w:t xml:space="preserve">    razonables y necesarios, que en el presente caso  consistieron  en:  i)</w:t>
        <w:br/>
        <w:t xml:space="preserve">    los gastos de viaje y estadía necesarios para que  Rosa  Elvira  Franco</w:t>
        <w:br/>
        <w:t xml:space="preserve">    Sandoval y María Eugenia Solís asistieran a la audiencia pública, y ii)</w:t>
        <w:br/>
        <w:t xml:space="preserve">    los gastos de formalización y envío de las declaraciones de la víctimas</w:t>
        <w:br/>
        <w:t xml:space="preserve">    Leonel Enrique  Veliz  Franco  y  José  Roberto  Franco  rendidas  ante</w:t>
        <w:br/>
        <w:t xml:space="preserve">    fedatario público.</w:t>
        <w:br/>
        <w:br/>
        <w:t>309. Más adelante, mediante nota de Secretaría de 28 de agosto de 2013, se</w:t>
        <w:br/>
        <w:t xml:space="preserve">    dio oportunidad procesal al Estado de presentar  sus  observaciones  al</w:t>
        <w:br/>
        <w:t xml:space="preserve">    informe sobre las erogaciones realizadas en  aplicación  del  Fondo  de</w:t>
        <w:br/>
        <w:t xml:space="preserve">    Asistencia Legal  de  Víctimas.  En  su  escrito  de  observaciones,  y</w:t>
        <w:br/>
        <w:t xml:space="preserve">    anteriormente en su contestación, el Estado manifestó que: a) “no puede</w:t>
        <w:br/>
        <w:t xml:space="preserve">    aceptar que se le  condene  en  el  presente  caso  […]  porque  no  se</w:t>
        <w:br/>
        <w:t xml:space="preserve">    considera responsable de ninguna  de  las   presuntas  violaciones;  b)</w:t>
        <w:br/>
        <w:t xml:space="preserve">    debido a que el objetivo principal de recurrir [ante la] Corte  […]  no</w:t>
        <w:br/>
        <w:t xml:space="preserve">    es el de que las supuestas víctimas puedan enriquecerse a expensas  del</w:t>
        <w:br/>
        <w:t xml:space="preserve">    Estado”; c) como la  representante  alteró  “los  documentos  contables</w:t>
        <w:br/>
        <w:t xml:space="preserve">    relacionados al gasto incurrido por servicios  funerarios”  y  que  “el</w:t>
        <w:br/>
        <w:t xml:space="preserve">    principio de buena fe, economía  procesal  y  verdad  sabida  han  sido</w:t>
        <w:br/>
        <w:t xml:space="preserve">    transgredidos”, se opone a  reembolsar  alguna  suma  de  dinero  a  la</w:t>
        <w:br/>
        <w:t xml:space="preserve">    supuesta víctima  y  a  su  representante,  y  d)  no  considera  justo</w:t>
        <w:br/>
        <w:t xml:space="preserve">    reembolsar montos de dinero al Fondo de Asistencia Legal  de  Víctimas,</w:t>
        <w:br/>
        <w:t xml:space="preserve">    ya que [según el Estado como] iba a ser  cubierto  con  éste,  hubo  un</w:t>
        <w:br/>
        <w:t xml:space="preserve">    aumento innecesario e injustificado en el costo”.</w:t>
        <w:br/>
        <w:br/>
        <w:t>310. De acuerdo con la información que figura  en  el  informe  sobre  las</w:t>
        <w:br/>
        <w:t xml:space="preserve">    erogaciones realizadas en el presente caso, las mismas ascendieron a la</w:t>
        <w:br/>
        <w:t xml:space="preserve">    suma de US$2,117.99 (dos mil ciento diecisiete y dólares de los Estados</w:t>
        <w:br/>
        <w:t xml:space="preserve">    Unidos de América con noventa nueve céntimos). Corresponde al Tribunal,</w:t>
        <w:br/>
        <w:t xml:space="preserve">    en aplicación del artículo 5  del  Reglamento  del  Fondo,  evaluar  la</w:t>
        <w:br/>
        <w:t xml:space="preserve">    procedencia de ordenar al Estado demandado el  reintegro  al  Fondo  de</w:t>
        <w:br/>
        <w:t xml:space="preserve">    Asistencia Legal de las erogaciones en que se hubiese incurrido.</w:t>
        <w:br/>
        <w:br/>
        <w:t>311.  Con respecto a lo anterior, la  Corte  reitera  lo  señalado  en  la</w:t>
        <w:br/>
        <w:t xml:space="preserve">    Resolución de su Presidente de 8 de enero de 2013, mediante la cual  se</w:t>
        <w:br/>
        <w:t xml:space="preserve">    señaló que la solicitud  para  acogerse  al  Fondo  de  Asistencia  fue</w:t>
        <w:br/>
        <w:t xml:space="preserve">    realizada oportunamente en el escrito de solicitudes y argumentos y que</w:t>
        <w:br/>
        <w:t xml:space="preserve">    la representante había indicado con precisión cuál es la asistencia del</w:t>
        <w:br/>
        <w:t xml:space="preserve">    referido Fondo que requerían las presuntas víctimas  (supra  párr.  9).</w:t>
        <w:br/>
        <w:t xml:space="preserve">    Además, tal como fue señalado  en  la  referida  resolución,  la  Corte</w:t>
        <w:br/>
        <w:t xml:space="preserve">    reitera que la aplicación del Fondo de Asistencia debe estar encaminada</w:t>
        <w:br/>
        <w:t xml:space="preserve">    a solventar los gastos razonables  y  necesarios  relacionados  con  la</w:t>
        <w:br/>
        <w:t xml:space="preserve">    producción  de  prueba  ante  el  Tribunal,  específicamente  para   la</w:t>
        <w:br/>
        <w:t xml:space="preserve">    presentación de un máximo de cuatro declaraciones, sea por affidávit  o</w:t>
        <w:br/>
        <w:t xml:space="preserve">    en audiencia pública.</w:t>
        <w:br/>
        <w:br/>
        <w:t>312. Ahora bien, el Estado se opone a reembolsar los montos  al  Fondo  de</w:t>
        <w:br/>
        <w:t xml:space="preserve">    Víctimas porque “hubo un aumento innecesario en el costo”  en  relación</w:t>
        <w:br/>
        <w:t xml:space="preserve">    con los affidávits rendidos, porque según el Estado iba hacer  cubierto</w:t>
        <w:br/>
        <w:t xml:space="preserve">    por éste. La  Corte  advierte  que  el  Estado  no  ha  cuestionado  la</w:t>
        <w:br/>
        <w:t xml:space="preserve">    autenticidad o veracidad de los comprobantes de  gastos,  sino  que  ha</w:t>
        <w:br/>
        <w:t xml:space="preserve">    aseverado que el costo de los affidávits podría haber sido menor.</w:t>
        <w:br/>
        <w:br/>
        <w:t>313. La representante, en sus observaciones a  los  alegatos  finales  del</w:t>
        <w:br/>
        <w:t xml:space="preserve">    Estado,  señaló  que  “CONAPREVI  en  el  momento  que  se  realizó  la</w:t>
        <w:br/>
        <w:t xml:space="preserve">    cotización  tenía  aproximadamente  un  año  de  haber  paralizado  sus</w:t>
        <w:br/>
        <w:t xml:space="preserve">    acciones”, y que “se desconocen las razones por las cuales el [a]bogado</w:t>
        <w:br/>
        <w:t xml:space="preserve">    ha establecido un cobro diferenciado a la cotización realizada  por  la</w:t>
        <w:br/>
        <w:t xml:space="preserve">    [a]bogada Irini Villavicencio (en nombre de CONAPREVI) situación que no</w:t>
        <w:br/>
        <w:t xml:space="preserve">    es responsabilidad de esta representación”.</w:t>
        <w:br/>
        <w:br/>
        <w:t>314. Al respecto,  esta  Corte  constató  que  los  comprobantes  de  pago</w:t>
        <w:br/>
        <w:t xml:space="preserve">    presentados por la representante sobre el costo  de  las  declaraciones</w:t>
        <w:br/>
        <w:t xml:space="preserve">    rendidas  mediante   fedatario   público,   frente   los   comprobantes</w:t>
        <w:br/>
        <w:t xml:space="preserve">    presentados  por  el  Estado,  presentan  una  diferencia  de   Q800.00</w:t>
        <w:br/>
        <w:t xml:space="preserve">    (ochocientos quetzales). No obstante, esta circunstancia no  afecta  el</w:t>
        <w:br/>
        <w:t xml:space="preserve">    hecho del gasto  efectivamente  realizado,  por  lo  que  no  considera</w:t>
        <w:br/>
        <w:t xml:space="preserve">    pertinente profundizar sobre este punto ni sobre las demás  erogaciones</w:t>
        <w:br/>
        <w:t xml:space="preserve">    relacionadas con los gastos de viaje y  estadía  para  comparecer  ante</w:t>
        <w:br/>
        <w:t xml:space="preserve">    este Tribunal. En cuanto a otros argumentos estatales,  en  lo  que  se</w:t>
        <w:br/>
        <w:t xml:space="preserve">    refiere a los montos reclamados por concepto de gastos funerarios, ello</w:t>
        <w:br/>
        <w:t xml:space="preserve">    ya fue resuelto en la presente Sentencia y, en  todo  caso,  no  es  un</w:t>
        <w:br/>
        <w:t xml:space="preserve">    rubro comprendido dentro del Fondo de  Víctimas.  Por  otra  parte,  en</w:t>
        <w:br/>
        <w:t xml:space="preserve">    cuanto a la oposición de Guatemala de que se le  condene  al  pago  por</w:t>
        <w:br/>
        <w:t xml:space="preserve">    considerar que no es responsable  de  violación  alguna,  esta  es  una</w:t>
        <w:br/>
        <w:t xml:space="preserve">    cuestión ya resuelta, relacionada con el fondo del caso.</w:t>
        <w:br/>
        <w:br/>
        <w:t>315. En razón de las violaciones declaradas en la presente  Sentencia,  la</w:t>
        <w:br/>
        <w:t xml:space="preserve">    Corte ordena al Estado el reintegro a dicho Fondo por  la  cantidad  de</w:t>
        <w:br/>
        <w:t xml:space="preserve">    US$2,117.99 (dos mil ciento diecisiete y dólares de los Estados  Unidos</w:t>
        <w:br/>
        <w:t xml:space="preserve">    de América con noventa nueve céntimos) por los gastos incurridos.  Este</w:t>
        <w:br/>
        <w:t xml:space="preserve">    monto deberá ser reintegrado a la Corte Interamericana en el  plazo  de</w:t>
        <w:br/>
        <w:t xml:space="preserve">    noventa días, contados a partir de la notificación del presente Fallo.</w:t>
        <w:br/>
        <w:br/>
        <w:br/>
        <w:br/>
        <w:t xml:space="preserve">  I. Modalidad de cumplimiento de los pagos ordenados</w:t>
        <w:br/>
        <w:br/>
        <w:br/>
        <w:br/>
        <w:t>316. El Estado deberá efectuar el pago de las indemnizaciones por concepto</w:t>
        <w:br/>
        <w:t xml:space="preserve">    de daño material e  inmaterial  y  el  reintegro  de  costas  y  gastos</w:t>
        <w:br/>
        <w:t xml:space="preserve">    establecidos en la  presente  Sentencia  directamente  a  las  personas</w:t>
        <w:br/>
        <w:t xml:space="preserve">    indicadas en la misma, dentro del plazo de un año, contado a partir  de</w:t>
        <w:br/>
        <w:t xml:space="preserve">    la notificación del presente Fallo, en los términos de  los  siguientes</w:t>
        <w:br/>
        <w:t xml:space="preserve">    párrafos.</w:t>
        <w:br/>
        <w:br/>
        <w:t>317. En caso de que los beneficiarios fallezcan  antes  de  que  les  sean</w:t>
        <w:br/>
        <w:t xml:space="preserve">    entregadas  las  indemnizaciones  respectivas,  éstas   se   efectuarán</w:t>
        <w:br/>
        <w:t xml:space="preserve">    directamente  a  sus  derechohabientes,  conforme  al  derecho  interno</w:t>
        <w:br/>
        <w:t xml:space="preserve">    aplicable.</w:t>
        <w:br/>
        <w:br/>
        <w:t>318. El Estado deberá cumplir con sus obligaciones monetarias mediante  el</w:t>
        <w:br/>
        <w:t xml:space="preserve">    pago en quetzales o en su equivalente en dólares de los Estados  Unidos</w:t>
        <w:br/>
        <w:t xml:space="preserve">    de América, utilizando para el cálculo respectivo el tipo de cambio que</w:t>
        <w:br/>
        <w:t xml:space="preserve">    esté vigente en la bolsa de Nueva York, Estados Unidos de  América,  el</w:t>
        <w:br/>
        <w:t xml:space="preserve">    día anterior al pago. Si por causas atribuibles a los beneficiarios  de</w:t>
        <w:br/>
        <w:t xml:space="preserve">    las indemnizaciones o a sus derechohabientes no fuese posible  el  pago</w:t>
        <w:br/>
        <w:t xml:space="preserve">    de las cantidades determinadas dentro del  plazo  indicado,  el  Estado</w:t>
        <w:br/>
        <w:t xml:space="preserve">    consignará dichos montos a su favor en  una  cuenta  o  certificado  de</w:t>
        <w:br/>
        <w:t xml:space="preserve">    depósito  en  una  institución  financiera  guatemalteca  solvente,  en</w:t>
        <w:br/>
        <w:t xml:space="preserve">    dólares  estadounidenses,  y  en  las   condiciones   financieras   más</w:t>
        <w:br/>
        <w:t xml:space="preserve">    favorables que permitan la legislación y la práctica bancaria. Si no se</w:t>
        <w:br/>
        <w:t xml:space="preserve">    reclama la indemnización correspondiente  una  vez  transcurridos  diez</w:t>
        <w:br/>
        <w:t xml:space="preserve">    años, las cantidades  serán  devueltas  el  Estado  con  los  intereses</w:t>
        <w:br/>
        <w:t xml:space="preserve">    devengados.</w:t>
        <w:br/>
        <w:br/>
        <w:t>319. Las cantidades asignadas en la presente Sentencia como  indemnización</w:t>
        <w:br/>
        <w:t xml:space="preserve">    y como reintegro de costas  y  gastos  deberán  ser  entregadas  a  las</w:t>
        <w:br/>
        <w:t xml:space="preserve">    personas indicadas en forma íntegra, conforme a lo establecido en  esta</w:t>
        <w:br/>
        <w:t xml:space="preserve">    Sentencia, sin reducciones derivadas de eventuales cargas fiscales.</w:t>
        <w:br/>
        <w:br/>
        <w:t>320. En caso de que el Estado incurriera en mora, deberá pagar un  interés</w:t>
        <w:br/>
        <w:t xml:space="preserve">    sobre  la  cantidad  adecuada  correspondiente  al   interés   bancario</w:t>
        <w:br/>
        <w:t xml:space="preserve">    moratorio en la República de Guatemala.</w:t>
        <w:br/>
        <w:br/>
        <w:t>321. Conforme a su práctica constante, la Corte se reserva la facultad</w:t>
        <w:br/>
        <w:t xml:space="preserve">    inherente a sus atribuciones y derivada, asimismo, del artículo 65 de</w:t>
        <w:br/>
        <w:t xml:space="preserve">    la Convención Americana, de supervisar el cumplimiento íntegro de la</w:t>
        <w:br/>
        <w:t xml:space="preserve">    presente Sentencia. El caso se dará por concluido una vez que el Estado</w:t>
        <w:br/>
        <w:t xml:space="preserve">    haya dado cabal cumplimiento a lo dispuesto en la presente Sentencia.</w:t>
        <w:br/>
        <w:br/>
        <w:br/>
        <w:br/>
        <w:t>322. Dentro del plazo de un año, contado a partir de la notificación de la</w:t>
        <w:br/>
        <w:t xml:space="preserve">    presente Sentencia, el Estado deberá rendir a la Corte un informe sobre</w:t>
        <w:br/>
        <w:t xml:space="preserve">    las medidas adoptadas para cumplirla.</w:t>
        <w:br/>
        <w:br/>
        <w:br/>
        <w:t>XII</w:t>
        <w:br/>
        <w:br/>
        <w:br/>
        <w:t>PUNTOS RESOLUTIVOS</w:t>
        <w:br/>
        <w:br/>
        <w:br/>
        <w:t>323. 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 excepción preliminar interpuesta por el Estado relativa</w:t>
        <w:br/>
        <w:t xml:space="preserve">      a la falta de competencia material  de  la  Corte  Interamericana  de</w:t>
        <w:br/>
        <w:t xml:space="preserve">      Derechos Humanos para conocer sobre el artículo 7  de  la  Convención</w:t>
        <w:br/>
        <w:t xml:space="preserve">      Interamericana para Prevenir,  Sancionar  y  Erradicar  la  Violencia</w:t>
        <w:br/>
        <w:t xml:space="preserve">      contra la Mujer, en los términos de  los  párrafos  36  a  38  de  la</w:t>
        <w:br/>
        <w:t xml:space="preserve">      presente Sentencia.</w:t>
        <w:br/>
        <w:br/>
        <w:t xml:space="preserve">   2. Desestimar la excepción preliminar interpuesta por el Estado sobre la</w:t>
        <w:br/>
        <w:t xml:space="preserve">      falta de agotamiento de recursos internos, en  los  términos  de  los</w:t>
        <w:br/>
        <w:t xml:space="preserve">      párrafos 42 a 45 de la presente Sentencia.</w:t>
        <w:br/>
        <w:br/>
        <w:t>DECLARA,</w:t>
        <w:br/>
        <w:br/>
        <w:t>Por unanimidad, que:</w:t>
        <w:br/>
        <w:br/>
        <w:t xml:space="preserve">   1. El Estado violó su deber de garantizar el libre y pleno ejercicio  de</w:t>
        <w:br/>
        <w:t xml:space="preserve">      los derechos a la vida e  integridad  personal,  consagrados  en  los</w:t>
        <w:br/>
        <w:t xml:space="preserve">      artículos 4.1  y  5.1  de  la  Convención  Americana  sobre  Derechos</w:t>
        <w:br/>
        <w:t xml:space="preserve">      Humanos, en relación con los derechos  del  niño  consagrados  en  el</w:t>
        <w:br/>
        <w:t xml:space="preserve">      artículo 19  de  la  Convención,  y  con  la  obligación  general  de</w:t>
        <w:br/>
        <w:t xml:space="preserve">      garantizar  los  derechos  sin  discriminación,  contemplado  en   el</w:t>
        <w:br/>
        <w:t xml:space="preserve">      artículo  1.1  del  mismo  tratado,   así   como   las   obligaciones</w:t>
        <w:br/>
        <w:t xml:space="preserve">      contempladas en el artículo 7.b) de la Convención Interamericana para</w:t>
        <w:br/>
        <w:t xml:space="preserve">      Prevenir, Sancionar y Erradicar la  Violencia  contra  la  Mujer,  en</w:t>
        <w:br/>
        <w:t xml:space="preserve">      perjuicio de María Isabel  Veliz  Franco,  en  los  términos  de  los</w:t>
        <w:br/>
        <w:t xml:space="preserve">      párrafos 132 a 158 de la presente Sentencia.</w:t>
        <w:br/>
        <w:br/>
        <w:t xml:space="preserve">   2. El Estado violó los derechos  a  las  garantías  judiciales  y  a  la</w:t>
        <w:br/>
        <w:t xml:space="preserve">      protección judicial, consagrados en los artículos 8.1 y  25.1  de  la</w:t>
        <w:br/>
        <w:t xml:space="preserve">      Convención Americana sobre  Derechos  Humanos,  y  el  derecho  a  la</w:t>
        <w:br/>
        <w:t xml:space="preserve">      igualdad ante la ley consagrado en el artículo 24 de  la  Convención,</w:t>
        <w:br/>
        <w:t xml:space="preserve">      en  relación  con  las  obligaciones  generales  contenidas  en   los</w:t>
        <w:br/>
        <w:t xml:space="preserve">      artículos 1.1 y 2 de la misma, y con los artículos 7.b) y 7.c) de  la</w:t>
        <w:br/>
        <w:t xml:space="preserve">      Convención Interamericana para Prevenir,  Sancionar  y  Erradicar  la</w:t>
        <w:br/>
        <w:t xml:space="preserve">      Violencia contra  la  Mujer,  en  perjuicio  de  Rosa  Elvira  Franco</w:t>
        <w:br/>
        <w:t xml:space="preserve">      Sandoval, Leonel Enrique Veliz  Franco,  José  Roberto  Franco,  Cruz</w:t>
        <w:br/>
        <w:t xml:space="preserve">      Elvira Sandoval Polanco y Roberto  Pérez,  en  los  términos  de  los</w:t>
        <w:br/>
        <w:t xml:space="preserve">      párrafos 178 a 225 de la presente Sentencia.</w:t>
        <w:br/>
        <w:br/>
        <w:t xml:space="preserve">   3. El Estado violó el derecho a la integridad personal, consagrado en el</w:t>
        <w:br/>
        <w:t xml:space="preserve">      artículo 5.1 de la Convención Americana sobre  Derechos  Humanos,  en</w:t>
        <w:br/>
        <w:t xml:space="preserve">      relación con el artículo 1.1 de la misma, en perjuicio de Rosa Elvira</w:t>
        <w:br/>
        <w:t xml:space="preserve">      Franco Sandoval, en los términos de los párrafos  233  a  242  de  la</w:t>
        <w:br/>
        <w:t xml:space="preserve">      presente Sentencia.</w:t>
        <w:br/>
        <w:br/>
        <w:t xml:space="preserve">   4. No procede pronunciarse sobre la alegada violación del derecho  a  la</w:t>
        <w:br/>
        <w:t xml:space="preserve">      libertad personal, reconocido en  el  artículo  7  de  la  Convención</w:t>
        <w:br/>
        <w:t xml:space="preserve">      Americana sobre Derechos Humanos, en los términos del párrafo 145  de</w:t>
        <w:br/>
        <w:t xml:space="preserve">      la presente Sentencia.</w:t>
        <w:br/>
        <w:br/>
        <w:t xml:space="preserve">   5. No procede pronunciarse sobre la alegada violación  de  los  derechos</w:t>
        <w:br/>
        <w:t xml:space="preserve">      del niño, consagrado en el artículo 19  de  la  Convención  Americana</w:t>
        <w:br/>
        <w:t xml:space="preserve">      sobre  Derechos  Humanos,  en  relación  con  el  desarrollo  de   la</w:t>
        <w:br/>
        <w:t xml:space="preserve">      investigación posterior al hallazgo del cadáver de María Isabel Veliz</w:t>
        <w:br/>
        <w:t xml:space="preserve">      Franco, en los términos del párrafo 226 de la presente Sentencia.</w:t>
        <w:br/>
        <w:br/>
        <w:br/>
        <w:br/>
        <w:t>Y DISPONE</w:t>
        <w:br/>
        <w:br/>
        <w:t>por unanimidad, que:</w:t>
        <w:br/>
        <w:br/>
        <w:t xml:space="preserve">   6. Esta Sentencia constituye per se una forma de reparación.</w:t>
        <w:br/>
        <w:br/>
        <w:t xml:space="preserve">   7. El Estado deberá conducir eficazmente la investigación y, en su caso,</w:t>
        <w:br/>
        <w:t xml:space="preserve">      abrir el proceso penal correspondiente, y de  ser  pertinente,  otros</w:t>
        <w:br/>
        <w:t xml:space="preserve">      que  correspondieren  para  identificar,  procesar  y,  en  su  caso,</w:t>
        <w:br/>
        <w:t xml:space="preserve">      sancionar a los responsables de los vejámenes y privación de la  vida</w:t>
        <w:br/>
        <w:t xml:space="preserve">      de la niña María Isabel Veliz Franco, en los términos del párrafo 251</w:t>
        <w:br/>
        <w:t xml:space="preserve">      de presente Sentencia.</w:t>
        <w:br/>
        <w:br/>
        <w:t xml:space="preserve">   8.  El Estado deberá,  en  el  plazo  de  seis  meses  a  partir  de  la</w:t>
        <w:br/>
        <w:t xml:space="preserve">      notificación de la presente Sentencia, publicar en el Diario  Oficial</w:t>
        <w:br/>
        <w:t xml:space="preserve">      de Guatemala y en un diario de amplia circulación nacional,  por  una</w:t>
        <w:br/>
        <w:t xml:space="preserve">      sola vez el resumen oficial de la presente Sentencia. Adicionalmente,</w:t>
        <w:br/>
        <w:t xml:space="preserve">      el Estado deberá,  dentro  del  mismo  plazo,  publicar  la  presente</w:t>
        <w:br/>
        <w:t xml:space="preserve">      Sentencia íntegramente en sitios web oficiales  del  Poder  Judicial,</w:t>
        <w:br/>
        <w:t xml:space="preserve">      del Ministerio Público y de la  Policía  Nacional  Civil  del  Estado</w:t>
        <w:br/>
        <w:t xml:space="preserve">      durante el período de un año. Todo ello, en los términos del  párrafo</w:t>
        <w:br/>
        <w:t xml:space="preserve">      256 de la presente Sentencia.</w:t>
        <w:br/>
        <w:br/>
        <w:t xml:space="preserve">   9. El Estado deberá, en el plazo de un año a partir de  la  notificación</w:t>
        <w:br/>
        <w:t xml:space="preserve">      de esta Sentencia, realizar un acto de  disculpas  públicas,  en  los</w:t>
        <w:br/>
        <w:t xml:space="preserve">      términos de los párrafos 257 y 258 de la presente Sentencia.</w:t>
        <w:br/>
        <w:br/>
        <w:t xml:space="preserve">  10. El Estado  deberá,  en  un  plazo  razonable,  elaborar  un  plan  de</w:t>
        <w:br/>
        <w:t xml:space="preserve">      fortalecimiento calendarizado del INACIF, que incluya una  asignación</w:t>
        <w:br/>
        <w:t xml:space="preserve">      adecuada de recursos para ampliar sus actividades  en  el  territorio</w:t>
        <w:br/>
        <w:t xml:space="preserve">      nacional y el cumplimiento de sus  funciones,  en  los  términos  del</w:t>
        <w:br/>
        <w:t xml:space="preserve">      párrafo 268 de la presente Sentencia.</w:t>
        <w:br/>
        <w:br/>
        <w:t xml:space="preserve">  11.  El  Estado  deberá,  en   un   plazo   razonable,   implementar   el</w:t>
        <w:br/>
        <w:t xml:space="preserve">      funcionamiento de los “órganos jurisdiccionales especializados” y  de</w:t>
        <w:br/>
        <w:t xml:space="preserve">      la fiscalía especializada, en los términos  del  párrafo  270  de  la</w:t>
        <w:br/>
        <w:t xml:space="preserve">      presente Sentencia.</w:t>
        <w:br/>
        <w:br/>
        <w:t xml:space="preserve">  12. El Estado deberá, en un  plazo  razonable,  implementar  programas  y</w:t>
        <w:br/>
        <w:t xml:space="preserve">      cursos para funcionarios públicos pertenecientes al  Poder  Judicial,</w:t>
        <w:br/>
        <w:t xml:space="preserve">      Ministerio Público y Policía Nacional Civil que estén vinculados a la</w:t>
        <w:br/>
        <w:t xml:space="preserve">      investigación de actos de homicidio de mujeres  sobre  estándares  en</w:t>
        <w:br/>
        <w:t xml:space="preserve">      materia de prevención, eventual sanción y erradicación de  homicidios</w:t>
        <w:br/>
        <w:t xml:space="preserve">      de mujeres y capacitarlos sobre la debida aplicación de la  normativa</w:t>
        <w:br/>
        <w:t xml:space="preserve">      pertinente en la materia, en los  términos  del  párrafo  275  de  la</w:t>
        <w:br/>
        <w:t xml:space="preserve">      presente Sentencia.</w:t>
        <w:br/>
        <w:br/>
        <w:t xml:space="preserve">  13. El Estado debe brindar atención médica  o  psicológica  gratuita,  de</w:t>
        <w:br/>
        <w:t xml:space="preserve">      forma inmediata, adecuada  y  efectiva,  a  través  de  instituciones</w:t>
        <w:br/>
        <w:t xml:space="preserve">      estatales de salud especializadas, a Rosa Elvira Franco Sandoval,  si</w:t>
        <w:br/>
        <w:t xml:space="preserve">      ella así lo desea, en los términos del párrafo  280  de  la  presente</w:t>
        <w:br/>
        <w:t xml:space="preserve">      Sentencia.</w:t>
        <w:br/>
        <w:br/>
        <w:t xml:space="preserve">  14. El Estado deberá,  dentro  del  plazo  de  un  año  a  partir  de  la</w:t>
        <w:br/>
        <w:t xml:space="preserve">      notificación de esta Sentencia, pagar las cantidades  fijadas  en  el</w:t>
        <w:br/>
        <w:t xml:space="preserve">      párrafo 300 de la presente Sentencia por concepto de  indemnizaciones</w:t>
        <w:br/>
        <w:t xml:space="preserve">      por daños materiales e inmateriales, el reintegro de costas y gastos,</w:t>
        <w:br/>
        <w:t xml:space="preserve">      en los términos del párrafo 307, así  como  reintegrar  al  Fondo  de</w:t>
        <w:br/>
        <w:t xml:space="preserve">      Asistencia Legal de Víctimas la cantidad establecida  en  el  párrafo</w:t>
        <w:br/>
        <w:t xml:space="preserve">      315 de la presente Sentencia.</w:t>
        <w:br/>
        <w:br/>
        <w:t xml:space="preserve">  15. El Estado debe, dentro del plazo de un año contado  a  partir  de  la</w:t>
        <w:br/>
        <w:t xml:space="preserve">      notificación de la presente Sentencia, rendir al Tribunal un  informe</w:t>
        <w:br/>
        <w:t xml:space="preserve">      sobre las medidas adoptadas para cumplir con la misma.</w:t>
        <w:br/>
        <w:br/>
        <w:t xml:space="preserve">  16. La Corte supervisará el cumplimiento íntegro de  esta  Sentencia,  en</w:t>
        <w:br/>
        <w:t xml:space="preserve">      ejercicio de sus  atribuciones  y  en  cumplimiento  de  sus  deberes</w:t>
        <w:br/>
        <w:t xml:space="preserve">      conforme a la Convención Americana sobre Derechos Humanos, y dará por</w:t>
        <w:br/>
        <w:t xml:space="preserve">      concluido el presente caso una vez que  el  Estado  haya  dado  cabal</w:t>
        <w:br/>
        <w:t xml:space="preserve">      cumplimiento a lo dispuesto en la misma.</w:t>
        <w:br/>
        <w:br/>
        <w:t>Redactada en español en San José, Costa Rica, el 19 de mayo de 2014.</w:t>
        <w:br/>
        <w:br/>
        <w:br/>
        <w:br/>
        <w:br/>
        <w:t xml:space="preserve">                        Humberto Antonio Sierra Porto</w:t>
        <w:br/>
        <w:t xml:space="preserve">                                 Presidente</w:t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t>Diego García Sayán                                                   Alberto</w:t>
        <w:br/>
        <w:t>Pérez Pérez</w:t>
        <w:br/>
        <w:br/>
        <w:br/>
        <w:br/>
        <w:br/>
        <w:t xml:space="preserve">  Eduardo Vio Grossi                                               Eduardo</w:t>
        <w:br/>
        <w:t xml:space="preserve">                          Ferrer Mac-Gregor Poisot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Humberto Antonio Sierra Porto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t>[1] En el escrito de sometimiento del caso y en el Informe  de  Fondo,  la</w:t>
        <w:br/>
        <w:t>Comisión para  referirse  a  los  hechos  ocurridos  a  María  Isabel  usa</w:t>
        <w:br/>
        <w:t>indistintamente  las  expresiones  “muerte”,  “homicidio”  y  “asesinato”.</w:t>
        <w:br/>
        <w:t>Específicamente en el apartado de Recomendaciones del Informe de Fondo, la</w:t>
        <w:br/>
        <w:t>Comisión recomendó al Estado “esclarecer  el  asesinato  de  María  Isabel</w:t>
        <w:br/>
        <w:t>Veliz Franco”. Cfr. Escrito de sometimiento del caso de 3 de mayo de  2012</w:t>
        <w:br/>
        <w:t>(expediente de excepciones preliminares, fondo y  reparaciones  y  costas,</w:t>
        <w:br/>
        <w:t>fs. 2 a 6), e Informe de Fondo No. 170/11, Caso 12.578, María Isabel Veliz</w:t>
        <w:br/>
        <w:t>Franco  y  Otros,  Guatemala,  3  de  noviembre  de  2011  (expediente  de</w:t>
        <w:br/>
        <w:t>excepciones preliminares, fondo y reparaciones y costas, fs. 7 a 51).</w:t>
        <w:br/>
        <w:t>[2] En el cual admitió la  denuncia  por  la  presunta  violación  de  los</w:t>
        <w:br/>
        <w:t>derechos consagrados en los artículos 4, 8.1,  11,  19,  24  y  25  de  la</w:t>
        <w:br/>
        <w:t>Convención Americana, en relación con el artículo  1.1  de  la  misma,  en</w:t>
        <w:br/>
        <w:t>perjuicio de María Isabel Veliz Franco, así como el deber consagrado en el</w:t>
        <w:br/>
        <w:t>artículo 7 de la Convención de Belém do Pará. Asimismo,  concluyó  que  la</w:t>
        <w:br/>
        <w:t>petición era admisible en relación a los artículos 5.1, 8.1, 11 y 25 de la</w:t>
        <w:br/>
        <w:t>Convención Americana, en relación con el artículo 1.1 del mismo texto,  en</w:t>
        <w:br/>
        <w:t>perjuicio de Rosa Elvira Franco Sandoval. Declaró inadmisible la  petición</w:t>
        <w:br/>
        <w:t>respecto a los  derechos  consagrados  en  los  artículos  5  y  7  de  la</w:t>
        <w:br/>
        <w:t>Convención Americana, en  relación  con  María  Isabel.  Cfr.  Informe  de</w:t>
        <w:br/>
        <w:t>Admisibilidad No.  92/06,  Petición  95-04,  María  Isabel  Veliz  Franco,</w:t>
        <w:br/>
        <w:t>Guatemala, 21 de octubre de 2006 (expediente ante la Comisión, fs.  804  a</w:t>
        <w:br/>
        <w:t>818).</w:t>
        <w:br/>
        <w:br/>
        <w:t>[3] El escrito de sometimiento y los anexos de la Comisión fue enviado vía</w:t>
        <w:br/>
        <w:t>courier a las partes. Las representantes lo recibieron el 4  de  julio  de</w:t>
        <w:br/>
        <w:t>2012 y el Estado lo recibió el 11 de julio de 2012.</w:t>
        <w:br/>
        <w:t>[4] En dicha fecha CEJIL representado por  Viviana  Krsticevic,  Alejandra</w:t>
        <w:br/>
        <w:t>Nuño, Marcela Martino y Adeline Neau y REDNOVI  representada  por  Giovana</w:t>
        <w:br/>
        <w:t>Lemus y Sonia Acabal, eran las representantes de las presuntas víctimas.</w:t>
        <w:br/>
        <w:t>[5] El 2 de octubre de 2012 la Corte remitió  vía  courier  al  Estado  el</w:t>
        <w:br/>
        <w:t>escrito de solicitudes, argumentos y  pruebas,  así  como  los  anexos  al</w:t>
        <w:br/>
        <w:t>mismo, y un dispositivo USB y dos  discos  compactos  con  los  documentos</w:t>
        <w:br/>
        <w:t>presentados  por  las  representantes  y  concedió  al  Estado  el   plazo</w:t>
        <w:br/>
        <w:t>improrrogable de dos meses para que presentara su contestación. El  17  de</w:t>
        <w:br/>
        <w:t>octubre de 2012 el Estado informó a la Corte que  el  dispositivo  USB  no</w:t>
        <w:br/>
        <w:t>había sido recibido. El 18 de octubre de 2012 la Corte envió nuevamente al</w:t>
        <w:br/>
        <w:t>Estado un disco compacto con la documentación que faltaba, la cual  estaba</w:t>
        <w:br/>
        <w:t>contenida en el USB, y concedió al Estado de nuevo el plazo para presentar</w:t>
        <w:br/>
        <w:t>la contestación contado a partir de la recepción de dicho disco compacto.</w:t>
        <w:br/>
        <w:t>[6] El 15 de marzo de 2013 el Estado  informó  que  se  designó  al  señor</w:t>
        <w:br/>
        <w:t>Rodrigo Villagrán Sandoval como Agente del Estado  en  sustitución  de  la</w:t>
        <w:br/>
        <w:t>señora María Elena de Jesús Rodríguez López.</w:t>
        <w:br/>
        <w:t>[7] El Juez Diego García-Sayán terminó su mandato como Presidente el 31 de</w:t>
        <w:br/>
        <w:t>diciembre de 2013.</w:t>
        <w:br/>
        <w:t>[8]   A esta audiencia comparecieron: a) por la  Comisión  Interamericana:</w:t>
        <w:br/>
        <w:t>Dinah Shelton, Comisionada, Elizabeth  Abi-Mershed,  Secretaria  Ejecutiva</w:t>
        <w:br/>
        <w:t>Adjunta, y Silvia Serrano Guzmán, asesora legal; b) por  la  representante</w:t>
        <w:br/>
        <w:t>de las presuntas víctimas: Giovana Lemus Pérez,  Pamela  González  Ruiz  y</w:t>
        <w:br/>
        <w:t>Sonia Acabal Del Cid de REDNOVI, y c) por  el  Estado:  Rodrigo  Villagrán</w:t>
        <w:br/>
        <w:t>Sandoval e Irini Villavicencio Papahiu.</w:t>
        <w:br/>
        <w:br/>
        <w:t>[9] Cfr. “CIDH. Audio de audiencia pública en el Caso 12.578, María Isabel</w:t>
        <w:br/>
        <w:t>Veliz Franco, Guatemala, 20 de marzo de 2009”  (expediente  de  anexos  al</w:t>
        <w:br/>
        <w:t>Informe de Fondo, tomo I, anexo 32.4). Dicho anexo fue allegado a la Corte</w:t>
        <w:br/>
        <w:t>mediante una grabación  auditiva  de  la  audiencia  indicada,  presentada</w:t>
        <w:br/>
        <w:t>mediante     la     remisión     a     un     sitio      de      internet:</w:t>
        <w:br/>
        <w:t>http://www.oas.org/es/cidh/audiencias/Hearings.aspx?Lang=En&amp;Session=8).</w:t>
        <w:br/>
        <w:t>[10]  El documento, Ref.  P  1008-09  RDVC/LZ/eh,  fue  transmitido  a  la</w:t>
        <w:br/>
        <w:t>Comisión por medio de una nota de 21 de agosto de 2009, y consta que  ésta</w:t>
        <w:br/>
        <w:t>lo recibió el siguiente día 24 (expediente ante la Comisión, tomo III, fs.</w:t>
        <w:br/>
        <w:t>2105 y 2106). El escrito estatal fue enviado por la Misión  Permanente  de</w:t>
        <w:br/>
        <w:t>Guatemala ante la Organización de Estados  Americanos  y  firmado  por  el</w:t>
        <w:br/>
        <w:t>señor Embajador Lionel Maza Luna; con el mismo se trasladó a  la  Comisión</w:t>
        <w:br/>
        <w:t>un informe de COPREDEH, el cual se encuentra firmado  por  la  señora  del</w:t>
        <w:br/>
        <w:t>Valle Cóbar y aparece al pie de dicho documento la remisión  de  copia  al</w:t>
        <w:br/>
        <w:t>señor Róger Haroldo Rodas Melgar, en ese entonces, Ministro de  Relaciones</w:t>
        <w:br/>
        <w:t>Exteriores.</w:t>
        <w:br/>
        <w:t>[11] El Estado expresó que eso fue manifestado en el siguiente  documento:</w:t>
        <w:br/>
        <w:t>“Informe de fecha 12 de agosto de 2009, identificado como Ref.  P  1008-09</w:t>
        <w:br/>
        <w:t>RDVC/LZ/eh enviado por COPREDEH a la C[omisión] dentro  del  caso  12.578,</w:t>
        <w:br/>
        <w:t>pág. 2/7”.</w:t>
        <w:br/>
        <w:t>[12] Como prueba de esta afirmación, la Comisión se refirió  al  siguiente</w:t>
        <w:br/>
        <w:t>documento: “Acta de Audiencia No.  5,  Caso  12.576,  María  Isabel  Veliz</w:t>
        <w:br/>
        <w:t>Franco, Guatemala, 20 de marzo de 2009”.</w:t>
        <w:br/>
        <w:t>[13]  Cfr. Caso “Cinco  Pensionistas”  Vs.  Perú.  Fondo,  Reparaciones  y</w:t>
        <w:br/>
        <w:t>Costas. Sentencia de 28 de febrero de 2003. Serie C No. 98, párr.  153,  y</w:t>
        <w:br/>
        <w:t>Caso J. Vs. Perú. Excepción  Preliminar,  Fondo,  Reparaciones  y  Costas.</w:t>
        <w:br/>
        <w:t>Sentencia de 27 de noviembre de 2013. Serie C No. 275, párr. 27.</w:t>
        <w:br/>
        <w:t>[14] En el apartado de hechos del  escrito  de  argumentos  y  pruebas  la</w:t>
        <w:br/>
        <w:t>representante mencionó  de  manera  específica  actos  de  intimidación  y</w:t>
        <w:br/>
        <w:t>hostigamientos que habría sufrido la señora Franco Sandoval,  consistentes</w:t>
        <w:br/>
        <w:t>en que en febrero  de  2002  la  señora  Franco  Sandoval  denunció  haber</w:t>
        <w:br/>
        <w:t>observado de forma frecuente a sujetos sospechosos en los  alrededores  de</w:t>
        <w:br/>
        <w:t>su casa o del camino que su hijo tomaba para ir a la escuela; en agosto de</w:t>
        <w:br/>
        <w:t>2002 la señora Franco Sandoval denunció  que  estaba  recibiendo  llamadas</w:t>
        <w:br/>
        <w:t>telefónicas en las cuales personas desconocidas  le  decían  que  toda  su</w:t>
        <w:br/>
        <w:t>familia iba a morir; en septiembre de 2004 agentes del Ministerio  Público</w:t>
        <w:br/>
        <w:t>de la Ciudad de  Guatemala  comprobaron  que  en  los  alrededores  de  la</w:t>
        <w:br/>
        <w:t>residencia de la señora Franco Sandoval se encontraban  personas  portando</w:t>
        <w:br/>
        <w:t>armas de fuego, así como vehículos polarizados y sin placas; en  abril  de</w:t>
        <w:br/>
        <w:t>2006  un  sujeto  que  estuvo  rondando  anteriormente  la   casa   estuvo</w:t>
        <w:br/>
        <w:t>intimidando y persiguiendo por la calle a la señora  Franco  Sandoval;  en</w:t>
        <w:br/>
        <w:t>agosto de 2007 fue baleado uno de los agentes encargados de  la  seguridad</w:t>
        <w:br/>
        <w:t>de la señora  Franco  Sandoval  mientras  regresaba  de  almorzar  en  las</w:t>
        <w:br/>
        <w:t>cercanías del lugar de trabajo de la señora Franco Sandoval; en  diciembre</w:t>
        <w:br/>
        <w:t>de 2011 la señora Franco Sandoval observó  nuevamente  al  hombre  que  la</w:t>
        <w:br/>
        <w:t>había seguido en  abril  de  2006  caminando  acompañado  de  otro  sujeto</w:t>
        <w:br/>
        <w:t>desconocido, los dos hombres  se  quedaron  por  un  tiempo  en  un  carro</w:t>
        <w:br/>
        <w:t>estacionado casi enfrente de la casa de la señora Franco Sandoval desde el</w:t>
        <w:br/>
        <w:t>cual estuvieron hablando por  teléfono  y  mirando  la  casa.  Finalmente,</w:t>
        <w:br/>
        <w:t>Leonel Enrique Veliz Franco, hermano de María  Isabel,  manifestó  que  en</w:t>
        <w:br/>
        <w:t>varias ocasiones había sido objeto de un seguimientos  por  automóviles  y</w:t>
        <w:br/>
        <w:t>que “[s]iempre v[io] carros raros frente a [su] casa”. Cfr. Declaración de</w:t>
        <w:br/>
        <w:t>Leonel Enrique Veliz Franco rendida mediante affidávit el 26 de  abril  de</w:t>
        <w:br/>
        <w:t>2013 (expediente de  excepciones  preliminares,  fondo  y  reparaciones  y</w:t>
        <w:br/>
        <w:t>costas, fs. 816 a 822).</w:t>
        <w:br/>
        <w:t>[15] Cfr. Informe de Fondo No. 170/11, supra.</w:t>
        <w:br/>
        <w:t>[16] Esta ha sido la jurisprudencia constante de este  Tribunal  desde  el</w:t>
        <w:br/>
        <w:t>Caso García Prieto y otros  Vs.  El  Salvador.  Excepciones  Preliminares,</w:t>
        <w:br/>
        <w:t>Fondo, Reparaciones y Costas. Sentencia de 20 de noviembre de 2007.  Serie</w:t>
        <w:br/>
        <w:t>C No. 168, párrs. 65 a 68, y el Caso Chaparro Álvarez y Lapo  Íñiguez  Vs.</w:t>
        <w:br/>
        <w:t>Ecuador. Excepciones Preliminares, Fondo, Reparaciones y Costas. Sentencia</w:t>
        <w:br/>
        <w:t>de 21 de noviembre de 2007. Serie C No.  170,  párrs.  224  a  225.  Estas</w:t>
        <w:br/>
        <w:t>sentencias fueron adoptadas por este Tribunal durante el mismo período  de</w:t>
        <w:br/>
        <w:t>sesiones. En aplicación del nuevo Reglamento de la Corte, este criterio ha</w:t>
        <w:br/>
        <w:t>sido ratificado desde el caso Familia Barrios  Vs.  Venezuela.  Cfr.  Caso</w:t>
        <w:br/>
        <w:t>Familia Barrios Vs. Venezuela. Fondo, Reparaciones y Costas. Sentencia  de</w:t>
        <w:br/>
        <w:t>24 de noviembre de 2011. Serie C No. 237, nota al pie  de  página  215,  y</w:t>
        <w:br/>
        <w:t>Caso J., supra, párr. 23.</w:t>
        <w:br/>
        <w:t>[17] Cfr.  Caso  de  las  Masacres  de  Ituango  Vs.  Colombia.  Excepción</w:t>
        <w:br/>
        <w:t>Preliminar, Fondo, Reparaciones y Costas. Sentencia de 1 de julio de 2006.</w:t>
        <w:br/>
        <w:t>Serie C No. 148, párr. 98, y Caso J., supra, párr. 23.</w:t>
        <w:br/>
        <w:t>[18]  Cfr. Informe de Admisibilidad No. 92/06, supra.</w:t>
        <w:br/>
        <w:t>[19]  Así, cabe citar, al  menos,  los  escritos  de  las  representantes,</w:t>
        <w:br/>
        <w:t>entonces peticionarias, de 31 de mayo de 2008 y 4 de  junio  de  2009.  El</w:t>
        <w:br/>
        <w:t>Estado, además, durante el trámite ante la Comisión,  conoció  y  presentó</w:t>
        <w:br/>
        <w:t>argumentos sobre la pretensión de  las  representantes  de  que  las  seis</w:t>
        <w:br/>
        <w:t>personas referidas sean  consideradas  víctimas.  Así  surge  del  escrito</w:t>
        <w:br/>
        <w:t>estatal recibido por la Comisión el 24 de agosto de 2009 (expediente  ante</w:t>
        <w:br/>
        <w:t>la Comisión, tomo 3, fs. 2109, 2110, 2260 a 2269, 2133 a 2138,  y  2107  a</w:t>
        <w:br/>
        <w:t>2113, respectivamente).</w:t>
        <w:br/>
        <w:t>[20] Aunque el Estado no denominó expresamente su alegato sobre  falta  de</w:t>
        <w:br/>
        <w:t>competencia como “excepción preliminar”, el  mismo  tiene  este  carácter.</w:t>
        <w:br/>
        <w:t>Esto, en tanto que del respectivo argumento estatal surge con claridad que</w:t>
        <w:br/>
        <w:t>Guatemala busca una finalidad que, como ha señalado la Corte, se adecúa  a</w:t>
        <w:br/>
        <w:t>la naturaleza de una  excepción  preliminar:  “obtener  una  decisión  que</w:t>
        <w:br/>
        <w:t>prevenga o impida el análisis sobre el  fondo  del  aspecto  cuestionado”.</w:t>
        <w:br/>
        <w:t>Caso Gomes Lund y otros ("Guerrilha do Araguaia") Vs. Brasil.  Excepciones</w:t>
        <w:br/>
        <w:t>Preliminares, Fondo, Reparaciones y Costas. Sentencia de 24  de  noviembre</w:t>
        <w:br/>
        <w:t>de 2010. Serie C No. 219, párr. 11. Como surge  de  la  jurisprudencia  de</w:t>
        <w:br/>
        <w:t>este Tribunal, lo relevante para  considerar  un  alegato  como  excepción</w:t>
        <w:br/>
        <w:t>preliminar es que el  mismo  haya  sido  claramente  interpuesto  con  tal</w:t>
        <w:br/>
        <w:t>carácter.  Cfr.  Caso  Barbani  Duarte  y  Otros   Vs.   Uruguay.   Fondo,</w:t>
        <w:br/>
        <w:t>Reparaciones y costas. Sentencia de 13 de octubre de  2011.  Serie  C  No.</w:t>
        <w:br/>
        <w:t>234, párr. 56.</w:t>
        <w:br/>
        <w:t>[21] El Estado no hizo mayor  desarrollo,  en  su  argumento,  sobre  cómo</w:t>
        <w:br/>
        <w:t>debería, a su entender, “considera[se] las reservas” en  relación  con  su</w:t>
        <w:br/>
        <w:t>planteo sobre falta de competencia material. La  Corte  advierte  que,  al</w:t>
        <w:br/>
        <w:t>ratificar la Convención Americana, el Estado efectuó una reserva  relativa</w:t>
        <w:br/>
        <w:t>a la pena de muerte, que fue retirada por Acuerdo Gubernativo No.  281-86,</w:t>
        <w:br/>
        <w:t>de 20 de mayo de 1986. Es evidente que lo anterior no tiene incidencia  en</w:t>
        <w:br/>
        <w:t>el caso sub examine. Por otra parte, Guatemala no formuló declaraciones  o</w:t>
        <w:br/>
        <w:t>reservas al ratificar la Convención de Belém do Pará.</w:t>
        <w:br/>
        <w:t>[22] Caso González y otras  (“Campo  Algodonero”)  Vs.  México.  Excepción</w:t>
        <w:br/>
        <w:t>Preliminar, Fondo, Reparaciones y Costas. Sentencia de 16 de noviembre  de</w:t>
        <w:br/>
        <w:t>2009. Serie C No. 205, párr. 41. En el párrafo señalado de esa  sentencia,</w:t>
        <w:br/>
        <w:t>la Corte explicó que en la “formulación” del artículo 12 de la  Convención</w:t>
        <w:br/>
        <w:t>de Belém do Pará “no se  excluye  ninguna  disposición  de  la  Convención</w:t>
        <w:br/>
        <w:t>Americana, por lo que habrá que concluir que la Comisión  actuará  en  las</w:t>
        <w:br/>
        <w:t>peticiones sobre el artículo 7 de la  Convención  de  Bélem  do  Pará  ‘de</w:t>
        <w:br/>
        <w:t>conformidad con lo dispuesto en los artículos 44 al 51 de  [la  Convención</w:t>
        <w:br/>
        <w:t>Americana]’, como lo dispone el artículo 41 de  la  misma  Convención.  El</w:t>
        <w:br/>
        <w:t>artículo  51  de  la  Convención  […]  se  refiere  […]  expresamente   al</w:t>
        <w:br/>
        <w:t>sometimiento de casos ante la Corte”.</w:t>
        <w:br/>
        <w:t>[23] Cfr. Caso Masacres de Río Negro Vs. Guatemala. Excepción  Preliminar,</w:t>
        <w:br/>
        <w:t>Fondo, Reparaciones y Costas. Sentencia de 4 de septiembre de 2012.  Serie</w:t>
        <w:br/>
        <w:t>C No. 250, párr. 17, y Caso Gudiel Álvarez (Diario Militar) Vs. Guatemala.</w:t>
        <w:br/>
        <w:t>Fondo, Reparaciones y Costas. Sentencia de 20 de noviembre de 2012.  Serie</w:t>
        <w:br/>
        <w:t>C No. 253, párr. 17.</w:t>
        <w:br/>
        <w:t>[24] Cfr. Caso Vélez Loor Vs.  Panamá.  Excepciones  Preliminares,  Fondo,</w:t>
        <w:br/>
        <w:t>Reparaciones y Costas. Sentencia de 23 de noviembre de 2010  Serie  C  No.</w:t>
        <w:br/>
        <w:t>218, párr. 34; Caso González y otras (“Campo Algodonero”),  supra,  puntos</w:t>
        <w:br/>
        <w:t>resolutivos 4 y 5; Caso Fernández Ortega y otros.  Vs.  México.  Excepción</w:t>
        <w:br/>
        <w:t>Preliminar, Fondo, Reparaciones y Costas. Sentencia de  30  de  agosto  de</w:t>
        <w:br/>
        <w:t>2010. Serie C No. 215, puntos resolutivos 3 y 7; Caso Rosendo Cantú y otra</w:t>
        <w:br/>
        <w:t>Vs. México. Excepción Preliminar, Fondo, Reparaciones y Costas.  Sentencia</w:t>
        <w:br/>
        <w:t>de 31 de agosto de 2010. Serie C No. 216, puntos resolutivos 3 y  6;  Caso</w:t>
        <w:br/>
        <w:t>Masacres de Río Negro, supra, punto resolutivo  6;  Caso  Masacres  de  El</w:t>
        <w:br/>
        <w:t>Mozote y lugares aledaños Vs. El Salvador. Fondo, Reparaciones  y  Costas.</w:t>
        <w:br/>
        <w:t>Sentencia de 25 de octubre de 2012. Serie C No. 252, punto resolutivo 7, y</w:t>
        <w:br/>
        <w:t>Caso Gudiel Álvarez y otros (Diario Militar), supra, punto  resolutivo  5.</w:t>
        <w:br/>
        <w:t>Inclusive en relación con Guatemala, en los citados casos Masacres de  Río</w:t>
        <w:br/>
        <w:t>Negro y Gudiel  Álvarez  (Diario  Militar),  el  Estado  no  cuestionó  la</w:t>
        <w:br/>
        <w:t>competencia del Tribunal respecto al artículo 7 de la Convención de  Belém</w:t>
        <w:br/>
        <w:t>do Pará. Como surge de los párrafos 17 de ambas Sentencias,  que  en  esos</w:t>
        <w:br/>
        <w:t>casos Guatemala reconoció  su  responsabilidad  por  la  violación  a  tal</w:t>
        <w:br/>
        <w:t>disposición de ese tratado.</w:t>
        <w:br/>
        <w:t>[25] Al respecto, el Estado señaló que  la  Corte  se  ha  referido  a  la</w:t>
        <w:br/>
        <w:t>pertinencia de considerar “tres elementos para determinar la razonabilidad</w:t>
        <w:br/>
        <w:t>del plazo […]: “a) la complejidad del asunto, b) la actividad procesal del</w:t>
        <w:br/>
        <w:t>interesado y c) la conducta de las autoridades judiciales.</w:t>
        <w:br/>
        <w:t>[26] El Estado explicó que “en  el  Decreto  7-2011  del  Congreso  de  la</w:t>
        <w:br/>
        <w:t>República” se establecieron reformas al “Decreto número 51-92 del Congreso</w:t>
        <w:br/>
        <w:t>de la República, Código Procesal Penal[:]  ‘Artículo  5.  Se  adiciona  un</w:t>
        <w:br/>
        <w:t>segundo párrafo al artículo 108, el cual queda así: En el ejercicio de  su</w:t>
        <w:br/>
        <w:t>función, y en un plazo no mayor de quince días de recibida la denuncia, el</w:t>
        <w:br/>
        <w:t>Ministerio Público debe informar a la víctima de lo  actuado  y  sobre  la</w:t>
        <w:br/>
        <w:t>posible decisión a asumir. La víctima que no sea informada en dicho  plazo</w:t>
        <w:br/>
        <w:t>puede acudir al juez de paz  para  que  éste  requiera  en  la  forma  más</w:t>
        <w:br/>
        <w:t>expedita que, en cuarenta y ocho horas, el  fiscal  le  informe  sobre  el</w:t>
        <w:br/>
        <w:t>avance del proceso. Si del informe o ante la falta de éste el juez de  paz</w:t>
        <w:br/>
        <w:t>considera insuficiente la preparación de  la  acción  penal,  ordenará  al</w:t>
        <w:br/>
        <w:t>fiscal que dentro de un plazo no mayor de treinta (30) días le informe  de</w:t>
        <w:br/>
        <w:t>nuevos avances, o en su defecto sobre las circunstancias  que  le  impiden</w:t>
        <w:br/>
        <w:t>que no pueda avanzar más  en  la  investigación,  bajo  apercibimiento  de</w:t>
        <w:br/>
        <w:t>certificar  al   régimen   disciplinario   del   Ministerio   Público   el</w:t>
        <w:br/>
        <w:t>incumplimiento, constituyendo falta grave’”.  (La  cursiva  es  del  texto</w:t>
        <w:br/>
        <w:t>original).</w:t>
        <w:br/>
        <w:t>[27] Informe de Admisibilidad No. 92/06, supra.</w:t>
        <w:br/>
        <w:t>[28]   Cfr.   Comunicaciones   estatales   recibidas   por   la   Comisión</w:t>
        <w:br/>
        <w:t>Interamericana los días 16 de diciembre de 2004; 12 de abril de 2005; 3 de</w:t>
        <w:br/>
        <w:t>abril de 2006, reiterada el 5 de abril de 2006; 24 de mayo de 2006,  y  13</w:t>
        <w:br/>
        <w:t>de julio de 2006. (expediente ante la Comisión, Tomo I, fs. 1067  a  1080;</w:t>
        <w:br/>
        <w:t>969 a 973; 899 a 901; 891 a 893; 863 a 868, y 830 a 834, respectivamente).</w:t>
        <w:br/>
        <w:t>[29] Cfr. Informe de Admisibilidad No. 92/06, supra.</w:t>
        <w:br/>
        <w:t>[30] Informe de Admisibilidad No. 92/06, supra.</w:t>
        <w:br/>
        <w:t>[31] Cfr. Artículos 46, 57 y 58 del Reglamento.</w:t>
        <w:br/>
        <w:t>[32] Cfr. Caso de  la  “Panel  Blanca”  (Paniagua  Morales  y  otros)  Vs.</w:t>
        <w:br/>
        <w:t>Guatemala. Reparaciones y Costas. Sentencia de 25 de mayo de 2001. Serie C</w:t>
        <w:br/>
        <w:t>No. 76, párr. 51, y Caso  Liakat  Ali  Alibux  Vs.  Suriname.  Excepciones</w:t>
        <w:br/>
        <w:t>Preliminares, Fondo y Reparaciones. Sentencia de  30  de  enero  de  2014.</w:t>
        <w:br/>
        <w:t>Serie C No. 277, párr. 23.</w:t>
        <w:br/>
        <w:t>[33] Cfr. Caso Velásquez Rodríguez Vs. Honduras. Fondo. Sentencia de 29 de</w:t>
        <w:br/>
        <w:t>julio de 1988. Serie C No. 4, párr. 140, y Caso Liakat Ali Alibux,  supra,</w:t>
        <w:br/>
        <w:t>párr. 25.</w:t>
        <w:br/>
        <w:t>[34] A saber: BBC News/ Americas. “Murders prey on Guatemalan women”, 6 de</w:t>
        <w:br/>
        <w:t>diciembre de 2003, electrónico-inglés (expediente ante la  Comisión,  tomo</w:t>
        <w:br/>
        <w:t>I, fs. 1143 y 1144); Killing sprees terrorize  Guatemalan  Woman.  Hundred</w:t>
        <w:br/>
        <w:t>slain in 2 years—only a handful arrested. Jill Reptogle, Chronicle Foreign</w:t>
        <w:br/>
        <w:t>Service, 30 de diciembre de 2003 (expediente ante la Comisión, tomo I, fs.</w:t>
        <w:br/>
        <w:t>1147 a 1149); Crónicas del MP. “MP captura a implicados en crímenes contra</w:t>
        <w:br/>
        <w:t>mujeres”.  Evidencia  Guatemala,  octubre  de  2003  (expediente  ante  la</w:t>
        <w:br/>
        <w:t>Comisión, tomo I, fs. 1223), y Diálogo “la red  de  derivación  creará  un</w:t>
        <w:br/>
        <w:t>nuevo paradigma  de  asistencia  a  las  víctimas”.  Evidencia.  Guatemala</w:t>
        <w:br/>
        <w:t>octubre de 2003 (expediente ante la Comisión, tomo I, fs. 1224 y 1225).</w:t>
        <w:br/>
        <w:t>[35]   Cfr. Caso Escué Zapata Vs. Colombia. Fondo, Reparaciones y  Costas.</w:t>
        <w:br/>
        <w:t>Sentencia de 4 de julio de 2007. Serie C No. 165, párr.  26,  y  Caso  J.,</w:t>
        <w:br/>
        <w:t>supra, párr. 42.</w:t>
        <w:br/>
        <w:t>[36] A saber: Comité de  Expertas  del  Mecanismo  de  Seguimiento  de  la</w:t>
        <w:br/>
        <w:t>Convención de Belém do Pará. Declaración  de  Femicidio.  Aprobada  en  la</w:t>
        <w:br/>
        <w:t>Cuarta Reunión del Comité de Expertas/os (CEVI) celebrada el 15 de  agosto</w:t>
        <w:br/>
        <w:t>de 2008;  Información  sobre  la  atención  a  mujeres  sobrevivientes  de</w:t>
        <w:br/>
        <w:t>violencia en el primer cuatrimestre año 2013, y  Acuerdo  Gubernativo  46-</w:t>
        <w:br/>
        <w:t>2012, Creación de la Comisión presidencial para el Abordaje del  Femicidio</w:t>
        <w:br/>
        <w:t>en Guatemala (COPAF) (expediente  de  excepciones  preliminares,  fondo  y</w:t>
        <w:br/>
        <w:t>reparaciones  y  costas,  f.  1702),  y  el  enlace  de  una  página  web:</w:t>
        <w:br/>
        <w:t>http://www.ine.gob.gt/np/snvcm/index.  La  Corte   admite   el   documento</w:t>
        <w:br/>
        <w:t>remitido mediante el enlace electrónico por la representante en su escrito</w:t>
        <w:br/>
        <w:t>de alegatos finales,  por  ser  parte  de  sustento,  como  aclararon  las</w:t>
        <w:br/>
        <w:t>representantes, de la respuestas a preguntas formuladas por jueces  de  la</w:t>
        <w:br/>
        <w:t>Corte durante la audiencia pública, y por considerarlo útil.</w:t>
        <w:br/>
        <w:t>[37] A saber: Expediente Judicial; Expediente del Ministerio Público (en 3</w:t>
        <w:br/>
        <w:t>partes diferentes “Folios 1 – 170; - Folios 171 – 400,  y-  Folios  401  –</w:t>
        <w:br/>
        <w:t>476”);  Cotización  de  Affidávits,  y  señaló   un   enlace   electrónico</w:t>
        <w:br/>
        <w:t>http://www.ine.gob.gt/np/snvcm/index (infra  párr.  276).  En  lo  que  se</w:t>
        <w:br/>
        <w:t>refiere a los expedientes, los mismos fueron  aportados  con  anterioridad</w:t>
        <w:br/>
        <w:t>como prueba. En razón de ello se admiten solo aquellos oficios que  fueron</w:t>
        <w:br/>
        <w:t>presentados por primera vez en esta oportunidad.</w:t>
        <w:br/>
        <w:t>[38] Comisión para el Esclarecimiento Histórico, “Guatemala:  Memoria  del</w:t>
        <w:br/>
        <w:t>Silencio”,    tomo    III,    junio    de     1999.     Disponible     en:</w:t>
        <w:br/>
        <w:t>http://www.iom.int/seguridad-fronteriza/lit/land/cap2_2.pdf.</w:t>
        <w:br/>
        <w:t>[39] Mecanismo de Seguimiento de la Convención Belém  do  Pará  (MESECVI).</w:t>
        <w:br/>
        <w:t>Segunda  Conferencia  de  Estados  Parte.  9  y  10  de  julio  de   2008.</w:t>
        <w:br/>
        <w:t>OEA/Ser.L/II.7.10, MESECVI-II/doc.31/08, 24  junio  2008.  Disponible  en:</w:t>
        <w:br/>
        <w:t>http://www.oas.org/es/mesecvi/docs/Questionnaire1-GuatemalaResponse.doc.</w:t>
        <w:br/>
        <w:t>[40] Programa de las Naciones Unidas para el Desarrollo  (PNUD),  Programa</w:t>
        <w:br/>
        <w:t>de Seguridad Ciudadana y Prevención de la Violencia  del  PNUD  Guatemala,</w:t>
        <w:br/>
        <w:t>“Informe estadístico de  la  violencia  en  Guatemala”,  Guatemala,  2007.</w:t>
        <w:br/>
        <w:t>Disponible                                                             en:</w:t>
        <w:br/>
        <w:t>http://www.who.int/violence_injury_prevention/violence/national_activities/</w:t>
        <w:br/>
        <w:t>informe_estadistico_violencia_guatemala.pdf.</w:t>
        <w:br/>
        <w:t>[41] Misión de Verificación de las Naciones Unidas en Guatemala (MINUGUA),</w:t>
        <w:br/>
        <w:t xml:space="preserve">“Informe Final: Asesoría en Derechos Humanos”, 15 de noviembre  de  2004. </w:t>
        <w:br/>
        <w:t>Disponible                                                             en:</w:t>
        <w:br/>
        <w:t>http://www.derechoshumanos.net/lesahumanidad/informes/guatemala/Informe-</w:t>
        <w:br/>
        <w:t>Final-Minugua.pdf.</w:t>
        <w:br/>
        <w:t>[42] Comisión Internacional contra  la  Impunidad  en  Guatemala  (CICIG),</w:t>
        <w:br/>
        <w:t>“Tercer        año        de        labores”.        Disponible        en:</w:t>
        <w:br/>
        <w:t>http://www.cicig.org/uploads/documents/informes/INFOR-</w:t>
        <w:br/>
        <w:t>LABO_DOC05_20100901_ES.pdf.</w:t>
        <w:br/>
        <w:t>[43] Comisión Internacional contra  la  Impunidad  en  Guatemala  (CICIG),</w:t>
        <w:br/>
        <w:t>“Sexto Informe de labores de la Comisión Internacional contra la Impunidad</w:t>
        <w:br/>
        <w:t>en Guatemala (CICIG). Período septiembre 2012 –  agosto  2013.  Disponible</w:t>
        <w:br/>
        <w:t>en:    http://www.cicig.org/uploads/documents/2013/COM-045-20130822-DOC01-</w:t>
        <w:br/>
        <w:t>ES.pdf.</w:t>
        <w:br/>
        <w:t>[44] Brigadas Internacionales de Paz (PBI), “10 años sin guerra… esperando</w:t>
        <w:br/>
        <w:t>la paz: Estudio de implementación del Acuerdo  sobre  Fortalecimiento  del</w:t>
        <w:br/>
        <w:t>Poder  Civil  y  Función  del  Ejército  en  una  Sociedad   Democrática”,</w:t>
        <w:br/>
        <w:t>Guatemala,   agosto    de    2007.    Disponible    en:    http://www.pbi-</w:t>
        <w:br/>
        <w:t>guatemala.org/fileadmin/user_files/projects/guatemala/files/spanish/10anos.</w:t>
        <w:br/>
        <w:t>pdf.</w:t>
        <w:br/>
        <w:t>[45] Impunity Watch, “Reconociendo el pasado: desafíos  para  combatir  la</w:t>
        <w:br/>
        <w:t>impunidad   en   Guatemala”,   noviembre   de   2008.    Disponible    en:</w:t>
        <w:br/>
        <w:t>http://www.impunitywatch.org/docs/BCR_Guatemala_Spanish.pdf.</w:t>
        <w:br/>
        <w:t>[46] Comité para la Eliminación de  la  Discriminación  contra  la  Mujer,</w:t>
        <w:br/>
        <w:t>Observaciones finales del Comité para la Eliminación de la  Discriminación</w:t>
        <w:br/>
        <w:t>contra la Mujer: Guatemala, 35º período de sesiones, 15 de  mayo  a  2  de</w:t>
        <w:br/>
        <w:t>junio de 2006, UN Doc. CEDAW/CE/GUA/CO/6, 2 de junio de  2006.  Disponible</w:t>
        <w:br/>
        <w:t>en: http://www.un.org/womenwatch/daw/cedaw/35sess.htm.</w:t>
        <w:br/>
        <w:t>[47] Congreso de la República de Guatemala. Código Procesal Penal. Decreto</w:t>
        <w:br/>
        <w:t>51-92 y sus reformas, emitido el 18 de septiembre de 1992. Disponible  en:</w:t>
        <w:br/>
        <w:t>http://www.lexadin.nl/wlg/legis/nofr/oeur/arch/gua/CodigoProcesalPenal.pdf.</w:t>
        <w:br/>
        <w:br/>
        <w:t>[48] Mensaje del  señor  Presidente  Constitucional  de  la  República  de</w:t>
        <w:br/>
        <w:t>Guatemala, Licenciado Ramiro De León Carpio a la  IV  Conferencia  Mundial</w:t>
        <w:br/>
        <w:t>sobre la Mujer. Intervención del Embajador Julio Armando Martini  Herrera.</w:t>
        <w:br/>
        <w:t>Representante  Permanente  ante  las  Naciones  Unidas.  Beijing,  11   de</w:t>
        <w:br/>
        <w:t>septiembre   de   1995.   Disponible   en:   http://www.un.org/esa/gopher-</w:t>
        <w:br/>
        <w:t>data/conf/fwcw/conf/gov/950914133159.txt.</w:t>
        <w:br/>
        <w:t>[49] Comisión Interamericana de Derechos Humanos “Quinto informe sobre  la</w:t>
        <w:br/>
        <w:t>Situación de los Derechos Humanos en Guatemala”, OEA/Ser.L/V/II. 111, Doc.</w:t>
        <w:br/>
        <w:t>Rev., 6 de abril de 2001. (expediente de anexos al Informe de Fondo, anexo</w:t>
        <w:br/>
        <w:t>32,   fs.   266   a    310).    Documento    completo    disponible    en:</w:t>
        <w:br/>
        <w:t>http://www.cidh.org/countryrep/guatemala01sp/indice.htm.</w:t>
        <w:br/>
        <w:t>[50] Comisión Interamericana de Derechos Humanos,  “Justicia  e  inclusión</w:t>
        <w:br/>
        <w:t>social: los desafíos de la democracia en  Guatemala”.  OEA/Ser.L/V/II.118,</w:t>
        <w:br/>
        <w:t>29 de diciembre de 2003 (expediente de anexos al Informe  de  Fondo  anexo</w:t>
        <w:br/>
        <w:t>32,   fs.   266   a    310).    Documento    completo    disponible    en:</w:t>
        <w:br/>
        <w:t>http://www.cidh.org/countryrep/Guatemala2003sp/indice.htm.</w:t>
        <w:br/>
        <w:t>[51] Al respecto, de acuerdo a la comunicación de 2 de  mayo  de  2013  de</w:t>
        <w:br/>
        <w:t>esta Secretaría se acusó recibo de los affidávits correspondientes  a  los</w:t>
        <w:br/>
        <w:t>siguientes declarantes: Leonel Enrique Veliz Franco, José Roberto  Franco,</w:t>
        <w:br/>
        <w:t>Luisa María de León Santizo, Ana Carcedo Cabañas, Rodolfo Kepfer Rodríguez</w:t>
        <w:br/>
        <w:t>y José Mario Nájera Ochoa, pero sólo respondieron las preguntas sobre  las</w:t>
        <w:br/>
        <w:t>cuales se  había  efectuado  precisiones  sobre  el  modo  en  que  debían</w:t>
        <w:br/>
        <w:t>contestarse, pero no respondieron la totalidad de las preguntas formuladas</w:t>
        <w:br/>
        <w:t>por el Estado que debían ser contestadas.  En  razón  de  ello,  siguiendo</w:t>
        <w:br/>
        <w:t>instrucciones del Presidente, se dio una ampliación de  cada  uno  de  los</w:t>
        <w:br/>
        <w:t>affidávits para que  se  incluyeran  las  preguntas  que  no  habían  sido</w:t>
        <w:br/>
        <w:t>respondidas.  El  9  de  abril  de  2013  la  representante  presentó  las</w:t>
        <w:br/>
        <w:t>ampliaciones  de   las   declaraciones   de   las   personas   mencionadas</w:t>
        <w:br/>
        <w:t>anteriormente.</w:t>
        <w:br/>
        <w:t>[52] A saber: Leonel Enrique Veliz  Franco,  José  Roberto  Franco,  Luisa</w:t>
        <w:br/>
        <w:t>María de León Santizo, Ana Carcedo Cabañas,  Rodolfo  Kepfer  Rodríguez  y</w:t>
        <w:br/>
        <w:t>José Mario Nájera Ochoa.</w:t>
        <w:br/>
        <w:t>[53] Caso Cantoral Benavides Vs. Perú. Excepciones Preliminares. Sentencia</w:t>
        <w:br/>
        <w:t>de 3 de septiembre de 1998. Serie C No. 40, párr. 30, y Caso Díaz Peña Vs.</w:t>
        <w:br/>
        <w:t>Venezuela. Excepción Preliminar, Fondo, Reparaciones y  Costas.  Sentencia</w:t>
        <w:br/>
        <w:t>de 26 de junio de 2012. Serie C No. 224, párr. 33</w:t>
        <w:br/>
        <w:t>[54]Caso Díaz Peña, supra, párr.  33,  y  Caso  Artavia  Murillo  y  otros</w:t>
        <w:br/>
        <w:t>(“Fecundación in vitro”) Vs. Costa Rica, Excepciones Preliminares,  Fondo,</w:t>
        <w:br/>
        <w:t>Reparaciones y Costas. Sentencia de 28 de noviembre de 2012  Serie  C  No.</w:t>
        <w:br/>
        <w:t>257, párr. 56.</w:t>
        <w:br/>
        <w:t>[55] Cfr.  Caso  Loayza  Tamayo  Vs.  Perú.  Fondo.  Sentencia  de  17  de</w:t>
        <w:br/>
        <w:t>septiembre de 1997. Serie C No. 33, párr. 43, y Caso  Liakat  Ali  Alibux,</w:t>
        <w:br/>
        <w:t>supra, párr. 31.</w:t>
        <w:br/>
        <w:br/>
        <w:br/>
        <w:t>[56] El Estado reiteró que no presentó el juramento, por lo que se  remite</w:t>
        <w:br/>
        <w:t>a lo anteriormente resuelto al respecto, y que rindió el peritaje haciendo</w:t>
        <w:br/>
        <w:t>caso omiso a lo resuelto por la Corte, ya que lo rindió como fue propuesto</w:t>
        <w:br/>
        <w:t>en el escrito de la representante de 8 de marzo de 2013. Al  respecto,  el</w:t>
        <w:br/>
        <w:t>Tribunal reitera que considerará el contenido del peritaje en la medida en</w:t>
        <w:br/>
        <w:t>que se ajuste al objeto fijado para el mismo. En tal  sentido,  tomará  en</w:t>
        <w:br/>
        <w:t>cuenta señalamiento que la perita hizo sobre Guatemala y sólo en la medida</w:t>
        <w:br/>
        <w:t>que hubieran sido presentados en el peritaje  como  datos  comparativos  o</w:t>
        <w:br/>
        <w:t>inclusivos de la situación en ese país, las indicaciones formuladas  sobre</w:t>
        <w:br/>
        <w:t>la región centroamericana.</w:t>
        <w:br/>
        <w:t>[57] Caso Reverón Trujillo Vs.  Venezuela.  Excepción  Preliminar,  Fondo,</w:t>
        <w:br/>
        <w:t>Reparaciones y Costas. Sentencia de 30 de junio de 2009. Serie C No.  197,</w:t>
        <w:br/>
        <w:t>párr. 42, y Caso Liakat Ali Alibux Vs. Suriname, supra, párr. 31.</w:t>
        <w:br/>
        <w:t>[58]  Agregó  que  la  señora  Franco  Sandoval  se  refirió   de   manera</w:t>
        <w:br/>
        <w:t>“inapropiada” cuando se dirigió a las representantes del Estado,  lo  cual</w:t>
        <w:br/>
        <w:t>“no se justifica […] ni debe […] ser aceptad[o] por el hecho de  que  ella</w:t>
        <w:br/>
        <w:t>se considere ofendida”.</w:t>
        <w:br/>
        <w:t>[59] Cfr. Caso Artavia y otros ("Fecundación in vitro"), supra, párr. 15.</w:t>
        <w:br/>
        <w:t>[60] Cfr. Caso J., supra, párr. 53.</w:t>
        <w:br/>
        <w:t>[61] Cfr. Caso Goiburú y otros Vs. Paraguay. Fondo, Reparaciones y Costas.</w:t>
        <w:br/>
        <w:t>Sentencia de 22 de septiembre de 2006. Serie C No. 153, párrs. 61 y 62,  y</w:t>
        <w:br/>
        <w:t>Caso J., supra, párr. 53.</w:t>
        <w:br/>
        <w:t>[62] Cfr. Caso Goiburú y otros, supra, párrs. 53 y 63, y Caso  J.,  supra,</w:t>
        <w:br/>
        <w:t>párr. 53.</w:t>
        <w:br/>
        <w:t>[63] Comisión para el Esclarecimiento Histórico, “Guatemala:  Memoria  del</w:t>
        <w:br/>
        <w:t>Silencio”, supra, pág. 13.</w:t>
        <w:br/>
        <w:t>[64] Comisión para el Esclarecimiento Histórico, “Guatemala:  Memoria  del</w:t>
        <w:br/>
        <w:t>Silencio”, supra, pág. 27.</w:t>
        <w:br/>
        <w:t>[65]  Amnistía  Internacional,  “Guatemala.  Ni  protección  ni  justicia:</w:t>
        <w:br/>
        <w:t>Homicidios de mujeres en Guatemala”, junio de 2005, pág. 2 (expediente  de</w:t>
        <w:br/>
        <w:t>anexos al Informe de Fondo, anexo 33, fs. 312 a 356).</w:t>
        <w:br/>
        <w:t>[66] Tales expresiones se encuentran, respectivamente, en  el  Informe  de</w:t>
        <w:br/>
        <w:t>Fondo en el apartado titulado “Contexto  de  violencia  contra  mujeres  y</w:t>
        <w:br/>
        <w:t>niñas”, que abarca desde el párrafo 58 al 66 y que se encuentra, a su vez,</w:t>
        <w:br/>
        <w:t>bajo el título “Hechos Probados”, que incluye los párrafos que  van  desde</w:t>
        <w:br/>
        <w:t>el 37 al 72; y en el escrito de solicitudes y  argumentos  en  la  sección</w:t>
        <w:br/>
        <w:t>titulada “Contexto”, que comienza en  el  folio  27  de  dicho  escrito  y</w:t>
        <w:br/>
        <w:t>finaliza en el  45  (expediente  de  excepciones  preliminares,  fondo,  y</w:t>
        <w:br/>
        <w:t>reparaciones y costas, fs. 20 a 23 y 118 a 136, respectivamente).</w:t>
        <w:br/>
        <w:t>[67] En sus alegatos finales escritos, el Estado  señaló  “la  creación  e</w:t>
        <w:br/>
        <w:t>implementación del Sistema Nacional  de  Información  sobre  Violencia  en</w:t>
        <w:br/>
        <w:t>contra de la Mujer[. …] Dicho sistema puede ser verificado  en  su  página</w:t>
        <w:br/>
        <w:t>web: http://www.ine.gob.gt/np/snvcm/index”. La  Corte  ha  constatado  que</w:t>
        <w:br/>
        <w:t>dicho sitio de internet contiene información  sobre  hechos  sucedidos  de</w:t>
        <w:br/>
        <w:t>2008 en adelante.</w:t>
        <w:br/>
        <w:t>[68] La Corte nota que Guatemala aprobó en mayo de 2008 el Decreto No. 22-</w:t>
        <w:br/>
        <w:t>2008 o Ley contra el Femicidio y  otras  formas  de  Violencia  contra  la</w:t>
        <w:br/>
        <w:t>Mujer, la cual tipificó delitos de acción  pública,  entre  ellos,  el  de</w:t>
        <w:br/>
        <w:t>“femicidio”, expresando en su artículo 3  que  consiste  en  la  “[m]uerte</w:t>
        <w:br/>
        <w:t>violenta de una  mujer,  ocasionada  en  el  contexto  de  las  relaciones</w:t>
        <w:br/>
        <w:t>desiguales de poder entre hombres y mujeres, en  ejercicio  del  poder  de</w:t>
        <w:br/>
        <w:t>género en contra de las mujeres”.  Además, las peritas Ana Carcedo Cabañas</w:t>
        <w:br/>
        <w:t>y María Eugenia Solís  García  señalaron  que  las  muertes  violentas  de</w:t>
        <w:br/>
        <w:t>mujeres en Guatemala podían calificarse como  “femicidio”.  Cfr.  Dictamen</w:t>
        <w:br/>
        <w:t>pericial de Ana Carcedo Cabañas rendido mediante affidávit recibido el  30</w:t>
        <w:br/>
        <w:t>de abril  de  2013  (expediente  de  excepciones  preliminares,  fondo,  y</w:t>
        <w:br/>
        <w:t>reparaciones y costas, fs. 896 a 906) y dictamen pericial de María Eugenia</w:t>
        <w:br/>
        <w:t>Solís García rendido en la audiencia pública celebrada el 15  de  mayo  de</w:t>
        <w:br/>
        <w:t>2013. Por otra parte, en la Sentencia  sobre  el  caso  González  y  otras</w:t>
        <w:br/>
        <w:t>(“Campo Algodonero”)  Vs.  México,  este  Tribunal  utilizó  la  expresión</w:t>
        <w:br/>
        <w:t>“‘homicidio de  mujer  por  razones  de  género’,  también  conocido  como</w:t>
        <w:br/>
        <w:t>feminicidio” (Caso González y otras  (“Campo  Algodonero”),  supra,  párr.</w:t>
        <w:br/>
        <w:t>143). La Corte aclara que, a efectos de la presente  Sentencia,  utilizará</w:t>
        <w:br/>
        <w:t>el término “homicidio de mujer por razón de género” para hacer  referencia</w:t>
        <w:br/>
        <w:t>a “feminicidio” o “femicidio”. Debe entenderse además, en  cuanto  la  Ley</w:t>
        <w:br/>
        <w:t>contra el Femicidio, que no estaba vigente en Guatemala al momento de  los</w:t>
        <w:br/>
        <w:t>hechos ocurridos a María Isabel Veliz Franco, que la  referencia  de  este</w:t>
        <w:br/>
        <w:t>Tribunal a dicha norma no implica un pronunciamiento sobre  su  aplicación</w:t>
        <w:br/>
        <w:t>al caso.</w:t>
        <w:br/>
        <w:t>[69] Mecanismo de Seguimiento de la Convención Belém  do  Pará  (MESECVI).</w:t>
        <w:br/>
        <w:t>Segunda Conferencia de Estados Parte, supra, pág. 79.</w:t>
        <w:br/>
        <w:t>[70] En forma concordante, el Órgano de Coordinación de la Prevención,  el</w:t>
        <w:br/>
        <w:t>Castigo y la Erradicación de la Violencia Familiar y la  Violencia  contra</w:t>
        <w:br/>
        <w:t>la Mujer  (CONAPREVI),  un  órgano  estatal,  expresó  que  “[e]s  difícil</w:t>
        <w:br/>
        <w:t>cuantificar la magnitud del problema [de la violencia intrafamiliar  y  en</w:t>
        <w:br/>
        <w:t>contra de las mujeres] en  Guatemala,  debido  a  la  falta  de  registros</w:t>
        <w:br/>
        <w:t>estadísticos  fiables  y  actualizados”.  Órgano  de  Coordinación  de  la</w:t>
        <w:br/>
        <w:t>Prevención, el Castigo y la Erradicación de la  Violencia  Familiar  y  la</w:t>
        <w:br/>
        <w:t>Violencia contra la Mujer (CONAPREVI), PLANOVI 2004-2014: Plan Nacional de</w:t>
        <w:br/>
        <w:t>Prevención y Erradicación de  de  Violencia  Intrafamiliar  y  contra  las</w:t>
        <w:br/>
        <w:t>Mujeres, junio de 2006,  pág.  6  (expediente  de  anexos  al  escrito  de</w:t>
        <w:br/>
        <w:t>contestación, anexo 10, fs. 14,073 a 14,093). Por su parte, la perita  Ana</w:t>
        <w:br/>
        <w:t>Carcedo Cabañas declaró que “[e]l primer hallazgo significativo en materia</w:t>
        <w:br/>
        <w:t>de femicidio en lo que atañe a Guatemala es la dificultad  para  encontrar</w:t>
        <w:br/>
        <w:t>la información necesaria […]. Es el país centroamericano  en  el  que,  al</w:t>
        <w:br/>
        <w:t>menos hasta 2006, este problema es más frecuente. […]  Para  el  año  2003</w:t>
        <w:br/>
        <w:t>esto  fue  cuantificado;  mientras  en  otros  países  de  la  región   se</w:t>
        <w:br/>
        <w:t>presentaban problemas severos de información en un 20% de los homicidios o</w:t>
        <w:br/>
        <w:t>menos, en Guatemala este porcentaje ascendió al 70%”. La perita vinculó lo</w:t>
        <w:br/>
        <w:t>anterior a las actuaciones del sistema “policial-judicial”, al afirmar que</w:t>
        <w:br/>
        <w:t>[l] as investigaciones sociales […] tienen como fuente privilegiada a  las</w:t>
        <w:br/>
        <w:t>instituciones estatales, y […l]as  deficiencias  de  información  [de  ese</w:t>
        <w:br/>
        <w:t>sistema] difícilmente pueden  ser  subsanadas  por  otras  fuentes”.  Cfr.</w:t>
        <w:br/>
        <w:t>Dictamen pericial de Ana Carcedo Cabañas, supra. La perita  María  Eugenia</w:t>
        <w:br/>
        <w:t>Solís García, a su vez, declaró  que “[e]n el [2001] no se  producía  dato</w:t>
        <w:br/>
        <w:t>estadístico [sobre homicidios por razón de género], y en la actualidad  se</w:t>
        <w:br/>
        <w:t>produce y no hay coincidencia [… E]l Ministerio Público  y  el  [Instituto</w:t>
        <w:br/>
        <w:t>Nacional de Ciencias Forenses de Guatemala] INACIF  son  los  que  más  se</w:t>
        <w:br/>
        <w:t>acercan, pero no hay compatibilidad en la cifra. La  policía  nacional  da</w:t>
        <w:br/>
        <w:t>una, el Ministerio Público otra el Organismo Judicial da otra, los  medios</w:t>
        <w:br/>
        <w:t>dan otra […]”. Cfr. Dictamen  pericial  de  María  Eugenia  Solís  García,</w:t>
        <w:br/>
        <w:t>supra.</w:t>
        <w:br/>
        <w:t>[71] Cfr. El Programa de las Naciones Unidas para  el  Desarrollo  afirmó,</w:t>
        <w:br/>
        <w:t>indicando que lo hacía con base en datos de la Policía Nacional Civil, que</w:t>
        <w:br/>
        <w:t>“la violencia homicida [en Guatemala] ha aumentado más de 120% pasando  de</w:t>
        <w:br/>
        <w:t>2,655 homicidios en 1,999 a 5,885 en 2,006. Este crecimiento equivale a un</w:t>
        <w:br/>
        <w:t>aumento mayor  al  12%  por  año  desde  1,999  superando  ampliamente  al</w:t>
        <w:br/>
        <w:t>crecimiento poblacional que es inferior al 2.6% anual”.  Programa  de  las</w:t>
        <w:br/>
        <w:t>Naciones Unidas para el Desarrollo (PNUD), Programa de Seguridad Ciudadana</w:t>
        <w:br/>
        <w:t>y Prevención de la Violencia del PNUD Guatemala, “Informe  estadístico  de</w:t>
        <w:br/>
        <w:t>la violencia en Guatemala”, supra, pág. 9. Cabe  recordar  además  que  el</w:t>
        <w:br/>
        <w:t>Estado reconoció que en 2001 se presentaba una situación  de  “aumento  de</w:t>
        <w:br/>
        <w:t>las  […]  muertes  violentas”  y  “temor  dentro  de   la   […]   sociedad</w:t>
        <w:br/>
        <w:t>guatemalteca” (supra párr. 18).</w:t>
        <w:br/>
        <w:t>[72] Cfr. Centro de recursos  para  el  Análisis  de  Conflictos  (CERAC),</w:t>
        <w:br/>
        <w:t>“Guatemala en la encrucijada, panorama  de  una  violencia  transformada”,</w:t>
        <w:br/>
        <w:t>Ginebra,  2011  (expediente  de  anexos  al  escrito  de   solicitudes   y</w:t>
        <w:br/>
        <w:t>argumentos, anexo 57, fs. 7480 a 77007).</w:t>
        <w:br/>
        <w:t>[73]  El  mismo  documento  refiere  que  “según  un  informe”  para  2012</w:t>
        <w:br/>
        <w:t>“Guatemala ocupa[ba] el tercer lugar a nivel mundial en muertes  violentas</w:t>
        <w:br/>
        <w:t>de mujeres, con una tasa de 9.7 femicidios por cada  100,000  habitantes”.</w:t>
        <w:br/>
        <w:t>Organismo  Judicial  de  Guatemala,  “Primer  Informe  sobre  Juzgados   y</w:t>
        <w:br/>
        <w:t>Tribunales Penales de Delitos de Femicidio y  otras  Formas  de  Violencia</w:t>
        <w:br/>
        <w:t>Contra la Mujer”, 2012 (expediente de anexos al escrito de  solicitudes  y</w:t>
        <w:br/>
        <w:t>argumentos, anexo 101, fs. 10854 a 10917).</w:t>
        <w:br/>
        <w:t>[74] Cfr. Comisión Económica para América Latina y el Caribe (CEPAL),  “Si</w:t>
        <w:br/>
        <w:t>no se cuenta,  no  cuenta.  Información  sobre  la  violencia  contra  las</w:t>
        <w:br/>
        <w:t>mujeres”, Santiago de Chile, Chile, 2012, pág. 246 (expediente  de  anexos</w:t>
        <w:br/>
        <w:t>al escrito de solicitudes y argumentos, anexo  59,  fs.  7,815  a  8,210),</w:t>
        <w:br/>
        <w:t>Consejo Económico y  Social  de  Naciones  Unidas.  Comisión  de  Derechos</w:t>
        <w:br/>
        <w:t>Humanos 6º período de sesiones, Informe de la Relatora Especial  sobre  la</w:t>
        <w:br/>
        <w:t>violencia contra la mujer,  sus  causas  y  consecuencias,  Yakin  Ertürk.</w:t>
        <w:br/>
        <w:t>Misión a Guatemala. UN Doc. E/CN.4/2005/72/Add.3, 10 de febrero  de  2005,</w:t>
        <w:br/>
        <w:t>párr. 28 (expediente de anexos al Informe de Fondo, anexo 31,  fs.  240  a</w:t>
        <w:br/>
        <w:t>264). Cabe resaltar que, en el marco de las situación descrita  entre  los</w:t>
        <w:br/>
        <w:t>años 2000 y 2002, hubo un aumento de  denuncias  de  hechos  de  violencia</w:t>
        <w:br/>
        <w:t>cometidos contra mujeres atendidos por el Ministerio Público: de acuerdo a</w:t>
        <w:br/>
        <w:t>documentación del Comité para la Eliminación de la  Discriminación  contra</w:t>
        <w:br/>
        <w:t>la Mujer de Naciones Unidas, datos de fuente estatal indican que  mientras</w:t>
        <w:br/>
        <w:t>hubo 130,561 denuncias en el  2000,  se  registraron  222,436  en  2001  y</w:t>
        <w:br/>
        <w:t>238,936  en  2002;  es  decir,  entre  2000  y  2002  tales  denuncias  se</w:t>
        <w:br/>
        <w:t>incrementaron  en  un  83%.  Cfr.  Comité  para  la  Eliminación   de   la</w:t>
        <w:br/>
        <w:t>Discriminación contra la Mujer. Grupo de trabajo anterior  al  período  de</w:t>
        <w:br/>
        <w:t>sesiones. 35º período de sesiones, 15 de  mayo  a  2  de  junio  de  2006.</w:t>
        <w:br/>
        <w:t>Respuestas a la lista de cuestiones y preguntas relativas  al  examen  del</w:t>
        <w:br/>
        <w:t>sexto informe periódico. Guatemala. UN Doc. CEDAW/C/GUA/Q/6/Add.1,  27  de</w:t>
        <w:br/>
        <w:t>marzo de 2006 (expediente de anexos al Informe de Fondo, anexo 28, fs. 151</w:t>
        <w:br/>
        <w:t>a 202). El documento indica que la fuente de  los  datos  es  la  Comisión</w:t>
        <w:br/>
        <w:t>Presidencial de Derechos Humanos de Guatemala  (COPREDEH)  (expediente  de</w:t>
        <w:br/>
        <w:t>anexos al Informe de Fondo, anexo 28, fs. 161 a 202).</w:t>
        <w:br/>
        <w:t>[75] Comisión Interamericana de Derechos  Humanos,  Comunicado  de  prensa</w:t>
        <w:br/>
        <w:t>20/04, “La Relatora Especial de la CIDH evalúa la Vigencia del Derecho  de</w:t>
        <w:br/>
        <w:t>la Mujer Guatemalteca a Vivir Libre de la Violencia y la  Discriminación”,</w:t>
        <w:br/>
        <w:t>18 de septiembre de 2004,  párr. 7 (expediente de  anexos  al  Informe  de</w:t>
        <w:br/>
        <w:t>Fondo, anexo 32, fs. 266 a 310).</w:t>
        <w:br/>
        <w:t>[76] Mecanismo de Seguimiento de la Convención Belém  do  Pará  (MESECVI).</w:t>
        <w:br/>
        <w:t>Segunda Conferencia de Estados Parte, supra, pág. 74.</w:t>
        <w:br/>
        <w:t>[77] La perita María Eugenia Solís García expresó que datos de la  Policía</w:t>
        <w:br/>
        <w:t>Nacional Civil indican que en 2001 hubo 2,967 homicidios,  de  los  cuales</w:t>
        <w:br/>
        <w:t>303 fueron de mujeres y que en 2006 hubo 5,885 homicidios, correspondiendo</w:t>
        <w:br/>
        <w:t>602 a mujeres. Es decir, de acuerdo  a  estos  datos,  los  homicidios  de</w:t>
        <w:br/>
        <w:t>mujeres fueron un 10,21% del total en 2001, y un 10,22% del total en 2006.</w:t>
        <w:br/>
        <w:t>El PNUD expresó indicaciones similares pero no  idénticas,  afirmando  que</w:t>
        <w:br/>
        <w:t>“en promedio el porcentaje de mujeres asesinadas entre 2001 y 2006 ha sido</w:t>
        <w:br/>
        <w:t>9.9%”. Programa de las Naciones Unidas para el Desarrollo (PNUD,  Programa</w:t>
        <w:br/>
        <w:t>de Seguridad Ciudadana y Prevención de la Violencia  del  PNUD  Guatemala,</w:t>
        <w:br/>
        <w:t>“Informe estadístico de la violencia en  Guatemala”,  supra,  pág.  31,  y</w:t>
        <w:br/>
        <w:t>Dictamen pericial de María Eugenia Solís García, supra.</w:t>
        <w:br/>
        <w:t>[78] En un estudio se indica que tomando el “promedio de la proporción  de</w:t>
        <w:br/>
        <w:t>homicidios de hombres entre el total de homicidios entre […] 1986 y  2008”</w:t>
        <w:br/>
        <w:t>que “la población masculina […] registra […] 91% de los homicidios  en  el</w:t>
        <w:br/>
        <w:t>país”.  Centro  de  Recursos  para  el  Análisis  de  Conflictos  (CERAC),</w:t>
        <w:br/>
        <w:t>“Guatemala en la encrucijada. Panorama  de  una  violencia  transformada”,</w:t>
        <w:br/>
        <w:t>supra, págs. 59 y 106.</w:t>
        <w:br/>
        <w:t>[79] La perita María Eugenia Solís García indicó  que,  según  información</w:t>
        <w:br/>
        <w:t>del Instituto Nacional de Ciencias Forenses de Guatemala (INACIF),  en  la</w:t>
        <w:br/>
        <w:t>década transcurrida entre 2002 y 2012 las mujeres fueron  víctimas  de  un</w:t>
        <w:br/>
        <w:t>11% del total de las muertes violentas.</w:t>
        <w:br/>
        <w:t>[80] El PNUD señaló que “[e]s factible apreciar un aumento sostenido en el</w:t>
        <w:br/>
        <w:t>número total de [homicidios de mujeres] registrados. En 6 años […] casi se</w:t>
        <w:br/>
        <w:t>han doblado, de 303 en 2001 a 603 en 2006[, pero  que]  el  porcentaje  de</w:t>
        <w:br/>
        <w:t>[homicidios de mujeres], como parte del total de homicidios, no ha crecido</w:t>
        <w:br/>
        <w:t>de una manera tan pronunciada  como  la  frecuencia  total  […]  Llama  la</w:t>
        <w:br/>
        <w:t>atención el aumento en la proporción de mujeres asesinadas  registrado  en</w:t>
        <w:br/>
        <w:t>el año 2004 (12.4%)”. Programa de las Naciones Unidas para  el  Desarrollo</w:t>
        <w:br/>
        <w:t>(PNUD), Programa de Seguridad Ciudadana y Prevención de la  Violencia  del</w:t>
        <w:br/>
        <w:t>PNUD Guatemala, “Informe estadístico de la violencia en Guatemala”, supra,</w:t>
        <w:br/>
        <w:t>págs. 30 y 31. Amnistía Internacional, en un documento en  que  abordó  la</w:t>
        <w:br/>
        <w:t>situación entre 2001 y 2005, explicó que “[l]os  hombres  también  se  han</w:t>
        <w:br/>
        <w:t>visto afectados por el grado general de violencia […] y se ha producido un</w:t>
        <w:br/>
        <w:t>significativo aumento del índice de asesinatos en general”. Afirmó también</w:t>
        <w:br/>
        <w:t>que “según datos de la policía, del número total de  homicidios,  en  2002</w:t>
        <w:br/>
        <w:t>fueron de mujeres el 4,5 [%]; en 2003, el 11,5%, y  en  2004,  el  12,1%”.</w:t>
        <w:br/>
        <w:t>Amnistía Internacional, “Guatemala. Ni protección ni justicia:  Homicidios</w:t>
        <w:br/>
        <w:t>de mujeres en Guatemala”, supra, pág. 2.</w:t>
        <w:br/>
        <w:t>[81] En cuanto al vínculo entre la situación general  relativa  a  muertes</w:t>
        <w:br/>
        <w:t>violentas, y muertes de mujeres, la perita Ana Carcedo Cabañas  indicó  un</w:t>
        <w:br/>
        <w:t>“incremento incontenido del número de muertes violentas de mujeres, lo que</w:t>
        <w:br/>
        <w:t>hace que las tasas pasen a ser algo menos de 4 por 100[,000] mujeres en el</w:t>
        <w:br/>
        <w:t>año 2000 a ser casi 10 mujeres por 100[,000] en el año 2006. […]  En  este</w:t>
        <w:br/>
        <w:t>período  también  aumentó  la  criminalidad  homicida  en  contra  de  los</w:t>
        <w:br/>
        <w:t>hombres[.] Sin embargo, […] mientras los homicidios de  hombres  entre  el</w:t>
        <w:br/>
        <w:t>año 1995 y el año 2004 aumentan un 68%, los de mujeres lo hacen  un  141%,</w:t>
        <w:br/>
        <w:t>es decir, crecen más del doble de rápido que los primeros”. Cfr.  Dictamen</w:t>
        <w:br/>
        <w:t>pericial de Ana Carcedo Cabañas, supra.  En  forma  concordante,  Carcedo,</w:t>
        <w:br/>
        <w:t>Ana, “No olvidamos ni aceptamos: Femicidio  en  Centroamérica  2000-2006”,</w:t>
        <w:br/>
        <w:t>San José, Costa Rica, 2010, pág. 41 (expediente de anexos  al  escrito  de</w:t>
        <w:br/>
        <w:t>solicitudes y argumentos, anexo 55, fs. 6,313 a 7,320).</w:t>
        <w:br/>
        <w:t>[82] Misión Internacional de Investigación,  “El  femicidio  en  México  y</w:t>
        <w:br/>
        <w:t>Guatemala”, abril de 2006 (expediente de anexos al Informe de Fondo, anexo</w:t>
        <w:br/>
        <w:t>34, fs. 358 a 399).  El documento  expresa:  “En  el  período  comprendido</w:t>
        <w:br/>
        <w:t>entre el año 2000 y el 2005, se ha presentado en Guatemala un  aumento  de</w:t>
        <w:br/>
        <w:t>muertes violentas de la población en general. […] Los datos tomados de  la</w:t>
        <w:br/>
        <w:t>Policía Nacional Civil (PNC) muestran que[, en 2004,] mientras la cantidad</w:t>
        <w:br/>
        <w:t>de muertes violentas de hombres se incrementó en 36%,  la  de  mujeres  se</w:t>
        <w:br/>
        <w:t>elevó en 56.8%. Para el año 2005 esta tendencia continúa”.</w:t>
        <w:br/>
        <w:t>[83] Amnistía Internacional, en un documento en que  abordó  la  situación</w:t>
        <w:br/>
        <w:t>entre 2001 y 2005, explicó que “la mayoría de los homicidios de mujeres se</w:t>
        <w:br/>
        <w:t>han  cometido  en  zonas  urbanas,  donde  [hubo]  un  incremento  de   la</w:t>
        <w:br/>
        <w:t>delincuencia violenta en los últimos años, vinculada a  menudo  al  crimen</w:t>
        <w:br/>
        <w:t>organizado […] así como a la actividad de bandas de jóvenes  de  la  calle</w:t>
        <w:br/>
        <w:t>conocidas como ‘maras’”. Amnistía Internacional, “Guatemala. Ni protección</w:t>
        <w:br/>
        <w:t>ni justicia: Homicidios de mujeres en Guatemala”, supra,  pág.  2.  En  el</w:t>
        <w:br/>
        <w:t>mismo  sentido,  en  cuanto  a  que  los  cadáveres  en  su  mayoría  eran</w:t>
        <w:br/>
        <w:t>encontrados en lotes baldíos cercanos a la ciudad  de  Guatemala:  Consejo</w:t>
        <w:br/>
        <w:t>Económico y Social de Naciones Unidas. Comisión  de  Derechos  Humanos  6º</w:t>
        <w:br/>
        <w:t>período de sesiones, Informe de la Relatora Especial  sobre  la  violencia</w:t>
        <w:br/>
        <w:t>contra la mujer, sus causas y consecuencias, Yakin  Ertürk,  supra,  párr.</w:t>
        <w:br/>
        <w:t>28. En cuanto a lo expresado sobre las ciudades de Guatemala y  Escuintla,</w:t>
        <w:br/>
        <w:t>la cantidad  de  hechos  ocurridos  en  la  primera,  al  menos  en  2003,</w:t>
        <w:br/>
        <w:t>cuadruplicaría la de la segunda. Cfr. Procuraduría de los Derechos Humanos</w:t>
        <w:br/>
        <w:t>de Guatemala, “Informe Anual Circunstanciado 2003”,  Guatemala,  enero  de</w:t>
        <w:br/>
        <w:t>2004,  pág.  16  (expediente  de  anexos  al  escrito  de  solicitudes   y</w:t>
        <w:br/>
        <w:t>argumentos, anexo 106, fs. 11,153 a 11,878).</w:t>
        <w:br/>
        <w:t>[84]  Amnistía  Internacional,  “Guatemala.  Ni  protección  ni  justicia:</w:t>
        <w:br/>
        <w:t>Homicidios de mujeres en Guatemala”, supra, pág. 7.</w:t>
        <w:br/>
        <w:t>[85] Cfr. Amnistía Internacional, “Guatemala. Ni protección  ni  justicia:</w:t>
        <w:br/>
        <w:t>Homicidios de mujeres en Guatemala”, supra, pág. 8. Debe indicarse también</w:t>
        <w:br/>
        <w:t>que, por otra parte, el Relator Especial  de  Naciones  Unidas  sobre  las</w:t>
        <w:br/>
        <w:t>Ejecuciones  Extrajudiciales,  Sumarias  o   Arbitrarias,   reconoció   el</w:t>
        <w:br/>
        <w:t>constante crecimiento de mujeres asesinadas  desde  2001,  y  expresó  que</w:t>
        <w:br/>
        <w:t>“[u]n estudio de la Procuraduría de los  Derechos  Humanos  […]  ponía  de</w:t>
        <w:br/>
        <w:t>manifiesto que, entre esas víctimas de asesinatos que sufrieron torturas o</w:t>
        <w:br/>
        <w:t>abusos, los actos cometidos por los perpetradores guardaban una  similitud</w:t>
        <w:br/>
        <w:t>general, independientemente de que la víctima fuese hombre o mujer. […] La</w:t>
        <w:br/>
        <w:t>única distinción significativa era que mientras el 15% de los  cuerpos  de</w:t>
        <w:br/>
        <w:t>mujeres mostraban signos de abuso sexual, éstos no se daban en ninguno  de</w:t>
        <w:br/>
        <w:t>los  cuerpos  masculinos”.  Informe  del  Relator   Especial   sobre   las</w:t>
        <w:br/>
        <w:t>ejecuciones extrajudiciales, sumarias o arbitrarias, Philip Alston. Misión</w:t>
        <w:br/>
        <w:t>a Guatemala, UN Doc. A/HRC/4/20/Add.2, 19 de febrero de 2007, párrs. 22  y</w:t>
        <w:br/>
        <w:t>26 (expediente de anexos al escrito de solicitudes y argumentos, anexo 75,</w:t>
        <w:br/>
        <w:t>fs. 10,463 a 10,489). El Procurador de los Derechos Humanos de  Guatemala,</w:t>
        <w:br/>
        <w:t>al señalar una tipología de  muertes  violentas  de  mujeres  (en  que  no</w:t>
        <w:br/>
        <w:t>incluyó asesinatos por  razón  de  género),  indicó  como  “[m]uertes  con</w:t>
        <w:br/>
        <w:t>características   extrajudiciales   o   de   limpieza   social”   aquellas</w:t>
        <w:br/>
        <w:t>“caracteriza[das] porque los cadáveres aparecen con  señales  de  tortura,</w:t>
        <w:br/>
        <w:t>tiro de gracia, ataduras  en  el  cuerpo  y  muestran  un  modus  operandi</w:t>
        <w:br/>
        <w:t>profesional. […] Una característica peculiar es que los  cuerpos  aparecen</w:t>
        <w:br/>
        <w:t>en lugares distintos al de residencia de la  víctima.  Son  cometidas  por</w:t>
        <w:br/>
        <w:t>grupos clandestinos  ilegales  vinculados  directa  o  indirectamente  con</w:t>
        <w:br/>
        <w:t>aparatos del Estado o bandas del crimen  organizado”.  Procurador  de  los</w:t>
        <w:br/>
        <w:t>Derechos Humanos de Guatemala, “Compendio ‘muertes violentas  de  mujeres’</w:t>
        <w:br/>
        <w:t>2003 a 2005”, pág. 22 (expediente de anexos al Informe de Fondo, anexo 36,</w:t>
        <w:br/>
        <w:t>fs. 581 a 718).</w:t>
        <w:br/>
        <w:t>[86]  Amnistía  Internacional,  “Guatemala.  Ni  protección  ni  justicia:</w:t>
        <w:br/>
        <w:t>Homicidios de mujeres en Guatemala”, supra, pág. 8.</w:t>
        <w:br/>
        <w:t>[87] La perita expresó que el Organismo Judicial  de  Guatemala  consideró</w:t>
        <w:br/>
        <w:t>que “este ejercicio de una  violencia  desmedida  previa,  concomitante  o</w:t>
        <w:br/>
        <w:t>posterior a la acción delictiva […] evidencia el  ensañamiento  particular</w:t>
        <w:br/>
        <w:t>contra  el  cuerpo  de  las  mujeres,  lo  cual  constituye  un   elemento</w:t>
        <w:br/>
        <w:t>diferenciador con el homicidio propiamente dicho”.</w:t>
        <w:br/>
        <w:t>[88] Comisión Interamericana de Derechos Humanos, “Quinto Informe sobre la</w:t>
        <w:br/>
        <w:t>Situación de Derechos Humanos en Guatemala”, supra, párr. 41. En cuanto  a</w:t>
        <w:br/>
        <w:t>la edad de las víctimas, la perita María  Eugenia  Solís  García,  por  su</w:t>
        <w:br/>
        <w:t>parte, expresó que “[l]a  mayoría  de  las  víctimas  son  adolescentes  y</w:t>
        <w:br/>
        <w:t>mujeres menores de 40 años”. Cfr. dictamen pericial de María Eugenia Solís</w:t>
        <w:br/>
        <w:t>García, supra.</w:t>
        <w:br/>
        <w:t>[89] Cfr. Procuraduría de los  Derechos  Humanos  de  Guatemala,  “Informe</w:t>
        <w:br/>
        <w:t>Anual Circunstanciado 2001”, Guatemala, enero  de  2002,  págs.  44  a  46</w:t>
        <w:br/>
        <w:t>(expediente de anexos al escrito de solicitudes y argumentos,  anexo  105,</w:t>
        <w:br/>
        <w:t>fs. 10,968 a 11,151). En el documento  se  indica  que  la  discriminación</w:t>
        <w:br/>
        <w:t>“históricamente […] ha excluido [a las mujeres] del usufructo de  derechos</w:t>
        <w:br/>
        <w:t>fundamentales y por ello [sufren] ser víctimas de vejámenes, malos  tratos</w:t>
        <w:br/>
        <w:t>y violencia”. Adicionalmente se ha indicado, como una explicación  posible</w:t>
        <w:br/>
        <w:t>sobre el aumento de homicidios de mujeres en Guatemala, “la existencia  de</w:t>
        <w:br/>
        <w:t>condiciones sociales, económicas y políticas que mantienen a  las  mujeres</w:t>
        <w:br/>
        <w:t>en condición de desigualdad respecto a los hombres”.  Centro  de  Recursos</w:t>
        <w:br/>
        <w:t>para el Análisis de Conflictos  (CERAC),  “Guatemala  en  la  encrucijada.</w:t>
        <w:br/>
        <w:t>Panorama de una violencia transformada”, supra,  pág.  106.  En  el  mismo</w:t>
        <w:br/>
        <w:t>sentido, Amnistía Internacional, en un texto que refiere datos de los años</w:t>
        <w:br/>
        <w:t>2000 a 2003, considera a “la cultura patriarcal como una causa  específica</w:t>
        <w:br/>
        <w:t>[del] fenómeno [de la violencia]” en Guatemala. El texto explica que “[e]l</w:t>
        <w:br/>
        <w:t>sistema patriarcal que se construye bajo un  patrón  de  un  ejercicio  de</w:t>
        <w:br/>
        <w:t>poder y una dominación mayoritariamente masculina, coloca  a  las  mujeres</w:t>
        <w:br/>
        <w:t>con  mucha  facilidad  en  una  posición  de   vulnerabilidad”.   Amnistía</w:t>
        <w:br/>
        <w:t>Internacional, “Informe de crímenes contra mujeres en  Guatemala”,  agosto</w:t>
        <w:br/>
        <w:t>de 2004, págs. 11 y 13 (expediente de anexos al escrito de  solicitudes  y</w:t>
        <w:br/>
        <w:t>argumentos, anexo 52, fs. 5,512 a 5,525).</w:t>
        <w:br/>
        <w:t>[90]  Afirmó  que  “manifestaciones  de  violencia  [contra  las  mujeres]</w:t>
        <w:br/>
        <w:t>evidencian las  relaciones  históricamente  asimétricas  entre  mujeres  y</w:t>
        <w:br/>
        <w:t>hombres [p]roducto de una organización social estructurada sobre  la  base</w:t>
        <w:br/>
        <w:t>de la desigualdad, la opresión y la discriminación  contra  las  mujeres”.</w:t>
        <w:br/>
        <w:t>Órgano de Coordinación de la Prevención, el Castigo y la  Erradicación  de</w:t>
        <w:br/>
        <w:t>la Violencia Familiar y la Violencia contra la Mujer (CONAPREVI),  PLANOVI</w:t>
        <w:br/>
        <w:t>2004-2014: Plan Nacional de Prevención  y  Erradicación  de  la  Violencia</w:t>
        <w:br/>
        <w:t>Intrafamiliar y contra las Mujeres, supra, pág. 6.</w:t>
        <w:br/>
        <w:t>[91] Esto no implica tener como demostrado que el crecimiento numérico  de</w:t>
        <w:br/>
        <w:t>homicidios de mujeres se deba,  en  forma  exclusiva  o  principal,  a  la</w:t>
        <w:br/>
        <w:t>violencia en razón de género, ni considerar a los homicidios  por  razones</w:t>
        <w:br/>
        <w:t>de género en Guatemala, en 2001 o  con  posterioridad,  como  un  fenómeno</w:t>
        <w:br/>
        <w:t>generalizado o  en  crecimiento.  En  tal  sentido,  cabe  referir  prueba</w:t>
        <w:br/>
        <w:t>aportada por las  representantes:  un  estudio  indica  que  destacan  dos</w:t>
        <w:br/>
        <w:t>explicaciones sobre el aumento de homicidios de mujeres en Guatemala.  Una</w:t>
        <w:br/>
        <w:t>vinculada  con  “el  clima  generalizado  de  violencia  que   experimenta</w:t>
        <w:br/>
        <w:t>Guatemala, afectando tanto a hombres como mujeres”. La otra, relacionada a</w:t>
        <w:br/>
        <w:t>la desigualdad respecto a los hombres. En el documento se asevera que “[a]</w:t>
        <w:br/>
        <w:t>pesar que ha aumentado notablemente la violencia contra las  mujeres,  los</w:t>
        <w:br/>
        <w:t>datos disponibles no permiten concluir que en Guatemala el  femicidio  sea</w:t>
        <w:br/>
        <w:t>un fenómeno generalizado en el país o que se encuentre en aumento”. Centro</w:t>
        <w:br/>
        <w:t>de Recursos para el Análisis  de  Conflictos  (CERAC),  “Guatemala  en  la</w:t>
        <w:br/>
        <w:t>encrucijada. Panorama de una violencia transformada”, supra, pág. 59.</w:t>
        <w:br/>
        <w:t>[92] La perita Ana Carcedo  Cabañas  indicó  que  “por  los  problemas  ya</w:t>
        <w:br/>
        <w:t>mencionados  de  información  (supra  nota  al  pie  de  página  70),   se</w:t>
        <w:br/>
        <w:t>identificaron el 40% de los homicidios de mujeres como  femicidios,  y  un</w:t>
        <w:br/>
        <w:t>19% más en los que se sospecha que también lo fueron”.  En  este  sentido,</w:t>
        <w:br/>
        <w:t>Amnistía Internacional ha expresado  que  “[e]n  su  informe  de  2003  la</w:t>
        <w:br/>
        <w:t>Procuraduría de los Derechos Humanos afirmó que de una muestra de 61 casos</w:t>
        <w:br/>
        <w:t>examinados con detenimiento, cabía llegar a la conclusión de que 22 de las</w:t>
        <w:br/>
        <w:t>mujeres habían muerto  en  un  contexto  de  violencia  sexual”.  Amnistía</w:t>
        <w:br/>
        <w:t>Internacional,  “Guatemala.  Ni  protección  ni  justicia:  Homicidios  de</w:t>
        <w:br/>
        <w:t>mujeres en Guatemala”, supra, pág. 8. La Corte advierte que lo  dicho  por</w:t>
        <w:br/>
        <w:t>la  perita  Ana   Carcedo   Cabañas   arrojaría   como   conclusión   que,</w:t>
        <w:br/>
        <w:t>estimativamente, un 59% de los homicidios de  mujeres  en  Guatemala  para</w:t>
        <w:br/>
        <w:t>2003 serían cometidos en razón del género de la víctima. De otro lado,  la</w:t>
        <w:br/>
        <w:t>información presentada por Amnistía Internacional, que toma por base datos</w:t>
        <w:br/>
        <w:t>estatales, arrojaría que para el mismo año un 36,06%  de  las  muertes  de</w:t>
        <w:br/>
        <w:t>mujeres estarían asociadas a un contexto de violencia sexual. La Corte, de</w:t>
        <w:br/>
        <w:t>acuerdo a los criterios señalados,  considera  posible  colegir,  en  todo</w:t>
        <w:br/>
        <w:t>caso, que una parte significativa de los homicidios  de  mujeres  en  2003</w:t>
        <w:br/>
        <w:t>fueron cometidos en razón del género de las víctimas.</w:t>
        <w:br/>
        <w:t>[93] Además, en relación con este primer momento, el Tribunal nota que con</w:t>
        <w:br/>
        <w:t>anterioridad  a  diciembre  de  2001,  se  efectuaron  acciones  estatales</w:t>
        <w:br/>
        <w:t>vinculadas a la problemática de la violencia contra mujeres:  en  1996  se</w:t>
        <w:br/>
        <w:t>promulgó  la  Ley  para  Prevenir,  Sancionar  y  Erradicar  la  Violencia</w:t>
        <w:br/>
        <w:t>Intrafamiliar.  Decreto  No.  97-1996,  28   Noviembre   1996,   Guatemala</w:t>
        <w:br/>
        <w:t>(expediente de anexos al escrito de contestación, anexo 20, fs. 14, 172  a</w:t>
        <w:br/>
        <w:t>14, 177). En los años 2000 y 2001 esta fue complementada por reglamentos y</w:t>
        <w:br/>
        <w:t>por la creación del Órgano de Coordinación de la Prevención, el Castigo  y</w:t>
        <w:br/>
        <w:t>la Erradicación de la Violencia Familiar y la Violencia  contra  la  Mujer</w:t>
        <w:br/>
        <w:t>(CONAPREVI). En el año 2000 se creó la Secretaría Presidencial de la Mujer</w:t>
        <w:br/>
        <w:t>(SEPREM), y se estableció, para el período comprendido entre 2001 y  2006,</w:t>
        <w:br/>
        <w:t>una  Política  Nacional  de  Promoción  y  Desarrollo   de   las   Mujeres</w:t>
        <w:br/>
        <w:t>Guatemaltecas y su Plan de Equidad de Oportunidades. Además, en  marzo  de</w:t>
        <w:br/>
        <w:t>1999 se había sancionado la Ley de Dignificación y Promoción  Integral  de</w:t>
        <w:br/>
        <w:t>la Mujer, y en 2001 se adoptó la Ley de Desarrollo Social.  Ambas  normas,</w:t>
        <w:br/>
        <w:t>respectivamente, mediante los Decretos No. 7-99 y No. 42-2001 del Congreso</w:t>
        <w:br/>
        <w:t>de la República. La segunda, en su artículo 16, establece en  la  política</w:t>
        <w:br/>
        <w:t>de “desarrollo social” y  “población”  se  incluirán  medidas  y  acciones</w:t>
        <w:br/>
        <w:t>destinadas a, inter alia, erradicar y sancionar todo  tipo  de  violencia,</w:t>
        <w:br/>
        <w:t>abuso  y  discriminación  individual  y  colectiva  contra   las   mujeres</w:t>
        <w:br/>
        <w:t>observando  los  convenios  y  tratados  Internacionales  ratificados  por</w:t>
        <w:br/>
        <w:t>Guatemala”. Órgano de Coordinación de  la  Prevención,  el  Castigo  y  la</w:t>
        <w:br/>
        <w:t>Erradicación de la Violencia Familiar  y  la  Violencia  contra  la  Mujer</w:t>
        <w:br/>
        <w:t>(CONAPREVI),  “PLANOVI  2004-2014:   Plan   Nacional   de   Prevención   y</w:t>
        <w:br/>
        <w:t>Erradicación de la Violencia Intrafamiliar y contra las  Mujeres”,  supra,</w:t>
        <w:br/>
        <w:t>pág. 12. Al respecto, el Comité de Derechos Humanos de Naciones Unidas, en</w:t>
        <w:br/>
        <w:t>agosto de 2001, “se congratul[ó] de  las  medidas  legislativas  positivas</w:t>
        <w:br/>
        <w:t>adoptadas [por Guatemala] en pro de la mujer y de la creación de  diversos</w:t>
        <w:br/>
        <w:t>órganos destinados a promover y defender los  derechos  de  las  mujeres”.</w:t>
        <w:br/>
        <w:t>Observaciones  finales  del  Comité  de  Derechos  Humanos.  República  de</w:t>
        <w:br/>
        <w:t>Guatemala.  UN  Doc.  CCPR/CO/72/GTM,  27  de  agosto  de  2001,  párr.  6</w:t>
        <w:br/>
        <w:t>(expediente de anexos al escrito de solicitudes y  argumentos,  anexo  61,</w:t>
        <w:br/>
        <w:t>fs. 8339 a 8345). En relación con la CONAPREVI y la SEPREM, es  pertinente</w:t>
        <w:br/>
        <w:t>aclarar lo siguiente: El  Estado  expresó  que  la  CONAPREVI  fue  creada</w:t>
        <w:br/>
        <w:t>mediante los acuerdos  gubernativos  831-2000  y  sus  reformas:  acuerdos</w:t>
        <w:br/>
        <w:t>gubernativos 868-2000 y 417-2003. Su mandato se basa en el artículo 13  de</w:t>
        <w:br/>
        <w:t>la Convención de Belém do Pará y en el artículo 17 de  la  Ley  contra  el</w:t>
        <w:br/>
        <w:t>Femicidio y otras Formas de Violencia contra la Mujer”. No obstante,  pese</w:t>
        <w:br/>
        <w:t>a lo indicado sobre su creación en el año 2000, la CONAPREVI expresó  que”</w:t>
        <w:br/>
        <w:t>[f]ue creada en enero de 2001, como  la  institución  al  más  alto  nivel</w:t>
        <w:br/>
        <w:t>encargada  de  coordinar,  asesorar  e  impulsar  las  políticas  públicas</w:t>
        <w:br/>
        <w:t>relativas a reducir la violencia contra la mujer”. Órgano de  Coordinación</w:t>
        <w:br/>
        <w:t>de la Prevención, el Castigo y la Erradicación de la Violencia Familiar  y</w:t>
        <w:br/>
        <w:t>la Violencia contra la Mujer (CONAPREVI), “Informe de  CONAPREVI  ante  la</w:t>
        <w:br/>
        <w:t>Comisión Presidencial Coordinadora de la Política del Ejecutivo en materia</w:t>
        <w:br/>
        <w:t>de Derechos Humanos –COPREDEH-, en torno al requerimiento de  la  Comisión</w:t>
        <w:br/>
        <w:t>Interamericana, en el caso de Claudina Isabel Velásquez Paiz”, 22 de marzo</w:t>
        <w:br/>
        <w:t>de 2012, pág. 2 (expediente de anexos al escrito de contestación, anexo 9,</w:t>
        <w:br/>
        <w:t>fs. 14,055 a 14,071). La SEPREM fue creada  mediante  Acuerdo  Gubernativo</w:t>
        <w:br/>
        <w:t>200-2000, de 17 de mayo de 2000. De acuerdo a lo expresado por el  Estado,</w:t>
        <w:br/>
        <w:t>esta entidad del Poder Ejecutivo “asesora y  coordina  políticas  públicas</w:t>
        <w:br/>
        <w:t>para promover el desarrollo  integral  de  las  mujeres”.  La  perita  Ana</w:t>
        <w:br/>
        <w:t>Carcedo Cabañas consideró que “existe […] duplicidad de mandatos entre  la</w:t>
        <w:br/>
        <w:t>CONAPREVI y la SEPREM”, y que  tal  “problema”  se  “complejiz[ó]”  cuando</w:t>
        <w:br/>
        <w:t>“[p]osteriormente  la  Presidencia  nombra  una  ‘Comisionada  contra   el</w:t>
        <w:br/>
        <w:t>Femicidio’”. Cfr. Dictamen pericial de Ana Carcedo Cabañas, supra. Pese  a</w:t>
        <w:br/>
        <w:t>todo lo anterior, el Estado expresó, en su escrito de contestación  de  18</w:t>
        <w:br/>
        <w:t>de diciembre de 2012, que “al momento de ocurrir los hechos [del caso,  en</w:t>
        <w:br/>
        <w:t>diciembre de 2001,] no había  legislación  ni  procedimientos  específicos</w:t>
        <w:br/>
        <w:t>para casos de violencia contra la mujer, pero [que para diciembre de 2012]</w:t>
        <w:br/>
        <w:t>si los hay”.</w:t>
        <w:br/>
        <w:t>[94] Misión de Verificación de las Naciones Unidas en Guatemala (MINUGUA),</w:t>
        <w:br/>
        <w:t xml:space="preserve">“Informe Final: Asesoría en Derechos Humanos”, supra. </w:t>
        <w:br/>
        <w:t>[95] Comisión Interamericana de Derechos Humanos “Quinto informe sobre  la</w:t>
        <w:br/>
        <w:t>Situación de los Derechos Humanos en Guatemala”, supra, párr. 19.</w:t>
        <w:br/>
        <w:t>[96] Comisión Interamericana de Derechos Humanos,  “Justicia  e  inclusión</w:t>
        <w:br/>
        <w:t>social: los desafíos de la democracia en Guatemala”, supra, párr. 27.</w:t>
        <w:br/>
        <w:t>[97] Comisión Internacional contra  la  Impunidad  en  Guatemala  (CICIG),</w:t>
        <w:br/>
        <w:t>“Tercer año de labores”, supra, pág. 13.</w:t>
        <w:br/>
        <w:t>[98] Brigadas Internacionales de Paz (PBI), “10 años sin guerra… esperando</w:t>
        <w:br/>
        <w:t>la paz: Estudio de implementación del Acuerdo  sobre  Fortalecimiento  del</w:t>
        <w:br/>
        <w:t>Poder Civil y Función del Ejército en una  Sociedad  Democrática”,  supra,</w:t>
        <w:br/>
        <w:t>pág. 16.</w:t>
        <w:br/>
        <w:t>[99] Impunity Watch, “Reconociendo el pasado: desafíos  para  combatir  la</w:t>
        <w:br/>
        <w:t>impunidad en Guatemala”, supra, pág. 14.</w:t>
        <w:br/>
        <w:t>[100] Comisión Internacional contra la  Impunidad  en  Guatemala  (CICIG),</w:t>
        <w:br/>
        <w:t>“Sexto Informe de labores de la Comisión Internacional contra la Impunidad</w:t>
        <w:br/>
        <w:t>en Guatemala (CICIG), supra, pág. 6.</w:t>
        <w:br/>
        <w:t>[101]  Al respecto, en dicho estudio (infra nota al pie de página 102)  se</w:t>
        <w:br/>
        <w:t>alude a un “informe elaborado por la Comisión de la Mujer del Congreso  de</w:t>
        <w:br/>
        <w:t>la República, citado por Siglo XXI, 24 de abril de 2007”.</w:t>
        <w:br/>
        <w:t>[102] El documento, según señala en su página 17, “se  enfoca  en  el  año</w:t>
        <w:br/>
        <w:t>2005, sin embargo, algunos aspectos son complementados con información  de</w:t>
        <w:br/>
        <w:t>años anteriores y de los años 2006  y  2007.  La  información  cualitativa</w:t>
        <w:br/>
        <w:t>trata de percepciones no sujetas a un  período  delimitado  o  específico,</w:t>
        <w:br/>
        <w:t>sino  que  trasciende  y  revela  prácticas   e   ideas   culturales   más</w:t>
        <w:br/>
        <w:t>permanentes”. Instituto de Estudios  Comparados  en  Ciencias  Penales  de</w:t>
        <w:br/>
        <w:t>Guatemala (ICCPG). “Por ser mujer. Limitantes del sistema de justicia ante</w:t>
        <w:br/>
        <w:t>las  muertes  violentas  de  mujeres  y  víctimas  de  delitos  sexuales”,</w:t>
        <w:br/>
        <w:t>Guatemala, noviembre de 2007, pág. 3 (expediente de anexos al  escrito  de</w:t>
        <w:br/>
        <w:t>solicitudes y argumentos, anexo 74, fs. 9,703 a 10,461).</w:t>
        <w:br/>
        <w:t>[103] La Comisión Interamericana afirmó  que  “[l]as  estadísticas  de  la</w:t>
        <w:br/>
        <w:t>Fiscalía de la Mujer reflejan […]  que  más  de  la  mitad  de  los  casos</w:t>
        <w:br/>
        <w:t>denunciados  en  un  período  reciente  [a  2003]  fueron  archivados  sin</w:t>
        <w:br/>
        <w:t>procesamiento y muy  pocos  llegaron  a  la  etapa  de  juicio”.  Comisión</w:t>
        <w:br/>
        <w:t>Interamericana de Derechos Humanos,  “Justicia  e  inclusión  social:  los</w:t>
        <w:br/>
        <w:t>desafíos de la democracia en Guatemala”, supra, párr. 297. Se ha  indicado</w:t>
        <w:br/>
        <w:t>también, que a partir de  un  informe  de  la  Relatora  Especial  de  las</w:t>
        <w:br/>
        <w:t>Naciones  Unidas  sobre  la  violencia  contra  la  mujer,  sus  causas  y</w:t>
        <w:br/>
        <w:t>consecuencias, surge que la “Fiscalía de la Mujer del ministerio público y</w:t>
        <w:br/>
        <w:t>la sección especial de la P[olicía] N[acional] C[ivil] sostuvieron que  el</w:t>
        <w:br/>
        <w:t>40% de los casos se archivaban  y  no  se  investigaban  jamás”.  Amnistía</w:t>
        <w:br/>
        <w:t>Internacional,  “Guatemala.  Ni  protección  ni  justicia:  Homicidios  de</w:t>
        <w:br/>
        <w:t>mujeres en Guatemala”, supra, pág. 13.</w:t>
        <w:br/>
        <w:t>[104] Comité para la Eliminación de la  Discriminación  contra  la  Mujer.</w:t>
        <w:br/>
        <w:t>Grupo de trabajo anterior al período de sesiones. 35º período de sesiones,</w:t>
        <w:br/>
        <w:t>15 de mayo a 2 de junio de 2006. Respuestas a la  lista  de  cuestiones  y</w:t>
        <w:br/>
        <w:t>preguntas relativas al examen del sexto informe periódico, supra.</w:t>
        <w:br/>
        <w:t>[105] Comisión Interamericana de Derechos Humanos, “Quinto  informe  sobre</w:t>
        <w:br/>
        <w:t>la Situación de los Derechos  Humanos  en  Guatemala”,  supra.  Además  la</w:t>
        <w:br/>
        <w:t>Relatora  Especial  sobre  los  Derechos  de  la  Mujer  de  la   Comisión</w:t>
        <w:br/>
        <w:t>Interamericana  expresó  que  “[u]na  manifestación  grave  del  ciclo  de</w:t>
        <w:br/>
        <w:t>violencia contra la mujer  es  la  impunidad  en  la  cual  quedan  dichas</w:t>
        <w:br/>
        <w:t>violaciones  a  los  derechos  fundamentales  de  la  mujer.   Tanto   las</w:t>
        <w:br/>
        <w:t>autoridades  estatales  como  las  representantes  de  la  sociedad  civil</w:t>
        <w:br/>
        <w:t>expresaron reiteradamente […] que la  administración  de  justicia  no  ha</w:t>
        <w:br/>
        <w:t>respondido  eficazmente  a  estos  crímenes  […].  La  delegación  [de  la</w:t>
        <w:br/>
        <w:t>Relatoría…] consta[tó], mediante las  visitas  a  la  PNC,  al  Ministerio</w:t>
        <w:br/>
        <w:t>Público (Fiscalía de la Mujer, Oficina de Atención a  la  Víctima),  a  la</w:t>
        <w:br/>
        <w:t>morgue y al organismo judicial, […] que  al  final,  no  se  encuentra  la</w:t>
        <w:br/>
        <w:t>justicia a la que se tiene derecho”. Comisión Interamericana  de  Derechos</w:t>
        <w:br/>
        <w:t>Humanos, Comunicado de prensa 20/04, “La  Relatora  Especial  de  la  CIDH</w:t>
        <w:br/>
        <w:t>evalúa la Vigencia del Derecho de la Mujer Guatemalteca a Vivir  Libre  de</w:t>
        <w:br/>
        <w:t>Violencia  y  Discriminación”,  supra,  párr.  17.  El  Comité   para   la</w:t>
        <w:br/>
        <w:t>Eliminación de todas las Formas  de  Discriminación  contra  la  Mujer  de</w:t>
        <w:br/>
        <w:t>Naciones Unidas expresó en 2006  su  “preocupa[ción]”  por  “la  arraigada</w:t>
        <w:br/>
        <w:t>cultura de impunidad para” delitos de “desaparición, violación, tortura  y</w:t>
        <w:br/>
        <w:t>asesinato” de mujeres. Comité para la  Eliminación  de  la  Discriminación</w:t>
        <w:br/>
        <w:t>contra la Mujer, 35º período de sesiones, 15 de mayo a 2 de junio de 2006,</w:t>
        <w:br/>
        <w:t>supra, párr. 23.</w:t>
        <w:br/>
        <w:t>[106] Misión Internacional de Investigación, “El  femicidio  en  México  y</w:t>
        <w:br/>
        <w:t>Guatemala”, supra.</w:t>
        <w:br/>
        <w:t>[107] Según el  Centro  Nacional  de  Análisis  y  Documentación  Judicial</w:t>
        <w:br/>
        <w:t>(CENADOJ), en 2005 ingresaron 488 casos de muerte violenta  de  mujeres  y</w:t>
        <w:br/>
        <w:t>niñas, se emitieron 65 sentencias y en 46 se emitió una condena.  En  2006</w:t>
        <w:br/>
        <w:t>ingresaron 482 casos, se emitieron 70 sentencias,  de  las  que  la  mitad</w:t>
        <w:br/>
        <w:t>fueron condenatorias. En 2009 ingresaron  635  casos  y  se  emitieron  82</w:t>
        <w:br/>
        <w:t>sentencias, siendo 44  de  ellas  condenatorias.  Por  otra  parte,  entre</w:t>
        <w:br/>
        <w:t>septiembre de 2008, cuando entró en  vigor  la  Ley  contra  el  Femicidio</w:t>
        <w:br/>
        <w:t>(supra nota al pie de página 68), y  marzo  de  2012,  ingresaron  en  los</w:t>
        <w:br/>
        <w:t>órganos jurisdiccionales ordinarios del ramo penal 69,909  casos  por  los</w:t>
        <w:br/>
        <w:t>delitos contemplados en esa Ley (femicidio, violencia contra las mujeres y</w:t>
        <w:br/>
        <w:t>violencia económica). En el mismo período se emitieron 772 sentencias  por</w:t>
        <w:br/>
        <w:t>tales delitos; es decir, una proporción equivalente al 1,10%. Cfr.  Centro</w:t>
        <w:br/>
        <w:t>Nacional  de  Análisis  y  Documentación  Judicial  (CENADOJ),   Área   de</w:t>
        <w:br/>
        <w:t>Documentación y  Estadística  Judicial,  Informe  de  casos  ingresados  y</w:t>
        <w:br/>
        <w:t>sentencias dictadas por  los  órganos  jurisdiccionales  del  ramo  penal,</w:t>
        <w:br/>
        <w:t>Cuadros de casos ingresados por delitos contemplados en la Ley  contra  el</w:t>
        <w:br/>
        <w:t>Femicidio, correspondientes a 2008 -2010, 2011 y enero  a  marzo  de  2012</w:t>
        <w:br/>
        <w:t>(expediente de anexos al escrito de solicitudes y argumentos,  anexos  88,</w:t>
        <w:br/>
        <w:t>89 y 90, fs. 10,760  a  10,763,  10,765  y  10,766,  y  10,768  y  10,769,</w:t>
        <w:br/>
        <w:t>respectivamente). Sin perjuicio de lo anterior,  debe  destacarse  que  de</w:t>
        <w:br/>
        <w:t>acuerdo a datos  presentados  por  el  Estado  en  su  contestación  y  no</w:t>
        <w:br/>
        <w:t>controvertidos, entre 2011 y 2012 hubo una disminución de  “denuncias  [o]</w:t>
        <w:br/>
        <w:t>acusaciones” sobre delitos sexuales contra mujeres  y,  paralelamente,  un</w:t>
        <w:br/>
        <w:t>aumento de sentencias respecto a tales casos pasando de 227  a  268.  Cfr.</w:t>
        <w:br/>
        <w:t>“Tabla de  procesos  en  delitos  sexuales,  mujeres  y  niños  2011-2012”</w:t>
        <w:br/>
        <w:t>(expediente de anexos a la contestación, anexo 7, f. 14,013). En el último</w:t>
        <w:br/>
        <w:t>documento citado, el Estado presentó, además, datos  sobre  acusaciones  y</w:t>
        <w:br/>
        <w:t>sentencias en “materia sexual” referida a “niñas [y] niños”, señalando que</w:t>
        <w:br/>
        <w:t>en 2011 hubo 523 “acusaciones” y 302 sentencias, y  que  en  el  curso  de</w:t>
        <w:br/>
        <w:t>2012, hasta el 18 de diciembre de ese  año  (fecha  de  la  contestación),</w:t>
        <w:br/>
        <w:t>dichas cifras fueron 499 y 305, respectivamente.</w:t>
        <w:br/>
        <w:t>[108] En forma coincidente se expresó el perito José Mario  Nájera  Ochoa,</w:t>
        <w:br/>
        <w:t>así como la perita María Eugenia Solís García. Cfr.  Declaración  pericial</w:t>
        <w:br/>
        <w:t>rendida por José Mario Nájera Ochoa mediante affidávit de 23 de  abril  de</w:t>
        <w:br/>
        <w:t>2013 (expediente de  excepciones  preliminares,  fondo  y  reparaciones  y</w:t>
        <w:br/>
        <w:t>costas, fs. 873 a 878), y dictamen pericial de María Eugenia Solís García,</w:t>
        <w:br/>
        <w:t>supra, respectivamente.</w:t>
        <w:br/>
        <w:t>[109] En el mismo sentido se  pronunció  la  perita  María  Eugenia  Solís</w:t>
        <w:br/>
        <w:t>García. Cfr. Dictamen pericial de María Eugenia Solís  García,  supra.  El</w:t>
        <w:br/>
        <w:t>perito José Mario Nájera  Ochoa,  por  su  parte,  indicó  que  “[n]o  hay</w:t>
        <w:br/>
        <w:t>protocolos específicos para el levantamiento de cadáveres de  mujeres,  se</w:t>
        <w:br/>
        <w:t>hace con instrucciones generales que se utilizan tanto para  mujeres  como</w:t>
        <w:br/>
        <w:t>para hombres, únicamente se agrega que le efectúen hisopados,  raspado  de</w:t>
        <w:br/>
        <w:t>uñas y determinación de embarazo. Esto es importante en razón  de  que  la</w:t>
        <w:br/>
        <w:t>muerte violenta de mujeres  reviste  […]  aspectos  especiales  que  deben</w:t>
        <w:br/>
        <w:t>tomarse en cuenta en el procesamiento  de  la  escena”.  Cfr.  Declaración</w:t>
        <w:br/>
        <w:t>pericial rendida por José Mario Nájera Ochoa, supra.</w:t>
        <w:br/>
        <w:t>[110] De acuerdo a la prueba, el Estado remitió dos expedientes  relativos</w:t>
        <w:br/>
        <w:t>al trámite de la investigación ante  el  Ministerio  Público  y  sobre  el</w:t>
        <w:br/>
        <w:t>trámite  seguido  ante  Juzgado  Primero  de  Primera   Instancia   Penal,</w:t>
        <w:br/>
        <w:t>Narcoactividad y Delitos contra el Ambiente del Municipio  de  Mixco.  Sin</w:t>
        <w:br/>
        <w:t>embargo, para efectos del examen de las diligencias  se  han  descrito  en</w:t>
        <w:br/>
        <w:t>forma conjunta.</w:t>
        <w:br/>
        <w:t>[111] Cfr. Certificado de nacimiento de María Isabel Veliz Franco expedido</w:t>
        <w:br/>
        <w:t>el 24 de enero de 1986 por el Registro Nacional  de  las  Personas  de  la</w:t>
        <w:br/>
        <w:t>República de Guatemala (expediente de anexos al escrito de  solicitudes  y</w:t>
        <w:br/>
        <w:t>argumentos, tomo I, anexo 1, fs. 5,294 a 5,295).</w:t>
        <w:br/>
        <w:t>[112] Cfr. Documento de identificación  personal  de  Rosa  Elvira  Franco</w:t>
        <w:br/>
        <w:t>Sandoval (expediente de anexos al escrito  de  solicitudes  y  argumentos,</w:t>
        <w:br/>
        <w:t>tomo I, anexo 2, f. 5,297).</w:t>
        <w:br/>
        <w:t>[113] Cfr. Certificado  de  nacimiento  de  Leonel  Enrique  Veliz  Franco</w:t>
        <w:br/>
        <w:t>expedido el 10 de julio de 1987 por el Registro Nacional de  las  Personas</w:t>
        <w:br/>
        <w:t>de  la  República  de  Guatemala  (expediente  de  anexos  al  escrito  de</w:t>
        <w:br/>
        <w:t>solicitudes y argumentos, tomo I, anexo 3, fs. 5,299 a 5,300).</w:t>
        <w:br/>
        <w:t>[114] Cfr. Certificado de nacimiento de José Roberto Franco, expedido el 4</w:t>
        <w:br/>
        <w:t>de agosto de 1992 por el Registro Nacional de las Personas de la República</w:t>
        <w:br/>
        <w:t>de Guatemala (expediente de anexos al escrito de solicitudes y argumentos,</w:t>
        <w:br/>
        <w:t>tomo I, anexo 4, f. 5,302).</w:t>
        <w:br/>
        <w:t>[115] Cfr. Certificado  de  defunción  de  Cruz  Elvira  Sandoval  Polanco</w:t>
        <w:br/>
        <w:t>expedido por el Registro Nacional de  las  Personas  de  la  República  de</w:t>
        <w:br/>
        <w:t>Guatemala el 25 de febrero de 2011 (expediente de  anexos  al  escrito  de</w:t>
        <w:br/>
        <w:t>solicitudes y argumentos, tomo I, anexo 5, fs. 5,304 a 5,305).</w:t>
        <w:br/>
        <w:t>[116] Cfr. Certificado de defunción de Roberto Franco Pérez  expedido  por</w:t>
        <w:br/>
        <w:t>el Registro Nacional de las Personas de la República de Guatemala el 21 de</w:t>
        <w:br/>
        <w:t>junio  de  2004  (expediente  de  anexos  al  escrito  de  solicitudes   y</w:t>
        <w:br/>
        <w:t>argumentos, tomo XI, anexo 6, fs. 5,307 a 5,308).</w:t>
        <w:br/>
        <w:t>[117] Cfr. Denuncia de desaparición de María Isabel  presentada  por  Rosa</w:t>
        <w:br/>
        <w:t>Elvira Franco Sandoval ante el Servicio de Investigación Criminal, Sección</w:t>
        <w:br/>
        <w:t>de Menores y Desaparecidos, Policía Nacional Civil de Guatemala el  17  de</w:t>
        <w:br/>
        <w:t>diciembre de 2001 (expediente de anexos al Informe de Fondo, anexo  1,  f.</w:t>
        <w:br/>
        <w:t>55).</w:t>
        <w:br/>
        <w:t>[118] Cfr. Denuncia de desaparición de María  Isabel  presentada  por</w:t>
        <w:br/>
        <w:t>Rosa Elvira Franco Sandoval, supra.</w:t>
        <w:br/>
        <w:t>[119] Cfr. Informe  de  la  Sección  contra  Homicidios  del  Servicio  de</w:t>
        <w:br/>
        <w:t>Investigación Criminal de la Policía Nacional Civil de 21  de  febrero  de</w:t>
        <w:br/>
        <w:t>2002 (expediente de anexos al Informe de Fondo, anexo 16, fs. 105 a 110).</w:t>
        <w:br/>
        <w:t>[120] Cfr. Ampliación de declaración y  ratificación  de  denuncia  de  la</w:t>
        <w:br/>
        <w:t>señora Rosa Elvira Franco Sandoval ante  la  Agencia  Fiscal  No.  32  del</w:t>
        <w:br/>
        <w:t>Ministerio Público de Guatemala de 14 de  enero  de  2002  (expediente  de</w:t>
        <w:br/>
        <w:t>anexos al Informe de Fondo, anexo 7, fs. 75 a 82).</w:t>
        <w:br/>
        <w:t>[121] Cfr. Declaración de  Rosa  Elvira  Franco  Sandoval  rendida  en  la</w:t>
        <w:br/>
        <w:t>audiencia pública celebrada ante la Corte el 15 de mayo de 2013.</w:t>
        <w:br/>
        <w:t>[122] Cfr. Oficio No. 1,131-2,001 emitido por el Jefe de  la  Sub-estación</w:t>
        <w:br/>
        <w:t>1651 de  la  Policía  Nacional  Civil  dirigido  al  Auxiliar  Fiscal  del</w:t>
        <w:br/>
        <w:t>Ministerio Público del Municipio de Mixco  de  18  de  diciembre  de  2001</w:t>
        <w:br/>
        <w:t>(expediente de anexos al Informe de Fondo, anexo 2, f. 57). Si bien no  se</w:t>
        <w:br/>
        <w:t>desprende de las pruebas un documento específico donde conste  la  primera</w:t>
        <w:br/>
        <w:t>llamada, no hay controversia entre el Estado y las representantes sobre la</w:t>
        <w:br/>
        <w:t>recepción de la misma. Surge de las pruebas  el  oficio  1,131-2,001,  del</w:t>
        <w:br/>
        <w:t>cual se desprende  la  comunicación  realizada  a  la  Planta  Central  de</w:t>
        <w:br/>
        <w:t>Transmisiones de la Comisaría 16 sobre el hallazgo del cuerpo.  Además  en</w:t>
        <w:br/>
        <w:t>la audiencia pública tanto las representantes como el Estado hacen alusión</w:t>
        <w:br/>
        <w:t>a la primera llamada que alerta a las autoridades sobre la  existencia  de</w:t>
        <w:br/>
        <w:t>un cadáver. Cabe señalar, en relación a esta primera llamada anónima,  que</w:t>
        <w:br/>
        <w:t>en su Informe de Fondo, la Comisión manifestó que  “no  se  desprende  del</w:t>
        <w:br/>
        <w:t>expediente cómo es que las autoridades llegaron al lugar en donde se halló</w:t>
        <w:br/>
        <w:t>el cadáver, específicamente sobre como la Planta Central de  Transmisiones</w:t>
        <w:br/>
        <w:t>de la Comisaría 16 se entera del hallazgo”. Informe de  Fondo,  supra,  f.</w:t>
        <w:br/>
        <w:t>33.</w:t>
        <w:br/>
        <w:t>[123] Cfr. Oficio No. 1,131-2,001, supra.</w:t>
        <w:br/>
        <w:t>[124] Cfr. Acta de levantamiento de cadáver por la Auxiliar Fiscal I de la</w:t>
        <w:br/>
        <w:t>Agencia No. 5 de Mixco de 18 de diciembre de 2001 (expediente de anexos al</w:t>
        <w:br/>
        <w:t>Informe de Fondo, anexo 3, fs. 59 y 60); Oficio No. 1,131-2,001, supra,  e</w:t>
        <w:br/>
        <w:t>Inspección ocular emitida  por  técnico  de  la  Sección  de  Inspecciones</w:t>
        <w:br/>
        <w:t>Oculares del Servicio de Investigación Criminal  de  la  Policía  Nacional</w:t>
        <w:br/>
        <w:t>Civil de 18 de diciembre de 2001  (expediente  de  anexos  al  Informe  de</w:t>
        <w:br/>
        <w:t>Fondo, anexo 5, fs. 70 y 71).</w:t>
        <w:br/>
        <w:t>[125] Cfr. Ampliación de declaración y  ratificación  de  denuncia  de  la</w:t>
        <w:br/>
        <w:t>señora Rosa Elvira Franco Sandoval, supra.</w:t>
        <w:br/>
        <w:t>[126] Cfr. Escrito de Rosa  Elvira  Franco  Sandoval  dirigido  al  Fiscal</w:t>
        <w:br/>
        <w:t>General y Jefe del Ministerio Público de 28 de agosto del 2004 (expediente</w:t>
        <w:br/>
        <w:t>ante la Comisión, expediente judicial I parte, fs. 2,869 al 2,872).</w:t>
        <w:br/>
        <w:t>[127] Cfr. Oficio No. 1,131-2,001, supra. En relación a la toalla verde  y</w:t>
        <w:br/>
        <w:t>a la toalla negra que aparecieron con el cuerpo hallado, se desprende  del</w:t>
        <w:br/>
        <w:t>expediente una confusión al mencionar posteriormente una toalla azul, pese</w:t>
        <w:br/>
        <w:t>a ello, las partes no han controvertido que se trate de una toalla verde y</w:t>
        <w:br/>
        <w:t>una toalla negra. Ver también, Dictamen No. BIOL-01-15-12 de la Sección de</w:t>
        <w:br/>
        <w:t>biología de la Dirección de Investigaciones Criminalísticas de 7 de  enero</w:t>
        <w:br/>
        <w:t>de 2002 (expediente de anexos al Informe de Fondo,  anexo  14,  fs.  99  a</w:t>
        <w:br/>
        <w:t>101), y Dictamen de la Técnica en Investigaciones Criminalísticas I de  29</w:t>
        <w:br/>
        <w:t>de diciembre de 2001 (expediente de anexos al Informe de Fondo, anexo  13,</w:t>
        <w:br/>
        <w:t>fs. 96 y 97).</w:t>
        <w:br/>
        <w:t>[128]  Cfr. Acta de levantamiento de cadáver por la Auxiliar Fiscal  I  de</w:t>
        <w:br/>
        <w:t>la Agencia No. 5 de Mixco, supra; Ficha de remisión de  cadáver  de  María</w:t>
        <w:br/>
        <w:t>Isabel Veliz Franco dirigida por la Auxiliar Fiscal I de la Agencia No.  5</w:t>
        <w:br/>
        <w:t>de Mixco al médico forense para la necropsia de 18 de  diciembre  de  2001</w:t>
        <w:br/>
        <w:t>(expediente de anexos al  Informe  de  Fondo,  anexo  4,  fs.  66  a  67);</w:t>
        <w:br/>
        <w:t>Inspección ocular emitida  por  técnico  de  la  Sección  de  Inspecciones</w:t>
        <w:br/>
        <w:t>Oculares del Servicio de Investigación Criminal  de  la  Policía  Nacional</w:t>
        <w:br/>
        <w:t>Civil, supra, y Certificación médica de defunción de  María  Isabel  Veliz</w:t>
        <w:br/>
        <w:t>Franco de 18 de diciembre de 2001 (expediente  de  anexos  al  escrito  de</w:t>
        <w:br/>
        <w:t>solicitudes y argumentos, tomo I, anexo 9, f. 5,321).</w:t>
        <w:br/>
        <w:t>[129] Cfr. Informe sobre averiguación del fallecimiento de 18 de diciembre</w:t>
        <w:br/>
        <w:t>de 2001 (expediente de anexos al Informe de Fondo, anexo 4, fs. 63 a  65).</w:t>
        <w:br/>
        <w:t>Con respecto al aviso  que  según  su  manifestación  se  le  hizo  a  los</w:t>
        <w:br/>
        <w:t>bomberos, no consta en el expediente la presencia de  bomberos  en  ningún</w:t>
        <w:br/>
        <w:t>momento.</w:t>
        <w:br/>
        <w:t>[130] Cfr. Informe sobre averiguación del fallecimiento, supra.</w:t>
        <w:br/>
        <w:t>[131] Cfr. Informe sobre averiguación del fallecimiento, supra.</w:t>
        <w:br/>
        <w:t>[132] Cfr. Informe  de  la  Sección  contra  Homicidios  del  Servicio  de</w:t>
        <w:br/>
        <w:t>Investigación Criminal de la Policía Nacional Civil, supra.</w:t>
        <w:br/>
        <w:t>[133] Cfr. Certificación médica de defunción de María Isabel Veliz Franco,</w:t>
        <w:br/>
        <w:t>supra.</w:t>
        <w:br/>
        <w:t>[134] Cfr. Informe del Sistema  110  de  Información  Confidencial  de  la</w:t>
        <w:br/>
        <w:t>Policía Nacional Civil de 18 de diciembre de 2001 (expediente de anexos al</w:t>
        <w:br/>
        <w:t>Informe de Fondo, anexo 6, f.  73).  Según  se  desprende  de  los  anexos</w:t>
        <w:br/>
        <w:t>presentados por el Estado “un informe de la PNC al sistema 110 recibió una</w:t>
        <w:br/>
        <w:t>llamada  de  un  informante  anónimo.  El  número  110  es  el  número  de</w:t>
        <w:br/>
        <w:t>emergencias y denuncias de la PNC, funciona las 24 horas del  día  durante</w:t>
        <w:br/>
        <w:t>todo el año. De acuerdo a la primera llamada que  recibió  la  PNC,  y  la</w:t>
        <w:br/>
        <w:t>segunda que recibió el sistema 110, no coinciden las direcciones del lugar</w:t>
        <w:br/>
        <w:t>donde se encontró el cadáver. En la  primera  llamada  anónima  se  da  la</w:t>
        <w:br/>
        <w:t>siguiente dirección: 21 avenida, frente a  4-48,  zona  8  de  Mixco,  San</w:t>
        <w:br/>
        <w:t>Cristobal II. De acuerdo a lo que se desprende de la segunda  llamada,  la</w:t>
        <w:br/>
        <w:t>dirección que se  recibió  fue:  en  la  6ta  calle  5-24,  Colonia  Nueva</w:t>
        <w:br/>
        <w:t>Monserrat, zona 7.</w:t>
        <w:br/>
        <w:t>[135] Cfr. Informe  de  la  Sección  contra  Homicidios  del  Servicio  de</w:t>
        <w:br/>
        <w:t>Investigación Criminal de la Policía Nacional Civil, supra.</w:t>
        <w:br/>
        <w:t>[136] Cfr. Oficio No. 2727-01/SIC emitido por el Auxiliar  del  Ministerio</w:t>
        <w:br/>
        <w:t>Público dirigido a la Dirección  de  Investigaciones  Criminalísticas  del</w:t>
        <w:br/>
        <w:t>Ministerio Público de 19 de diciembre de 2001  (expediente  de  anexos  al</w:t>
        <w:br/>
        <w:t>Informe de Fondo, anexo 12, f. 94).</w:t>
        <w:br/>
        <w:t>[137] Cfr. Oficio emitido por el Juzgado Octavo  de  Guatemala  de  11  de</w:t>
        <w:br/>
        <w:t>marzo de 2002 (expediente de anexos al Informe de Fondo, anexo 18, fs. 114</w:t>
        <w:br/>
        <w:t>y 115).</w:t>
        <w:br/>
        <w:t>[138]  Cfr.  Oficio  C-105-2002/6º  emitido  por  el  Juzgado  de  Primera</w:t>
        <w:br/>
        <w:t>Instancia de Mixco de 26 de marzo de  2002  (expediente  de  anexos  a  la</w:t>
        <w:br/>
        <w:t>contestación, anexo 2, fs. 12,864 a 12,868).</w:t>
        <w:br/>
        <w:t>[139] Cfr. Oficio del Agente Fiscal de  la  Agencia  No.  32  dirigido  al</w:t>
        <w:br/>
        <w:t>Fiscal Distrital Adjunto de la Fiscalía Municipal de Mixco, de 17 de  mayo</w:t>
        <w:br/>
        <w:t>de 2002 (expediente de anexos al escrito de solicitudes y argumentos, tomo</w:t>
        <w:br/>
        <w:t>I, Anexo 15, fs. 5,351 y 5,352).</w:t>
        <w:br/>
        <w:t>[140] Cfr. Oficio REF. M.P. 7897-01 C 105-02-of6° emitido  por  el  Agente</w:t>
        <w:br/>
        <w:t>Fiscal de la Agencia No. 5 Mixco de 11 de marzo  de  2002  (expediente  de</w:t>
        <w:br/>
        <w:t>anexos a la contestación, anexo 2, fs. 12,878 a 12,890).</w:t>
        <w:br/>
        <w:t>[141] Cfr. Oficio emitido  por  el  Juzgado  Primero  de  Mixco  de  2  de</w:t>
        <w:br/>
        <w:t>septiembre de 2002 (expediente de anexos al Informe de  Fondo,  anexo  20,</w:t>
        <w:br/>
        <w:t>fs. 122 y 123). Cabe señalar que un agente de la Fiscalía de Mixco dirigió</w:t>
        <w:br/>
        <w:t>un oficio con fecha 16 de septiembre de 2002  al  Subsecretario  Ejecutivo</w:t>
        <w:br/>
        <w:t>del Ministerio Público indicando que había recibido el expediente el 3  de</w:t>
        <w:br/>
        <w:t>junio de 2002, pero que no se había continuado con la investigación en  la</w:t>
        <w:br/>
        <w:t>Fiscalía debido a que recibió instrucciones de su superior jerárquico para</w:t>
        <w:br/>
        <w:t>no continuar con ésta, ya que no les correspondía. Señaló que una vez  que</w:t>
        <w:br/>
        <w:t>el  Juez  resolviera  la  declinatoria  de  competencia  se  enviaría   el</w:t>
        <w:br/>
        <w:t>expediente a la Agencia No. 5 de Mixco. De igual manera señaló que  se  le</w:t>
        <w:br/>
        <w:t>llamó la atención por atender a  la  madre  de  la  víctima.  Cfr.  Oficio</w:t>
        <w:br/>
        <w:t>emitido por  agente  de  la  Fiscalía  de  Mixco  para  el  Sub-Secretario</w:t>
        <w:br/>
        <w:t>Ejecutivo del Ministerio Público de 16 de septiembre de  2002  (expediente</w:t>
        <w:br/>
        <w:t>de anexos al Informe de Fondo, anexo 19, fs. 117 a 120).</w:t>
        <w:br/>
        <w:t>[142] Cfr. Oficio emitido por el Juzgado Octavo  de  Guatemala  de  25  de</w:t>
        <w:br/>
        <w:t>septiembre de 2002 (expediente de anexos al Informe de  Fondo,  anexo  21,</w:t>
        <w:br/>
        <w:t>fs. 125 y 126).</w:t>
        <w:br/>
        <w:t>[143] Cfr. Resolución Duda de competencia No. 93-2002 emitida por la Corte</w:t>
        <w:br/>
        <w:t>Suprema de Justicia Cámara Penal el 21 de noviembre de 2002 (expediente de</w:t>
        <w:br/>
        <w:t>anexos al Informe de Fondo, anexo 22, fs. 129 a 132).</w:t>
        <w:br/>
        <w:t>[144] Cfr. Informe del técnico en investigaciones criminalísticas dirigido</w:t>
        <w:br/>
        <w:t>a la Agencia Fiscal No. 32  de  Guatemala  de  3  de  diciembre  del  2002</w:t>
        <w:br/>
        <w:t>(expediente de anexos al escrito de  solicitudes  y  argumentos,  tomo  I,</w:t>
        <w:br/>
        <w:t>anexo 18, f. 5,378).</w:t>
        <w:br/>
        <w:t>[145]  Cfr.  Informe  de  los  técnicos  en  investigación  criminalística</w:t>
        <w:br/>
        <w:t>dirigido a la Agencia Fiscal No. 32 de Guatemala de 20 de febrero de  2002</w:t>
        <w:br/>
        <w:t>(expediente ante la Comisión, expediente judicial I  parte,  fs.  2,805  a</w:t>
        <w:br/>
        <w:t>2,810).</w:t>
        <w:br/>
        <w:t>[146]  Cfr. Oficio 3.18.01/3 emitido por el Agente Fiscal  de  la  Agencia</w:t>
        <w:br/>
        <w:t>No. 32 de Guatemala de 3 de marzo de  2002  (expediente  de  anexos  a  la</w:t>
        <w:br/>
        <w:t>contestación, anexo 2, fs. 12,856 a 12,860).</w:t>
        <w:br/>
        <w:t>[147]  Cfr.  Solicitud   judicial   dirigida   al   Gerente   General   de</w:t>
        <w:br/>
        <w:t>Telecomunicaciones de Guatemala S.A. de 1 de abril de 2002 (expediente  de</w:t>
        <w:br/>
        <w:t>anexos al Informe de Fondo, anexo 24, fs. 139  y  140),  y  Oficio  C-105-</w:t>
        <w:br/>
        <w:t>2002/6º emitido por el Juzgado de Primera Instancia de Mixco, supra.</w:t>
        <w:br/>
        <w:t>[148] Cfr. Informe del desplegado de llamadas proporcionado por Telgua  de</w:t>
        <w:br/>
        <w:t>8 de junio de 2005 (expediente de anexos al Informe de  Fondo,  anexo  27,</w:t>
        <w:br/>
        <w:t>fs.  148  a  149),  y  Solicitud  de  investigación  a  la  Dirección   de</w:t>
        <w:br/>
        <w:t>Investigaciones Criminalísticas de 20 de junio de 2005 (expediente ante la</w:t>
        <w:br/>
        <w:t>Comisión, expediente judicial I parte, fs. 2,843 a 2,846).</w:t>
        <w:br/>
        <w:t>[149] Cfr. Informe  de  la  Sección  contra  Homicidios  del  Servicio  de</w:t>
        <w:br/>
        <w:t>Investigación Criminal de la Policía Nacional Civil, supra.</w:t>
        <w:br/>
        <w:t>[150] Cfr. Informe  de  la  Sección  contra  Homicidios  del  Servicio  de</w:t>
        <w:br/>
        <w:t>Investigación Criminal de la Policía Nacional Civil, supra, y Solicitud de</w:t>
        <w:br/>
        <w:t>autorización para diligencia de allanamiento emitida el  26  de  junio  de</w:t>
        <w:br/>
        <w:t>2006 (expediente de anexos al escrito de solicitudes y argumentos, tomo I,</w:t>
        <w:br/>
        <w:t>anexo 20, f. 5,383).</w:t>
        <w:br/>
        <w:t>[151] Cfr. Dictamen de la Auxiliar Fiscal I de la Agencia No. 5  de  Mixco</w:t>
        <w:br/>
        <w:t>de 8 de julio de 2003 (expediente de anexos al Informe de Fondo, anexo 17,</w:t>
        <w:br/>
        <w:t>f. 112), y Resolución del Juzgado de Primera Instancia de Mixco  de  8  de</w:t>
        <w:br/>
        <w:t>octubre de  2009  (expediente  de  anexos  al  escrito  de  solicitudes  y</w:t>
        <w:br/>
        <w:t>argumentos, tomo I, anexo 27, f. 5,411).</w:t>
        <w:br/>
        <w:t>[152] Cfr. Informe del desplegado de llamadas  proporcionado  por  Telgua,</w:t>
        <w:br/>
        <w:t>supra; Solicitud  de  investigación  a  la  Dirección  de  Investigaciones</w:t>
        <w:br/>
        <w:t>Criminalísticas, supra, y Oficio de la Fiscal de Distrito del municipio de</w:t>
        <w:br/>
        <w:t>Mixco de 5  de  agosto  de  2005  (expediente  de  anexos  al  escrito  de</w:t>
        <w:br/>
        <w:t>solicitudes y argumentos, tomo I, anexo 24, f. 5,405).</w:t>
        <w:br/>
        <w:t>[153] Cfr. Dictamen de la Técnica en  Investigaciones  Criminalísticas  I,</w:t>
        <w:br/>
        <w:t>supra.</w:t>
        <w:br/>
        <w:t>[154] Según el dictamen presentado, los análisis practicados a la ropa  de</w:t>
        <w:br/>
        <w:t>María Isabel consistieron en pruebas  de  fenolftaleína,  prueba  para  la</w:t>
        <w:br/>
        <w:t>determinación del origen de la especie, prueba de determinación del  grupo</w:t>
        <w:br/>
        <w:t>sanguíneo en  sangre  seca,  pruebas  orientativas  de  luminiscencia  con</w:t>
        <w:br/>
        <w:t>lámpara UV y Fosfatasa Acida, y prueba de detección de la proteína seminal</w:t>
        <w:br/>
        <w:t>P-30.</w:t>
        <w:br/>
        <w:t>[155] Cfr. Dictamen No. BIOL-01-1512 de  la  Sección  de  Biología  de  la</w:t>
        <w:br/>
        <w:t>Dirección de  Investigaciones  Criminalísticas  de  4  de  enero  de  2002</w:t>
        <w:br/>
        <w:t>(expediente de anexos al escrito de  solicitudes  y  argumentos,  tomo  I,</w:t>
        <w:br/>
        <w:t>anexo 11, fs. 5,330 a 5,332).</w:t>
        <w:br/>
        <w:t>[156] Cfr. Dictamen No. BIOL-01-1510 de  la  Sección  de  Biología  de  la</w:t>
        <w:br/>
        <w:t>Dirección de  Investigaciones  Criminalísticas  de  4  de  enero  de  2002</w:t>
        <w:br/>
        <w:t>(expediente de anexos al Informe de Fondo, anexo 15, f. 103).</w:t>
        <w:br/>
        <w:t>[157] Según el dictamen presentado, los elementos pilosos  se  midieron  y</w:t>
        <w:br/>
        <w:t>posteriormente se fijaron con elementos químicos en láminas de vidrio para</w:t>
        <w:br/>
        <w:t>observar sus características microscópicas.</w:t>
        <w:br/>
        <w:t>[158] Cfr. Dictamen No. BIOL-01-15-12 de la  Sección  de  biología  de  la</w:t>
        <w:br/>
        <w:t>Dirección de Investigaciones Criminalísticas, supra.</w:t>
        <w:br/>
        <w:t>[159] Cfr. Informe de la Sección de Toxicología  emitido  por  la  Química</w:t>
        <w:br/>
        <w:t>farmacéutica del Ministerio Público el 19 de febrero de  2002  (expediente</w:t>
        <w:br/>
        <w:t>de anexos al escrito de solicitudes y argumentos, tomo  I,  anexo  12,  f.</w:t>
        <w:br/>
        <w:t>5,334).</w:t>
        <w:br/>
        <w:t>[160] Cfr. Dictamen No. BIOL-01-15-12 de la  Sección  de  biología  de  la</w:t>
        <w:br/>
        <w:t>Dirección de Investigaciones Criminalísticas, supra.</w:t>
        <w:br/>
        <w:t>[161] Oficio emitido por la Auxiliar Fiscal I de la Agencia No. 5 de Mixco</w:t>
        <w:br/>
        <w:t>dirigido al Médico Forense de 27 de febrero de 2006 (expediente de  anexos</w:t>
        <w:br/>
        <w:t>al Informe de Fondo, anexo 10, f. 90).</w:t>
        <w:br/>
        <w:t>[162] Cfr. Oficio emitido por el Médico Forense  dirigido  a  la  Auxiliar</w:t>
        <w:br/>
        <w:t>Fiscal I de la  Fiscalía  Municipal  de  Mixco  de  9  de  marzo  de  2006</w:t>
        <w:br/>
        <w:t>(expediente de anexos al Informe de Fondo, anexo 11, f. 92).</w:t>
        <w:br/>
        <w:t>[163] Protocolo de Necropsia No.  2865/2001  de  13  de  febrero  de  2002</w:t>
        <w:br/>
        <w:t>(expediente de anexos al Informe de  Fondo,  anexo  4,  f.  62),  el  cual</w:t>
        <w:br/>
        <w:t>señala:</w:t>
        <w:br/>
        <w:t>“EXAMEN EXTERNO: […] Livideces: en  región  dorsal  del  cuerpo.  Rigidez:</w:t>
        <w:br/>
        <w:t>establecida  y  generalizada.  Putrefacción:  no  iniciada  aparentemente.</w:t>
        <w:br/>
        <w:t>LESIONES: presenta herida contusa de seis por seis centímetros  de  bordes</w:t>
        <w:br/>
        <w:t>irregulares en cuero cabelludo parietal izquierdo, otra herida  de  cuatro</w:t>
        <w:br/>
        <w:t>por seis centímetros de tipo contuso de  bordes  irregulares  que  provoca</w:t>
        <w:br/>
        <w:t>fractura en temporo-occipital izquierdo. Presenta escoriaciones  de  color</w:t>
        <w:br/>
        <w:t>violáceo en hombro y cuello lado derecho, en la parte posterior del cuello</w:t>
        <w:br/>
        <w:t>(nuca), presenta equimosis violácea en  toda  esa  región  más  infiltrado</w:t>
        <w:br/>
        <w:t>hemorrágico, así como escoriaciones en el hombro, tórax posterior  derecho</w:t>
        <w:br/>
        <w:t>e izquierdo bilateral, hay desfacelamiento en tórax  posterior  derecho  y</w:t>
        <w:br/>
        <w:t>parte posterior de brazo derecho,  equimosis  más  zona  de  contusión  en</w:t>
        <w:br/>
        <w:t>pabellón de la oreja izquierda, la escoriación en cuello y brazo  derechos</w:t>
        <w:br/>
        <w:t>guardan un patrón repetitivo  como  muesca  dentaria.  CRÁNEO:  infiltrado</w:t>
        <w:br/>
        <w:t>sanguíneo en todo el cuero  cabelludo  con  hematoma  sub-aponeurótico  en</w:t>
        <w:br/>
        <w:t>región  temporo-parietal  izquierdo  con  fractura  en   occipito-temporal</w:t>
        <w:br/>
        <w:t>derecha y  fractura  de  la  base  lado  derecho.  Cerebro:  contusionado,</w:t>
        <w:br/>
        <w:t>hemorrágico, hematoma epidural lado izquierdo al corte consistencia firme.</w:t>
        <w:br/>
        <w:t>Cerebelo: contusionado y hemorrágico.[…]Órganos genitales: normales. NOTA.</w:t>
        <w:br/>
        <w:t>Se envió muestras al laboratorio de Toxicología para  análisis  de  sangre</w:t>
        <w:br/>
        <w:t>más vísceras. CONCLUSIONES: a) trauma cráneo de cuarto  grado;  b)hematoma</w:t>
        <w:br/>
        <w:t>epidural; c) Edema cerebral; d) fractura de cráneo; e) síndrome asfíctico;</w:t>
        <w:br/>
        <w:t>f) hallazgos descritos. CAUSA DE LA MUERTE: hematoma epidural secundario a</w:t>
        <w:br/>
        <w:t>trauma cráneo de cuarto grado”.</w:t>
        <w:br/>
        <w:t>[164] Cfr. Oficio de solicitud al Jefe del Instituto de Ciencias  Forenses</w:t>
        <w:br/>
        <w:t>de 2 de agosto de 2011 (expediente de anexos al escrito de  solicitudes  y</w:t>
        <w:br/>
        <w:t>argumentos, tomo I, anexo 46, f. 5,461).</w:t>
        <w:br/>
        <w:t>[165] Cfr. Peritaje rendido por el perito profesional de la  medicina  del</w:t>
        <w:br/>
        <w:t>Instituto de Ciencias Forenses  de 4 de  agosto  de  2011  (expediente  de</w:t>
        <w:br/>
        <w:t>anexos al escrito de solicitudes  y  argumentos,  tomo  I,  anexo  47,  f.</w:t>
        <w:br/>
        <w:t>5,463).</w:t>
        <w:br/>
        <w:t>[166] Cfr. Informe del investigador del Servicio de Investigación Criminal</w:t>
        <w:br/>
        <w:t>de la Sección contra Homicidios de la Policía  Nacional  Civil  de  11  de</w:t>
        <w:br/>
        <w:t>enero de 2002 (expediente de anexos a la contestación,  anexos  3-3b,  fs.</w:t>
        <w:br/>
        <w:t>13,047 y 13,048).</w:t>
        <w:br/>
        <w:t>[167] Cfr. Informe  de  la  Sección  contra  Homicidios  del  Servicio  de</w:t>
        <w:br/>
        <w:t>Investigación Criminal de la Policía Nacional Civil, supra.</w:t>
        <w:br/>
        <w:t>[168] Cfr. Informe No.  169A-2002-Fotorobot  emitido  por  el  Técnico  en</w:t>
        <w:br/>
        <w:t>Investigaciones Criminalísticas I (expediente de anexos a la contestación,</w:t>
        <w:br/>
        <w:t>anexos 3-3b, fs. 13,146 a 13,148).</w:t>
        <w:br/>
        <w:t>[169] Cfr. Informe del Técnico en Investigaciones Criminalísticas I de  10</w:t>
        <w:br/>
        <w:t>de abril de 2002 (expediente  ante  la  Comisión,  expediente  judicial  I</w:t>
        <w:br/>
        <w:t>parte, fs. 2,838 a 2,840).</w:t>
        <w:br/>
        <w:t>[170] Cfr. Declaración del sospechoso conocido como “el cubano” de  15  de</w:t>
        <w:br/>
        <w:t>abril de 2002 (expediente de anexos a la contestación,  anexos  3-3b,  fs.</w:t>
        <w:br/>
        <w:t>13,155 y 13,156).</w:t>
        <w:br/>
        <w:t>[171] No obstante, el 21 de junio de 2006 los Técnicos y Profesionales  en</w:t>
        <w:br/>
        <w:t>Investigaciones Criminalísticas, remitieron al Fiscal de Distrito  Adjunto</w:t>
        <w:br/>
        <w:t>de la Fiscalía del Municipio de Mixco el segundo informe de  investigación</w:t>
        <w:br/>
        <w:t>del homicidio de María Isabel,  en  el  cual  se  relata  que  se  intentó</w:t>
        <w:br/>
        <w:t>localizar al sospechoso conocido como “el  cubano”  en  la  Federación  de</w:t>
        <w:br/>
        <w:t>Lucha, pero que un trabajador de la Federación les informó vía  telefónica</w:t>
        <w:br/>
        <w:t>que este sospechoso había frecuentado las instalaciones de  la  Federación</w:t>
        <w:br/>
        <w:t>por un lapso de aproximadamente dos años, pero que desde el año 2003 no lo</w:t>
        <w:br/>
        <w:t>vio más e  ignoraba  su  paradero.  Los  investigadores  refieren  que  se</w:t>
        <w:br/>
        <w:t>solicitó a la Dirección General de Migración  un  reporte  del  movimiento</w:t>
        <w:br/>
        <w:t>migratorio del sospechoso. Cfr. Segundo informe de  investigación  rendido</w:t>
        <w:br/>
        <w:t>por la Dirección de Investigaciones Criminalísticas del Ministerio Público</w:t>
        <w:br/>
        <w:t>de 21 de junio de 2006 (expediente ante la Comisión, expediente judicial I</w:t>
        <w:br/>
        <w:t>parte, fs. 2,847 a 2,849).</w:t>
        <w:br/>
        <w:t>[172] Cfr. Ampliación y conclusión de informe rendida por  el  Técnico  en</w:t>
        <w:br/>
        <w:t>Investigaciones Criminalísticas I de 30 de abril de  2002  (expediente  de</w:t>
        <w:br/>
        <w:t>anexos al Informe de Fondo, anexo 9, fs. 86 a 88).</w:t>
        <w:br/>
        <w:t>[173] Cfr.  Declaraciones de dos sospechosos rendidas ante la Agencia  No.</w:t>
        <w:br/>
        <w:t>5 de Mixco el 21 de julio de 2003 (expediente de anexos a la contestación,</w:t>
        <w:br/>
        <w:t>anexos 3-3b, fs. 13,326 a 13,333).</w:t>
        <w:br/>
        <w:t>[174] Cfr. Informe circunstanciado emitido  por  la  Fiscal  Distrital  de</w:t>
        <w:br/>
        <w:t>Mixco de 19 de mayo de 2004 (expediente de anexos a la contestación, anexo</w:t>
        <w:br/>
        <w:t>3-3b, fs. 13,387 a 13,395).</w:t>
        <w:br/>
        <w:t>[175] Cfr. Informe del Técnico en Investigaciones Criminalísticas dirigido</w:t>
        <w:br/>
        <w:t>al Fiscal Distrital del Municipio  de  Mixco  de  8  de  febrero  de  2007</w:t>
        <w:br/>
        <w:t>(expediente de anexos al escrito de  solicitudes  y  argumentos,  tomo  I,</w:t>
        <w:br/>
        <w:t>anexo 26, f. 5,409).</w:t>
        <w:br/>
        <w:t>[176] Cfr. Declaración de un sospechoso rendida ante la Agencia No.  5  de</w:t>
        <w:br/>
        <w:t>Mixco el 31 de agosto de 2006 (expediente de  anexos  a  la  contestación,</w:t>
        <w:br/>
        <w:t>anexo 3c, fs. 13,701 y 13,702).</w:t>
        <w:br/>
        <w:t>[177] Cfr. Oficio de solicitud de  información  emitido  por  la  Auxiliar</w:t>
        <w:br/>
        <w:t>Fiscal de la Agencia No. 5 de Mixco de 8 de febrero de 2007 (expediente de</w:t>
        <w:br/>
        <w:t>anexos a la contestación, anexo 3c, f. 13,732).</w:t>
        <w:br/>
        <w:t>[178] Cfr. Acta de audiencia de prueba anticipada de 16  de  diciembre  de</w:t>
        <w:br/>
        <w:t>2010 (expediente de anexos al escrito de solicitudes y argumentos, tomo I,</w:t>
        <w:br/>
        <w:t>anexo 36, fs. 5,435 y 5,436).</w:t>
        <w:br/>
        <w:t>[179] Cfr. Dictamen pericial de 16 de mayo de 2011 (expediente  de  anexos</w:t>
        <w:br/>
        <w:t>al escrito de solicitudes y argumentos, tomo I,  anexo  42,  fs.  5,449  a</w:t>
        <w:br/>
        <w:t>5451).</w:t>
        <w:br/>
        <w:t>[180] Cfr. Reportaje fotográfico No. 4791-2001 (expediente  de  anexos  al</w:t>
        <w:br/>
        <w:t>escrito de solicitudes y argumentos, tomo I, anexo 8, fs. 5,313 a 5319).</w:t>
        <w:br/>
        <w:t>[181] Cfr. Informe emitido por la investigadora  de  la  Policía  Nacional</w:t>
        <w:br/>
        <w:t>Civil de  21  de  mayo  de  2004  (expediente  de  anexos  al  escrito  de</w:t>
        <w:br/>
        <w:t>solicitudes y argumentos, tomo I, anexo 22, fs. 5388 a 5390).</w:t>
        <w:br/>
        <w:t>[182] Cfr. Ampliación de la declaración de una amiga de María Isabel de  3</w:t>
        <w:br/>
        <w:t>de septiembre de 2004 (expediente de anexos a la contestación, anexo 3-3b,</w:t>
        <w:br/>
        <w:t>f. 13,427). Manifestó que ninguno de los novios y amigos de  María  Isabel</w:t>
        <w:br/>
        <w:t>que ella había conocido coincidían con el rostro de la “foto robot”.</w:t>
        <w:br/>
        <w:t>[183] Cfr. Oficio emitido por la Auxiliar Fiscal I de la Agencia No. 5  de</w:t>
        <w:br/>
        <w:t>Mixco de 24 de agosto de 2004 (expediente de  anexos  a  la  contestación,</w:t>
        <w:br/>
        <w:t>anexo 3-3b, fs. 13,417 y 13,418).</w:t>
        <w:br/>
        <w:t>[184] Cfr. Oficio emitido por la Auxiliar Fiscal I de la Agencia No. 5  de</w:t>
        <w:br/>
        <w:t>Mixco solicitando cambio de Auxiliar Fiscal de 8  de  septiembre  de  2004</w:t>
        <w:br/>
        <w:t>(expediente de anexos a la contestación, anexo 3-3b, f. 13,430).</w:t>
        <w:br/>
        <w:t>[185] Cfr. Informe No. 534-2004 emitido por la  supervisora  Auxiliar  del</w:t>
        <w:br/>
        <w:t>Ministerio Público de 13 de septiembre de 2004 (expediente de anexos a  la</w:t>
        <w:br/>
        <w:t>contestación, anexo 3-3b, fs. 13,439 a 13,441).</w:t>
        <w:br/>
        <w:t>[186] Cfr. Oficio emitido por el Agente Fiscal de  la  Agencia  No.  5  de</w:t>
        <w:br/>
        <w:t>Mixco concediendo cambio de Auxiliar fiscal  de  28  de  octubre  de  2004</w:t>
        <w:br/>
        <w:t>(expediente de anexos a la contestación, anexo 3-3b, f. 13,443).</w:t>
        <w:br/>
        <w:t>[187] Cfr. Oficio de solicitud emitido por la Fiscal de  Distrito  Adjunto</w:t>
        <w:br/>
        <w:t>de la Agencia No. 5 de Mixco de 31 de enero de 2006 (expediente de  anexos</w:t>
        <w:br/>
        <w:t>a la contestación, anexo 3c, f. 13,671), y Oficio de lineamientos  emitido</w:t>
        <w:br/>
        <w:t>por la Fiscal de Distrito Adjunto de la Agencia No. 5 de Mixco  de  31  de</w:t>
        <w:br/>
        <w:t>enero de 2006 (expediente de  anexos  a  la  contestación,  anexo  3c,  f.</w:t>
        <w:br/>
        <w:t>13,672).</w:t>
        <w:br/>
        <w:t>[188] Cfr. Auto del Procurador de los Derechos Humanos de 31 de  enero  de</w:t>
        <w:br/>
        <w:t>2003 (expediente de anexos al escrito de solicitudes y argumentos, tomo I,</w:t>
        <w:br/>
        <w:t>anexo 23, f. 5,392).</w:t>
        <w:br/>
        <w:t>[189] Cfr. Resolución del Procurador de los Derechos Humanos de  Guatemala</w:t>
        <w:br/>
        <w:t>de 2 de noviembre de 2004 (expediente de anexos al Informe de Fondo, anexo</w:t>
        <w:br/>
        <w:t>23, fs. 135 a 137).</w:t>
        <w:br/>
        <w:t>[190] Cfr. Oficio emitido por el Auxiliar Fiscal de la Agencia No. 1 de la</w:t>
        <w:br/>
        <w:t>Fiscalía Municipal de Mixco dirigido al Jefe de  Bomberos  Municipales  de</w:t>
        <w:br/>
        <w:t>ciudad capital de 13 de julio de 2009 (expediente de anexos al escrito  de</w:t>
        <w:br/>
        <w:t>solicitudes y argumentos, anexo 113, f. 12,644).</w:t>
        <w:br/>
        <w:t>[191] Cfr. Oficio emitido por el Auxiliar Fiscal de la Agencia No. 1 de la</w:t>
        <w:br/>
        <w:t>Fiscalía Municipal de Mixco dirigido al Jefe del Almacén de Evidencias del</w:t>
        <w:br/>
        <w:t>Ministerio Público de 5 de enero de 2011 (expediente de anexos al  escrito</w:t>
        <w:br/>
        <w:t>de solicitudes y argumentos, tomo I, anexo 37, f. 5,438).</w:t>
        <w:br/>
        <w:t>[192]  Cfr.  Oficio  del  Jefe  del  Almacén  Central  de  Evidencias  del</w:t>
        <w:br/>
        <w:t>Ministerio Público de 24 de enero de 2011 (expediente de anexos al escrito</w:t>
        <w:br/>
        <w:t>de solicitudes y argumentos, tomo I, anexo 39, f. 5,442).</w:t>
        <w:br/>
        <w:t>[193] Cfr. Solicitud de  búsqueda  de  prueba  de  14  de  enero  de  2011</w:t>
        <w:br/>
        <w:t>(expediente de anexos al escrito de  solicitudes  y  argumentos,  tomo  I,</w:t>
        <w:br/>
        <w:t>anexo 38, f. 5,440).</w:t>
        <w:br/>
        <w:t>[194] Cfr. Solicitud de reiteración de prueba  de  10  de  junio  de  2011</w:t>
        <w:br/>
        <w:t>(expediente de anexos al escrito de  solicitudes  y  argumentos,  tomo  I,</w:t>
        <w:br/>
        <w:t>anexo 43, f. 5,454).</w:t>
        <w:br/>
        <w:t>[195] Es una unidad del Departamento Técnico Científico  de  la  Dirección</w:t>
        <w:br/>
        <w:t>General del Instituto Nacional de Ciencias Forenses de Guatemala.</w:t>
        <w:br/>
        <w:t>[196] Cfr. Oficio Secretaría General del Instituto  Nacional  de  Ciencias</w:t>
        <w:br/>
        <w:t>Forenses de Guatemala de 11 de julio de  2011  (expediente  de  anexos  al</w:t>
        <w:br/>
        <w:t>escrito de solicitudes y argumentos, tomo I, anexo 45, f. 5,459).</w:t>
        <w:br/>
        <w:t>[197]  Cfr.  Informe  de  los  técnicos  en  investigación  criminalística</w:t>
        <w:br/>
        <w:t>dirigido a la Agencia Fiscal No. 32 de Guatemala, supra.</w:t>
        <w:br/>
        <w:t>[198] Cfr. Informe  de  la  Sección  contra  Homicidios  del  Servicio  de</w:t>
        <w:br/>
        <w:t>Investigación Criminal de la Policía Nacional Civil, supra.</w:t>
        <w:br/>
        <w:t>[199] Cfr. Informe del Técnico en Investigaciones Criminalísticas de 18 de</w:t>
        <w:br/>
        <w:t>marzo  de  2003  (expediente  de  anexos  al  escrito  de  solicitudes   y</w:t>
        <w:br/>
        <w:t>argumentos, anexo 19, f. 5,380).</w:t>
        <w:br/>
        <w:t>[200] Cfr. Escrito de Rosa  Elvira  Franco  Sandoval  dirigido  al  Fiscal</w:t>
        <w:br/>
        <w:t>General y Jefe del Ministerio Público, supra.</w:t>
        <w:br/>
        <w:t>[201] Cfr. Escrito de Rosa Elvira Franco Sandoval dirigido a  la  Comisión</w:t>
        <w:br/>
        <w:t>Interamericana de 27 de  abril  de  2007  (expediente  ante  la  Comisión,</w:t>
        <w:br/>
        <w:t>expediente judicial I parte, fs. 2,811 a 2,815).</w:t>
        <w:br/>
        <w:t>[202] Cfr. Dictamen emitido por  el  Área  de  Psiquiatría  del  Instituto</w:t>
        <w:br/>
        <w:t>Nacional de Ciencias Forenses de Guatemala de 14  de  septiembre  de  2011</w:t>
        <w:br/>
        <w:t>(expediente de anexos al escrito de  solicitudes  y  argumentos,  tomo  I,</w:t>
        <w:br/>
        <w:t>anexo 48, fs. 5,466 a 5,469).</w:t>
        <w:br/>
        <w:t>[203] Cfr. Acuerdo del Juzgado de Primera Instancia  de  Mixco  de  12  de</w:t>
        <w:br/>
        <w:t>octubre de  2009  (expediente  de  anexos  al  escrito  de  solicitudes  y</w:t>
        <w:br/>
        <w:t>argumentos, tomo I, anexo 29, f. 5,415).</w:t>
        <w:br/>
        <w:t>[204] Cfr. Informe del Auxiliar Fiscal de la Agencia No. 1 de la  Fiscalía</w:t>
        <w:br/>
        <w:t>Municipal de Mixco de 21 de octubre  de  2009  (expediente  de  anexos  al</w:t>
        <w:br/>
        <w:t>escrito de solicitudes y argumentos, tomo I, anexo 30, fs. 5,417 y 5,418).</w:t>
        <w:br/>
        <w:t>[205] Cfr. Oficio emitido por el Agente Fiscal de la Agencia No. 1  de  la</w:t>
        <w:br/>
        <w:t>Fiscalía Municipal de Mixco de 16 de mayo de 2012 (expediente de anexos al</w:t>
        <w:br/>
        <w:t>escrito de solicitudes y argumentos, tomo I, anexo 50, f. 5,473).</w:t>
        <w:br/>
        <w:t>[206] Cfr. Oficio emitido por el Agente Fiscal de la Agencia No. 1  de  la</w:t>
        <w:br/>
        <w:t>Fiscalía Municipal de Mixco dirigido Juzgado Primero de  Mixco  de  21  de</w:t>
        <w:br/>
        <w:t>marzo  de  2012  (expediente  de  anexos  al  escrito  de  solicitudes   y</w:t>
        <w:br/>
        <w:t>argumentos, anexo 120, fs. 12,660 y 12,661).</w:t>
        <w:br/>
        <w:t>[207] Acta de Audiencia Oral de Acto Conclusivo de  29  de  septiembre  de</w:t>
        <w:br/>
        <w:t>2012 (anexos al escrito de alegatos finales del Estado, f. 14,729). En  su</w:t>
        <w:br/>
        <w:t>contestación, el Estado informó que “[c]on fecha 3 de diciembre de 2012 se</w:t>
        <w:br/>
        <w:t>celebró audiencia debido a que el juez citó a las  partes  para  llevar  a</w:t>
        <w:br/>
        <w:t>cabo  el  acto  conclusivo.  Nuevamente  el  Ministerio  Público  solicitó</w:t>
        <w:br/>
        <w:t>mantener abierto el proceso debido a que la investigación está activa”.</w:t>
        <w:br/>
        <w:t>[208]  Agregó  que  “[e]llo  deriva,  por  un  lado,  de   la   obligación</w:t>
        <w:br/>
        <w:t>internacional ampliamente reconocida de otorgar protección especial a  los</w:t>
        <w:br/>
        <w:t>niños y niñas, debido a su desarrollo físico y emocional. Por  otro  lado,</w:t>
        <w:br/>
        <w:t>se relaciona al reconocimiento internacional de que el deber de la  debida</w:t>
        <w:br/>
        <w:t>diligencia de los Estados para proteger  y  prevenir  la  violencia  tiene</w:t>
        <w:br/>
        <w:t>connotaciones especiales en el caso de mujeres, debido a la discriminación</w:t>
        <w:br/>
        <w:t>histórica que han sufrido”.</w:t>
        <w:br/>
        <w:t>[209] Dicha norma expresa: “[s]i el ejercicio de los derechos y libertades</w:t>
        <w:br/>
        <w:t>mencionados en el artículo 1 no estuviere ya garantizado por disposiciones</w:t>
        <w:br/>
        <w:t>legislativas o de otro carácter,  los  Estados  Partes  se  comprometen  a</w:t>
        <w:br/>
        <w:t>adoptar, con  arreglo  a  sus  procedimientos  constitucionales  y  a  las</w:t>
        <w:br/>
        <w:t>disposiciones de esta Convención,  las  medidas  legislativas  o  de  otro</w:t>
        <w:br/>
        <w:t>carácter que fueren necesarias  para  hacer  efectivos  tales  derechos  y</w:t>
        <w:br/>
        <w:t>libertades”.</w:t>
        <w:br/>
        <w:t>[210] Cfr. Caso “Cinco Pensionistas”, supra, párr.  155,  y  Caso  Familia</w:t>
        <w:br/>
        <w:t>Pacheco Tineo Vs. Bolivia. Excepciones Preliminares, Fondo, Reparaciones y</w:t>
        <w:br/>
        <w:t>Costas. Sentencia de 25 de noviembre de 2013. Serie C No. 272, párr. 22.</w:t>
        <w:br/>
        <w:t>[211]   El  artículo  5  de  la  Convención  Americana  en  lo  conducente</w:t>
        <w:br/>
        <w:t>establece: “1. Toda persona tiene derecho a que se respete  su  integridad</w:t>
        <w:br/>
        <w:t>física, psíquica y moral”. El artículo 7 de la misma Convención establece:</w:t>
        <w:br/>
        <w:t>“1. Toda persona tiene derecho a la libertad y a la seguridad  personales.</w:t>
        <w:br/>
        <w:t>2. Nadie puede ser privado de su libertad física, salvo por las  causas  y</w:t>
        <w:br/>
        <w:t>en las condiciones fijadas de antemano por las Constituciones Políticas de</w:t>
        <w:br/>
        <w:t>los Estados Partes o por las leyes dictadas conforme a ellas”. […]</w:t>
        <w:br/>
        <w:t>[212] La Comisión consideró, en su decisión de admisibilidad, “que en  los</w:t>
        <w:br/>
        <w:t>hechos descritos [en la petición] no  exist[ían]  fundamentos  suficientes</w:t>
        <w:br/>
        <w:t>que caracteri[zaran] una violación al derecho  a  la  integridad  personal</w:t>
        <w:br/>
        <w:t>[…], así como el derecho a la libertad personal […] en  relación  a  María</w:t>
        <w:br/>
        <w:t>Isabel Veliz Franco”. Sin perjuicio de ello, también expresó  la  Comisión</w:t>
        <w:br/>
        <w:t>“que no corresponde en esta etapa del proceso determinar si se  produjeron</w:t>
        <w:br/>
        <w:t>o no las alegadas violaciones”.</w:t>
        <w:br/>
        <w:t>[213]  El  artículo  4  de  la  Convención  Americana  en  lo   conducente</w:t>
        <w:br/>
        <w:t>establece: “1. Toda persona tiene derecho a que se respete su  vida.  Este</w:t>
        <w:br/>
        <w:t>derecho estará protegido por la ley y, en general, a partir del momento de</w:t>
        <w:br/>
        <w:t>la concepción. Nadie puede ser privado de la vida arbitrariamente […]”.</w:t>
        <w:br/>
        <w:t>[214]  El artículo 19 de la Convención Americana manda: “Todo  niño  tiene</w:t>
        <w:br/>
        <w:t>derecho a las medidas de protección que su condición  de  menor  requieren</w:t>
        <w:br/>
        <w:t>por parte de su familia, de la sociedad y del Estado”.</w:t>
        <w:br/>
        <w:t>[215]  El artículo 24 de  la  Convención  Americana  dispone:  “Todas  las</w:t>
        <w:br/>
        <w:t>personas son iguales ante la ley. En  consecuencia,  tienen  derecho,  sin</w:t>
        <w:br/>
        <w:t>discriminación, a igual protección de la ley”.</w:t>
        <w:br/>
        <w:t>[216]  La Convención Americana, en su artículo 1.1 establece:</w:t>
        <w:br/>
        <w:t>1. Los Estados Partes en esta Convención se  comprometen  a  respetar  los</w:t>
        <w:br/>
        <w:t>derechos y libertades reconocidos en ella y a garantizar su libre y  pleno</w:t>
        <w:br/>
        <w:t>ejercicio  a  toda  persona  que  esté  sujeta  a  su  jurisdicción,   sin</w:t>
        <w:br/>
        <w:t>discriminación alguna por motivos de raza, color, sexo, idioma,  religión,</w:t>
        <w:br/>
        <w:t>opiniones políticas o de cualquier otra índole, origen nacional o  social,</w:t>
        <w:br/>
        <w:t>posición económica, nacimiento o cualquier otra condición social.</w:t>
        <w:br/>
        <w:t>2. Para los efectos de esta Convención, persona es todo ser humano.</w:t>
        <w:br/>
        <w:t>[217] El artículo 7 de la Convención de Belém do Pará señala: “Los Estados</w:t>
        <w:br/>
        <w:t>Partes condenan todas las formas de violencia contra la mujer y  convienen</w:t>
        <w:br/>
        <w:t>en adoptar, por todos los medios apropiados y  sin  dilaciones,  políticas</w:t>
        <w:br/>
        <w:t>orientadas a prevenir, sancionar y erradicar dicha violencia y en llevar a</w:t>
        <w:br/>
        <w:t>cabo lo siguiente:  a.  abstenerse  de  cualquier  acción  o  práctica  de</w:t>
        <w:br/>
        <w:t>violencia  contra  la  mujer  y  velar  por  que  las   autoridades,   sus</w:t>
        <w:br/>
        <w:t>funcionarios,  personal  y  agentes  e  instituciones  se   comporten   de</w:t>
        <w:br/>
        <w:t>conformidad con esta obligación; b. actuar con la debida  diligencia  para</w:t>
        <w:br/>
        <w:t>prevenir, investigar y sancionar la violencia contra la mujer; c.  incluir</w:t>
        <w:br/>
        <w:t>en su legislación interna normas penales, civiles y  administrativas,  así</w:t>
        <w:br/>
        <w:t>como las de otra naturaleza que sean necesarias para prevenir, sancionar y</w:t>
        <w:br/>
        <w:t>erradicar  la  violencia  contra  la   mujer   y   adoptar   las   medidas</w:t>
        <w:br/>
        <w:t>administrativas apropiadas que sean del caso; d. adoptar medidas jurídicas</w:t>
        <w:br/>
        <w:t>para conminar al agresor a abstenerse de  hostigar,  intimidar,  amenazar,</w:t>
        <w:br/>
        <w:t>dañar o poner en peligro la vida de la mujer de cualquier forma que atente</w:t>
        <w:br/>
        <w:t>contra su integridad o perjudique su propiedad; e. tomar todas las medidas</w:t>
        <w:br/>
        <w:t>apropiadas, incluyendo medidas  de  tipo  legislativo,  para  modificar  o</w:t>
        <w:br/>
        <w:t>abolir leyes y reglamentos vigentes, o para modificar prácticas  jurídicas</w:t>
        <w:br/>
        <w:t>o consuetudinarias que respalden la persistencia o  la  tolerancia  de  la</w:t>
        <w:br/>
        <w:t>violencia contra la mujer; f. establecer procedimientos legales  justos  y</w:t>
        <w:br/>
        <w:t>eficaces para la mujer que haya sido sometida a violencia,  que  incluyan,</w:t>
        <w:br/>
        <w:t>entre otros, medidas  de  protección,  un  juicio  oportuno  y  el  acceso</w:t>
        <w:br/>
        <w:t>efectivo a tales procedimientos; g. establecer los mecanismos judiciales y</w:t>
        <w:br/>
        <w:t>administrativos necesarios para asegurar que la mujer objeto de  violencia</w:t>
        <w:br/>
        <w:t>tenga acceso efectivo a resarcimiento, reparación del daño u otros  medios</w:t>
        <w:br/>
        <w:t>de  compensación  justos  y  eficaces,  y  h.  adoptar  las  disposiciones</w:t>
        <w:br/>
        <w:t>legislativas o de otra índole que sean necesarias para hacer efectiva esta</w:t>
        <w:br/>
        <w:t>Convención”.</w:t>
        <w:br/>
        <w:t>[218]  Caso Gelman Vs. Uruguay. Fondo y Reparaciones. Sentencia de  24  de</w:t>
        <w:br/>
        <w:t>febrero de 2011. Serie C No. 221, párr. 121, y Caso Pacheco Tineo,  supra,</w:t>
        <w:br/>
        <w:t>párr. 277.</w:t>
        <w:br/>
        <w:t>[219] Condición Jurídica y Derechos Humanos del Niño.  Opinión  Consultiva</w:t>
        <w:br/>
        <w:t>OC-17/02 del 28 de agosto de 2002. Serie  A  No.  17,  párr.  62,  y  Caso</w:t>
        <w:br/>
        <w:t>Mendoza  y  otros  Vs.  Argentina.  Excepciones  Preliminares,   Fondo   y</w:t>
        <w:br/>
        <w:t>Reparaciones. Sentencia de 14 de mayo de 2013. Serie  C  No.  260,  supra,</w:t>
        <w:br/>
        <w:t>párr. 141.</w:t>
        <w:br/>
        <w:t>[220] Caso de los “Niños de la Calle”  (Villagrán  Morales  y  otros)  Vs.</w:t>
        <w:br/>
        <w:t>Guatemala. Fondo. Sentencia de 19 de noviembre de 1999. Serie  C  No.  63,</w:t>
        <w:br/>
        <w:t>párr. 146, y Caso Familia Pacheco Tineo, supra, párr. 217.</w:t>
        <w:br/>
        <w:t>[221] Cfr. Condición Jurídica y Derechos Humanos del  Niño,  supra,  párr.</w:t>
        <w:br/>
        <w:t>93, y Caso Mendoza y otros, supra, párr. 144.</w:t>
        <w:br/>
        <w:t>[222] Cfr. Condición Jurídica y Derechos Humanos del  Niño,  supra,  párr.</w:t>
        <w:br/>
        <w:t>59, y Caso Mendoza y otros, supra, párr. 143.</w:t>
        <w:br/>
        <w:t>[223]  En cuanto al concepto previsto en el tratado de  “violencia  contra</w:t>
        <w:br/>
        <w:t>la mujer”, es pertinente referir al artículo 3 de la Convención  de  Belém</w:t>
        <w:br/>
        <w:t>do Pará, que indica que el derecho de “[t]oda mujer” a “una vida libre  de</w:t>
        <w:br/>
        <w:t>violencia” rige “tanto en el ámbito público como en el privado”.</w:t>
        <w:br/>
        <w:t>[224]  Cfr.  Caso  del  Penal  Miguel  Castro  Castro  Vs.  Perú.   Fondo,</w:t>
        <w:br/>
        <w:t>Reparaciones y Costas. Sentencia de 25 de noviembre de 2006. Serie  C  No.</w:t>
        <w:br/>
        <w:t>160, párr. 346, y Caso Gudiel Álvarez (Diario Militar), supra, párr. 275.</w:t>
        <w:br/>
        <w:t>[225] El Comité de los Derechos  del  Niño  ha  señalado  que  “[a]  nivel</w:t>
        <w:br/>
        <w:t>universal, se consideran vulnerables todos los niños hasta los 18 años  de</w:t>
        <w:br/>
        <w:t>edad, porque no ha concluido aún su crecimiento y desarrollo  neurológico,</w:t>
        <w:br/>
        <w:t>psicológico,  social  y  físico”.  Comité  de  los  Derechos   del   Niño.</w:t>
        <w:br/>
        <w:t>Observación General Nº 13: Derecho del niño a no  ser  objeto  de  ninguna</w:t>
        <w:br/>
        <w:t>forma de violencia. UN Doc. CRC/C/GC/13, 18 de abril de  2011,  párr.  19.</w:t>
        <w:br/>
        <w:t>María Isabel Veliz Franco, de 15 años al  momento  de  su  desaparición  y</w:t>
        <w:br/>
        <w:t>muerte, es considerada niña, en tanto no surge de los argumentos o pruebas</w:t>
        <w:br/>
        <w:t>remitidos al Tribunal que una norma interna dispusiera una edad distinta.</w:t>
        <w:br/>
        <w:t>[226] “Declaración y Plataforma de  Acción  Beijing”,  Cuarta  Conferencia</w:t>
        <w:br/>
        <w:t>Mundial sobre la Mujer, aprobada en  la  16°  sesión  plenaria  el  15  de</w:t>
        <w:br/>
        <w:t>septiembre de 1995, párr. 116. En términos análogos, la  antigua  Comisión</w:t>
        <w:br/>
        <w:t>de Derechos Humanos de Naciones Unidas había expresado que “algunos grupos</w:t>
        <w:br/>
        <w:t>de  mujeres,  como  por  ejemplo  las  mujeres  […]  niñas  […]  son   […]</w:t>
        <w:br/>
        <w:t>particularmente vulnerables a la violencia”. Cfr.  La  eliminación  de  la</w:t>
        <w:br/>
        <w:t>violencia contra la mujer. Resolución de la Comisión de  Derechos  Humanos</w:t>
        <w:br/>
        <w:t>1998/52. 52ª sesión, 17 de abril de 1998, considerando 6to. De  forma  más</w:t>
        <w:br/>
        <w:t>actual, el Comité de los Derechos del Niño ha indicado  que  “[t]anto  los</w:t>
        <w:br/>
        <w:t>niños como las niñas corren el  riesgo  de  sufrir  todas  las  formas  de</w:t>
        <w:br/>
        <w:t>violencia, pero la violencia suele tener un componente  de  género”.  Cfr.</w:t>
        <w:br/>
        <w:t>Comité de los Derechos del Niño. Observación General Nº  13:  Derecho  del</w:t>
        <w:br/>
        <w:t>niño a no ser objeto de ninguna forma de violencia, supra.</w:t>
        <w:br/>
        <w:t>[227] Cfr.  Caso  Velásquez  Rodríguez.  Fondo,  supra,  párr.  175;  Caso</w:t>
        <w:br/>
        <w:t>González y otras (“Campo Algodonero”), supra, párr. 252, y Caso Luna López</w:t>
        <w:br/>
        <w:t>Vs. Honduras. Fondo, Reparaciones y Costas. Sentencia de 10 de octubre  de</w:t>
        <w:br/>
        <w:t>2013. Serie C No. 269, párr. 118.</w:t>
        <w:br/>
        <w:t>[228]De este modo, la Corte ya ha advertido que “el CEDAW  estableció  que</w:t>
        <w:br/>
        <w:t>‘los Estados también pueden ser  responsables  de  actos  privados  si  no</w:t>
        <w:br/>
        <w:t>adoptan medidas con la diligencia debida para impedir la violación de  los</w:t>
        <w:br/>
        <w:t>derechos o para investigar y castigar los actos de violencia e  indemnizar</w:t>
        <w:br/>
        <w:t>a las víctimas’” (Caso González y otras (“Campo Algodonero”), supra, párr.</w:t>
        <w:br/>
        <w:t>254.  El  documento  respectivo  fue  citado  por  el  Tribunal:   “CEDAW,</w:t>
        <w:br/>
        <w:t>Recomendación general 19: La Violencia contra la  Mujer,  11°  período  de</w:t>
        <w:br/>
        <w:t>sesiones, 1992, UN Doc. HRI\GEN\1\Rev.1 at 84 (1994), párr. 9”. Además, la</w:t>
        <w:br/>
        <w:t>Declaración sobre la Eliminación de la Violencia contra la Mujer (adoptada</w:t>
        <w:br/>
        <w:t>por la Asamblea General de las Naciones Unidas en su 85ª sesión  plenaria,</w:t>
        <w:br/>
        <w:t>el 20 de diciembre de 1993), indica en su cuarto artículo, inter alia, que</w:t>
        <w:br/>
        <w:t>“[l]os Estados deben aplicar por todos los medios apropiados y sin  demora</w:t>
        <w:br/>
        <w:t>una política encaminada a eliminar la violencia contra la mujer. Con  este</w:t>
        <w:br/>
        <w:t>fin, deberán: […] c) Proceder con la debida diligencia a fin de  prevenir,</w:t>
        <w:br/>
        <w:t>investigar y, conforme a la legislación nacional, castigar  todo  acto  de</w:t>
        <w:br/>
        <w:t>violencia contra la mujer, ya se trate de actos perpetrados por el  Estado</w:t>
        <w:br/>
        <w:t>o por particulares”. Por otra parte, en 1995 la Declaración  y  Plataforma</w:t>
        <w:br/>
        <w:t>de Acción de Beijing, aprobada por la Cuarta conferencia Mundial sobre  la</w:t>
        <w:br/>
        <w:t>Mujer (en la 16ª sesión plenaria, celebrada el 15 de septiembre  de  1995)</w:t>
        <w:br/>
        <w:t>indicó, en el apartado vigésimo noveno de la Declaración, el compromiso de</w:t>
        <w:br/>
        <w:t>los gobiernos de, inter alia, [p]revenir y eliminar todas  las  formas  de</w:t>
        <w:br/>
        <w:t>violencia contra las mujeres y las niñas”. En los apartados b)  y  d)  del</w:t>
        <w:br/>
        <w:t>párrafo 124 de la  Plataforma  de  Acción,  se  indicó  el  deber  de  los</w:t>
        <w:br/>
        <w:t>gobiernos de adoptar medidas relativas a la prevención e investigación  de</w:t>
        <w:br/>
        <w:t>actos  de  violencia  contra   la   mujer,   inclusive   perpetrados   por</w:t>
        <w:br/>
        <w:t>particulares. Guatemala participó en dicha Conferencia, expresó  que   “no</w:t>
        <w:br/>
        <w:t>acepta […] ninguna forma de violencia que afecte a las mujeres”  y  afirmó</w:t>
        <w:br/>
        <w:t>que “es obligación del Estado protegerla y asegurar condiciones  para  que</w:t>
        <w:br/>
        <w:t>disfrute de sus derechos en situación de igualdad”. Cfr. Mensaje del señor</w:t>
        <w:br/>
        <w:t>Presidente Constitucional de la República de Guatemala, Licenciado  Ramiro</w:t>
        <w:br/>
        <w:t>De León Carpio a la IV Conferencia Mundial sobre la Mujer, supra.  Por  su</w:t>
        <w:br/>
        <w:t>parte, la Relatora Especial de las  Naciones  Unidas  sobre  la  violencia</w:t>
        <w:br/>
        <w:t>contra la mujer y sus  causas  y  consecuencias  observó  que  el  derecho</w:t>
        <w:br/>
        <w:t>consuetudinario prevé la responsabilidad del  Estado  por  violaciones  de</w:t>
        <w:br/>
        <w:t>derechos  humanos  de  la  mujer  por  parte  de  particulares.  (Comisión</w:t>
        <w:br/>
        <w:t>Interamericana Mujeres (CIM) de la  Organización  de  Estados  Americanos,</w:t>
        <w:br/>
        <w:t>Centro Internacional para la Reforma del Derecho Penal y  la  Política  en</w:t>
        <w:br/>
        <w:t>Materia de Justicia Penal (ICCLR),  e  Instituto  Latinoamericano  de  las</w:t>
        <w:br/>
        <w:t>Naciones Unidas para  la  Prevención  del  Delito  y  el  Tratamiento  del</w:t>
        <w:br/>
        <w:t>Delincuente (ILANUD) Programa Mujer, Justicia y Género; Violencia  en  las</w:t>
        <w:br/>
        <w:t>Américas. Un Análisis Regional  con  un  examen  del  cumplimiento  de  la</w:t>
        <w:br/>
        <w:t>Convención  Interamericana  para  Prevenir,  Sancionar  y   Erradicar   la</w:t>
        <w:br/>
        <w:t>Violencia contra la Mujer (Convención de Belém  do  Pará)  Informe  Final,</w:t>
        <w:br/>
        <w:t>Julio 2001, pág. 33. El documento cita el siguiente texto:  “Coomaraswamy,</w:t>
        <w:br/>
        <w:t>Radhika (1995). Informe preliminar presentado  por  la  Relatora  Especial</w:t>
        <w:br/>
        <w:t>sobre violencia contra la mujer, sus causas y consecuencias, Sra.  Radhika</w:t>
        <w:br/>
        <w:t>Coomaraswamy, de conformidad con la resolución de la Comisión de  Derechos</w:t>
        <w:br/>
        <w:t>Humanos 1994/45. Ginebra: Comisión de  las  Naciones  Unidas  de  Derechos</w:t>
        <w:br/>
        <w:t>Humanos, quincuagésimo período de sesiones (E/CN.4/1995/42)”.</w:t>
        <w:br/>
        <w:t>[229] El Comité de los Derechos del Niño ha indicado que “los adolescentes</w:t>
        <w:br/>
        <w:t>de hasta 18 años de edad son titulares de todos los  derechos  consagrados</w:t>
        <w:br/>
        <w:t>en la Convención [sobre los Derechos del Niño]; tienen derecho  a  medidas</w:t>
        <w:br/>
        <w:t>especiales de protección”. Comité de los Derechos del Niño.  Observaciones</w:t>
        <w:br/>
        <w:t>Observación General No. 4: La salud y el desarrollo de los adolescentes en</w:t>
        <w:br/>
        <w:t>el contexto de  la  Convención  sobre  los  Derechos  del  Niño.  UN  Doc.</w:t>
        <w:br/>
        <w:t>CRC/GC/2003/4, 21 de julio de 2003, párrs. 1 y 2.</w:t>
        <w:br/>
        <w:t>[230] Caso González y otras (“Campo Algodonero”), supra, párr. 258.</w:t>
        <w:br/>
        <w:t>[231] Caso de la Masacre de Pueblo Bello Vs. Colombia. Sentencia de 31  de</w:t>
        <w:br/>
        <w:t>enero de 2006. Serie C No. 140, párr. 123; Caso González y  otras  (“Campo</w:t>
        <w:br/>
        <w:t>Algodonero”), supra, párr. 280, y Caso Luna López, supra, párr. 120.</w:t>
        <w:br/>
        <w:t>[232] Caso González y otras (“Campo Algodonero”), supra, párr. 282.</w:t>
        <w:br/>
        <w:t>[233] Caso González y otras (“Campo Algodonero”), supra, párr. 282.</w:t>
        <w:br/>
        <w:t>[234] Caso González y otras (“Campo Algodonero”), supra, párr. 283.</w:t>
        <w:br/>
        <w:t>[235] Caso de la Masacre de Pueblo Bello, supra, párr. 123,  y  Caso  Luna</w:t>
        <w:br/>
        <w:t>López, supra, párr. 112.</w:t>
        <w:br/>
        <w:t>[236] Caso de la Masacre de Pueblo Bello, supra, párr. 123, y Caso de  las</w:t>
        <w:br/>
        <w:t>Comunidades Afrodescendientes de la Cuenca  del  Río  Cacarica  (Operación</w:t>
        <w:br/>
        <w:t>Génesis) Vs. Colombia. Excepciones  Preliminares,  Fondo,  Reparaciones  y</w:t>
        <w:br/>
        <w:t>Costas. Sentencia de 20 de noviembre de 2013. Serie C No. 270, párr. 224.</w:t>
        <w:br/>
        <w:t>[237] Caso Durand y Ugarte Vs. Perú. Fondo. Sentencia de 16 de  agosto  de</w:t>
        <w:br/>
        <w:t>2000. Serie C No. 68, párr. 122, y Caso Mendoza y otros, supra, párr. 214.</w:t>
        <w:br/>
        <w:t>[238] Caso de la “Panel Blanca” (Paniagua Morales y Otros) Vs.  Guatemala.</w:t>
        <w:br/>
        <w:t>Fondo. Sentencia de 8 de marzo de 1998. Serie C No. 37, párr. 91,  y  Caso</w:t>
        <w:br/>
        <w:t>J., supra, párr. 305.</w:t>
        <w:br/>
        <w:t>[239] Cfr. Caso Velásquez Rodríguez. Fondo, supra, párr. 173, y Caso  Luna</w:t>
        <w:br/>
        <w:t>López, supra, párr. 118.</w:t>
        <w:br/>
        <w:t>[240]  Observaciones  finales  del  Comité  de  los  Derechos  del   Niño:</w:t>
        <w:br/>
        <w:t>Guatemala. 27º período de sesiones. CRC/C/15/Add.154, 9 de julio de  2001,</w:t>
        <w:br/>
        <w:t>párrs. 30 y 31.</w:t>
        <w:br/>
        <w:t>[241]CIDH, Informe de seguimiento sobre el cumplimiento por el  Estado  de</w:t>
        <w:br/>
        <w:t>Guatemala de las recomendaciones efectuadas por la Comisión en  el  quinto</w:t>
        <w:br/>
        <w:t>informe sobre la situación de los derechos humanos en Guatemala, de 18  de</w:t>
        <w:br/>
        <w:t>diciembre de 2002, párr. 53.</w:t>
        <w:br/>
        <w:t>[242] Frente a la consulta hecha por MESECVI de si “¿[s]e  ha  establecido</w:t>
        <w:br/>
        <w:t>un  mecanismo  a  nivel  nacional  para  hacer  el   seguimiento   de   la</w:t>
        <w:br/>
        <w:t>implementación de la Convención Belém Do Pará?”,  el  Estado  informó  que</w:t>
        <w:br/>
        <w:t>“[d]e conformidad con el artículo 13 de la Ley para Prevenir, Erradicar  y</w:t>
        <w:br/>
        <w:t>Sancionar la Violencia Intrafamiliar decreto  97-96  del  Congreso  de  la</w:t>
        <w:br/>
        <w:t>República, corresponde a la Procuraduría General de la Nación  vigilar  el</w:t>
        <w:br/>
        <w:t>cumplimiento de la Convención Interamericana para  Prevenir,  Sancionar  y</w:t>
        <w:br/>
        <w:t>Erradicar la Violencia contra la Mujer. De  conformidad  con  el  artículo</w:t>
        <w:br/>
        <w:t>literal c) del reglamento de la Ley para Prevenir, Erradicar  y  Sancionar</w:t>
        <w:br/>
        <w:t>la  Violencia  Intrafamiliar  acuerdo   gubernativo   N°   831-2000,   son</w:t>
        <w:br/>
        <w:t>atribuciones  de  la  Coordinadora  Nacional  para  la  Prevención  de  la</w:t>
        <w:br/>
        <w:t>Violencia Intrafamiliar  y  contra  la  Mujer  [(CONAPREVI)],  vigilar  el</w:t>
        <w:br/>
        <w:t>cumplimiento de la Convención Interamericana para  Prevenir,  Sancionar  y</w:t>
        <w:br/>
        <w:t>Erradicar la Violencia contra la Mujer”. Convención Belém do Pará. MESECVI-</w:t>
        <w:br/>
        <w:t>II/doc.31/08. Segunda Conferencia de Estados Parte. 24 de junio  de  2008.</w:t>
        <w:br/>
        <w:t>Doc. OEA/Ser.L/II.7.10, págs. 56 y 57.</w:t>
        <w:br/>
        <w:t>[243] El Comité de los Derechos del Niño ha dicho que la aplicación de  la</w:t>
        <w:br/>
        <w:t>Convención de los Derechos del Niño requiere una “vigilancia rigurosa”  e,</w:t>
        <w:br/>
        <w:t>inter alia, la  elaboración  de  elaborar  una  “estrategia  nacional  […]</w:t>
        <w:br/>
        <w:t>fundada en los derechos  y basada en [esa]  Convención”,  y  que  “[dicha]</w:t>
        <w:br/>
        <w:t>estrategia deberá incluir disposiciones para la supervisión  y  el  examen</w:t>
        <w:br/>
        <w:t>continuo, para la  actualización  periódica  y  para  la  presentación  de</w:t>
        <w:br/>
        <w:t>informes periódicos al parlamento y a la población”. También ha  expresado</w:t>
        <w:br/>
        <w:t>que “[l]a  reunión  de  datos  suficientes  y  fiables  sobre  los  niños,</w:t>
        <w:br/>
        <w:t>desglosados para poder determinar si hay discriminaciones  o  disparidades</w:t>
        <w:br/>
        <w:t>en la realización de sus derechos es parte esencial de la aplicación  [del</w:t>
        <w:br/>
        <w:t>tratado]”. Comité sobre los Derechos del Niño. Observación General No.  5:</w:t>
        <w:br/>
        <w:t>Medidas generales de aplicación. UN Doc. CRC/GC/2003/5, 27 de noviembre de</w:t>
        <w:br/>
        <w:t>2003, párrs. 27, 28, 33 y 48. Luego, el  5  de  junio  2000,  la  Asamblea</w:t>
        <w:br/>
        <w:t>General de Naciones Unidas estableció  un  Comité  Especial  Plenario  que</w:t>
        <w:br/>
        <w:t>examinó la evaluación de los progresos alcanzados en la aplicación  de  la</w:t>
        <w:br/>
        <w:t>Plataforma  de  Acción  de  Beijing.  El  mismo  reafirmó  los  postulados</w:t>
        <w:br/>
        <w:t>adoptados en Beijing e indicó que los gobiernos deben “[s]eguir realizando</w:t>
        <w:br/>
        <w:t>investigaciones  para  lograr  una  mejor  comprensión   de   las   causas</w:t>
        <w:br/>
        <w:t>fundamentales de todas las formas de violencia contra la mujer, a  fin  de</w:t>
        <w:br/>
        <w:t>formular  programas  y  tomar  medidas  para  eliminar  esas   formas   de</w:t>
        <w:br/>
        <w:t>violencia”. Informe del  Comité  Especial  Plenario  del  vigésimo  tercer</w:t>
        <w:br/>
        <w:t>período extraordinario  de  sesiones  de  la  Asamblea  General.  Asamblea</w:t>
        <w:br/>
        <w:t>General. Documentos oficiales. Vigésimo tercer período  extraordinario  de</w:t>
        <w:br/>
        <w:t>sesiones. Suplemento No. 3 (A/S-23/10/Rev.1).</w:t>
        <w:br/>
        <w:t>[244] Al respecto, el Mecanismo de Seguimiento de la Convención  de  Belém</w:t>
        <w:br/>
        <w:t>do Pará (MESECVI), ha  aseverado  sobre  Guatemala,  en  relación  con  el</w:t>
        <w:br/>
        <w:t>monitoreo de la implementación de la Convención de  Belém  do  Pará   que:</w:t>
        <w:br/>
        <w:t>“[e]l mayor obstáculo radica en que la información sobre el rubro no  está</w:t>
        <w:br/>
        <w:t>organizada como lo solicita el Mecanismo; sobre todo en la  primera  parte</w:t>
        <w:br/>
        <w:t>del apartado de Información y Estadística, donde se disparan las  cifras”.</w:t>
        <w:br/>
        <w:t>Expresó también que, al ser preguntado  por  el  “[f]emicidio”,  Guatemala</w:t>
        <w:br/>
        <w:t>remitió un “informe [que] presenta  una  tabla  estadística  por  tipo  de</w:t>
        <w:br/>
        <w:t>delito -cuyas cifras parecen muy bajas respecto a la realidad-, en la  que</w:t>
        <w:br/>
        <w:t>no aparecen los asesinatos de mujeres o femicidios. En prácticamente todos</w:t>
        <w:br/>
        <w:t>los casos, las instancias no reportan los datos solicitados;  manifestando</w:t>
        <w:br/>
        <w:t>que poseen la información pero no está  procesada;  o  poseen  información</w:t>
        <w:br/>
        <w:t>procesada pero no es pública”. Convención Belém do Pará (MESECVI). MESECVI-</w:t>
        <w:br/>
        <w:t>II/doc.31/08. Segunda Conferencia de Estados Parte, supra, págs. 56 y 57.</w:t>
        <w:br/>
        <w:t>[245] Cabe hacer notar que en 1994 el Comité  de  los  Derechos  del  Niño</w:t>
        <w:br/>
        <w:t>elaboró directrices para la presentación de informes en 1994 por parte  de</w:t>
        <w:br/>
        <w:t>los Estados. Cfr. Comité de los Derechos  del  Niño.  Séptimo  período  de</w:t>
        <w:br/>
        <w:t>sesiones. “Panorama general del procedimiento de elaboración de informes”.</w:t>
        <w:br/>
        <w:t>UN Doc. CRC/C/33. 24 de octubre de 1994. El  mismo  Comité,  en  julio  de</w:t>
        <w:br/>
        <w:t>2001, expresó respecto a Guatemala “preocupación porque se sigue reuniendo</w:t>
        <w:br/>
        <w:t>datos relativos principalmente a la salud y la educación y no a todas  las</w:t>
        <w:br/>
        <w:t>esferas  que  abarca  la  Convención  [sobre  los   Derechos   del   Niño.</w:t>
        <w:br/>
        <w:t>R]ecom[e]nd[ó a]l Estado Parte [que] siga elaborando un  sistema  para  la</w:t>
        <w:br/>
        <w:t>reunión de datos y de  indicadores  desglosados  por  sexo,  edad,  grupos</w:t>
        <w:br/>
        <w:t>indígenas y minoritarios, y por zona urbana o rural, que tenga  en  cuenta</w:t>
        <w:br/>
        <w:t>las disposiciones de la Convención [sobre  los  Derechos  del  Niño].  Ese</w:t>
        <w:br/>
        <w:t>sistema debería incluir a todos los menores de 18 años y prestar  especial</w:t>
        <w:br/>
        <w:t>atención a los niños especialmente vulnerable”. Observaciones finales  del</w:t>
        <w:br/>
        <w:t>Comité de los Derechos del  Niño:  Guatemala.  27º  período  de  sesiones,</w:t>
        <w:br/>
        <w:t>09/07/2001. CRC/C/15/Add. 154, párrs. 30 y 31.</w:t>
        <w:br/>
        <w:t>[246] En ese sentido, la Corte ha señalado que luego de  una  denuncia  de</w:t>
        <w:br/>
        <w:t>desaparición o secuestro, los Estados deben actuar con  prontitud  en  las</w:t>
        <w:br/>
        <w:t>primeras horas y días. Cfr. Caso González y  otras  (“Campo  Algodonero”),</w:t>
        <w:br/>
        <w:t>supra, párr. 284, y Caso Palma Mendoza  y  otros  Vs.  Ecuador.  Excepción</w:t>
        <w:br/>
        <w:t>Preliminar y Fondo. Sentencia de 3 de septiembre de 2012. Serie C No. 247,</w:t>
        <w:br/>
        <w:t>párr. 91.</w:t>
        <w:br/>
        <w:t>[247]  En tal sentido, la Corte ha expresado que “[l]os Estados Partes  se</w:t>
        <w:br/>
        <w:t>comprometen a asegurar al  niño  la  protección  y  el  cuidado  que  sean</w:t>
        <w:br/>
        <w:t>necesarios para su bienestar, teniendo en cuenta los derechos y deberes de</w:t>
        <w:br/>
        <w:t>sus padres, tutores u otras personas responsables de él ante la ley y, con</w:t>
        <w:br/>
        <w:t>ese  fin,  tomarán  todas  las  medidas  legislativas  y   administrativas</w:t>
        <w:br/>
        <w:t>adecuadas”. Cfr. Condición Jurídica y Derechos Humanos  del  Niño,  supra,</w:t>
        <w:br/>
        <w:t>párr. 63.2.</w:t>
        <w:br/>
        <w:t>[248] El Tribunal  ha  indicado  que  “[e]n  principio,  la  familia  debe</w:t>
        <w:br/>
        <w:t>proporcionar la mejor protección de los niños contra el abuso, el descuido</w:t>
        <w:br/>
        <w:t>y la explotación. Y el Estado se halla obligado […]  a  favorecer,  de  la</w:t>
        <w:br/>
        <w:t>manera más amplia, el desarrollo y la fortaleza del núcleo  familiar”.  No</w:t>
        <w:br/>
        <w:t>obstante, en la misma oportunidad, la Corte aseveró que también el  Estado</w:t>
        <w:br/>
        <w:t>debe “disponer y ejecutar directamente medidas de protección de los niños.</w:t>
        <w:br/>
        <w:t>Cfr. Condición Jurídica y Derechos Humanos del Niño. Opinión Consultiva OC-</w:t>
        <w:br/>
        <w:t>17/07, supra, párr. 66.</w:t>
        <w:br/>
        <w:t>[249] El artículo 8.1 de la Convención dispone que:</w:t>
        <w:br/>
        <w:t>Toda persona tiene derecho a ser oída, con las debidas garantías y  dentro</w:t>
        <w:br/>
        <w:t>de un plazo razonable, por un juez o tribunal competente, independiente  e</w:t>
        <w:br/>
        <w:t>imparcial, establecido con anterioridad a la ley, en la  sustanciación  de</w:t>
        <w:br/>
        <w:t>cualquier acusación penal formulada contra ella, o para  la  determinación</w:t>
        <w:br/>
        <w:t>de sus derechos y obligaciones  de  orden  civil,  laboral,  fiscal  o  de</w:t>
        <w:br/>
        <w:t>cualquier otro carácter.</w:t>
        <w:br/>
        <w:t>[250]  El artículo 25.1 de la Convención establece:</w:t>
        <w:br/>
        <w:t>Toda persona tiene derecho a un recurso sencillo y rápido  o  a  cualquier</w:t>
        <w:br/>
        <w:t>otro recurso  efectivo  ante  los  jueces o tribunales competentes, que la</w:t>
        <w:br/>
        <w:t>ampare contra actos que violen sus derechos fundamentales reconocidos  por</w:t>
        <w:br/>
        <w:t>la  Constitución,  la  ley  o  la  presente  Convención,  aun  cuando  tal</w:t>
        <w:br/>
        <w:t>violación sea cometida  por  personas  que  actúen  en  ejercicio  de  sus</w:t>
        <w:br/>
        <w:t>funciones oficiales.</w:t>
        <w:br/>
        <w:t>[251] Entre otros, referentes fallas  en  el  acta  de  levantamiento  del</w:t>
        <w:br/>
        <w:t>cuerpo, en la inspección ocular en la que se  indica  que  la  escena  del</w:t>
        <w:br/>
        <w:t>crimen ya había sido contaminada, que no se hizo con minuciosidad,  omiten</w:t>
        <w:br/>
        <w:t>detalles de cómo se encontró el cadáver, del estado de la ropa, si en ella</w:t>
        <w:br/>
        <w:t>habían manchas de sangre, cabellos, fibras, hilos u otras  pistas,  no  se</w:t>
        <w:br/>
        <w:t>establece si se examinó el lugar en busca  de  huellas  o  cualquier  otra</w:t>
        <w:br/>
        <w:t>evidencia relevante, no se detalla las acciones de los investigadores y la</w:t>
        <w:br/>
        <w:t>disposición de la  evidencia  recolectada,  se  documentó  en  el  informe</w:t>
        <w:br/>
        <w:t>policía que había una bolsa de plástico grande, pero no fue reportada  por</w:t>
        <w:br/>
        <w:t>la auxiliar fiscal, no se respetó la cadena  de  custodia  de  la  prueba,</w:t>
        <w:br/>
        <w:t>respecto a la posición de cadáver hay deficiencias  en  su  descripción  y</w:t>
        <w:br/>
        <w:t>omisiones, la necropsia fue realizada de manera incompleta, no se consigna</w:t>
        <w:br/>
        <w:t>la forma, lugar y hora de la muerte, no se preservan evidencias en caso de</w:t>
        <w:br/>
        <w:t>sospecha de violencia sexual, no se da seguimiento a la llamada  realizada</w:t>
        <w:br/>
        <w:t>por un informante anónimo que aportó datos sobre el asesinato, y  que  fue</w:t>
        <w:br/>
        <w:t>hasta el 18 de julio  de  2003  que  se  realizó  un  allanamiento  en  un</w:t>
        <w:br/>
        <w:t>inmueble, en cuanto al reporte de llamadas del teléfono que portaba  María</w:t>
        <w:br/>
        <w:t>Isabel no fue analizado diligentemente, y no se  obtuvieron  declaraciones</w:t>
        <w:br/>
        <w:t>de los testigos de manera pronta.</w:t>
        <w:br/>
        <w:t>[252] A saber: la Comisión Interamericana  de  Mujeres  (CIM),  el  Centro</w:t>
        <w:br/>
        <w:t>Internacional para la Reforma del Derecho Penal y la Política  en  Materia</w:t>
        <w:br/>
        <w:t>de Justicia Penal (ICCLR) y el programa de Justicia y Género del Instituto</w:t>
        <w:br/>
        <w:t>Latinoamericano de las Naciones Unidas para la Prevención del Delito y  el</w:t>
        <w:br/>
        <w:t>Tratamiento del Delincuente (ILANUD), y Amnistía Internacional.</w:t>
        <w:br/>
        <w:t>[253] La representante no hizo un análisis individual del artículo 7 de la</w:t>
        <w:br/>
        <w:t>Convención de Belém do Pará, sino que se refirió a este  en  conjunto  con</w:t>
        <w:br/>
        <w:t>varios artículos de la Convención Americana.</w:t>
        <w:br/>
        <w:t>[254] El artículo 1 de la Convención Belém do  Pará  define  la  violencia</w:t>
        <w:br/>
        <w:t>contra la mujer como “cualquier acción o conducta, basada  en  su  género,</w:t>
        <w:br/>
        <w:t>que cause muerte, daño o sufrimiento físico, sexual  o  psicológico  a  la</w:t>
        <w:br/>
        <w:t>mujer, tanto en el ámbito público como en el privado”. La Corte indicó que</w:t>
        <w:br/>
        <w:t>“[e]l CEDAW […] ha señalado que ‘[l]a violencia contra  la  mujer  es  una</w:t>
        <w:br/>
        <w:t>forma de discriminación que impide  gravemente  que  goce  de  derechos  y</w:t>
        <w:br/>
        <w:t>libertades en pie de igualdad con  el  hombre’”.  Caso  González  y  otras</w:t>
        <w:br/>
        <w:t>(“Campo Algodonero”), supra, párrs.  143,  401  y  395.  Por  otra  parte,</w:t>
        <w:br/>
        <w:t>también señaló este Tribunal que “no toda violación de un  derecho  humano</w:t>
        <w:br/>
        <w:t>cometida en perjuicio de una mujer conlleva necesariamente  una  violación</w:t>
        <w:br/>
        <w:t>de las disposiciones de la Convención de Belém do Pará”. Caso Ríos y otros</w:t>
        <w:br/>
        <w:t>Vs. Venezuela. Excepciones Preliminares,  Fondo,  Reparaciones  y  Costas.</w:t>
        <w:br/>
        <w:t>Sentencia de 28 de enero de 2009. Serie C No. 194, párr. 279. De  ello  no</w:t>
        <w:br/>
        <w:t>se desprende que, en relación con la  investigación  de  hechos  cometidos</w:t>
        <w:br/>
        <w:t>contra mujeres, la aplicación de la Convención de Belém do Pará dependa de</w:t>
        <w:br/>
        <w:t>un grado  absoluto  de  certeza  sobre  si  el  hecho  a  ser  investigado</w:t>
        <w:br/>
        <w:t>constituyó o no violencia  contra  la  mujer  en  los  términos  de  dicha</w:t>
        <w:br/>
        <w:t>Convención. Al respecto, debe resaltarse que es mediante  el  cumplimiento</w:t>
        <w:br/>
        <w:t>del deber de investigar establecido en el artículo 7 de la  Convención  de</w:t>
        <w:br/>
        <w:t>Belém do Pará que, en diversos casos, podrá  arribarse  a  la  certidumbre</w:t>
        <w:br/>
        <w:t>sobre si el acto investigado constituyó o no violencia contra la mujer. El</w:t>
        <w:br/>
        <w:t>cumplimiento de tal deber no puede, por tanto, hacerse depender  de  dicha</w:t>
        <w:br/>
        <w:t>certidumbre. Basta entones, a efectos de hacer  surgir  la  obligación  de</w:t>
        <w:br/>
        <w:t>investigar en los términos de la Convención de Belém do Pará, que el hecho</w:t>
        <w:br/>
        <w:t>en cuestión, en su materialidad, presente características que,  apreciadas</w:t>
        <w:br/>
        <w:t>razonablemente, indiquen la posibilidad de que el mismo  se  trate  de  un</w:t>
        <w:br/>
        <w:t>hecho de violencia contra la mujer.</w:t>
        <w:br/>
        <w:t>[255] Cfr. Caso Velásquez Rodríguez. Fondo, supra, párrs. 127, 128 y  129,</w:t>
        <w:br/>
        <w:t>y Caso J., supra, párr. 305.</w:t>
        <w:br/>
        <w:t>[256] Cfr. Responsabilidad Internacional por Expedición  y  Aplicación  de</w:t>
        <w:br/>
        <w:t>Leyes Violatorias de la Convención (arts. 1 y 2 Convención Americana Sobre</w:t>
        <w:br/>
        <w:t>Derechos Humanos). Opinión Consultiva OC-14/94 del 9 de diciembre de 1994.</w:t>
        <w:br/>
        <w:t>Serie A No. 14, párr. 35, y Caso J., supra, párr. 349.</w:t>
        <w:br/>
        <w:t>[257] Cfr. Caso Velásquez Rodríguez. Fondo, supra, párrs.  166  y  176,  y</w:t>
        <w:br/>
        <w:t>Caso Luna López, supra, párr. 153.</w:t>
        <w:br/>
        <w:t>[258] Cfr. Caso Velásquez Rodríguez.  Fondo,  supra,  párr.  177,  y  Caso</w:t>
        <w:br/>
        <w:t>Osorio Rivera y Familiares  Vs.  Perú.  Excepciones  Preliminares,  Fondo,</w:t>
        <w:br/>
        <w:t>Reparaciones y Costas. Sentencia de 26 de noviembre de 2013. Serie  C  No.</w:t>
        <w:br/>
        <w:t>274, párr. 178.</w:t>
        <w:br/>
        <w:t>[259] Cfr.  Caso  de  la  "Masacre  de  Mapiripán"  Vs.  Colombia.  Fondo,</w:t>
        <w:br/>
        <w:t>Reparaciones y Costas. Sentencia de 15 de septiembre de 2005. Serie C  No.</w:t>
        <w:br/>
        <w:t>134, párrs. 219, 222 y 223, y Caso J., supra, párr. 342.</w:t>
        <w:br/>
        <w:t>[260] Cfr. Caso de  las  Masacres  de  Ituango,  supra,  párr.  319;  Caso</w:t>
        <w:br/>
        <w:t>González y otras (“Campo Algodonero”), supra, párr. 289, y Caso  García  y</w:t>
        <w:br/>
        <w:t>Familiares Vs. Guatemala. Fondo Reparaciones y  Costas.  Sentencia  de  29</w:t>
        <w:br/>
        <w:t>noviembre de 2012 Serie C No. 258, párr. 132.</w:t>
        <w:br/>
        <w:t>[261] Cfr. Caso Velásquez Rodríguez. Fondo, supra, párr. 177, y Caso  Luna</w:t>
        <w:br/>
        <w:t>López, supra, párr. 155.</w:t>
        <w:br/>
        <w:t>[262] Cfr. Caso de los “Niños de la Calle” (Villagrán  Morales  y  otros).</w:t>
        <w:br/>
        <w:t>Fondo, supra, párr. 227, y Caso Luna López, supra, párr. 155.</w:t>
        <w:br/>
        <w:t>[263] Cfr. Caso García Prieto y Otros, supra, párr. 104, y Caso Mendoza  y</w:t>
        <w:br/>
        <w:t>otros, supra, párr. 217.</w:t>
        <w:br/>
        <w:t>[264] Cfr. Caso Fernández  Ortega  y  otros,  supra,  párr.  193,  y  Caso</w:t>
        <w:br/>
        <w:t>Masacres de El Mozote y lugares aledaños, supra, párr. 243.</w:t>
        <w:br/>
        <w:t>[265] Cfr. Caso Fernández Ortega y otros, supra, párr.  193,  y  Caso  J.,</w:t>
        <w:br/>
        <w:t>supra, párr. 350.</w:t>
        <w:br/>
        <w:t>[266] Cfr. Caso del Penal Miguel Castro Castro, supra, párr. 344,  y  Caso</w:t>
        <w:br/>
        <w:t>González y otras (“Campo Algodonero”), supra, párr. 287.</w:t>
        <w:br/>
        <w:t>[267] Cfr. Caso del Penal Miguel Castro Castro, supra, párr. 378,  y  Caso</w:t>
        <w:br/>
        <w:t>J., supra, párr. 342.</w:t>
        <w:br/>
        <w:t>[268] Cfr. Caso Fernández Ortega y otros, supra, párr.  193,  y  Caso  J.,</w:t>
        <w:br/>
        <w:t>supra, párr. 342.</w:t>
        <w:br/>
        <w:t>[269] Cfr. Caso González y otras (“Campo Algodonero”), supra, párr. 293.</w:t>
        <w:br/>
        <w:t>[270] Cfr. Caso González y otras (“Campo Algodonero”), supra, párr. 293.</w:t>
        <w:br/>
        <w:t>[271] Cfr. Caso Fernández Ortega y otros, supra, párr.  194,  y  Caso  J.,</w:t>
        <w:br/>
        <w:t>supra, párr. 344.</w:t>
        <w:br/>
        <w:t>[272] Cfr. Caso González y otras (“Campo Algodonero”), supra, párr. 310, y</w:t>
        <w:br/>
        <w:t>Manual  sobre  la  Prevención  e  Investigación  Efectiva  de  Ejecuciones</w:t>
        <w:br/>
        <w:t>Extrajudiciales, Arbitrarias y Sumarias de Naciones Unidas  (Protocolo  de</w:t>
        <w:br/>
        <w:t>Minnesota), UN Doc. E/ST/CSDHA/.12 (1991).</w:t>
        <w:br/>
        <w:t>[273] Cfr. Caso González y otras (“Campo Algodonero”), supra, párr. 455.</w:t>
        <w:br/>
        <w:t>[274] Cfr. Caso González y otras (“Campo Algodonero”), supra,  párr.  388.</w:t>
        <w:br/>
        <w:t>Ello puede realizarse mediante la estandarización de protocolos, manuales,</w:t>
        <w:br/>
        <w:t>servicios  periciales  y  de  impartición  de  justicia,  utilizados  para</w:t>
        <w:br/>
        <w:t>investigar  todos  los  delitos  que  se  relacionen  con  desapariciones,</w:t>
        <w:br/>
        <w:t>violencia  sexual  y  homicidio  de  mujeres,  conforme  al  Protocolo  de</w:t>
        <w:br/>
        <w:t>Estambul, el Manual  sobre  la  Prevención  e  Investigación  Efectiva  de</w:t>
        <w:br/>
        <w:t>Ejecuciones Extrajudiciales, Arbitrarias y Sumarias de Naciones  Unidas  y</w:t>
        <w:br/>
        <w:t>los estándares internacionales de búsqueda de personas desaparecidas,  con</w:t>
        <w:br/>
        <w:t>base en una perspectiva de género.</w:t>
        <w:br/>
        <w:t>[275] Cfr. Caso Servellón García y otros Vs. Honduras. Fondo, Reparaciones</w:t>
        <w:br/>
        <w:t>y Costas. Sentencia de 21 de septiembre de 2006. Serie C  No.  152,  párr.</w:t>
        <w:br/>
        <w:t>120; Caso González y otras (“Campo Algodonero”), supra, párr. 300, y  Caso</w:t>
        <w:br/>
        <w:t>Luna López, supra, párr. 159.</w:t>
        <w:br/>
        <w:t>[276] Cfr. Caso Juan Humberto Sánchez Vs. Honduras. Excepción  Preliminar,</w:t>
        <w:br/>
        <w:t>Fondo, Reparaciones y Costas. Sentencia de 7 de junio de 2003. Serie C No.</w:t>
        <w:br/>
        <w:t>99, párr. 127; Caso González y otras (“Campo  Algodonero”),  supra,  párr.</w:t>
        <w:br/>
        <w:t>300, y Caso Luna López, supra, nota al pie de página 256.</w:t>
        <w:br/>
        <w:t>[277] Cfr. Caso Myrna Mack Chang  Vs.  Guatemala.  Fondo,  Reparaciones  y</w:t>
        <w:br/>
        <w:t>Costas. Sentencia de 25 de noviembre de 2003. Serie C No. 101, párr.  166,</w:t>
        <w:br/>
        <w:t>y Caso Luna López, supra, párr. 164.</w:t>
        <w:br/>
        <w:t>[278]  Cfr.  Manual  sobre  la  Prevención  e  Investigación  Efectiva  de</w:t>
        <w:br/>
        <w:t>Ejecuciones Extrajudiciales, Arbitrarias y  Sumarias  de  Naciones  Unidas</w:t>
        <w:br/>
        <w:t>(Protocolo  de  Minnesota),  supra,  y  Caso  González  y  otras   (“Campo</w:t>
        <w:br/>
        <w:t>Algodonero”), supra, párr. 301.</w:t>
        <w:br/>
        <w:t>[279] Oficina del  Alto  Comisionado  de  las  Naciones  Unidas  para  los</w:t>
        <w:br/>
        <w:t>Derechos Humanos. Protocolo  Modelo  para  la   investigación  forense  de</w:t>
        <w:br/>
        <w:t>muertes sospechosas de haberse producido por  violación  de  los  derechos</w:t>
        <w:br/>
        <w:t>humanos. Proyecto MEX/00/AH/10, pág. 40.</w:t>
        <w:br/>
        <w:t>[280]  Cfr.  Manual  sobre  la  Prevención  e  Investigación  Efectiva  de</w:t>
        <w:br/>
        <w:t>Ejecuciones Extrajudiciales, Arbitrarias y  Sumarias  de  Naciones  Unidas</w:t>
        <w:br/>
        <w:t>(Protocolo  de  Minnesota),  supra,  y  Caso  González  y  otras   (“Campo</w:t>
        <w:br/>
        <w:t>Algodonero”), supra, párr. 301.</w:t>
        <w:br/>
        <w:t>[281]  Cfr.  Manual  sobre  la  Prevención  e  Investigación  Efectiva  de</w:t>
        <w:br/>
        <w:t>Ejecuciones Extrajudiciales, Arbitrarias y  Sumarias  de  Naciones  Unidas</w:t>
        <w:br/>
        <w:t>(Protocolo de Minnesota), supra, y Oficina del  Alto  Comisionado  de  las</w:t>
        <w:br/>
        <w:t>Naciones Unidas para  los  Derechos  Humanos.  Protocolo  Modelo  para  la</w:t>
        <w:br/>
        <w:t>investigación forense de muertes  sospechosas  de  haberse  producido  por</w:t>
        <w:br/>
        <w:t>violación de los derechos humanos, supra.</w:t>
        <w:br/>
        <w:t>[282]  Cfr.  Manual  sobre  la  Prevención  e  Investigación  Efectiva  de</w:t>
        <w:br/>
        <w:t>Ejecuciones Extrajudiciales, Arbitrarias y  Sumarias  de  Naciones  Unidas</w:t>
        <w:br/>
        <w:t>(Protocolo de Minnesota), supra.</w:t>
        <w:br/>
        <w:t>[283]  Cfr.  Manual  sobre  la  Prevención  e  Investigación  Efectiva  de</w:t>
        <w:br/>
        <w:t>Ejecuciones Extrajudiciales, Arbitrarias y  Sumarias  de  Naciones  Unidas</w:t>
        <w:br/>
        <w:t>(Protocolo  de  Minnesota),  supra,  y  Caso  González  y  otras   (“Campo</w:t>
        <w:br/>
        <w:t>Algodonero”), supra, párr. 305.</w:t>
        <w:br/>
        <w:t>[284] Cfr. Caso González y otras (“Campo Algodonero”), supra, párr. 305.</w:t>
        <w:br/>
        <w:t>[285]  Cfr.  Manual  sobre  la  Prevención  e  Investigación  Efectiva  de</w:t>
        <w:br/>
        <w:t>Ejecuciones Extrajudiciales, Arbitrarias y  Sumarias  de  Naciones  Unidas</w:t>
        <w:br/>
        <w:t>(Protocolo  de  Minnesota),  supra;  y  Caso  González  y  otras   (“Campo</w:t>
        <w:br/>
        <w:t>Algodonero”), supra, párr. 310, y Caso Luna López, supra, nota al  pie  de</w:t>
        <w:br/>
        <w:t>página 261.</w:t>
        <w:br/>
        <w:t>[286] Caso de los “Niños de la Calle” (Villagrán Morales y otros).  Fondo,</w:t>
        <w:br/>
        <w:t>supra, párr. 349.</w:t>
        <w:br/>
        <w:t>[287] En la inspección ocular que se realizó el 18 de diciembre  de  2001,</w:t>
        <w:br/>
        <w:t>el técnico determinó que se procesó y contaminó la escena  del  crimen  al</w:t>
        <w:br/>
        <w:t>momento de su inspección. Cfr. Inspección ocular emitida por técnico de la</w:t>
        <w:br/>
        <w:t>Sección de Inspecciones Oculares del Servicio de Investigación Criminal de</w:t>
        <w:br/>
        <w:t>la Policía Nacional Civil, supra. El perito José  Mario  Nájera  Ochoa  se</w:t>
        <w:br/>
        <w:t>refirió a como se llevaban a cabo las diligencias forenses, y señaló  que:</w:t>
        <w:br/>
        <w:t>a) se recibe la noticia criminis por parte del Ministerio Público  (en  la</w:t>
        <w:br/>
        <w:t>unidad de monitorio en el caso del área metropolitana o directamente a  la</w:t>
        <w:br/>
        <w:t>fiscalía en las fiscalías distritales), y b) el equipo acude a  la  escena</w:t>
        <w:br/>
        <w:t>del crimen, cuando lo hacen ya se  han  hecho  presentes  otras  personas,</w:t>
        <w:br/>
        <w:t>bomberos,  policías,  etc.,  quienes  en  la  mayoría  de  las   ocasiones</w:t>
        <w:br/>
        <w:t>contaminan el lugar del hecho. Cfr. Declaración pericial rendida por  José</w:t>
        <w:br/>
        <w:t>Mario Nájera Ochoa, supra.</w:t>
        <w:br/>
        <w:t>[288] El 27 de febrero de 2006 el Auxiliar Fiscal I de la Agencia No. 5 de</w:t>
        <w:br/>
        <w:t>Mixco dirigió un oficio al médico  forense  del  Organismo  Judicial,  que</w:t>
        <w:br/>
        <w:t>practicó la autopsia, en el cual indicó que cuando se elaboró el  acta  de</w:t>
        <w:br/>
        <w:t>levantamiento “no se solicitó que a la occisa se le practicara el hisopado</w:t>
        <w:br/>
        <w:t>vaginal y anal ni el raspado de uñas”, y le preguntó que si lo realizan de</w:t>
        <w:br/>
        <w:t>oficio, a lo  cual  contestó  negativamente,  e  indicó  que  no  les  fue</w:t>
        <w:br/>
        <w:t>requerido. Cfr. Oficio emitido por la Auxiliar Fiscal I de la Agencia  No.</w:t>
        <w:br/>
        <w:t>5 de Mixco dirigido al Médico Forense, supra. Además, el 2  de  agosto  de</w:t>
        <w:br/>
        <w:t>2011 el Auxiliar  Fiscal  solicitó  una  interpretación  de  la  necropsia</w:t>
        <w:br/>
        <w:t>realizada al médico forense que la firmó y el 4  de  agosto  de  2011,  el</w:t>
        <w:br/>
        <w:t>mismo médico respondió “que no era posible pronunciarse sobre el momento y</w:t>
        <w:br/>
        <w:t>forma en que  falleció  la  víctima  a  partir  de  los  hallazgos  de  la</w:t>
        <w:br/>
        <w:t>necropsia” (supra párr.  111).  Cfr.  Oficio  de  solicitud  al  Jefe  del</w:t>
        <w:br/>
        <w:t>Instituto de Ciencias Forenses, supra, y peritaje rendido  por  el  perito</w:t>
        <w:br/>
        <w:t>profesional de la medicina del Instituto de Ciencias Forenses, supra.</w:t>
        <w:br/>
        <w:t>[289] Lo mismo es cierto para los casos de violencia y  violación  sexual,</w:t>
        <w:br/>
        <w:t>en los cuales no necesariamente se verá reflejada  la  ocurrencia  de  los</w:t>
        <w:br/>
        <w:t>mismos en un examen médico, ya que no todos los  casos  de  violación  y/o</w:t>
        <w:br/>
        <w:t>violación sexual ocasionan lesiones físicas o enfermedades verificables  a</w:t>
        <w:br/>
        <w:t>través de un examen médico. Cfr. Caso Fernández  Ortega  y  otros,  supra,</w:t>
        <w:br/>
        <w:t>párr. 124, y Caso J., supra, párr. 329.  Véase  también,  TEDH,  M.C.  Vs.</w:t>
        <w:br/>
        <w:t>Bulgaria, no. 39272/98, 4 de diciembre de 2003, párr. 166.</w:t>
        <w:br/>
        <w:t>[290] Cfr. Ampliación y conclusión de informe  rendida  por  el  Técnico  en</w:t>
        <w:br/>
        <w:t>Investigaciones Criminalísticas I, supra.</w:t>
        <w:br/>
        <w:t>[291] En relación con las diligencias efectuadas en el presente  caso,  el</w:t>
        <w:br/>
        <w:t>perito José Mario Nájera Ochoa en señaló que “durante el levantamiento del</w:t>
        <w:br/>
        <w:t>cadáver no estaba presente un [m]édico  [f]orense,  por  el  área  en  que</w:t>
        <w:br/>
        <w:t>ocurrió y en la fecha, no estaba asignado uno a la Fiscalía”. Cabe agregar</w:t>
        <w:br/>
        <w:t>que en su informe pericial manifestó que si no asiste un médico forense al</w:t>
        <w:br/>
        <w:t>levantamiento de cadáveres “cuando se efectúa la necropsia  médico  legal,</w:t>
        <w:br/>
        <w:t>el [m]édico [f]orense no cuenta con datos importantes, como  por  ejemplo:</w:t>
        <w:br/>
        <w:t>posición original del cuerpo, fenómenos  cadavéricos  presentes,  indicios</w:t>
        <w:br/>
        <w:t>y/o evidencias presentes, cantidad de sangre, datos que deben concatenarse</w:t>
        <w:br/>
        <w:t>para el dictamen final”. Opinó que “una de las  principales  limitaciones,</w:t>
        <w:br/>
        <w:t>que […] se presentan es que en el grupo que  efectúa  las  diligencias  de</w:t>
        <w:br/>
        <w:t>levantamiento de cadáveres no  está  incluido  un  médico  forense”.  Cfr.</w:t>
        <w:br/>
        <w:t>Declaración pericial rendida por José Mario Nájera Ochoa,  supra.  En  ese</w:t>
        <w:br/>
        <w:t>mismo sentido, el Estado reconoció que efectivamente en la  época  de  los</w:t>
        <w:br/>
        <w:t>hechos no existía médico forense en la fiscalía municipal  de  Mixco,  por</w:t>
        <w:br/>
        <w:t>eso “[a] falta de un forense en la  escena  del  crimen  (por  razones  de</w:t>
        <w:br/>
        <w:t>presupuesto)”,  el  Estado  “en  la  medida  de  sus  posibilidades  y  de</w:t>
        <w:br/>
        <w:t>conformidad con los procedimientos vigentes al momento de los hechos, hizo</w:t>
        <w:br/>
        <w:t>todo lo posible relativo al levantamiento del cadáver”.</w:t>
        <w:br/>
        <w:t>[292] Por ejemplo, en el acta  de  levantamiento  del  cadáver  de  18  de</w:t>
        <w:br/>
        <w:t>diciembre de 2001 elaborada por la Auxiliar Fiscal I de la Agencia  No.  5</w:t>
        <w:br/>
        <w:t>de Mixco se limita a hacer una descripción de las condiciones  físicas  de</w:t>
        <w:br/>
        <w:t>cómo se encontraba el cuerpo de la niña, la ropa que  llevaba  y  diversos</w:t>
        <w:br/>
        <w:t>objetos que se encontraban en los bolsillos  del  vestuario  (supra  párr.</w:t>
        <w:br/>
        <w:t>99). En el informe de inspección ocular no dice nada sobre la posición del</w:t>
        <w:br/>
        <w:t>cadáver, pero la Auxiliar Fiscal en  el  acta  describió  que  el  cadáver</w:t>
        <w:br/>
        <w:t>estaba en posición “de cúbico  ventral”  y  con  la  “cara  hacia  abajo”,</w:t>
        <w:br/>
        <w:t>mientras que en las fotografías respectivas el  cuerpo  aparece  sobre  la</w:t>
        <w:br/>
        <w:t>espalda (supra párr. 113). Además el técnico describe la cuerda  nylon  de</w:t>
        <w:br/>
        <w:t>colores “blanco, negro, café y verde”, pero la Auxiliar fiscal la describe</w:t>
        <w:br/>
        <w:t>de color “negra” (supra párr. 99).  Además, la  Auxiliar  Fiscal  describe</w:t>
        <w:br/>
        <w:t>que  “una  cortada  en  la  parte  superior  del  pabellón  de  la   oreja</w:t>
        <w:br/>
        <w:t>posiblemente  provocada  con   arma   blanca[,..]   mordí[s]cos   en   las</w:t>
        <w:br/>
        <w:t>extremidades superiores”, y “abundantes residuos de alimentos en la boca y</w:t>
        <w:br/>
        <w:t>nariz”, aspectos que no fueron descritos por el  técnico  que  realizó  la</w:t>
        <w:br/>
        <w:t>inspección ocular. Lo mismo sucede en relación  “con  la  bolsa  de  nylon</w:t>
        <w:br/>
        <w:t>grande color negro con dibujos de un canguro”; el técnico en el informe de</w:t>
        <w:br/>
        <w:t>la Inspección Ocular señala que “observó a 25 centímetros de la cabeza  de</w:t>
        <w:br/>
        <w:t>la occisa al [S]ur–[p]oniente, una bolsa de nylon grande color  negro  con</w:t>
        <w:br/>
        <w:t>dibujos de un canguro blanco”, y en el mismo indica que la Auxiliar fiscal</w:t>
        <w:br/>
        <w:t>dijo que “la tenía puesta […] en el rostro de  la  occisa”.  No  obstante,</w:t>
        <w:br/>
        <w:t>este Tribunal hace notar que lo anterior no fue mencionado por la Auxiliar</w:t>
        <w:br/>
        <w:t>fiscal en el acta de levantamiento del cadáver.  Por  otra  parte,  en  la</w:t>
        <w:br/>
        <w:t>inspección ocular se indicó que se realizaron las tomas fotográficas y  se</w:t>
        <w:br/>
        <w:t>elaboró un croquis del lugar. Dichas  tomas  fotográficas  constan  en  el</w:t>
        <w:br/>
        <w:t>reporte fotográfico número  1791-2001  de  la  PNC,  el  cual  contenía  8</w:t>
        <w:br/>
        <w:t>fotografías y consta de 4 páginas, que fue remitido  por  el  Servicio  de</w:t>
        <w:br/>
        <w:t>Inspecciones Oculares del Servicio de Investigación Criminal de la PNC  el</w:t>
        <w:br/>
        <w:t>3 de marzo de 2002. Sin embargo,  con  dicho  reporte  fotográfico  no  se</w:t>
        <w:br/>
        <w:t>acompañó el croquis mencionado en la inspección ocular del cadáver emitido</w:t>
        <w:br/>
        <w:t>por el técnico, de acuerdo a los expedientes  aportados  por  las  partes.</w:t>
        <w:br/>
        <w:t>Cfr. Inspección ocular emitida por técnico de la Sección  de  Inspecciones</w:t>
        <w:br/>
        <w:t>Oculares del Servicio de Investigación Criminal  de  la  Policía  Nacional</w:t>
        <w:br/>
        <w:t>Civil, supra; Acta de levantamiento de cadáver por la Auxiliar Fiscal I de</w:t>
        <w:br/>
        <w:t>la Agencia No. 5 de Mixco, supra, y Reportaje fotográfico  No.  4791-2001,</w:t>
        <w:br/>
        <w:t>supra.</w:t>
        <w:br/>
        <w:t>[293] Declaración de un agente de la Policía Nacional Civil de 21 de julio</w:t>
        <w:br/>
        <w:t>de 2009 (expediente de anexos al  escrito  de  solicitudes  y  argumentos,</w:t>
        <w:br/>
        <w:t>anexo 112, fs. 12,641 y 12,642).</w:t>
        <w:br/>
        <w:t>[294] Cfr. Oficio emitido por el Auxiliar Fiscal de la Agencia No.  1   de</w:t>
        <w:br/>
        <w:t>la Fiscalía Municipal de Mixco dirigido al Jefe de Bomberos Municipales de</w:t>
        <w:br/>
        <w:t>ciudad capital, supra.</w:t>
        <w:br/>
        <w:t>[295] Cfr. Informe del  Cuerpo  de  Bomberos,  de  27  de  julio  de  2009</w:t>
        <w:br/>
        <w:t>(expediente de anexos al escrito de solicitudes y argumentos,  anexo  114,</w:t>
        <w:br/>
        <w:t>f. 12,646).</w:t>
        <w:br/>
        <w:t>[296] Cfr. Oficio No. 1,131-2,001 emitido por el Jefe de  la  Sub-estación</w:t>
        <w:br/>
        <w:t>1651 de  la  Policía  Nacional  Civil  dirigido  al  Auxiliar  Fiscal  del</w:t>
        <w:br/>
        <w:t>Ministerio Público  del  Municipio  de  Mixco,  supra;  Inspección  ocular</w:t>
        <w:br/>
        <w:t>emitida por técnico de la Sección de Inspecciones Oculares del Servicio de</w:t>
        <w:br/>
        <w:t>Investigación Criminal de la Policía Nacional  Civil,  supra,  y  Acta  de</w:t>
        <w:br/>
        <w:t>levantamiento de cadáver por la Auxiliar Fiscal I de la Agencia No.  5  de</w:t>
        <w:br/>
        <w:t>Mixco, supra.</w:t>
        <w:br/>
        <w:t>[297] Como surge de los hechos, las pruebas no fueron requeridas y, al ser</w:t>
        <w:br/>
        <w:t>consultado, el médico forense interviniente expresó que no  se  realizaban</w:t>
        <w:br/>
        <w:t>de oficio (supra párr. 110).</w:t>
        <w:br/>
        <w:t>[298] Cfr. Declaración pericial  rendida  por  José  Mario  Nájera  Ochoa,</w:t>
        <w:br/>
        <w:t>supra.</w:t>
        <w:br/>
        <w:t>[299] El perito manifestó que entre las conclusiones se menciona  síndrome</w:t>
        <w:br/>
        <w:t>asfíctico y en  los  datos  del  levantamiento  del  cadáver  se  menciona</w:t>
        <w:br/>
        <w:t>“[p]resenta señales de ahorcamiento con una cuerda plástica color negra en</w:t>
        <w:br/>
        <w:t>el cuello”. Cfr. Declaración pericial rendida por José Mario Nájera Ochoa,</w:t>
        <w:br/>
        <w:t>supra.</w:t>
        <w:br/>
        <w:t>[300] Por su parte, la Federación Internacional de  los  Derechos  Humanos</w:t>
        <w:br/>
        <w:t>presentó en abril del 2006  su  Informe  de  la  Misión  Internacional  de</w:t>
        <w:br/>
        <w:t>Investigación, "El Feminicidio en México y Guatemala", en el  cual  señaló</w:t>
        <w:br/>
        <w:t>como ejemplo de  carencia  de  medios  técnicos  para  la  realización  de</w:t>
        <w:br/>
        <w:t>investigaciones efectivas  la  inexistencia  de  bases  para  cotejar  las</w:t>
        <w:br/>
        <w:t>huellas digitales, la ausencia de bases de datos para hacer comparación de</w:t>
        <w:br/>
        <w:t>pruebas de ADN entre otros. Señaló también que a pesar de la existencia de</w:t>
        <w:br/>
        <w:t>patrones en los cadáveres  de  mujeres  la  inexistencia  de  perfiles  de</w:t>
        <w:br/>
        <w:t>agresores impide hacer los cruces necesarios, y que una grave  deficiencia</w:t>
        <w:br/>
        <w:t>en la etapa investigativa consiste en que muchos casos cuando una mujer es</w:t>
        <w:br/>
        <w:t>encontrada asesinada, no se le practican exámenes para  establecer  si  ha</w:t>
        <w:br/>
        <w:t>sido violada. Cfr.  Federación  Internacional  de  los  Derechos  Humanos.</w:t>
        <w:br/>
        <w:t>Informe de la Misión Internacional de Investigación.  "El  Feminicidio  en</w:t>
        <w:br/>
        <w:t>México y Guatemala", n°446/3 (2006) (expediente de anexos  al  Informe  de</w:t>
        <w:br/>
        <w:t>Fondo, anexo 34, f. 438).</w:t>
        <w:br/>
        <w:t>[301] Cfr. Declaración pericial  rendida  por  José  Mario  Nájera  Ochoa,</w:t>
        <w:br/>
        <w:t>supra.</w:t>
        <w:br/>
        <w:t>[302] También aclaró el Estado que no hubo error en cuanto al lugar,  como</w:t>
        <w:br/>
        <w:t>señalaron la Comisión y las representantes, ya que donde se efectuó fue en</w:t>
        <w:br/>
        <w:t>el inmueble que se encuentra ubicado en la zona 3 del Municipio de Mixco y</w:t>
        <w:br/>
        <w:t>ya no pertenece a la zona 7, sino que es colindante.</w:t>
        <w:br/>
        <w:t>[303]  Cfr.  Oficio  C-105-2002/6º  emitido  por  el  Juzgado  de  Primera</w:t>
        <w:br/>
        <w:t>Instancia de Mixco, supra.</w:t>
        <w:br/>
        <w:t>[304] Cfr. Propuesta de Modificación a la Constitución Política  de  Costa</w:t>
        <w:br/>
        <w:t>Rica relacionada con la Naturalización. Opinión Consultiva OC-4/84 del  19</w:t>
        <w:br/>
        <w:t>de enero de 1984. Serie A No. 4, párr.  53,  y  Caso  de  las  Comunidades</w:t>
        <w:br/>
        <w:t>Afrodescendientes Desplazadas de la Cuenca  del  Río  Cacarica  (Operación</w:t>
        <w:br/>
        <w:t>Génesis), supra, párr. 332.</w:t>
        <w:br/>
        <w:t>[305] Cfr. Condición Jurídica y Derechos de los Migrantes  Indocumentados.</w:t>
        <w:br/>
        <w:t>Opinión Consultiva OC-18/03 del 17 de septiembre de 2003. Serie A No.  18,</w:t>
        <w:br/>
        <w:t>párr. 85, y Caso Nadege Dorzema y otros Vs.  República  Dominicana.  Fondo</w:t>
        <w:br/>
        <w:t>Reparaciones y Costas. Sentencia de 24 de octubre de  2012.  Serie  C  No.</w:t>
        <w:br/>
        <w:t>251, párr. 236.</w:t>
        <w:br/>
        <w:t>[306] Cfr. Condición Jurídica y Derechos de los Migrantes  Indocumentados,</w:t>
        <w:br/>
        <w:t>supra, párr. 53, y Caso Nadege Dorzema y otros, supra, párr. 224.</w:t>
        <w:br/>
        <w:t>[307] Cfr. Caso Comunidad Indígena  Xákmok  Kásek.  Vs.  Paraguay.  Fondo,</w:t>
        <w:br/>
        <w:t>Reparaciones y Costas. Sentencia de 24 de agosto de 2010. Serie C No. 214,</w:t>
        <w:br/>
        <w:t>párr. 269, y Caso Nadege Dorzema y otros, supra, párr. 225.</w:t>
        <w:br/>
        <w:t>[308] Cfr. Condición Jurídica y Derechos de los Migrantes  Indocumentados,</w:t>
        <w:br/>
        <w:t>supra, párr. 101, y Caso Nadege Dorzema y otros, supra, párr. 225.</w:t>
        <w:br/>
        <w:t>[309] Cfr. Condición Jurídica y Derechos de los Migrantes  Indocumentados,</w:t>
        <w:br/>
        <w:t>supra, párr. 103, y Caso Nadege Dorzema y otros, supra, párr. 236.</w:t>
        <w:br/>
        <w:t>[310] Cfr. Condición Jurídica y Derechos de los Migrantes  Indocumentados,</w:t>
        <w:br/>
        <w:t>supra, párr. 104, y  Caso Nadege Dorzema y otros, supra, párr. 236.</w:t>
        <w:br/>
        <w:t>[311] Cfr. Caso del Penal Miguel Castro Castro, supra, párr. 303,  y  Caso</w:t>
        <w:br/>
        <w:t>González y otras (“Campo  Algodonero”),  supra,  párrs.  394  a  402.  Ver</w:t>
        <w:br/>
        <w:t>también, TEDH, Opuz Vs. Turquía, sentencia de 9 de junio  de  2009,  párr.</w:t>
        <w:br/>
        <w:t>200, y CEDAW, Recomendación General  19:  La  Violencia  contra  la  Mujer</w:t>
        <w:br/>
        <w:t>(1992), párrs. 1 y 6.</w:t>
        <w:br/>
        <w:t>[312] Preámbulo del Convenio del Consejo  de  Europa  sobre  prevención  y</w:t>
        <w:br/>
        <w:t>lucha contra la violencia contra las mujeres  y  la  violencia  doméstica.</w:t>
        <w:br/>
        <w:t>(Estambul, 2011). Este Convenio no ha entrado todavía en vigor, por  falta</w:t>
        <w:br/>
        <w:t>de ratificaciones (se necesitan 10 ratificaciones).</w:t>
        <w:br/>
        <w:t>[313] Cfr. Caso González y otras (“Campo Algodonero”), supra, párrs. 388 y</w:t>
        <w:br/>
        <w:t>400.</w:t>
        <w:br/>
        <w:t>[314] Cfr. Caso González y otras (“Campo Algodonero”), supra,  y  Programa</w:t>
        <w:br/>
        <w:t>de las Naciones Unidas para el Desarrollo, supra, párr. 400.</w:t>
        <w:br/>
        <w:t>[315] El artículo 54 del Convenio del Consejo de Europa sobre prevención y</w:t>
        <w:br/>
        <w:t>lucha contra la violencia contra las  mujeres  y  la  violencia  doméstica</w:t>
        <w:br/>
        <w:t>establece que “las Partes adoptarán las medidas  legislativas  o  de  otro</w:t>
        <w:br/>
        <w:t>tipo necesarias para que en cualquier procedimiento, civil  o  penal,  las</w:t>
        <w:br/>
        <w:t>pruebas relativas a los antecedentes sexuales y al  comportamiento  de  la</w:t>
        <w:br/>
        <w:t>víctima no sean admitidas salvo  que  sea  pertinente  y  necesario”.  Las</w:t>
        <w:br/>
        <w:t>Reglas de Procedimiento y Prueba de la Corte Penal  Internacional  se  han</w:t>
        <w:br/>
        <w:t>pronunciado también sobre la importancia de no inferir consentimiento  por</w:t>
        <w:br/>
        <w:t>parte de la víctima en casos de violencia sexual. Así,  por  ejemplo,  “la</w:t>
        <w:br/>
        <w:t>credibilidad, la honorabilidad o la disponibilidad sexual de la víctima  o</w:t>
        <w:br/>
        <w:t>de  un  testigo  no  podrán  inferirse  de  la   naturaleza   sexual   del</w:t>
        <w:br/>
        <w:t>comportamiento anterior o posterior de la víctima o de un testigo” y  “Son</w:t>
        <w:br/>
        <w:t>inadmisibles las evidencias de la conducta sexual previa de  la  víctima”.</w:t>
        <w:br/>
        <w:t>Cfr. Convenio del Consejo de Europa sobre prevención  y  lucha  contra  la</w:t>
        <w:br/>
        <w:t>violencia contra las mujeres y la violencia doméstica, supra, art. 54.</w:t>
        <w:br/>
        <w:t>[316] Ley contra el Femicidio y otras formas de Violencia contra la  Mujer</w:t>
        <w:br/>
        <w:t>de 2008; Ley contra la Violencia Sexual, Explotación y Trata  de  Personas</w:t>
        <w:br/>
        <w:t>de 2009; creación de Juzgados y Tribunales con Competencia en Femicidio  y</w:t>
        <w:br/>
        <w:t>otras  Formas  de  Violencia  contra  la  Mujer  en  2010,  y   protocolos</w:t>
        <w:br/>
        <w:t>específicos para un correcto levantamiento de cadáveres (utilizados en  el</w:t>
        <w:br/>
        <w:t>Instituto Nacional de Ciencias Forenses).</w:t>
        <w:br/>
        <w:t>[317] Cfr. Escrito de Rosa Elvira Franco Sandoval dirigido a  la  Comisión</w:t>
        <w:br/>
        <w:t>Interamericana, supra.</w:t>
        <w:br/>
        <w:t>[318] Cfr. Caso González y otras (“Campo Algodonero”), supra, párrs. 400 y</w:t>
        <w:br/>
        <w:t>401, y CIDH, Acceso a la justicia para las mujeres víctimas  de  violencia</w:t>
        <w:br/>
        <w:t>en las Américas, OEA/Ser.L/V/II. Doc. 68, 20 enero 2007.</w:t>
        <w:br/>
        <w:t>[319] Cfr. Caso Apitz Barbera y otros Vs. Venezuela. Excepción Preliminar,</w:t>
        <w:br/>
        <w:t>Fondo, Reparaciones y Costas. Sentencia de 5 de agosto de  2008.  Serie  C</w:t>
        <w:br/>
        <w:t>No.  182,  párr.  209,  y  Caso  de  las   Comunidades   Afrodescendientes</w:t>
        <w:br/>
        <w:t>Desplazadas de la Cuenca del  Río  Cacarica  (Operación  Génesis),  supra,</w:t>
        <w:br/>
        <w:t>párr. 333.</w:t>
        <w:br/>
        <w:t>[320] Cfr. Caso Hilaire, Constantine y Benjamín y  otros  Vs.  Trinidad  y</w:t>
        <w:br/>
        <w:t>Tobago. Fondo, Reparaciones y Costas. Sentencia de 21 de  junio  de  2002.</w:t>
        <w:br/>
        <w:t>Serie C No. 94, párr. 14, y Caso García y Familiares, supra, párr. 152.</w:t>
        <w:br/>
        <w:t>[321] Cfr. Caso Suárez Rosero Vs.  Ecuador.  Fondo.  Sentencia  de  12  de</w:t>
        <w:br/>
        <w:t>noviembre de 1997. Serie C No. 35, párrs. 70  y  71,  y  Caso  Mémoli  Vs.</w:t>
        <w:br/>
        <w:t>Argentina.  Excepciones  Preliminares,  Fondo,  Reparaciones   y   Costas.</w:t>
        <w:br/>
        <w:t>Sentencia de 22 de agosto de 2013. Serie C No. 265, párr. 171.</w:t>
        <w:br/>
        <w:t>[322] Cfr. Caso Hilaire, Constantine y Benjamín y otros, supra, párr. 229,</w:t>
        <w:br/>
        <w:t>y Caso Osorio Rivera y Familiares, supra, párr. 192.</w:t>
        <w:br/>
        <w:t>[323] Las  cuestiones  de  competencia  se  encuentran  reguladas  en  los</w:t>
        <w:br/>
        <w:t>artículos 56 a 61 de la  Sección  Quinta  del  Código  Procesal  Penal  de</w:t>
        <w:br/>
        <w:t>Guatemala. Cfr. Congreso de la República  de  Guatemala.  Código  Procesal</w:t>
        <w:br/>
        <w:t>Penal. Decreto 51-92 y sus reformas, supra.</w:t>
        <w:br/>
        <w:t>[324] El artículo 332 indica, en lo conducente, que “[l]a etapa intermedia</w:t>
        <w:br/>
        <w:t>tiene por objeto que el juez evalúe si existe o no fundamento para someter</w:t>
        <w:br/>
        <w:t>a una persona  a  juicio  oral  y  público,  por  la  probabilidad  de  su</w:t>
        <w:br/>
        <w:t>participación en un hecho delictivo o para verificar la fundamentación  de</w:t>
        <w:br/>
        <w:t>las otras  solicitudes  del  Ministerio  Público”.  Cfr.  Congreso  de  la</w:t>
        <w:br/>
        <w:t>República de  Guatemala.  Código  Procesal  Penal.  Decreto  51-92  y  sus</w:t>
        <w:br/>
        <w:t>reformas, supra.</w:t>
        <w:br/>
        <w:t>[325] Resolución de 26 de marzo de 2002 emitida por el Juzgado Primero  de</w:t>
        <w:br/>
        <w:t>Mixco en la que se indica que “se  tiene  a  la  vista  para  resolver  el</w:t>
        <w:br/>
        <w:t>memorial presentado por el agente fiscal del Ministerio Público […], donde</w:t>
        <w:br/>
        <w:t>se solicita […] requerir DESPLIEGUE de llamadas a [diversas]  empresas  de</w:t>
        <w:br/>
        <w:t>telecomunicaciones”, y señala que “del estudio del presente caso, el  juez</w:t>
        <w:br/>
        <w:t>que controla la investigación considera que es  procedente  acceder  a  lo</w:t>
        <w:br/>
        <w:t>solicitado por la institución en mención, lo cual  consiste  en  AUTORIZAR</w:t>
        <w:br/>
        <w:t>para  requerir   el   DESPLIEGUE   de   llamadas   a   las   empresas   de</w:t>
        <w:br/>
        <w:t>telecomunicaciones”.  Es decir, se ordenó solo una diligencia por el juez,</w:t>
        <w:br/>
        <w:t>aunque se tramitaron distintos oficios. Cfr. Oficio C-105-2002/6º  emitido</w:t>
        <w:br/>
        <w:t>por el Juzgado de Primera  Instancia  de  Mixco,  supra.  Además,  constan</w:t>
        <w:br/>
        <w:t>solicitudes del Agente Fiscal de la Agencia No. 32 de  Guatemala  remitida</w:t>
        <w:br/>
        <w:t>al Servicio de Investigación Criminal  del  Ministerio  Público  para  que</w:t>
        <w:br/>
        <w:t>enviara investigadores a la Fiscalía para darles nuevos lineamientos y más</w:t>
        <w:br/>
        <w:t>detalles de la investigación. Cfr. Oficio emitido por el  Auxiliar  Fiscal</w:t>
        <w:br/>
        <w:t>de la Agencia No. 32 de Guatemala de 26 de septiembre de 2002  (expediente</w:t>
        <w:br/>
        <w:t>de anexos a la contestación, anexos 3-3b, f. 13,228).</w:t>
        <w:br/>
        <w:t>[326] Cfr. Oficio emitido por agente de la Fiscalía de Mixco para el  Sub-</w:t>
        <w:br/>
        <w:t>Secretario Ejecutivo del Ministerio Público, supra. Cabe  señalar  también</w:t>
        <w:br/>
        <w:t>que el artículo 312 establece que el “pedido de incompetencia  no  eximirá</w:t>
        <w:br/>
        <w:t>al Ministerio Público del deber de practicar los  actos  de  investigación</w:t>
        <w:br/>
        <w:t>que no admitan demora”. Cfr. Congreso de la República de Guatemala. Código</w:t>
        <w:br/>
        <w:t>Procesal Penal. Decreto 51-92  y  sus  reformas,  supra.  El  Estado  hace</w:t>
        <w:br/>
        <w:t>referencia al Código Procesal Penal de Guatemala, Decreto 51-92, y también</w:t>
        <w:br/>
        <w:t>a la Ley Orgánica del Ministerio Público, Decreto 40-94 y  a  la  Ley  del</w:t>
        <w:br/>
        <w:t>Organismo Judicial, Decreto 2-89.</w:t>
        <w:br/>
        <w:t>[327] Cfr. Caso Anzualdo Castro Vs.  Perú.  Excepción  Preliminar,  Fondo,</w:t>
        <w:br/>
        <w:t>Reparaciones y Costas. Sentencia de 22 de Septiembre de 2009. Serie C  No.</w:t>
        <w:br/>
        <w:t>202, párr. 156. En  dicho  caso,  este  Tribunal  ha  determinado  que  el</w:t>
        <w:br/>
        <w:t>artículo 8.1  de  la  Convención  Americana  establece  como  uno  de  los</w:t>
        <w:br/>
        <w:t>elementos  del  debido  proceso  que  los  tribunales  decidan  los  casos</w:t>
        <w:br/>
        <w:t>sometidos a su conocimiento en un plazo razonable.</w:t>
        <w:br/>
        <w:t>[328] El Estado si bien alegó que se han realizado  múltiples  y  diversas</w:t>
        <w:br/>
        <w:t>diligencias  en  la  investigación,  también  es  consciente  de  que   la</w:t>
        <w:br/>
        <w:t>investigación se debe realizar dentro de determinados plazos. Al respecto,</w:t>
        <w:br/>
        <w:t>afirmó que “[d]ebido al tiempo transcurrido, y de conformidad con  la  ley</w:t>
        <w:br/>
        <w:t>guatemalteca existen lineamientos  y  plazos  dentro  de  los  cuales  una</w:t>
        <w:br/>
        <w:t>investigación puede y debe permanecer abierta, [por lo que] la  Fiscal  de</w:t>
        <w:br/>
        <w:t>Mixco solicit[ó] investigadores de tiempo completo para que  colaboren  en</w:t>
        <w:br/>
        <w:t>el presente caso y de ese modo avanzar, dentro de  las  posibilidades  del</w:t>
        <w:br/>
        <w:t>Estado, en la individualización del responsable  de  la  muerte  de  María</w:t>
        <w:br/>
        <w:t>Isabel”. Oficio de solicitud emitido por la Fiscal de Distrito Adjunto  de</w:t>
        <w:br/>
        <w:t>la Agencia No. 5 de Mixco, supra.</w:t>
        <w:br/>
        <w:t>[329] El artículo 324 del Código Procesal  Penal  establece  “[c]uando  el</w:t>
        <w:br/>
        <w:t>Ministerio Público estime  que  la  investigación  proporciona  fundamento</w:t>
        <w:br/>
        <w:t>serio para el enjuiciamiento público del imputado, requerirá  por  escrito</w:t>
        <w:br/>
        <w:t>al juez la decisión de apertura del juicio. Con la apertura  se  formulará</w:t>
        <w:br/>
        <w:t>la acusación”. Cfr. Congreso de la República de Guatemala. Código Procesal</w:t>
        <w:br/>
        <w:t>Penal. Decreto 51-92 y sus reformas, supra.</w:t>
        <w:br/>
        <w:t>[330] Cfr. Caso Velásquez Rodríguez.  Fondo,  supra,  párr.  177,  y  Caso</w:t>
        <w:br/>
        <w:t>Liakat Ali Alibu, supra, párr. 39.</w:t>
        <w:br/>
        <w:t>[331] Cfr. Caso Velásquez Rodríguez.  Fondo,  supra,  párr.  177,  y  Caso</w:t>
        <w:br/>
        <w:t>Gutiérrez y Familia Vs. Argentina. Fondo, Reparaciones y Costas. Sentencia</w:t>
        <w:br/>
        <w:t>de 25 de noviembre de 2013. Serie C No. 271, párr. 98.</w:t>
        <w:br/>
        <w:t>[332] Caso Cantoral Huamaní  y  García  Santa  Cruz  Vs.  Perú.  Excepción</w:t>
        <w:br/>
        <w:t>Preliminar, Fondo, Reparaciones y Costas. Sentencia  de  10  de  julio  de</w:t>
        <w:br/>
        <w:t>2007. Serie C No. 167, párr. 131, y Caso Masacres  de  Río  Negro,  supra,</w:t>
        <w:br/>
        <w:t>párr. 192.</w:t>
        <w:br/>
        <w:t>[333]  Cfr. Caso González y otras (“Campo Algodonero”), supra, párr.  368,</w:t>
        <w:br/>
        <w:t>y Caso Osorio Rivera y Familiares, supra, párr. 228.</w:t>
        <w:br/>
        <w:t>[334] Caso de los “Niños de la Calle” (Villagrán Morales y Otros).  Fondo,</w:t>
        <w:br/>
        <w:t>supra, párr. 174, y Caso Osorio Rivera y Familiares, supra, párr. 228.</w:t>
        <w:br/>
        <w:t>[335] Caso Blake Vs. Guatemala. Fondo. Sentencia de 24 de enero  de  1998.</w:t>
        <w:br/>
        <w:t>Serie C No. 36, párr. 114, y Caso Fernández Ortega y otros,  supra,  párr.</w:t>
        <w:br/>
        <w:t>143.</w:t>
        <w:br/>
        <w:t>[336] Declaración de Leonel Enrique Veliz Franco, supra.</w:t>
        <w:br/>
        <w:t>[337] Declaración de José Roberto Franco rendida mediante affidávit el  16</w:t>
        <w:br/>
        <w:t>de  abril  de  2013  (expediente  de  excepciones  preliminares,  fondo  y</w:t>
        <w:br/>
        <w:t>reparaciones y costas, fs. 823 a 828).</w:t>
        <w:br/>
        <w:t>[338] Declaración de Rodolfo Kepfer Rodríguez rendida  mediante  affidávit</w:t>
        <w:br/>
        <w:t>el 26 de abril de 2013 (expediente de excepciones  preliminares,  fondo  y</w:t>
        <w:br/>
        <w:t>reparaciones y costas, fs. 838 a 854).</w:t>
        <w:br/>
        <w:t>[339] El artículo 63.1 de la Convención dispone que “[c]uando  decida  que</w:t>
        <w:br/>
        <w:t>hubo violación de un derecho o libertad protegidos en [la] Convención,  la</w:t>
        <w:br/>
        <w:t>Corte dispondrá que se garantice al lesionado en el goce de su  derecho  o</w:t>
        <w:br/>
        <w:t>libertad conculcados. Dispondrá asimismo, si ello fuera procedente, que se</w:t>
        <w:br/>
        <w:t>reparen las consecuencias de la medida o situación que ha  configurado  la</w:t>
        <w:br/>
        <w:t>vulneración de esos derechos y el pago de una  justa  indemnización  a  la</w:t>
        <w:br/>
        <w:t>parte lesionada”.</w:t>
        <w:br/>
        <w:t>[340] Cfr. Caso Velásquez Rodríguez Vs. Honduras. Reparaciones  y  Costas.</w:t>
        <w:br/>
        <w:t>Sentencia de 21 de julio de 1989. Serie C No. 7, párr. 25, y  Caso  Liakat</w:t>
        <w:br/>
        <w:t>Ali Alibux, supra, párr. 137.</w:t>
        <w:br/>
        <w:t>[341] Cfr. Caso Ticona Estrada y otros Vs. Bolivia. Fondo, Reparaciones  y</w:t>
        <w:br/>
        <w:t>Costas. Sentencia de 27 de noviembre de 2008. Serie C No. 191, párr.  110,</w:t>
        <w:br/>
        <w:t>y Caso Liakat Ali Alibux, supra, párr. 139.</w:t>
        <w:br/>
        <w:t>[342] Cfr. Caso Velásquez Rodríguez. Reparaciones y Costas, supra,  párrs.</w:t>
        <w:br/>
        <w:t>25 a 27, y Caso Liakat Ali Alibux, supra, párr. 138.</w:t>
        <w:br/>
        <w:t>[343] Cfr. Caso de la “Panel Blanca” (Paniagua Morales  y  otros).  Fondo,</w:t>
        <w:br/>
        <w:t>supra, párr. 173, y Caso Liakat Ali Alibux, supra, párr. 42.</w:t>
        <w:br/>
        <w:t>[344] Cfr. Caso Heliodoro Portugal Vs. Panamá.  Excepciones  Preliminares,</w:t>
        <w:br/>
        <w:t>Fondo, Reparaciones y Costas. Sentencia de 12 de agosto de 2008.  Serie  C</w:t>
        <w:br/>
        <w:t>No. 186, párr. 146, y Caso Osorio Rivera y Familiares, supra, párr. 288.</w:t>
        <w:br/>
        <w:t>[345] Cfr. Caso Neira Alegría y otros Vs.  Perú.  Reparaciones  y  Costas.</w:t>
        <w:br/>
        <w:t>Sentencia de 19 de septiembre de 1996. Serie C No. 29, párr.  56,  y  Caso</w:t>
        <w:br/>
        <w:t>Liakat Ali Alibux, supra, párr. 147.</w:t>
        <w:br/>
        <w:t>[346] Solicitaron que “con el fin de conservar viva la  memoria  de  María</w:t>
        <w:br/>
        <w:t>Isabel, quien en varias oportunidades había manifestado su deseo de cursar</w:t>
        <w:br/>
        <w:t>estudios superiores, [… la Corte] ordene al Estado la creación de un fondo</w:t>
        <w:br/>
        <w:t>de becas de estudios en su memoria de una duración no menor de 5 años,  de</w:t>
        <w:br/>
        <w:t>forma que mujeres sobrevivientes de violencia puedan cursar una carrera en</w:t>
        <w:br/>
        <w:t>la rama de su elección en una institución pública de educación  superior”.</w:t>
        <w:br/>
        <w:t>Por último, indicaron que se  “debe  garantizar  la  participación  de  la</w:t>
        <w:br/>
        <w:t>señora […] Franco [Sandoval] y de sus representantes en la  implementación</w:t>
        <w:br/>
        <w:t>de esta medida de reparación”.</w:t>
        <w:br/>
        <w:t>[347] Las representantes indicaron que “en diversas oportunidades la Corte</w:t>
        <w:br/>
        <w:t>Interamericana ha considerado como medida de satisfacción para resarcir la</w:t>
        <w:br/>
        <w:t>violación y sus consecuencias, el otorgamiento de becas escolares para las</w:t>
        <w:br/>
        <w:t>víctimas o sus familiares cuando, a  raíz  de  la  violación  de  derechos</w:t>
        <w:br/>
        <w:t>humanos,  han  tenido  que  afrontar  dificultades  y  sufrimientos   para</w:t>
        <w:br/>
        <w:t>completar  sus  estudios  primarios  y  secundarios  o  realizar  estudios</w:t>
        <w:br/>
        <w:t>universitarios”. Entendieron que los hermanos de María Isabel  “se  vieron</w:t>
        <w:br/>
        <w:t>afectados en sus oportunidades educativas no solo por  la  pérdida  de  su</w:t>
        <w:br/>
        <w:t>hermana, sino también los efectos de la búsqueda  por  la  justicia  y  la</w:t>
        <w:br/>
        <w:t>verdad emprendida por su madre”. Por ello, solicitaron que se  ordene  que</w:t>
        <w:br/>
        <w:t>el Estado les otorgue a Leonel Enrique Veliz Franco y José Roberto  Franco</w:t>
        <w:br/>
        <w:t>“becas para estudios superiores en la rama, oficio y temática  que  deseen</w:t>
        <w:br/>
        <w:t>estudiar”.</w:t>
        <w:br/>
        <w:t>[348] Al respecto, el Estado  indicó  que  “cuenta  dentro  de  su  acervo</w:t>
        <w:br/>
        <w:t>institucional con diversos programas de becas para jóvenes.  Sin  embargo,</w:t>
        <w:br/>
        <w:t>crear un fondo nuevo implica para el gobierno gastos  que  de  momento  no</w:t>
        <w:br/>
        <w:t>puede sufragar”.</w:t>
        <w:br/>
        <w:t>[349] El Estado indicó que “cuenta con instituciones destinadas a  proveer</w:t>
        <w:br/>
        <w:t>de becas a jóvenes de escasos recursos y con necesidad de colaboración  en</w:t>
        <w:br/>
        <w:t>cuanto al pago de sus estudios”.  Advirtió  además  que  la  solicitud  de</w:t>
        <w:br/>
        <w:t>reparación “no indica a qué tipo de estudios se refiere,  por  lo  que  el</w:t>
        <w:br/>
        <w:t>Estado insta a los hermanos de María Isabel a aplicar a dichos  planes  de</w:t>
        <w:br/>
        <w:t>becas y si reúnen los requisitos solicitados por los programas de [b]ecas,</w:t>
        <w:br/>
        <w:t>se harán acreedores de las mismas”. Asimismo señaló que “[e]n el  presente</w:t>
        <w:br/>
        <w:t>caso, no se han presentado pruebas de ninguna clase que lleven a  concluir</w:t>
        <w:br/>
        <w:t>que los hermanos de María Isabel han sufrido de limitaciones escolares que</w:t>
        <w:br/>
        <w:t>perjudiquen su educación a raíz y como consecuencia de lo que le ocurrió a</w:t>
        <w:br/>
        <w:t>su hermana”.</w:t>
        <w:br/>
        <w:t>[350] Cfr. Caso Pacheco Teruel y otros Vs. Honduras. Fondo, Reparaciones y</w:t>
        <w:br/>
        <w:t>Costas. Sentencia de 27 de abril de 2012. Serie C No.  241,  párr.  92,  y</w:t>
        <w:br/>
        <w:t>Caso Luna López, supra, párr. 234.</w:t>
        <w:br/>
        <w:t>[351] Cfr. Caso Velásquez Rodríguez. Reparaciones y Costas,  supra,  párr.</w:t>
        <w:br/>
        <w:t>166, y Caso Familia Pacheco Tineo, supra, párr. 265.</w:t>
        <w:br/>
        <w:t>[352] Debe señalarse, que surge del acervo probatorio y de afirmaciones no</w:t>
        <w:br/>
        <w:t>controvertidas que  el  Estado  creó  la  Comisión  Presidencial  para  el</w:t>
        <w:br/>
        <w:t>Abordaje del Femicidio, “coordinada por la Secretaría  Presidencia  de  la</w:t>
        <w:br/>
        <w:t>Mujer e integrada por representantes de instituciones de derechos  humanos</w:t>
        <w:br/>
        <w:t>y de seguridad, representantes  del  Organismo  Ejecutivo,  Legislativo  y</w:t>
        <w:br/>
        <w:t>Judicial, así  como  del  Ministerio  Público”.  La  institución  se  creó</w:t>
        <w:br/>
        <w:t>oficialmente el 8 de marzo de 2006 (expediente de  anexos  al  escrito  de</w:t>
        <w:br/>
        <w:t>solicitudes y argumentos, anexo 97, f. 10,810 a 10,824).  El 6 de  octubre</w:t>
        <w:br/>
        <w:t>del mismo año, según indicó la Comisión Interamericana, la  Corte  Suprema</w:t>
        <w:br/>
        <w:t>de Justicia creó la Unidad de la Mujer y Análisis de  Género,  actualmente</w:t>
        <w:br/>
        <w:t>Secretaría de la Mujer y Análisis de Género del Organismo Judicial(Informe</w:t>
        <w:br/>
        <w:t>de Fondo, supra); entidad a cuya creación también se  refirió  el  Estado.</w:t>
        <w:br/>
        <w:t>Además, según afirmó la Comisión, el 23 de noviembre de 2007, el Pleno del</w:t>
        <w:br/>
        <w:t>Congreso de la República dictó el Punto  Resolutivo  15-2007  mediante  el</w:t>
        <w:br/>
        <w:t>cual condenó el feminicidio en Guatemala (Informe de Fondo, supra. En 2008</w:t>
        <w:br/>
        <w:t>se aprobó la Ley contra el Femicidio y otras Formas de Violencia contra la</w:t>
        <w:br/>
        <w:t>Mujer (supra nota al pie de página 68). Esta norma, además  de  introducir</w:t>
        <w:br/>
        <w:t>delitos de acción pública, estableció una serie de  obligaciones  a  cargo</w:t>
        <w:br/>
        <w:t>del Estado, como la capacitación de funcionarios públicos  en  materia  de</w:t>
        <w:br/>
        <w:t>violencia de género y la creación de un Sistema  Nacional  de  Información</w:t>
        <w:br/>
        <w:t>sobre Violencia contra la Mujer.  Además  la  ley  prevé  la  creación  de</w:t>
        <w:br/>
        <w:t>“Centros de Apoyo Integral para la Mujer Sobreviviente  de  Violencia”,  y</w:t>
        <w:br/>
        <w:t>que “[s]erá la […] CONAPREVI quien impulsará su creación”. (Ley contra  el</w:t>
        <w:br/>
        <w:t>Femicidio, supra, artículos 18, 20 y 16,  respectivamente;  expediente  de</w:t>
        <w:br/>
        <w:t>anexos al escrito de solicitudes y argumentos,  anexo  93,  fs.  10,776  a</w:t>
        <w:br/>
        <w:t>10,786.) En el ámbito judicial, según informó Guatemala (supra párr. 263),</w:t>
        <w:br/>
        <w:t>así como la Comisión (Informe de Fondo, supra), el Estado  cuenta  con  la</w:t>
        <w:br/>
        <w:t>Unidad de la Mujer y Análisis de Género.  Además,  información  presentada</w:t>
        <w:br/>
        <w:t>por el Estado indica que, para fin de 2012, contaba  con  otras  entidades</w:t>
        <w:br/>
        <w:t>vinculadas a la problemática de la violencia  contra  la  mujer,  como  la</w:t>
        <w:br/>
        <w:t>Fuerza de Tarea contra el Femicidio, en el ámbito del  del  Ministerio  de</w:t>
        <w:br/>
        <w:t>Gobernación, o  el  GEM  (supra  párr.  263).  Asimismo,  como  se  señaló</w:t>
        <w:br/>
        <w:t>Guatemala indicó la existencia del PLANOVI y el  PEO  (supra  párr.  263),</w:t>
        <w:br/>
        <w:t>adoptados por Acuerdo Gubernativo No. 302-2009, de 11 de noviembre de 2009</w:t>
        <w:br/>
        <w:t>(expediente de anexos al escrito de contestación, anexo 26, fs.  14,272  a</w:t>
        <w:br/>
        <w:t>14,471). El Estado indicó que uno de los ejes del PNPDIM y el PEO  es  “la</w:t>
        <w:br/>
        <w:t>‘[e]rradicación de la [v]iolencia contra las [m]ujeres’ y[,] como objetivo</w:t>
        <w:br/>
        <w:t>específico[,] ‘[p]revenir, sancionar y erradicar la violencia  contra  las</w:t>
        <w:br/>
        <w:t>mujeres en sus diferentes manifestaciones;  violencia  física,  económica,</w:t>
        <w:br/>
        <w:t>social,  psicológica,  sexual  y  discriminación’”.  También  mencionó  la</w:t>
        <w:br/>
        <w:t>sanción, mediante el Decreto No. 9-2009 de  la  Ley  contra  la  Violencia</w:t>
        <w:br/>
        <w:t>Sexual, Explotación y Trata de Personas, por la que se creó una Secretaría</w:t>
        <w:br/>
        <w:t>en la materia, la SVET (supra párr. 263).  Por  otra  parte,  expresó  que</w:t>
        <w:br/>
        <w:t>dentro de las comisiones de trabajo del “Organismo Legislativo” existe  la</w:t>
        <w:br/>
        <w:t>Comisión de la Mujer (supra párr. 263), que, según dijo, tiene  entre  sus</w:t>
        <w:br/>
        <w:t>“funciones […r]ecomendar la aprobación de normas y  procedimientos  a  las</w:t>
        <w:br/>
        <w:t>distintas entidades del Estado en materia  de  su  competencia”  Por  otra</w:t>
        <w:br/>
        <w:t>parte, en cuanto a investigaciones criminales en general, de acuerdo a  lo</w:t>
        <w:br/>
        <w:t>expresado por la representante y según surge  del  acervo  probatorio,  el</w:t>
        <w:br/>
        <w:t>Estado adoptó algunas medidas tendientes  a  mejorar  su  efectividad:  El</w:t>
        <w:br/>
        <w:t>Ministerio Público  emitió,  el  1  de  febrero  de  2006,  “Instrucciones</w:t>
        <w:br/>
        <w:t>Generales”  estableciendo  lineamientos  para  la  investigación  criminal</w:t>
        <w:br/>
        <w:t>(expediente de anexos al escrito de solicitudes y argumentos,  anexo  100,</w:t>
        <w:br/>
        <w:t>fs. 10,833 a 10,852).</w:t>
        <w:br/>
        <w:t>[353]Cfr. El Observador  Judicial.  No.  87.  Año  12.  Marzo-abril  2010.</w:t>
        <w:br/>
        <w:t>Instituto Nacional de Ciencias Forenses de Guatemala. Estado de  Situación</w:t>
        <w:br/>
        <w:t>2012,  pág.  15  (expediente  de  anexos  al  escrito  de  solicitudes   y</w:t>
        <w:br/>
        <w:t>argumentos, anexo 73, fs. 9667 a 9701).  Allí  se  señala  que  “se  puede</w:t>
        <w:br/>
        <w:t>concluir que es necesario incrementar  significativamente  el  presupuesto</w:t>
        <w:br/>
        <w:t>asignado y  vigente  en  38,6%  para  hacer  corresponder  el  presupuesto</w:t>
        <w:br/>
        <w:t>asignado al presupuesto ejecutado y para recuperar el nivel presupuestario</w:t>
        <w:br/>
        <w:t>a  precios  de  2006,  lo  cual  debería  ser  un  objetivo   de   gestión</w:t>
        <w:br/>
        <w:t>institucional en los próximo períodos”), y El Periódico, Guatemala, jueves</w:t>
        <w:br/>
        <w:t>11  de  marzo  de  2010,  “I[NACIF]  suspende  el  80%  de  servicios”   y</w:t>
        <w:br/>
        <w:t>Noticiasguate.com - Noticias de  Guatemala,  19  de  abril  de  2010,  “El</w:t>
        <w:br/>
        <w:t>I[NACIF]  podría  desaparecer”,  notas  periodísticas   citadas   por   la</w:t>
        <w:br/>
        <w:t>representante,          disponible,          respectivamente,           en</w:t>
        <w:br/>
        <w:t>http://www.elperiodico.com.gt/es/20100311/pais/141753/        y         en</w:t>
        <w:br/>
        <w:t>http://noticiasguate.com/el-inacif-podria-desaparecer/.</w:t>
        <w:br/>
        <w:t>[354] En 2010 la Corte Suprema de Justicia aprobó la creación de “Juzgados</w:t>
        <w:br/>
        <w:t>y Tribunales de Femicidio y otras formas de Violencia contra la Mujer”, en</w:t>
        <w:br/>
        <w:t>los   departamentos   de   Guatemala,   Chiquimula    y    Quetzaltenango.</w:t>
        <w:br/>
        <w:t>Posteriormente, en 2012, aprobó  la  creación  de  otros  dos  Juzgados  y</w:t>
        <w:br/>
        <w:t>Tribunales especializados en los departamentos  de  Huehuetenango  y  Alta</w:t>
        <w:br/>
        <w:t>Verapaz. Cfr. Organismo Judicial. Guatemala. “Primer Informe.  Juzgados  y</w:t>
        <w:br/>
        <w:t>Tribunales Penales de Delitos de Femicidio y  otras  Formas  de  Violencia</w:t>
        <w:br/>
        <w:t>contra  la  Mujer”,  supra.  No  consta  que  se  hayan   creado   órganos</w:t>
        <w:br/>
        <w:t>jurisdiccionales  especializados  en  los  otros   17   departamentos   de</w:t>
        <w:br/>
        <w:t>Guatemala.</w:t>
        <w:br/>
        <w:t>[355] El Estado indicó, sin referir fechas de inicio  de  las  respectivas</w:t>
        <w:br/>
        <w:t>funciones,  la  “creación  de  fiscalías   especiales   del   M[inisterio]</w:t>
        <w:br/>
        <w:t>P[úblico]”. Al respecto, señaló  la  existencia  de  la  “Fiscalía  de  la</w:t>
        <w:br/>
        <w:t>Mujer”, encargada de “la persecución penal” sobre “violencia intrafamiliar</w:t>
        <w:br/>
        <w:t>y […] contra las mujeres”, y  “Fiscalías  Especializadas”,  en  ciudad  de</w:t>
        <w:br/>
        <w:t>Guatemala,  en  los  municipios  de  Villa  Nueva  y  Mixco,  y   en   los</w:t>
        <w:br/>
        <w:t>Departamentos Chiquimula, Quetzaltenango, Coatepeque y Huehuetenango,  que</w:t>
        <w:br/>
        <w:t>“conocen exclusivamente los delitos de femicidio”. Información  presentada</w:t>
        <w:br/>
        <w:t>por las representantes precisa que, para el 4 de septiembre  de  2012,  en</w:t>
        <w:br/>
        <w:t>que está fechado el escrito  de  solicitudes  y  argumentos,  “aun  no  se</w:t>
        <w:br/>
        <w:t>ha[bía] creado la Fiscalía de Delitos contra la Vida e  Integridad  Física</w:t>
        <w:br/>
        <w:t>de la Mujer, prevista en la Ley contra el Femicidio[,] debido  a  que  [el</w:t>
        <w:br/>
        <w:t>Ministerio Público] no cuenta con la capacidad presupuestaria para  ello”.</w:t>
        <w:br/>
        <w:t>No obstante, según expresaron, para  la  fecha  indicada  sí  habían  sido</w:t>
        <w:br/>
        <w:t>creadas Fiscalías de la Mujer en seis  municipios  (“Mixco,  Villa  Nueva,</w:t>
        <w:br/>
        <w:t>Quetzaltenango, Chiquimula, Coatepeque y Huehuetenango”). Un Acuerdo de la</w:t>
        <w:br/>
        <w:t>Fiscalía General de 3 de  julio  de  2008  estableció  la  competencia  de</w:t>
        <w:br/>
        <w:t>fiscalías  existentes  a  esa  fecha  para  “conoc[er]”  los  “delitos  de</w:t>
        <w:br/>
        <w:t>femicidio, así como las tentativas de femicidio […] en tanto se cuenta con</w:t>
        <w:br/>
        <w:t>el presupuesto necesario para la creación de las Agencias Especializadas a</w:t>
        <w:br/>
        <w:t>que hace referencia el artículo 14 de la Ley Contra el Femicidio  y  Otras</w:t>
        <w:br/>
        <w:t>Formas de Violencia contra la Mujer”. Acuerdo No. 70-2008, de 3  de  julio</w:t>
        <w:br/>
        <w:t>de 2008, emitido por  el  Fiscal  General  de  la  República  y  Jefe  del</w:t>
        <w:br/>
        <w:t>Ministerio Público (expediente de  anexos  al  escrito  de  solicitudes  y</w:t>
        <w:br/>
        <w:t>argumentos, anexo 98, fs. 10,826 y 10,827).</w:t>
        <w:br/>
        <w:t>[356] En un documento de 22 de marzo de 2012, aportado por el Estado, esta</w:t>
        <w:br/>
        <w:t>entidad estatal expresó que “[e]l [s]istema  de  [j]usticia  se  encuentra</w:t>
        <w:br/>
        <w:t>colapsado frente a la cantidad de procesos judiciales  solicitados  en  el</w:t>
        <w:br/>
        <w:t>marco de los delitos de violencia contra la mujer”. Informe  de  CONAPREVI</w:t>
        <w:br/>
        <w:t>ante la Comisión Presidencial Coordinadora de la Política del Ejecutivo en</w:t>
        <w:br/>
        <w:t>materia de Derechos Humanos –COPREDEH-, en torno al  requerimiento  de  la</w:t>
        <w:br/>
        <w:t>Comisión Interamericana, en el caso de Claudina  Isabel  Velásquez  Paiz”,</w:t>
        <w:br/>
        <w:t>supra, pág. 2.</w:t>
        <w:br/>
        <w:br/>
        <w:t>[357]Cfr. Ley del Sistema  de  Alerta  Alba-Keneth.  Decreto  No.  28-2010</w:t>
        <w:br/>
        <w:t>(expediente de anexos al escrito de contestación, anexo 12, fs.  14,097  a</w:t>
        <w:br/>
        <w:t>14,102). El Estado cuenta también con otras normas relativas a  la  niñez,</w:t>
        <w:br/>
        <w:t>incluyendo una “Ley de Protección Integral de  la  Niñez  y  Adolescencia”</w:t>
        <w:br/>
        <w:t>(Decreto No. 27-2003) que fue “[e]mitid[a]” el 4  de  julio  de  2003.  El</w:t>
        <w:br/>
        <w:t>Estado presentó además a la Corte copia de los artículos 5, 20 y 51 de  la</w:t>
        <w:br/>
        <w:t>Constitución  Política  de   la   República   de   Guatemala,   titulados,</w:t>
        <w:br/>
        <w:t>respectivamente, “Libertad de acción”, “Menores de edad”, y “Protección  a</w:t>
        <w:br/>
        <w:t>menores y ancianos” (expediente de anexos a la contestación, anexos  22  y</w:t>
        <w:br/>
        <w:t>23, respectivamente, fs. 14,189 a 14,259 y 14,261).</w:t>
        <w:br/>
        <w:t>[358] El Tribunal comprobó que, al momento  de  presentar  el  Estado  sus</w:t>
        <w:br/>
        <w:t>alegatos finales escritos  (supra  párr.  13),  dicha  página  electrónica</w:t>
        <w:br/>
        <w:t>efectivamente funcionaba y contenía los datos señalados. La  Corte  no  ha</w:t>
        <w:br/>
        <w:t>podido comprobar el funcionamiento de la página electrónica al momento  de</w:t>
        <w:br/>
        <w:t>la emisión de la presente Sentencia.</w:t>
        <w:br/>
        <w:t>[359] Cfr. Caso Barrios Altos Vs. Perú. Reparaciones y  Costas.  Sentencia</w:t>
        <w:br/>
        <w:t>de 30 de noviembre de 2001. Serie C No. 87, párrs. 42 y  45,  y  Caso  J.,</w:t>
        <w:br/>
        <w:t>supra, párr. 344.</w:t>
        <w:br/>
        <w:t>[360]  Caso  Bámaca  Velásquez  Vs.  Guatemala.  Reparaciones  y   Costas.</w:t>
        <w:br/>
        <w:t>Sentencia de 22 de febrero de 2002. Serie C  No.  91,  párr.  43,  y  Caso</w:t>
        <w:br/>
        <w:t>Liakat Ali Alibux, supra, párr. 153.</w:t>
        <w:br/>
        <w:t>[361] Cfr. Caso de los “Niños de la Calle” (Villagrán  Morales  y  otros).</w:t>
        <w:br/>
        <w:t>Reparaciones y Costas. Sentencia de 26 de mayo de 2001. Serie  C  No.  77,</w:t>
        <w:br/>
        <w:t>párr. 224, y Liakat Ali Alibux, supra, párr. 156.</w:t>
        <w:br/>
        <w:t>[362] Cfr. Caso  Cantoral  Benavides  Vs.  Perú.  Reparaciones  y  Costas.</w:t>
        <w:br/>
        <w:t>Sentencia de 3 de diciembre de 2001. Serie C No.  88,  párr.  53,  y  Caso</w:t>
        <w:br/>
        <w:t>Tribunal Constitucional (Camba Campos y otros)  Vs.  Ecuador.  Excepciones</w:t>
        <w:br/>
        <w:t>Preliminares, Fondo, Reparaciones y Costas. Sentencia de 28 de  agosto  de</w:t>
        <w:br/>
        <w:t>2013. Serie C No. 268, párr. 301.</w:t>
        <w:br/>
        <w:t>[363]  Cfr.  Caso  de  la  “Panel  Blanca”  (Paniagua  Morales  y  otros).</w:t>
        <w:br/>
        <w:t>Reparaciones y Costas, supra, párr. 79,  y  Caso  Tribunal  Constitucional</w:t>
        <w:br/>
        <w:t>(Camba Campos y otros), supra, párr. 302.</w:t>
        <w:br/>
        <w:t>[364] Cfr.  Caso  de  los  Hermanos  Gómez  Paquiyauri  Vs.  Perú.  Fondo,</w:t>
        <w:br/>
        <w:t>Reparaciones y Costas. Sentencia de 8 de julio de 2004. Serie C  No.  110,</w:t>
        <w:br/>
        <w:t>párr. 207, y Caso Luna López, supra, párr. 50.</w:t>
        <w:br/>
        <w:t>[365] Cfr. Caso González y otras (“Campo Algodonero”), supra, párr. 577.</w:t>
        <w:br/>
        <w:t>[366] Cfr. Caso Reverón  Trujillo,  supra,  párr.  176,  y  Caso  Tribunal</w:t>
        <w:br/>
        <w:t>Constitucional (Camba Campos y otros) Vs. Ecuador, supra, párr. 344.</w:t>
        <w:br/>
        <w:t>[367] Cfr. Caso Garrido y Baigorria Vs. Argentina. Reparaciones y  Costas.</w:t>
        <w:br/>
        <w:t>Sentencia de 27 de agosto de 1998. Serie C No. 39, párr. 79, y Liakat  Ali</w:t>
        <w:br/>
        <w:t>Alibux, supra, párr. 418.</w:t>
        <w:br/>
        <w:t>[368] Cfr. Caso Chaparro Álvarez y Lapo Iñiguez, supra, párr. 277, y  Caso</w:t>
        <w:br/>
        <w:t>J., supra, párr. 421.</w:t>
        <w:br/>
        <w:t>[369]  Cfr.  Caso  Ibsen  Cárdenas  e  Ibsen  Peña  Vs.  Bolivia.   Fondo,</w:t>
        <w:br/>
        <w:t>Reparaciones y Costas. Sentencia de 1 de septiembre de 2010. Serie  C  No.</w:t>
        <w:br/>
        <w:t>217, párr. 291 y Liakat Ali Alibux, supra, párr. 165.</w:t>
        <w:br/>
        <w:t>[370] AG/RES. 2426 (XXXVIII-O/08), Resolución  adoptada  por  la  Asamblea</w:t>
        <w:br/>
        <w:t>General de la OEA durante la celebración del XXXVIII Período Ordinario  de</w:t>
        <w:br/>
        <w:t>Sesiones de la OEA, en la cuarta sesión plenaria, celebrada el 3 de  junio</w:t>
        <w:br/>
        <w:t>de  2008,  “Creación  del  Fondo   de   Asistencia   Legal   del   Sistema</w:t>
        <w:br/>
        <w:t>Interamericano de Derechos Humanos”, Punto Resolutivo 2.a, y  CP/RES.  963</w:t>
        <w:br/>
        <w:t>(1728/09), Resolución adoptada el 11 de noviembre de 2009 por  el  Consejo</w:t>
        <w:br/>
        <w:t>Permanente de la OEA, “Reglamento para  el  Funcionamiento  del  Fondo  de</w:t>
        <w:br/>
        <w:t>Asistencia Legal del Sistema Interamericano de Derechos Humanos”, artículo</w:t>
        <w:br/>
        <w:t>1.1.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