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 Caso Blake Vs. Guatemala</w:t>
        <w:br/>
        <w:br/>
        <w:br/>
        <w:br/>
        <w:t xml:space="preserve">                       Sentencia de 2 de julio de 1996</w:t>
        <w:br/>
        <w:t xml:space="preserve">                         (Excepciones Preliminares)</w:t>
        <w:br/>
        <w:br/>
        <w:br/>
        <w:t>En el caso Blake,</w:t>
        <w:br/>
        <w:br/>
        <w:br/>
        <w:t>la Corte Interamericana de Derechos Humanos, integrada por los siguientes</w:t>
        <w:br/>
        <w:t>jueces:</w:t>
        <w:br/>
        <w:br/>
        <w:br/>
        <w:t xml:space="preserve">           Héctor Fix-Zamudio, Presidente</w:t>
        <w:br/>
        <w:t xml:space="preserve">           Hernán Salgado Pesantes, Vicepresidente</w:t>
        <w:br/>
        <w:t xml:space="preserve">           Alejandro Montiel Argüello, Juez</w:t>
        <w:br/>
        <w:t xml:space="preserve">           Oliver Jackman, Juez</w:t>
        <w:br/>
        <w:t xml:space="preserve">           Antônio A. Cançado Trindade, Juez</w:t>
        <w:br/>
        <w:t xml:space="preserve">           Alfonso Novales Aguirre, Juez ad hoc;</w:t>
        <w:br/>
        <w:br/>
        <w:br/>
        <w:t>presente, además,</w:t>
        <w:br/>
        <w:br/>
        <w:br/>
        <w:t xml:space="preserve">           Manuel E. Ventura Robles, Secretario</w:t>
        <w:br/>
        <w:br/>
        <w:br/>
        <w:t>de acuerdo con el artículo 31.6 del Reglamento de  la  Corte  Interamericana</w:t>
        <w:br/>
        <w:t>de Derechos Humanos  (en  adelante  “el  Reglamento”),  dicta  la  siguiente</w:t>
        <w:br/>
        <w:t>sentencia sobre las excepciones preliminares interpuestas  por  el  Gobierno</w:t>
        <w:br/>
        <w:t>de Guatemala (en adelante “el Gobierno” o “Guatemala”).</w:t>
        <w:br/>
        <w:br/>
        <w:br/>
        <w:t xml:space="preserve">                                      I</w:t>
        <w:br/>
        <w:br/>
        <w:t>1.    El presente caso fue sometido a la Corte  Interamericana  de  Derechos</w:t>
        <w:br/>
        <w:t>Humanos (en  adelante  “la  Corte”  o  “la  Corte  Interamericana”)  por  la</w:t>
        <w:br/>
        <w:t>Comisión Interamericana de Derechos Humanos (en  adelante  “la  Comisión”  o</w:t>
        <w:br/>
        <w:t>“la Comisión Interamericana”) el 3 de agosto de 1995.   Se  originó  en  una</w:t>
        <w:br/>
        <w:t>denuncia (Nº 11. 219) recibida en la Secretaría de  la  Comisión  el  18  de</w:t>
        <w:br/>
        <w:t>noviembre de 1993.</w:t>
        <w:br/>
        <w:br/>
        <w:t>2.    Al presentar el caso ante la Corte, la Comisión invocó  los  artículos</w:t>
        <w:br/>
        <w:t>50 y 51 de la Convención Americana sobre Derechos Humanos (en  adelante  “la</w:t>
        <w:br/>
        <w:t>Convención” o “la Convención Americana”) y 26 y siguientes  del  Reglamento.</w:t>
        <w:br/>
        <w:t>La Comisión sometió este caso para que la Corte decidiera si hubo  violación</w:t>
        <w:br/>
        <w:t>de los siguientes artículos de la  Convención:  7  (Derecho  a  la  Libertad</w:t>
        <w:br/>
        <w:t>Personal), 4 (Derecho a la Vida), 25  (Protección  Judicial),  8  (Garantías</w:t>
        <w:br/>
        <w:t>Judiciales), 13 (Libertad de Pensamiento y de  Expresión),  22  (Derecho  de</w:t>
        <w:br/>
        <w:t>Circulación y de Residencia), todos ellos en concordancia  con  el  artículo</w:t>
        <w:br/>
        <w:t>1.1 de la misma Convención por la  supuesta  “violación  del  derecho  a  la</w:t>
        <w:br/>
        <w:t>libertad personal,  a  la  vida  y  libertad  de  expresión,  así  como  por</w:t>
        <w:br/>
        <w:t>denegación de  justicia,  en  agravio  de  Nicholas  Chapman  Blake”  y  del</w:t>
        <w:br/>
        <w:t>artículo 51.2 de la Convención por haberse negado a “dar cumplimiento a  las</w:t>
        <w:br/>
        <w:t>recomendaciones que le formuló la Comisión”.   Además  pidió  que  declarara</w:t>
        <w:br/>
        <w:t>que el Gobierno “debe  reparar  plenamente  a  los  familiares  de  Nicholas</w:t>
        <w:br/>
        <w:t>Chapman  Blake  por  el  grave  daño  material  -y   moral-   sufrido   como</w:t>
        <w:br/>
        <w:t>consecuencia de las múltiples  violaciones  de  derechos  protegidos  en  la</w:t>
        <w:br/>
        <w:t>Convención, y de los cuantiosos gastos en  que  incurrieron  los  familiares</w:t>
        <w:br/>
        <w:t>con el  objeto  de  establecer  el  paradero  de  la  víctima  así  como  la</w:t>
        <w:br/>
        <w:t>identificación  de  los  responsables  de  su   desaparición   y   posterior</w:t>
        <w:br/>
        <w:t>encubrimiento”.  Por último  solicitó  condenar  al  Gobierno  a  pagar  las</w:t>
        <w:br/>
        <w:t>costas “de este proceso, incluyendo los honorarios de los profesionales  que</w:t>
        <w:br/>
        <w:t>han actuado como representantes  de  la  víctima,  tanto  en  las  gestiones</w:t>
        <w:br/>
        <w:t>realizadas ante las autoridades del Estado como en la tramitación  del  caso</w:t>
        <w:br/>
        <w:t>ante la Comisión y ante la Honorable Corte”.</w:t>
        <w:br/>
        <w:br/>
        <w:t>3.    La Comisión  Interamericana  designó  como  sus  delegados  a  Claudio</w:t>
        <w:br/>
        <w:t>Grossman y John Donaldson y como sus abogados  a  Edith  Márquez  Rodríguez,</w:t>
        <w:br/>
        <w:t>David J. Padilla y Domingo E. Acevedo.  Como sus asistentes  acreditados  en</w:t>
        <w:br/>
        <w:t>calidad de representantes de  las  víctimas  nombró  a  Janelle  M.  Diller,</w:t>
        <w:br/>
        <w:t>Margarita Gutiérrez, Joanne M. Hoeper,  Felipe  González,  Diego  Rodríguez,</w:t>
        <w:br/>
        <w:t>Arturo González y A. James Vázquez-Azpiri.</w:t>
        <w:br/>
        <w:br/>
        <w:t>4.    Por nota del 18 de agosto de  1995  la  Secretaría  de  la  Corte  (en</w:t>
        <w:br/>
        <w:t>adelante “la Secretaría”), previo examen preliminar de la demanda  realizado</w:t>
        <w:br/>
        <w:t>por el Presidente de la Corte (en adelante “el Presidente”), la notificó  al</w:t>
        <w:br/>
        <w:t>Gobierno y  le  informó  que  disponía  de  un  plazo  de  tres  meses  para</w:t>
        <w:br/>
        <w:t>responderla, de dos semanas para nombrar agente y agente  alterno  y  de  30</w:t>
        <w:br/>
        <w:t>días para oponer excepciones preliminares, todos estos plazos  a  partir  de</w:t>
        <w:br/>
        <w:t>la notificación de la demanda.  Por comunicación de la  misma  fecha  se  le</w:t>
        <w:br/>
        <w:t>invitó a designar Juez ad hoc.</w:t>
        <w:br/>
        <w:br/>
        <w:t>5.    El 1 de septiembre  de  1995  el  Gobierno  comunicó  a  la  Corte  la</w:t>
        <w:br/>
        <w:t>designación de los señores Dennis Alonzo Mazariegos y  Vicente  Arranz  Sanz</w:t>
        <w:br/>
        <w:t>como agente y agente alterno respectivamente.  El 22 de septiembre  de  1995</w:t>
        <w:br/>
        <w:t>el Gobierno comunicó a  la  Secretaría  la  designación  del  señor  Alfonso</w:t>
        <w:br/>
        <w:t>Novales Aguirre en calidad de Juez ad hoc.</w:t>
        <w:br/>
        <w:br/>
        <w:t>6.    De  conformidad  con  el  artículo  31  del  Reglamento,  el  Gobierno</w:t>
        <w:br/>
        <w:t>presentó el 16 de septiembre de 1995 un escrito mediante el  cual  interpuso</w:t>
        <w:br/>
        <w:t>excepciones preliminares (infra párr. 22).</w:t>
        <w:br/>
        <w:br/>
        <w:t>7.    Ese mismo día la Secretaría transmitió el escrito del  Gobierno  a  la</w:t>
        <w:br/>
        <w:t>Comisión, la que presentó su respuesta a las excepciones preliminares el  16</w:t>
        <w:br/>
        <w:t>de octubre de 1995 oponiéndose a las mismas.</w:t>
        <w:br/>
        <w:br/>
        <w:t>8.    El 9 de noviembre de 1995 el Gobierno presentó su contestación  de  la</w:t>
        <w:br/>
        <w:t>demanda.</w:t>
        <w:br/>
        <w:br/>
        <w:t>9.    Por resolución del Presidente de 9 de diciembre de 1995, se convocó  a</w:t>
        <w:br/>
        <w:t>una audiencia pública para escuchar los alegatos de  las  partes  sobre  las</w:t>
        <w:br/>
        <w:t>excepciones preliminares interpuestas en este caso.</w:t>
        <w:br/>
        <w:br/>
        <w:t>10.   La audiencia pública tuvo lugar en la sede de la Corte el  día  28  de</w:t>
        <w:br/>
        <w:t>enero de 1996.</w:t>
        <w:br/>
        <w:br/>
        <w:t>Comparecieron</w:t>
        <w:br/>
        <w:br/>
        <w:t>por el Gobierno de Guatemala:</w:t>
        <w:br/>
        <w:br/>
        <w:t xml:space="preserve">      Dennis Alonzo Mazariegos, agente</w:t>
        <w:br/>
        <w:t xml:space="preserve">      Fredy Gudiel Samayoa, asesor</w:t>
        <w:br/>
        <w:br/>
        <w:t>por la Comisión Interamericana de Derechos Humanos:</w:t>
        <w:br/>
        <w:br/>
        <w:t xml:space="preserve">      Claudio Grossman, delegado</w:t>
        <w:br/>
        <w:t xml:space="preserve">      John Donaldson, delegado</w:t>
        <w:br/>
        <w:t xml:space="preserve">      Domingo Acevedo, abogado</w:t>
        <w:br/>
        <w:t xml:space="preserve">      Felipe González, asistente.</w:t>
        <w:br/>
        <w:br/>
        <w:br/>
        <w:t xml:space="preserve">                                     II</w:t>
        <w:br/>
        <w:br/>
        <w:t>11.   En los siguientes párrafos, y de acuerdo  con  la  demanda  presentada</w:t>
        <w:br/>
        <w:t>ante la Corte y sus anexos, se resumen los hechos, circunstancias y  trámite</w:t>
        <w:br/>
        <w:t>de este caso ante la Comisión.</w:t>
        <w:br/>
        <w:br/>
        <w:t>12.   Según la demanda, el  señor  Nicholas  Chapman  Blake,  periodista  de</w:t>
        <w:br/>
        <w:t>nacionalidad estadounidense y residente en Antigua, Guatemala, partió el  26</w:t>
        <w:br/>
        <w:t>de  marzo  de  1985  junto  con   el   señor   Griffith   Davis,   fotógrafo</w:t>
        <w:br/>
        <w:t>estadounidense,  hacia  la  pequeña  aldea  de  El  Llano,  Departamento  de</w:t>
        <w:br/>
        <w:t>Huehuetenango, lugar al que llegaron el 28 de marzo de 1985.  El objeto  del</w:t>
        <w:br/>
        <w:t>viaje era recabar información para escribir un artículo  sobre  uno  de  los</w:t>
        <w:br/>
        <w:t>sectores de la guerrilla guatemalteca.  Ese mismo día, la Patrulla Civil  de</w:t>
        <w:br/>
        <w:t>El Llano, bajo la Comandancia de Mario Cano, interrogó a los  señores  Blake</w:t>
        <w:br/>
        <w:t>y Davis “sobre el propósito del viaje que realizaban”.  Años  más  tarde  se</w:t>
        <w:br/>
        <w:t>estableció que luego de  solicitar  instrucciones  a  los  oficiales  de  la</w:t>
        <w:br/>
        <w:t>guarnición militar de Las Majadas, Mario Cano ordenó a tres miembros  de  su</w:t>
        <w:br/>
        <w:t>patrulla, identificados como Epólito Ramos García, Candelario  Cano  Herrera</w:t>
        <w:br/>
        <w:t>y Vicente Cifuentes que detuvieran a Blake y a Davis, que los llevaran a  un</w:t>
        <w:br/>
        <w:t>lugar llamado Los Campamentos, en la frontera  con  el  Departamento  de  El</w:t>
        <w:br/>
        <w:t>Quiché y les expresó: “pueden matarlos si  quieren”.   Al  llegar  al  lugar</w:t>
        <w:br/>
        <w:t>indicado, “Epólito Ramos García  le  efectuó  un  disparo  a  uno  de  ellos</w:t>
        <w:br/>
        <w:t>causándole la muerte  en  forma  instantánea”  y  “Vicente  Cifuentes...  le</w:t>
        <w:br/>
        <w:t>disparó al segundo hombre y también lo  mató”.   A  continuación  los  “tres</w:t>
        <w:br/>
        <w:t>patrulleros civiles arrojaron los cuerpos en una maleza muy tupida, al  lado</w:t>
        <w:br/>
        <w:t>del sendero”, y los cubrieron con troncos de árboles “a efectos de  hacerlos</w:t>
        <w:br/>
        <w:t>desaparecer”.</w:t>
        <w:br/>
        <w:br/>
        <w:t>13.   La Comisión expone en la demanda las diversas gestiones que,  de  modo</w:t>
        <w:br/>
        <w:t>infructuoso, realizaron los familiares del  señor  Nicholas  Chapman  Blake,</w:t>
        <w:br/>
        <w:t>hasta que en 1988 el señor Justo Martínez les hace conocer la manera en  que</w:t>
        <w:br/>
        <w:t>la Patrulla de Autodefensa Civil de El Llano dio muerte a los señores  Blake</w:t>
        <w:br/>
        <w:t>y Davis.  También, se señala que en el año anterior  (1987)  se  dispuso  la</w:t>
        <w:br/>
        <w:t>incineración de los restos de  las  dos  víctimas  para  evitar  que  fueran</w:t>
        <w:br/>
        <w:t>descubiertos.  En el transcurso del año 1992, finalmente, se encuentran  los</w:t>
        <w:br/>
        <w:t>restos, primero del señor Davis y luego del señor Blake.  En cuanto  a  este</w:t>
        <w:br/>
        <w:t>último, después que un médico forense identificó sus restos, se  elaboró  su</w:t>
        <w:br/>
        <w:t>acta de defunción y  se  estableció  como  fecha  de  la  muerte  del  señor</w:t>
        <w:br/>
        <w:t>Nicholas Chapman Blake el 29 de marzo de 1985.</w:t>
        <w:br/>
        <w:br/>
        <w:t>14.   El 18  de  noviembre  de  1993  ingresó  la  denuncia  a  la  Comisión</w:t>
        <w:br/>
        <w:t>Interamericana y el 6 de diciembre de ese mismo año ésta  se  la  transmitió</w:t>
        <w:br/>
        <w:t>al Gobierno y le solicitó que presentara dentro  de  un  plazo  de  90  días</w:t>
        <w:br/>
        <w:t>información relativa al caso.  Mediante nota de  7  de  marzo  de  1994,  el</w:t>
        <w:br/>
        <w:t>Gobierno solicitó una extensión de dicho plazo y el 10 de marzo de  1994  la</w:t>
        <w:br/>
        <w:t>Comisión le concedió una prórroga de 30  días.   El  Gobierno  presentó  sus</w:t>
        <w:br/>
        <w:t>observaciones sobre el caso el 14 de abril de 1994.</w:t>
        <w:br/>
        <w:br/>
        <w:t>15.   El 16 de septiembre de 1994 se efectuó en la sede  de  la  Comisión  y</w:t>
        <w:br/>
        <w:t>por iniciativa de ésta, una audiencia con  el  propósito  de  llegar  a  una</w:t>
        <w:br/>
        <w:t>solución amistosa en la que  estuvieron  presentes  las  partes.   En  dicha</w:t>
        <w:br/>
        <w:t>audiencia, el Gobierno presentó un escrito en el cual alegó la excepción  de</w:t>
        <w:br/>
        <w:t>no agotamiento de los recursos internos y pidió a la Comisión que diera  por</w:t>
        <w:br/>
        <w:t>concluida su intervención en la solución amistosa.</w:t>
        <w:br/>
        <w:br/>
        <w:t>16.   A solicitud del  peticionario  se  celebró  una  audiencia  el  14  de</w:t>
        <w:br/>
        <w:t>febrero de 1995  en  la  cual  el  representante  del  Gobierno  rechazó  la</w:t>
        <w:br/>
        <w:t>propuesta de una solución amistosa sobre el caso  e  “invocó  nuevamente  la</w:t>
        <w:br/>
        <w:t>excepción de no agotamiento de los recursos de la jurisdicción interna”.</w:t>
        <w:br/>
        <w:br/>
        <w:t>17.   El 15 de febrero de 1995 la Comisión aprobó el Informe  5/95,  que  en</w:t>
        <w:br/>
        <w:t>su parte dispositiva resolvió:</w:t>
        <w:br/>
        <w:br/>
        <w:t xml:space="preserve">      RECOMENDAR</w:t>
        <w:br/>
        <w:br/>
        <w:br/>
        <w:t xml:space="preserve">      1.    Que el Estado de Guatemala acepte  su  responsabilidad  objetiva</w:t>
        <w:br/>
        <w:t xml:space="preserve">      por el  asesinato  del  Sr.  Nicholas  Blake,  su  desaparición  y  el</w:t>
        <w:br/>
        <w:t xml:space="preserve">      encubrimiento  de   su   asesinato;   y   efectúe   las   reparaciones</w:t>
        <w:br/>
        <w:t xml:space="preserve">      correspondientes a sus derecho habientes;</w:t>
        <w:br/>
        <w:br/>
        <w:br/>
        <w:t xml:space="preserve">      2.    Que el Estado de  Guatemala  sobre  la  base  de  la  prueba  ya</w:t>
        <w:br/>
        <w:t xml:space="preserve">      existente y la obtenible de acuerdo  a  su  legislación,  identifique,</w:t>
        <w:br/>
        <w:t xml:space="preserve">      procese, detenga y castigue a los responsables de la  muerte  del  Sr.</w:t>
        <w:br/>
        <w:t xml:space="preserve">      Nicholas Blake;</w:t>
        <w:br/>
        <w:br/>
        <w:br/>
        <w:t xml:space="preserve">      3.    Que el Estado de  Guatemala  sobre  la  base  de  la  prueba  ya</w:t>
        <w:br/>
        <w:t xml:space="preserve">      existente y la obtenible de acuerdo  a  su  legislación,  identifique,</w:t>
        <w:br/>
        <w:t xml:space="preserve">      procese, detenga y castigue a los  responsables  del  encubrimiento  y</w:t>
        <w:br/>
        <w:t xml:space="preserve">      obstaculización del proceso judicial  relativo  a  la  desaparición  y</w:t>
        <w:br/>
        <w:t xml:space="preserve">      muerte del Sr. Nicholas Blake;</w:t>
        <w:br/>
        <w:br/>
        <w:br/>
        <w:t xml:space="preserve">      4.    Que el Estado de Guatemala  tome  las  medidas  de  toda  índole</w:t>
        <w:br/>
        <w:t xml:space="preserve">      necesarias para evitar la repetición de estos  tipos  de  violaciones,</w:t>
        <w:br/>
        <w:t xml:space="preserve">      incluyendo los  abusos  por  parte  de  los  Patrulleros  Civiles,  el</w:t>
        <w:br/>
        <w:t xml:space="preserve">      encubrimiento por parte de autoridades civiles y militares, y la falta</w:t>
        <w:br/>
        <w:t xml:space="preserve">      de proceso judicial efectivo;</w:t>
        <w:br/>
        <w:br/>
        <w:br/>
        <w:t xml:space="preserve">      5.    Transmitir en  forma  confidencial  este  Informe  redactado  de</w:t>
        <w:br/>
        <w:t xml:space="preserve">      acuerdo al Art. 50 al Gobierno el cual no está autorizado a publicarlo</w:t>
        <w:br/>
        <w:t xml:space="preserve">      y,</w:t>
        <w:br/>
        <w:br/>
        <w:br/>
        <w:t xml:space="preserve">      6.    Si antes de los sesenta días de transmitido el presente  Informe</w:t>
        <w:br/>
        <w:t xml:space="preserve">      el Gobierno no ha  llevado  a  cabo  las  recomendaciones  anteriores,</w:t>
        <w:br/>
        <w:t xml:space="preserve">      someter el presente caso a la Corte Interamericana de Derechos Humanos</w:t>
        <w:br/>
        <w:t xml:space="preserve">      de acuerdo al Art. 51 de la Convención Americana.</w:t>
        <w:br/>
        <w:br/>
        <w:t>18.   El 4 de mayo  de  1995  la  Comisión  transmitió  el  Informe  5/95  a</w:t>
        <w:br/>
        <w:t>Guatemala y le comunicó que si no diera cumplimiento a  las  recomendaciones</w:t>
        <w:br/>
        <w:t>contenidas en el mismo, sometería  el  caso  a  consideración  de  la  Corte</w:t>
        <w:br/>
        <w:t>Interamericana, de conformidad con lo estipulado en el  artículo  51  de  la</w:t>
        <w:br/>
        <w:t>Convención.</w:t>
        <w:br/>
        <w:br/>
        <w:t>19.   El 5 de julio  de  1995  el  Gobierno  transmitió  a  la  Comisión  su</w:t>
        <w:br/>
        <w:t>respuesta, en la cual expresa que:</w:t>
        <w:br/>
        <w:br/>
        <w:t xml:space="preserve">      [a] la fecha  el  proceso  de  mérito  se  encuentra  en  su  fase  de</w:t>
        <w:br/>
        <w:t xml:space="preserve">      investigación;  siendo   las   últimas   actuaciones   procesales   la</w:t>
        <w:br/>
        <w:t xml:space="preserve">      declaración de testigos en la presente causa, ante el Fiscal Distrital</w:t>
        <w:br/>
        <w:t xml:space="preserve">      del Ministerio Público de Huehuetenango... Como se  puede  derivar  de</w:t>
        <w:br/>
        <w:t xml:space="preserve">      las declaraciones prestadas por las personas mencionadas, el  progreso</w:t>
        <w:br/>
        <w:t xml:space="preserve">      del proceso es evidente.</w:t>
        <w:br/>
        <w:br/>
        <w:t>20.   El 3 de agosto de 1995, al no  haber  llegado  a  un  acuerdo  con  el</w:t>
        <w:br/>
        <w:t>Gobierno, la Comisión sometió este caso para la consideración y decisión  de</w:t>
        <w:br/>
        <w:t>la Corte.</w:t>
        <w:br/>
        <w:br/>
        <w:br/>
        <w:t xml:space="preserve">                                     III</w:t>
        <w:br/>
        <w:br/>
        <w:t>21.   La Corte es competente para conocer del presente caso.   Guatemala  es</w:t>
        <w:br/>
        <w:t>Estado Parte en la Convención Americana desde  el  25  de  mayo  de  1978  y</w:t>
        <w:br/>
        <w:t>aceptó la competencia contenciosa de la Corte el 9 de marzo de 1987.</w:t>
        <w:br/>
        <w:br/>
        <w:br/>
        <w:t xml:space="preserve">                                     IV</w:t>
        <w:br/>
        <w:br/>
        <w:t>22.   El Gobierno interpuso tres excepciones  preliminares  que  se  resumen</w:t>
        <w:br/>
        <w:t>así:</w:t>
        <w:br/>
        <w:br/>
        <w:t xml:space="preserve">      Primera.    Incompetencia  de  la  Corte  Interamericana  de  Derechos</w:t>
        <w:br/>
        <w:t xml:space="preserve">      Humanos para conocer de este caso en virtud de que  el  reconocimiento</w:t>
        <w:br/>
        <w:t xml:space="preserve">      de la competencia obligatoria de la Corte se hizo exclusivamente  para</w:t>
        <w:br/>
        <w:t xml:space="preserve">      los casos  acaecidos  con  posterioridad  a  la  fecha  en  que  dicha</w:t>
        <w:br/>
        <w:t xml:space="preserve">      declaración fue depositada en la Secretaría de la Organización de  los</w:t>
        <w:br/>
        <w:t xml:space="preserve">      Estados Americanos.</w:t>
        <w:br/>
        <w:br/>
        <w:br/>
        <w:t xml:space="preserve">      Segunda.   Incompetencia de la Corte para conocer  de  la  demanda  en</w:t>
        <w:br/>
        <w:t xml:space="preserve">      referencia por razón de la materia.</w:t>
        <w:br/>
        <w:br/>
        <w:br/>
        <w:t xml:space="preserve">      Tercera.   Violación  por  parte  de  la  Comisión  de  la  Convención</w:t>
        <w:br/>
        <w:t xml:space="preserve">      Americana en lo que respecta a la norma de interpretación contenida en</w:t>
        <w:br/>
        <w:t xml:space="preserve">      su artículo 29 inciso d).</w:t>
        <w:br/>
        <w:br/>
        <w:br/>
        <w:t xml:space="preserve">                                      V</w:t>
        <w:br/>
        <w:br/>
        <w:t>23.   La primera de las excepciones es la “[i]ncompetencia de la Corte  para</w:t>
        <w:br/>
        <w:t>conocer de este caso” que el Gobierno fundamenta en que Guatemala aceptó  la</w:t>
        <w:br/>
        <w:t>competencia de la Corte el 9 de marzo de 1987 “con la  reserva  de  que  los</w:t>
        <w:br/>
        <w:t>casos en que se reconoce la competencia  son  exclusivamente  los  acaecidos</w:t>
        <w:br/>
        <w:t>con posterioridad a la fecha en  que  esta  declaración  sea  presentada  al</w:t>
        <w:br/>
        <w:t>Secretario de la Organización de los Estados Americanos” y que los hechos  a</w:t>
        <w:br/>
        <w:t>que se refiere la demanda ocurrieron en marzo de 1985, fecha anterior  a  la</w:t>
        <w:br/>
        <w:t>aceptación, circunstancia esta por la cual la Corte no tendría  jurisdicción</w:t>
        <w:br/>
        <w:t>para conocer este caso.   El  Gobierno  sostiene  que  a  pesar  de  que  la</w:t>
        <w:br/>
        <w:t>Comisión le “acusa... de secuestrar en forma arbitraria e  ilegal  al  señor</w:t>
        <w:br/>
        <w:t>Nicholas Chapman Blake, de proceder a su desaparición forzada y  de  haberle</w:t>
        <w:br/>
        <w:t>quitado la vida” es evidente que los citados hechos ocurrieron en  marzo  de</w:t>
        <w:br/>
        <w:t>1985.</w:t>
        <w:br/>
        <w:br/>
        <w:t>24.   La Comisión Interamericana solicitó rechazar esta excepción porque  la</w:t>
        <w:br/>
        <w:t>demanda en el  presente  caso  “se  refiere  a  hechos  que  sucedieron  con</w:t>
        <w:br/>
        <w:t>posterioridad a esa fecha”.  Como fundamento de  lo  anterior,  la  Comisión</w:t>
        <w:br/>
        <w:t>sostiene que la excepción de falta de competencia ratione  temporis  “no  se</w:t>
        <w:br/>
        <w:t>aplica a los delitos continuados” y afirma que desde  su  detención  por  la</w:t>
        <w:br/>
        <w:t>Patrulla de Autodefensa Civil de El Llano el 28 de marzo de 1985,  el  señor</w:t>
        <w:br/>
        <w:t>Blake tuvo la calidad de desaparecido hasta el 14 de junio  de  1992,  fecha</w:t>
        <w:br/>
        <w:t>en que se encontraron sus restos, por  lo  que  la  desaparición  del  señor</w:t>
        <w:br/>
        <w:t>Blake se prolongó “durante un período de tiempo que excedió en más de  cinco</w:t>
        <w:br/>
        <w:t>años la fecha de aceptación de la jurisdicción obligatoria de la  Corte  -el</w:t>
        <w:br/>
        <w:t>9 de marzo de 1987- por parte del Estado de Guatemala”.  De acuerdo  con  la</w:t>
        <w:br/>
        <w:t>Comisión, el efecto continuo de la desaparición se ilustra  en  el  presente</w:t>
        <w:br/>
        <w:t>caso por “el ocultamiento de los restos del señor  Blake,  el  encubrimiento</w:t>
        <w:br/>
        <w:t>de los autores y cómplices, la total indiferencia  y  falta  de  información</w:t>
        <w:br/>
        <w:t>sobre lo  sucedido  por  parte  de  las  autoridades,  y  las  consecuencias</w:t>
        <w:br/>
        <w:t>permanentes que esa trágica situación ha producido  en  los  familiares  del</w:t>
        <w:br/>
        <w:t>señor Blake”.</w:t>
        <w:br/>
        <w:br/>
        <w:br/>
        <w:t xml:space="preserve">                                     VI</w:t>
        <w:br/>
        <w:br/>
        <w:t>25.   La segunda de las excepciones es la “[i]ncompetencia por razón  de  la</w:t>
        <w:br/>
        <w:t>materia de la Corte Interamericana de  Derechos  Humanos”  que  el  Gobierno</w:t>
        <w:br/>
        <w:t>opone “en virtud de que los hechos  en  que  se  fundamenta  no  constituyen</w:t>
        <w:br/>
        <w:t>violación a ninguno de los derechos humanos y libertades reconocidas por  la</w:t>
        <w:br/>
        <w:t>Convención Americana”, pues constituyen un ilícito penal de orden común  que</w:t>
        <w:br/>
        <w:t>no puede ser imputable al Estado bajo la tesis de  que  los  integrantes  de</w:t>
        <w:br/>
        <w:t>las Patrullas de Autodefensa Civil son agentes del Estado.  Con  respecto  a</w:t>
        <w:br/>
        <w:t>la relación entre las Patrullas Civiles y el Ejército, el Gobierno  sostiene</w:t>
        <w:br/>
        <w:t>que “[e]s natural que las Patrullas Civiles tengan  vinculaciones  estrechas</w:t>
        <w:br/>
        <w:t>con  el  Ejército  Nacional  en  lo  que  respecta  a  la  lucha  contra  la</w:t>
        <w:br/>
        <w:t>subversión... pero de  eso  no  se  puede  presumir  con  ligereza  que  sus</w:t>
        <w:br/>
        <w:t>integrantes pertenezcan, o tengan iguales funciones que las Fuerzas  Armadas</w:t>
        <w:br/>
        <w:t>y que sean Agentes del Estado de Guatemala”.  En  consecuencia,  si  algunos</w:t>
        <w:br/>
        <w:t>de  los  miembros  de  dichas  Patrullas  cometen  actos   delictivos,   “su</w:t>
        <w:br/>
        <w:t>responsabilidad es directa e individual” ya que el hecho de formar parte  de</w:t>
        <w:br/>
        <w:t>alguna Patrulla Civil “no otorga inmunidades, ni privilegios, ni  fueros  de</w:t>
        <w:br/>
        <w:t>ninguna naturaleza”.</w:t>
        <w:br/>
        <w:br/>
        <w:t>26.   La Comisión afirma que el Gobierno plantea en su segunda excepción  un</w:t>
        <w:br/>
        <w:t>asunto que se refiere al fondo  de  la  cuestión  ante  la  Corte,  pues  la</w:t>
        <w:br/>
        <w:t>determinación de si los hechos  alegados  constituyen  una  violación  a  la</w:t>
        <w:br/>
        <w:t>Convención tendrá sustento y fundamento en la prueba que aporten las  partes</w:t>
        <w:br/>
        <w:t>y que, por tanto, “responderá a objetivos y criterios diferentes a  los  que</w:t>
        <w:br/>
        <w:t>debe utilizar la Corte para determinar su competencia en esta  etapa  previa</w:t>
        <w:br/>
        <w:t>o preliminar”.  La Comisión reitera que la Corte es competente para  conocer</w:t>
        <w:br/>
        <w:t>del presente caso porque los hechos imputados  al  Estado  afectan  derechos</w:t>
        <w:br/>
        <w:t>protegidos por la Convención,  dado  que,  de  conformidad  con  el  Derecho</w:t>
        <w:br/>
        <w:t>Internacional, los Estados incurren en  responsabilidad  cuando  los  hechos</w:t>
        <w:br/>
        <w:t>que  constituyen  una  violación  le  son  atribuibles,  es  decir,   cuando</w:t>
        <w:br/>
        <w:t>“[a]gentes del Estado, o personas o grupos de personas vinculados a éste,  o</w:t>
        <w:br/>
        <w:t>actuando  con  la  aquiescencia  del  Estado   cometieren   tales   hechos”.</w:t>
        <w:br/>
        <w:t>Asimismo, el Estado es responsable “si no investiga  o  reprime  hechos  que</w:t>
        <w:br/>
        <w:t>puedan configurar una violación de derechos protegidos  internacionalmente”.</w:t>
        <w:br/>
        <w:t xml:space="preserve"> La Comisión afirma que Guatemala ha  violado  su  obligación  de  controlar</w:t>
        <w:br/>
        <w:t>grupos paramilitares que operan en el ámbito de  su  territorio  nacional  y</w:t>
        <w:br/>
        <w:t>que las Patrullas de Autodefensa Civil según su Estatuto están  subordinadas</w:t>
        <w:br/>
        <w:t>jerárquicamente al Ministerio de Defensa,  que  son  armadas,  entrenadas  y</w:t>
        <w:br/>
        <w:t>supervisadas por el Ejército, por lo que “actúan  como  Agentes  del  Estado</w:t>
        <w:br/>
        <w:t>guatemalteco”.</w:t>
        <w:br/>
        <w:br/>
        <w:br/>
        <w:t xml:space="preserve">                                     VII</w:t>
        <w:br/>
        <w:br/>
        <w:t>27.   El Gobierno sostiene en relación con la tercera  excepción  preliminar</w:t>
        <w:br/>
        <w:t>que la Comisión Interamericana viola el artículo 29.d) de la  Convención  al</w:t>
        <w:br/>
        <w:t>pretender excluir o limitar el efecto  que  pueda  producir  la  Declaración</w:t>
        <w:br/>
        <w:t>Americana de Derechos y  Deberes  del  Hombre  al  hacer  referencia  en  la</w:t>
        <w:br/>
        <w:t>demanda  a  una  “interpretación  distorsionada”  de  los  derechos  humanos</w:t>
        <w:br/>
        <w:t>reconocidos en la  Convención,  carente  de  toda  lógica,  del  más  mínimo</w:t>
        <w:br/>
        <w:t>soporte jurídico y sin precedentes  en  el  sistema  de  protección  en  los</w:t>
        <w:br/>
        <w:t>ámbitos mundial y regional.</w:t>
        <w:br/>
        <w:br/>
        <w:t>28.   Según la Comisión,  esta  alegada  violación  “no  tiene  carácter  de</w:t>
        <w:br/>
        <w:t>excepción preliminar puesto que se refiere a la apreciación  que  hace  [el]</w:t>
        <w:br/>
        <w:t>Gobierno sobre los razonamientos jurídicos que ha utilizado la  Comisión  en</w:t>
        <w:br/>
        <w:t>la demanda”, los que la Corte tendrá la oportunidad de abordar  al  examinar</w:t>
        <w:br/>
        <w:t>el fondo de la cuestión planteada por la Comisión.</w:t>
        <w:br/>
        <w:br/>
        <w:br/>
        <w:t xml:space="preserve">                                    VIII</w:t>
        <w:br/>
        <w:br/>
        <w:t>29.    La  Corte  entra  a  considerar  a   continuación   las   excepciones</w:t>
        <w:br/>
        <w:t>preliminares planteadas por Guatemala.  La primera excepción relativa  a  la</w:t>
        <w:br/>
        <w:t>falta de competencia de este Tribunal, en virtud de que la privación  de  la</w:t>
        <w:br/>
        <w:t>libertad (28 de marzo de 1985) y la muerte del señor Nicholas Chapman  Blake</w:t>
        <w:br/>
        <w:t>(29 de marzo de 1985 de acuerdo con su acta de defunción) se  produjeron  en</w:t>
        <w:br/>
        <w:t>fecha anterior al sometimiento de Guatemala a la jurisdicción de esta  Corte</w:t>
        <w:br/>
        <w:t>(9 de marzo de 1987), con la aclaración expresa de  que  ese  reconocimiento</w:t>
        <w:br/>
        <w:t>se hacía respecto de los casos “acaecidos con posterioridad a  la  fecha  en</w:t>
        <w:br/>
        <w:t>que esta declaración sea presentada al Secretario de la Organización de  los</w:t>
        <w:br/>
        <w:t>Estados Americanos”.</w:t>
        <w:br/>
        <w:br/>
        <w:t>30.   No existe  desacuerdo  entre  el  Gobierno  y  la  Comisión  sobre  la</w:t>
        <w:br/>
        <w:t>circunstancia de que la detención y muerte del señor Blake se produjeron  en</w:t>
        <w:br/>
        <w:t>el mes de marzo de 1985 y que estos hechos se  realizaron  con  anterioridad</w:t>
        <w:br/>
        <w:t>al depósito del instrumento de la declaración de Guatemala  de  sometimiento</w:t>
        <w:br/>
        <w:t>a la jurisdicción de este Tribunal, el 9 de marzo de 1987.</w:t>
        <w:br/>
        <w:br/>
        <w:t>31.   La discrepancia entre las partes se produce en cuanto  a  los  efectos</w:t>
        <w:br/>
        <w:t>de los citados hechos.  El Gobierno sostiene que los  mismos  se  consumaron</w:t>
        <w:br/>
        <w:t>en el mes de marzo de 1985 y la Comisión afirma que  existe  continuidad  de</w:t>
        <w:br/>
        <w:t>sus efectos, ya que la privación de la libertad y la muerte del señor  Blake</w:t>
        <w:br/>
        <w:t>fueron descubiertos varios años  después  y  sus  consecuencias  todavía  no</w:t>
        <w:br/>
        <w:t>terminan, por cuanto</w:t>
        <w:br/>
        <w:br/>
        <w:t xml:space="preserve">     derivan del secuestro y de la posterior desaparición forzada del señor</w:t>
        <w:br/>
        <w:t xml:space="preserve">     Blake por agentes del Estado guatemalteco e incluyen,  además  de  ese</w:t>
        <w:br/>
        <w:t xml:space="preserve">     crimen, una serie de violaciones entre las  cuales  cabe  destacar  el</w:t>
        <w:br/>
        <w:t xml:space="preserve">     encubrimiento de la desaparición por parte  de  funcionarios  de  alto</w:t>
        <w:br/>
        <w:t xml:space="preserve">     nivel del Gobierno y de las Fuerzas Armadas de Guatemala, así como  el</w:t>
        <w:br/>
        <w:t xml:space="preserve">     retardo y la consiguiente denegación de justicia en que  ha  incurrido</w:t>
        <w:br/>
        <w:t xml:space="preserve">     el Estado guatemalteco.</w:t>
        <w:br/>
        <w:br/>
        <w:t>32.   En la audiencia pública de 28 de enero  de  1996,  se  precisaron  las</w:t>
        <w:br/>
        <w:t>explicaciones de ambas partes sobre sus respectivos argumentos,  con  motivo</w:t>
        <w:br/>
        <w:t>de  las  preguntas  realizadas  por  los  jueces  Novales  Aguirre,  Cançado</w:t>
        <w:br/>
        <w:t>Trindade, Jackman y Montiel Argüello, pues el Gobierno insistió en su  punto</w:t>
        <w:br/>
        <w:t>de vista de que los hechos se consumaron totalmente en  marzo  de  1985,  es</w:t>
        <w:br/>
        <w:t>decir con anterioridad al reconocimiento de la jurisdicción de  esta  Corte,</w:t>
        <w:br/>
        <w:t>en tanto que la Comisión reiteró que en su concepto existió  continuidad  en</w:t>
        <w:br/>
        <w:t>la violación de los derechos establecidos en  la  Convención  Americana  por</w:t>
        <w:br/>
        <w:t>parte del Gobierno, e inclusive afirmó que la muerte del señor  Blake  debía</w:t>
        <w:br/>
        <w:t>considerarse como un delito continuado ya que no se tuvo conocimiento de  la</w:t>
        <w:br/>
        <w:t>misma hasta el 14 de junio de 1992.</w:t>
        <w:br/>
        <w:br/>
        <w:t>33.   La Corte estima que la privación de la libertad y la muerte del  señor</w:t>
        <w:br/>
        <w:t>Blake se consumaron efectivamente en marzo de 1985, ésta  última  el  29  de</w:t>
        <w:br/>
        <w:t>ese mes según el acta de defunción, tal como lo sostiene  Guatemala,  y  que</w:t>
        <w:br/>
        <w:t>estos hechos no pueden considerarse per se de carácter  continuado,  por  lo</w:t>
        <w:br/>
        <w:t>que  este  Tribunal  carece   de   competencia   para   decidir   sobre   la</w:t>
        <w:br/>
        <w:t>responsabilidad de dicho Gobierno respecto de estos hechos y  sólo  en  este</w:t>
        <w:br/>
        <w:t>aspecto debe estimarse fundada la excepción preliminar de que se trata.</w:t>
        <w:br/>
        <w:br/>
        <w:t>34.   Por el contrario, por tratarse de una presunta  desaparición  forzada,</w:t>
        <w:br/>
        <w:t>las consecuencias de los mismos hechos se prolongaron hasta el 14  de  junio</w:t>
        <w:br/>
        <w:t>de 1992, pues, según lo expresado por la Comisión en su demanda,  existieron</w:t>
        <w:br/>
        <w:t>por parte de autoridades o agentes del Gobierno conductas  posteriores,  que</w:t>
        <w:br/>
        <w:t>en su concepto implican complicidad y ocultamiento  de  la  detención  y  la</w:t>
        <w:br/>
        <w:t>muerte del señor Blake, ya que el fallecimiento de la víctima,  no  obstante</w:t>
        <w:br/>
        <w:t>que se conocía por parte de dichas  autoridades  o  agentes,  no  se  dio  a</w:t>
        <w:br/>
        <w:t>conocer a sus familiares a pesar de sus gestiones constantes para  descubrir</w:t>
        <w:br/>
        <w:t>su paradero e inclusive se produjeron intentos para desaparecer los  restos.</w:t>
        <w:br/>
        <w:t xml:space="preserve"> Además, la propia Comisión afirma que se realizaron otras violaciones a  la</w:t>
        <w:br/>
        <w:t>Convención Americana relacionadas con estos acontecimientos.</w:t>
        <w:br/>
        <w:br/>
        <w:t>35.   Este Tribunal  sostuvo  en  los  primeros  casos  de  desaparición  de</w:t>
        <w:br/>
        <w:t>personas que le fueron sometidos que:</w:t>
        <w:br/>
        <w:br/>
        <w:t xml:space="preserve">     [l]a desaparición forzada de seres humanos  constituye  una  violación</w:t>
        <w:br/>
        <w:t xml:space="preserve">     múltiple  y  continuada  de  numerosos  derechos  reconocidos  en   la</w:t>
        <w:br/>
        <w:t xml:space="preserve">     Convención y que los Estados  Partes  están  obligados  a  respetar  y</w:t>
        <w:br/>
        <w:t xml:space="preserve">     garantizar...  La  práctica  de  desapariciones,  a  más   de   violar</w:t>
        <w:br/>
        <w:t xml:space="preserve">     directamente  numerosas  disposiciones  de  la  Convención,  como  las</w:t>
        <w:br/>
        <w:t xml:space="preserve">     señaladas, significa una ruptura radical de este  tratado,  en  cuanto</w:t>
        <w:br/>
        <w:t xml:space="preserve">     implica el craso abandono de los valores que  emanan  de  la  dignidad</w:t>
        <w:br/>
        <w:t xml:space="preserve">     humana y de  los  principios  que  más  profundamente  fundamentan  el</w:t>
        <w:br/>
        <w:t xml:space="preserve">     sistema interamericano y la misma Convención.  La  existencia  de  esa</w:t>
        <w:br/>
        <w:t xml:space="preserve">     práctica, además, supone el desconocimiento del deber de organizar  el</w:t>
        <w:br/>
        <w:t xml:space="preserve">     aparato del Estado de modo que se garanticen los derechos  reconocidos</w:t>
        <w:br/>
        <w:t xml:space="preserve">     en la Convención (Caso Velásquez Rodríguez, Sentencia de 29  de  julio</w:t>
        <w:br/>
        <w:t xml:space="preserve">     de 1988. Serie C No.  4,  párrs.  155  y  158  y  Caso  Godínez  Cruz,</w:t>
        <w:br/>
        <w:t xml:space="preserve">     Sentencia de 20 de enero de 1989. Serie C No. 5, párrs. 163 y 166).</w:t>
        <w:br/>
        <w:br/>
        <w:t>36.   No existe ningún texto convencional  actualmente  en  vigor  sobre  la</w:t>
        <w:br/>
        <w:t>figura de la desaparición forzada  de  personas,  aplicable  a  los  Estados</w:t>
        <w:br/>
        <w:t>Partes en la Convención.  Sin embargo se deben tomar  en  consideración  los</w:t>
        <w:br/>
        <w:t>textos de dos instrumentos, la Declaración de las Naciones Unidas  sobre  la</w:t>
        <w:br/>
        <w:t>Protección de Todas las Personas contra las Desapariciones Forzosas,  de  18</w:t>
        <w:br/>
        <w:t>de  diciembre  de  1992,  así  como  la  Convención   Interamericana   sobre</w:t>
        <w:br/>
        <w:t>Desaparición Forzada de Personas, de 9 de junio de 1994.   A  pesar  de  que</w:t>
        <w:br/>
        <w:t>esta última todavía no está en  vigor  para  Guatemala,  estos  instrumentos</w:t>
        <w:br/>
        <w:t>recogen varios principios  de  derecho  internacional  sobre  esta  materia,</w:t>
        <w:br/>
        <w:t>instrumentos que se pueden invocar con fundamento en el  artículo  29.d)  de</w:t>
        <w:br/>
        <w:t>la Convención Americana.  Según esta disposición, no  se  puede  interpretar</w:t>
        <w:br/>
        <w:t>ninguno de los preceptos de dicha Convención en el  sentido  de  “excluir  o</w:t>
        <w:br/>
        <w:t>limitar el efecto que puedan producir la Declaración Americana  de  Derechos</w:t>
        <w:br/>
        <w:t>y Deberes del Hombre y otros actos internacionales de la misma  naturaleza”.</w:t>
        <w:br/>
        <w:br/>
        <w:br/>
        <w:t>37.   En el artículo 17.1 de la citada Declaración de  las  Naciones  Unidas</w:t>
        <w:br/>
        <w:t>se sostiene que:</w:t>
        <w:br/>
        <w:br/>
        <w:t xml:space="preserve">     “Todo acto de desaparición forzosa será considerado delito  permanente</w:t>
        <w:br/>
        <w:t xml:space="preserve">     mientras sus autores continúen ocultando la suerte y el paradero de la</w:t>
        <w:br/>
        <w:t xml:space="preserve">     persona desaparecida y mientras no se hayan esclarecido los hechos”.</w:t>
        <w:br/>
        <w:br/>
        <w:t xml:space="preserve">      A su vez, el artículo III de la mencionada  Convención  Interamericana</w:t>
        <w:br/>
        <w:t>dispone:</w:t>
        <w:br/>
        <w:br/>
        <w:t xml:space="preserve">     “Los Estados Partes se  comprometen  a  adoptar,  con  arreglo  a  sus</w:t>
        <w:br/>
        <w:t xml:space="preserve">     procedimientos constitucionales, las medidas legislativas  que  fueren</w:t>
        <w:br/>
        <w:t xml:space="preserve">     necesarias para tipificar  como  delito  la  desaparición  forzada  de</w:t>
        <w:br/>
        <w:t xml:space="preserve">     personas, y a imponerle una pena apropiada  que  tenga  en  cuenta  su</w:t>
        <w:br/>
        <w:t xml:space="preserve">     extrema gravedad.  Dicho delito será  considerado  como  continuado  o</w:t>
        <w:br/>
        <w:t xml:space="preserve">     permanente mientras no se establezca  el  destino  o  paradero  de  la</w:t>
        <w:br/>
        <w:t xml:space="preserve">     víctima”.</w:t>
        <w:br/>
        <w:br/>
        <w:t>38.   Además, en la legislación interna de Guatemala, el  artículo  201  TER</w:t>
        <w:br/>
        <w:t>del Código Penal -reformado  por  Decreto  No.  33-96  del  Congreso  de  la</w:t>
        <w:br/>
        <w:t>República aprobado el 22 de mayo de 1996- dispone, en su  parte  pertinente,</w:t>
        <w:br/>
        <w:t>que el delito de desaparición forzada “se considera continuado en  tanto  no</w:t>
        <w:br/>
        <w:t>se libere a la víctima”.</w:t>
        <w:br/>
        <w:br/>
        <w:t>39.   Lo anterior significa que, de acuerdo con los  mencionados  principios</w:t>
        <w:br/>
        <w:t>de   derecho   internacional,   recogidos   también   por   la   legislación</w:t>
        <w:br/>
        <w:t>guatemalteca,  la  desaparición  forzada  implica  la  violación  de  varios</w:t>
        <w:br/>
        <w:t>derechos reconocidos en los tratados internacionales  de  derechos  humanos,</w:t>
        <w:br/>
        <w:t>entre  ellos  la  Convención  Americana,  y  que  los   efectos   de   estas</w:t>
        <w:br/>
        <w:t>infracciones, aún cuando algunas, como en este caso, se hubiesen  consumado,</w:t>
        <w:br/>
        <w:t>pueden prolongarse de manera continua o permanente hasta el momento  en  que</w:t>
        <w:br/>
        <w:t>se establezca el destino o paradero de la víctima.</w:t>
        <w:br/>
        <w:br/>
        <w:t>40.   En virtud de lo anterior, como el destino o paradero del  señor  Blake</w:t>
        <w:br/>
        <w:t>no se conoció por los familiares de la víctima  hasta  el  14  de  junio  de</w:t>
        <w:br/>
        <w:t>1992, es decir con posterioridad a la fecha en que Guatemala  se  sometió  a</w:t>
        <w:br/>
        <w:t>la jurisdicción contenciosa de este Tribunal, la  excepción  preliminar  que</w:t>
        <w:br/>
        <w:t>hizo valer el Gobierno debe considerarse infundada en cuanto a  los  efectos</w:t>
        <w:br/>
        <w:t>y conductas posteriores a dicho sometimiento.  Por  ello  esta  Corte  tiene</w:t>
        <w:br/>
        <w:t>competencia para conocer de las posibles violaciones que imputa la  Comisión</w:t>
        <w:br/>
        <w:t>al propio Gobierno en cuanto a dichos efectos y conductas.</w:t>
        <w:br/>
        <w:br/>
        <w:br/>
        <w:t xml:space="preserve">                                     IX</w:t>
        <w:br/>
        <w:br/>
        <w:t>41.   La segunda excepción preliminar se apoya en la incompetencia  de  esta</w:t>
        <w:br/>
        <w:t>Corte por razón de la materia, pues Guatemala considera que  los  hechos  en</w:t>
        <w:br/>
        <w:t>que se fundamenta la demanda no constituyen  violación  de  ninguno  de  los</w:t>
        <w:br/>
        <w:t>derechos humanos y libertades reconocidos por la  Convención  Americana,  en</w:t>
        <w:br/>
        <w:t>virtud de que configuran un ilícito penal de orden común que  no  puede  ser</w:t>
        <w:br/>
        <w:t>imputable al Estado, ya  que  no  puede  presumirse  que  las  Patrullas  de</w:t>
        <w:br/>
        <w:t>Autodefensa Civil sean agentes del Estado de Guatemala,  de  manera  que  si</w:t>
        <w:br/>
        <w:t>los  miembros   de   dichas   Patrullas   cometen   actos   delictivos,   su</w:t>
        <w:br/>
        <w:t>responsabilidad es directa e individual.</w:t>
        <w:br/>
        <w:br/>
        <w:t>42.   Por su parte, la Comisión afirma que dicha  excepción  se  refiere  al</w:t>
        <w:br/>
        <w:t>fondo de la cuestión planteada, ya que la determinación sobre si los  hechos</w:t>
        <w:br/>
        <w:t>alegados  constituyen  violaciones  a  la  Convención  tendrá   sustento   y</w:t>
        <w:br/>
        <w:t>fundamento en la prueba que aporten las partes.</w:t>
        <w:br/>
        <w:br/>
        <w:t>43.   La Corte considera que esta segunda excepción no  es  preliminar  sino</w:t>
        <w:br/>
        <w:t>más bien una cuestión efectivamente vinculada al fondo de  la  controversia.</w:t>
        <w:br/>
        <w:t>Para  establecer  si  las  Patrullas  de  Autodefensa  Civil  deben   o   no</w:t>
        <w:br/>
        <w:t>considerarse como agentes del Estado y por tanto, si los hechos  que  señala</w:t>
        <w:br/>
        <w:t>la Comisión Interamericana pueden ser imputables a dicho Estado,  o  por  el</w:t>
        <w:br/>
        <w:t>contrario, sean delitos comunes, será necesario  examinar  el  fondo  de  la</w:t>
        <w:br/>
        <w:t>controversia y analizar las  pruebas  aportadas  por  las  partes.   En  tal</w:t>
        <w:br/>
        <w:t>virtud, esta excepción debe desecharse por improcedente.</w:t>
        <w:br/>
        <w:br/>
        <w:br/>
        <w:t xml:space="preserve">                                      X</w:t>
        <w:br/>
        <w:br/>
        <w:t>44.   La tercera excepción se refiere a la presunta violación por  parte  de</w:t>
        <w:br/>
        <w:t>la Comisión del artículo 29.d) de la Convención, que el Gobierno atribuye  a</w:t>
        <w:br/>
        <w:t>una “interpretación distorsionada” de los derechos  humanos  reconocidos  en</w:t>
        <w:br/>
        <w:t>la Convención.  La Comisión sostiene que esta excepción se  refiere  también</w:t>
        <w:br/>
        <w:t>al fondo del asunto, ya que sólo entonces esta Corte podrá establecer si  es</w:t>
        <w:br/>
        <w:t>o no correcta la interpretación que hace la Comisión de los preceptos de  la</w:t>
        <w:br/>
        <w:t>Convención que señala como infringidos por el Gobierno.</w:t>
        <w:br/>
        <w:br/>
        <w:t>45.   Esta Corte señala que los argumentos del Gobierno  adolecen  de  falta</w:t>
        <w:br/>
        <w:t>de claridad,  pues  el  precepto  que  invoca,  trascrito  con  anterioridad</w:t>
        <w:br/>
        <w:t>(supra, párr. 36), tiene un significado diverso del que se  le  atribuye,  y</w:t>
        <w:br/>
        <w:t>además, esta cuestión no se aclaró en la audiencia pública de  28  de  enero</w:t>
        <w:br/>
        <w:t>de 1996.  Al parecer  lo  que  pretende  sostener  el  Gobierno  es  que  la</w:t>
        <w:br/>
        <w:t>interpretación  que  hace  la  Comisión  sobre  las  disposiciones   de   la</w:t>
        <w:br/>
        <w:t>Convención que consagran los  derechos  que  considera  violados  por  dicho</w:t>
        <w:br/>
        <w:t>Gobierno, es una apreciación equivocada.  Es evidente que esta  cuestión  es</w:t>
        <w:br/>
        <w:t>atinente al fondo de este  asunto,  ya  que  entonces  podrá  este  Tribunal</w:t>
        <w:br/>
        <w:t>examinar si son fundados los argumentos de  la  Comisión  sobre  la  posible</w:t>
        <w:br/>
        <w:t>violación por parte de Guatemala de las  normas  de  la  Convención  que  se</w:t>
        <w:br/>
        <w:t>señalan.  En tal virtud,  también  debe  desecharse  por  improcedente  esta</w:t>
        <w:br/>
        <w:t>excepción que tampoco tiene carácter preliminar.</w:t>
        <w:br/>
        <w:br/>
        <w:t>46.   Como la primera excepción preliminar es sólo  parcialmente  fundada  y</w:t>
        <w:br/>
        <w:t>las otras dos improcedentes, debe continuarse con el  conocimiento  de  este</w:t>
        <w:br/>
        <w:t>caso.  Se excluyen de la competencia de la Corte la detención  y  la  muerte</w:t>
        <w:br/>
        <w:t>de la víctima,  pero  conserva  jurisdicción  en  cuanto  a  los  efectos  y</w:t>
        <w:br/>
        <w:t>conductas  posteriores  a  la  fecha  en  la  cual  Guatemala  reconoció  la</w:t>
        <w:br/>
        <w:t>competencia de la Corte.</w:t>
        <w:br/>
        <w:br/>
        <w:br/>
        <w:t xml:space="preserve">                                     XI</w:t>
        <w:br/>
        <w:br/>
        <w:t>Por tanto,</w:t>
        <w:br/>
        <w:br/>
        <w:br/>
        <w:t>LA CORTE,</w:t>
        <w:br/>
        <w:br/>
        <w:t>RESUELVE:</w:t>
        <w:br/>
        <w:br/>
        <w:br/>
        <w:t>por unanimidad</w:t>
        <w:br/>
        <w:br/>
        <w:t>1.     Que  es  parcialmente  fundada  la  primera  excepción  preliminar  y</w:t>
        <w:br/>
        <w:t>declararse incompetente para decidir sobre la  presunta  responsabilidad  de</w:t>
        <w:br/>
        <w:t>Guatemala respecto a la detención y la muerte  del  señor  Nicholas  Chapman</w:t>
        <w:br/>
        <w:t>Blake.</w:t>
        <w:br/>
        <w:br/>
        <w:br/>
        <w:t>2.    Continuar con el conocimiento del caso en relación con los  efectos  y</w:t>
        <w:br/>
        <w:t>los  hechos  ocurridos  con  posterioridad  a  la  fecha  en  que  Guatemala</w:t>
        <w:br/>
        <w:t>reconoció la competencia de la Corte.</w:t>
        <w:br/>
        <w:br/>
        <w:br/>
        <w:t>3.    Desechar por improcedentes la segunda y tercera excepciones.</w:t>
        <w:br/>
        <w:br/>
        <w:br/>
        <w:t>El Juez Cançado Trindade hizo conocer a la Corte su voto razonado y el  Juez</w:t>
        <w:br/>
        <w:t>Novales Aguirre su voto razonado concurrente, los cuales  acompañan  a  esta</w:t>
        <w:br/>
        <w:t>sentencia.</w:t>
        <w:br/>
        <w:br/>
        <w:t>Redactada en castellano y en inglés, haciendo fe  el  texto  en  castellano.</w:t>
        <w:br/>
        <w:t>Leída en sesión pública en la sede de la Corte en San José, Costa  Rica,  el</w:t>
        <w:br/>
        <w:t>día 2 de julio de 1996.</w:t>
        <w:br/>
        <w:br/>
        <w:br/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t>Hernán Salgado Pesantes     Alejandro Montiel Argüello</w:t>
        <w:br/>
        <w:br/>
        <w:br/>
        <w:t>Oliver Jackman   Antônio A. Cançado Trindade</w:t>
        <w:br/>
        <w:br/>
        <w:br/>
        <w:t xml:space="preserve">                           Alfonso Novales Aguirre</w:t>
        <w:br/>
        <w:t xml:space="preserve">                                 Juez ad hoc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t xml:space="preserve">      Héctor Fix-Zamudio</w:t>
        <w:br/>
        <w:t xml:space="preserve">      Presidente</w:t>
        <w:br/>
        <w:br/>
        <w:br/>
        <w:t>Manuel E. Ventura Robles</w:t>
        <w:br/>
        <w:t xml:space="preserve">      Secretario</w:t>
        <w:br/>
        <w:br/>
        <w:br/>
        <w:t xml:space="preserve">                VOTO RAZONADO DEL JUEZ A. A. CANÇADO TRINDADE</w:t>
        <w:br/>
        <w:br/>
        <w:br/>
        <w:br/>
        <w:t>1.    Suscribo la decisión de la Corte Interamericana  de  Derechos  Humanos</w:t>
        <w:br/>
        <w:t>en el presente caso Blake, pero hubiera preferido que la Corte  fundamentara</w:t>
        <w:br/>
        <w:t>sus conclusiones  en  razonamiento  distinto.  Dada  la  importancia  de  la</w:t>
        <w:br/>
        <w:t>presente Sentencia sobre Excepciones Preliminares, por  constituir  esta  la</w:t>
        <w:br/>
        <w:t>primera vez en que la Corte es llamada a pronunciarse sobre  la  materia  en</w:t>
        <w:br/>
        <w:t>las circunstancias particulares del cas d'espèce, y  por  sus  implicaciones</w:t>
        <w:br/>
        <w:t>para casos congéneres futuros,  paso  a  exponer  mi  entendimiento  de  los</w:t>
        <w:br/>
        <w:t>fundamentos para la presente decisión. Mi Voto Razonado se concentra  en  la</w:t>
        <w:br/>
        <w:t>decisión  de  la  Corte  en  cuanto  a  la  primera   excepción   preliminar</w:t>
        <w:br/>
        <w:t>interpuesta por el Gobierno de Guatemala, por cuanto  estoy  satisfecho  con</w:t>
        <w:br/>
        <w:t>lo que la Corte dispuso sobre la segunda y tercera  excepciones,  desechadas</w:t>
        <w:br/>
        <w:t>por improcedentes por configurarse más bien como  argumentos  en  cuanto  al</w:t>
        <w:br/>
        <w:t>fondo del caso.</w:t>
        <w:br/>
        <w:br/>
        <w:t>2.    La Corte se ve ante un  caso  de  desaparición  de  una  persona,  por</w:t>
        <w:br/>
        <w:t>cuanto se ha establecido que la detención y muerte del Sr. Nicholas  Chapman</w:t>
        <w:br/>
        <w:t>Blake ocurrieron entre los días 28 y 29 de marzo de  1985  y  sus  supuestos</w:t>
        <w:br/>
        <w:t>restos mortales (luego identificados como tales por un médico forense)  sólo</w:t>
        <w:br/>
        <w:t>fueron encontrados en junio de 1992.  Dado  que  la  Corte  ha  desarrollado</w:t>
        <w:br/>
        <w:t>algunas consideraciones sobre la  figura  de  la  "desaparición  forzada  de</w:t>
        <w:br/>
        <w:t>personas" (párrafos 35-39 de  la  Sentencia),  permítome  agregar  un  breve</w:t>
        <w:br/>
        <w:t>señalamiento de orden general, recordando que tal expresión  -  que  pasa  a</w:t>
        <w:br/>
        <w:t>ser  usada  a  partir  de  mediados  de  los  años  sesenta,  incorporándose</w:t>
        <w:br/>
        <w:t>gradualmente al  vocabulario  del  derecho  internacional  de  los  derechos</w:t>
        <w:br/>
        <w:t>humanos a lo largo de la década siguiente, - sólo recientemente viene a  ser</w:t>
        <w:br/>
        <w:t>definida como delito (artículo II) por la  Convención  Interamericana  sobre</w:t>
        <w:br/>
        <w:t>Desaparición Forzada de  Personas  de  1994.  La  experiencia  internacional</w:t>
        <w:br/>
        <w:t>sobre la materia acumulada  por  los  órganos  de  supervisión  de  derechos</w:t>
        <w:br/>
        <w:t>humanos en los últimos años enseña que la desaparición forzada  de  personas</w:t>
        <w:br/>
        <w:t>no puede ser disociada de violaciones  de  otros  derechos,  consagrados  en</w:t>
        <w:br/>
        <w:t>tratados de derechos humanos como la  Convención  Americana  sobre  Derechos</w:t>
        <w:br/>
        <w:t>Humanos, como, v.g., el derecho a la libertad y a  la  seguridad  personales</w:t>
        <w:br/>
        <w:t>(artículo 7.1),  el derecho  a  no  ser  detenido  o  preso  arbitrariamente</w:t>
        <w:br/>
        <w:t>(artículo 7.3), el derecho a no ser sometido a torturas  o  tratos  crueles,</w:t>
        <w:br/>
        <w:t>inhumanos o degradantes (artículo 5), el derecho  al  reconocimiento  de  la</w:t>
        <w:br/>
        <w:t>personalidad jurídica ante la ley (artículo 3).</w:t>
        <w:br/>
        <w:br/>
        <w:t>3.    Como los casos de desaparición forzada se  han  caracterizado  por  la</w:t>
        <w:br/>
        <w:t>negación de responsabilidad por parte  de  las  autoridades  públicas  y  la</w:t>
        <w:br/>
        <w:t>consecuente imposibilidad de obtener justicia y reparación,  acarreando  una</w:t>
        <w:br/>
        <w:t>situación de impunidad y  la  indefensión  de  las  víctimas  directas  (los</w:t>
        <w:br/>
        <w:t>"desaparecidos") e indirectas (sus familiares), tampoco  hay  como  disociar</w:t>
        <w:br/>
        <w:t>la  desaparición  forzada  de  violaciones  de   otros   derechos,   también</w:t>
        <w:br/>
        <w:t>protegidos en tratados como la Convención Americana, como, v.g., el  derecho</w:t>
        <w:br/>
        <w:t>a un recurso eficaz ante los jueces o tribunales nacionales (artículo 25)  y</w:t>
        <w:br/>
        <w:t>el derecho a un juicio independiente e imparcial (artículo 8). En  realidad,</w:t>
        <w:br/>
        <w:t>sólo después de conocido el paradero  de  una  persona  desaparecida  se  ha</w:t>
        <w:br/>
        <w:t>podido proceder a la determinación de la ocurrencia de violación  de  éstos,</w:t>
        <w:br/>
        <w:t>y otros derechos. Es lo  que  nos  enseña  la  experiencia  de  los  órganos</w:t>
        <w:br/>
        <w:t>internacionales de protección sobre la materia, a empezar por  la  necesidad</w:t>
        <w:br/>
        <w:t>de considerar un caso de desaparición en la integralidad  de  sus  múltiples</w:t>
        <w:br/>
        <w:t>aspectos.</w:t>
        <w:br/>
        <w:br/>
        <w:t>4.    Como, en el presente caso Blake, quedó demostrado, en  esta  etapa  de</w:t>
        <w:br/>
        <w:t>excepciones preliminares, que  no  hay  controversia  entre  las  partes  en</w:t>
        <w:br/>
        <w:t>cuanto a los hechos de la  detención  y  muerte  del  Sr.  Nicholas  Chapman</w:t>
        <w:br/>
        <w:t>Blake, ocurridos entre los días 28 y 29 de marzo de 1985,  muerte  ésta  que</w:t>
        <w:br/>
        <w:t>sólo se vino a conocer o confirmar más de siete años después,  en  junio  de</w:t>
        <w:br/>
        <w:t>1992, la Corte se ve ante un caso de desaparición, habiendo que  determinar,</w:t>
        <w:br/>
        <w:t>en la próxima etapa del procedimiento, si ésta fue o no  forzada.  De  todos</w:t>
        <w:br/>
        <w:t>modos, la caracterización del presente caso como de  desaparición,  requiere</w:t>
        <w:br/>
        <w:t>que se comprenda ésta en su integralidad, en sus múltiples aspectos.</w:t>
        <w:br/>
        <w:br/>
        <w:t>5.    En realidad, así parecen  haberla  efectivamente  entendido,  en  esta</w:t>
        <w:br/>
        <w:t>etapa de excepciones preliminares, con  propósitos  distintos  y  argumentos</w:t>
        <w:br/>
        <w:t>contrapuestos, tanto la Comisión Interamericana de Derechos  Humanos  en  su</w:t>
        <w:br/>
        <w:t>demanda del 03 de agosto de 1995,  como  el  Gobierno  de  Guatemala  en  su</w:t>
        <w:br/>
        <w:t>escrito de excepciones preliminares del 16  de  septiembre  de  1995,  -  al</w:t>
        <w:br/>
        <w:t>referirse ambos, Comisión y Gobierno, a todas las denuncias en conjunto.  Es</w:t>
        <w:br/>
        <w:t>este un aspecto que no debe pasar desapercibido.</w:t>
        <w:br/>
        <w:br/>
        <w:t>6.    Al interponer su primera excepción  preliminar,  Guatemala  transcribe</w:t>
        <w:br/>
        <w:t>el instrumento de su sometimiento a la jurisdicción de la  Corte  el  09  de</w:t>
        <w:br/>
        <w:t>marzo de 1987 (es decir,  el  Acuerdo  Gubernativo  n.  123-87,  del  20  de</w:t>
        <w:br/>
        <w:t>febrero de 1987), cuyo artículo 2 dispone que</w:t>
        <w:br/>
        <w:br/>
        <w:t xml:space="preserve">     La aceptación de la competencia de la Corte Interamericana de Derechos</w:t>
        <w:br/>
        <w:t xml:space="preserve">     Humanos se hace por  plazo  indefinido,  con  carácter  general,  bajo</w:t>
        <w:br/>
        <w:t xml:space="preserve">     condiciones de reciprocidad y con la reserva de que los casos  en  que</w:t>
        <w:br/>
        <w:t xml:space="preserve">     se reconoce  la  competencia  son  exclusivamente  los  acaecidos  con</w:t>
        <w:br/>
        <w:t xml:space="preserve">     posterioridad a la fecha en que esta  declaración  sea  presentada  al</w:t>
        <w:br/>
        <w:t xml:space="preserve">     Secretario de la Organización de los Estados Americanos.</w:t>
        <w:br/>
        <w:br/>
        <w:t>Cabe precisar que la "reserva" arriba transcrita no hay  que  entenderla  en</w:t>
        <w:br/>
        <w:t>el mismo sentido atribuido al término en  el  dominio  del  derecho  de  los</w:t>
        <w:br/>
        <w:t>tratados, configurándose más  bien  como  una  condición  expresada  por  el</w:t>
        <w:br/>
        <w:t>Gobierno guatemalteco en  los  términos  de  aceptación  de  la  competencia</w:t>
        <w:br/>
        <w:t>contenciosa de la Corte para "casos específicos", - lo  que  está  Guatemala</w:t>
        <w:br/>
        <w:t>enteramente facultada a hacer en virtud de los términos  del  artículo  62.2</w:t>
        <w:br/>
        <w:t>de la Convención Americana sobre Derechos Humanos.</w:t>
        <w:br/>
        <w:br/>
        <w:t>7.    El referido escrito de excepción preliminar agrega que</w:t>
        <w:br/>
        <w:br/>
        <w:t xml:space="preserve">     Como la Comisión acusa al Estado de Guatemala de secuestrar  en  forma</w:t>
        <w:br/>
        <w:t xml:space="preserve">     arbitraria e ilegal al Sr. Nicholas Chapman Blake, de  proceder  a  su</w:t>
        <w:br/>
        <w:t xml:space="preserve">     desaparición forzada y de haberle quitado la vida, afirmando que  todo</w:t>
        <w:br/>
        <w:t xml:space="preserve">     ello sucedió  el  28  de  marzo  de  1985  en  el  lugar  llamado  Los</w:t>
        <w:br/>
        <w:t xml:space="preserve">     Campamentos del Departamento de Huehuetenango, y que, en consecuencia,</w:t>
        <w:br/>
        <w:t xml:space="preserve">     ese día se violaron los derechos humanos del Sr. Blake reconocidos por</w:t>
        <w:br/>
        <w:t xml:space="preserve">     la Convención en sus artículos 7, 4, 8, 25, 13, 22 y 1.1, es evidente,</w:t>
        <w:br/>
        <w:t xml:space="preserve">     por lo mismo, la incompetencia de la Corte para conocer de este  caso,</w:t>
        <w:br/>
        <w:t xml:space="preserve">     en virtud de que el reconocimiento de la competencia obligatoria de la</w:t>
        <w:br/>
        <w:t xml:space="preserve">     Corte  se  hizo  exclusivamente   para   los   casos   acaecidos   con</w:t>
        <w:br/>
        <w:t xml:space="preserve">     posterioridad a la fecha en que la declaración al principio transcrita</w:t>
        <w:br/>
        <w:t xml:space="preserve">     fue depositada en la Secretaría General  de  la  OEA,  es  decir,  con</w:t>
        <w:br/>
        <w:t xml:space="preserve">     posterioridad al 09  de  marzo  de  1987,  por  lo  que  la  excepción</w:t>
        <w:br/>
        <w:t xml:space="preserve">     preliminar interpuesta es totalmente procedente.</w:t>
        <w:br/>
        <w:br/>
        <w:t>Cabe aquí otra  precisión.  No  se  demostró,  como  argumenta  el  Gobierno</w:t>
        <w:br/>
        <w:t>demandado, que la Comisión haya afirmado que la  muerte  y  la  desaparición</w:t>
        <w:br/>
        <w:t>forzada del Sr. Nicholas Chapman Blake, y las  demás  supuestas  violaciones</w:t>
        <w:br/>
        <w:t>de los artículos supracitados de la Convención Americana, "todo  ello"  haya</w:t>
        <w:br/>
        <w:t>sucedido y se haya consumado el día 28 de marzo de 1985. No  me  consta  que</w:t>
        <w:br/>
        <w:t>la  Comisión  lo  haya  afirmado  en  su  demanda;  y  la  Comisión   aclaró</w:t>
        <w:br/>
        <w:t>debidamente este punto en la audiencia pública  ante  la  Corte  del  28  de</w:t>
        <w:br/>
        <w:t>enero de 1996.</w:t>
        <w:br/>
        <w:br/>
        <w:t>8.    La primera excepción preliminar de Guatemala  se  caracteriza,  en  mi</w:t>
        <w:br/>
        <w:t>entendimiento,  como  una  excepción  preliminar  de   competencia   ratione</w:t>
        <w:br/>
        <w:t>temporis, formulada no como una condición de admisibilidad  de  la  demanda,</w:t>
        <w:br/>
        <w:t>sino más bien como una  condición  del  proceso,  de  la  aplicación  de  la</w:t>
        <w:br/>
        <w:t>actividad jurisdiccional de la Corte. Como tal, no tiene el  amplio  alcance</w:t>
        <w:br/>
        <w:t>que pretende darle el Gobierno demandado de condicionar ratione temporis  el</w:t>
        <w:br/>
        <w:t>propio sometimiento de todo el caso a la jurisdicción de la Corte, sino  más</w:t>
        <w:br/>
        <w:t>bien el de excluir de la consideración de la Corte, por la limitación de  su</w:t>
        <w:br/>
        <w:t>competencia ratione temporis, tan sólo los  hechos  ocurridos  antes  de  la</w:t>
        <w:br/>
        <w:t>aceptación por Guatemala de  la  competencia  de  la  Corte;  subsiste,  sin</w:t>
        <w:br/>
        <w:t>embargo, la denuncia  de  desaparición  forzada  en  relación  con  derechos</w:t>
        <w:br/>
        <w:t>conexos,  y  en  cuanto  a  los  efectos  y  conductas  subsiguientes  a  su</w:t>
        <w:br/>
        <w:t>instrumento de aceptación (depositado el 09 de marzo de 1987),  en  relación</w:t>
        <w:br/>
        <w:t>a los cuales la Corte retiene su jurisdicción.</w:t>
        <w:br/>
        <w:br/>
        <w:t>9.     La  Corte  recuerda  (párrafo  35  de   la   Sentencia)   su   propia</w:t>
        <w:br/>
        <w:t>caracterización de la desaparición de personas, en  los  primeros  casos  de</w:t>
        <w:br/>
        <w:t>este género que le fueron sometidos en fines de los años ochenta,  como  una</w:t>
        <w:br/>
        <w:t>"violación múltiple y continuada de numerosos derechos"  reconocidos  en  la</w:t>
        <w:br/>
        <w:t>Convención Americana; y oportunamente señala (párrafo 38  de  la  Sentencia)</w:t>
        <w:br/>
        <w:t>que el Código Penal guatemalteco vigente tipifica  la  desaparición  forzada</w:t>
        <w:br/>
        <w:t>como delito continuado (artículo 201 ter reformado). Además,  la  noción  de</w:t>
        <w:br/>
        <w:t>situación  continuada  (continuing  situation/situation   continue)   cuenta</w:t>
        <w:br/>
        <w:t>igualmente con reconocimiento judicial por parte  de  la  Corte  Europea  de</w:t>
        <w:br/>
        <w:t>Derechos Humanos, en  decisiones  sobre  casos  relativos  a  detención  que</w:t>
        <w:br/>
        <w:t>remontan a los años sesenta1 .</w:t>
        <w:br/>
        <w:br/>
        <w:t>10.   Hay además que tener presente que, en este caso  Blake,  la  Comisión,</w:t>
        <w:br/>
        <w:t>en efecto, no pide un pronunciamiento de la Corte  sobre  la  violación  del</w:t>
        <w:br/>
        <w:t>derecho a la vida en particular, o sobre la violación del derecho a  no  ser</w:t>
        <w:br/>
        <w:t>detenido arbitrariamente en particular; la demanda  de  la  Comisión  abarca</w:t>
        <w:br/>
        <w:t>las presuntas violaciones múltiples de derechos humanos involucradas  en  la</w:t>
        <w:br/>
        <w:t>desaparición  continuada  del  Sr.  Nicholas  Chapman  Blake,   tomadas   en</w:t>
        <w:br/>
        <w:t>conjunto. De ahí la importancia de  la  comprensión  del  presente  caso  de</w:t>
        <w:br/>
        <w:t>desaparición,  teniendo  en  mente  la   ineluctable   interrelación   entre</w:t>
        <w:br/>
        <w:t>determinados derechos humanos  protegidos  revelada  por  un  caso  de  esta</w:t>
        <w:br/>
        <w:t>naturaleza.</w:t>
        <w:br/>
        <w:br/>
        <w:t>11.   Permítome señalar,  como  una  última  reflexión,  que,  en  casos  de</w:t>
        <w:br/>
        <w:t>desaparición,  como  el  presente,  figuran,  entre  los  derechos  conexos,</w:t>
        <w:br/>
        <w:t>derechos fundamentales inderogables, lo que, a mi  modo  de  ver,  sitúa  la</w:t>
        <w:br/>
        <w:t>prohibición de aquel delito en el dominio del  jus  cogens,  de  las  normas</w:t>
        <w:br/>
        <w:t>imperativas del derecho internacional general.  En  nada  sorprende  que  la</w:t>
        <w:br/>
        <w:t>Convención Interamericana sobre Desaparición Forzada  de  Personas  de  1994</w:t>
        <w:br/>
        <w:t>prohiba (artículo X) la  invocación  de  cualquier  justificación  de  aquel</w:t>
        <w:br/>
        <w:t>delito, aún en circunstancias  excepcionales  (v.g.,  estado  o  amenaza  de</w:t>
        <w:br/>
        <w:t>guerra, o cualesquiera emergencias públicas).</w:t>
        <w:br/>
        <w:br/>
        <w:t>12.   Digo esto porque, a mi modo de ver, el énfasis de  esta  Sentencia  de</w:t>
        <w:br/>
        <w:t>la Corte sobre excepciones preliminares debía recaer, no  en  la  espada  de</w:t>
        <w:br/>
        <w:t>Damocles del día 09 de marzo de 1987, fecha en que se  sometió  Guatemala  a</w:t>
        <w:br/>
        <w:t>la jurisdicción de la  Corte  (que  hay  que  aceptar  como  una  limitación</w:t>
        <w:br/>
        <w:t>ratione temporis de competencia de ésta, dado el actual grado  de  evolución</w:t>
        <w:br/>
        <w:t>insuficiente  de  los  preceptos  del  derecho  de  los  tratados  para   la</w:t>
        <w:br/>
        <w:t>realización del propósito  básico  de  protección  eficaz  de  los  derechos</w:t>
        <w:br/>
        <w:t>humanos), sino más bien  en  la  naturaleza  de  las  presuntas  violaciones</w:t>
        <w:br/>
        <w:t>múltiples e interrelacionadas de derechos humanos protegidos, y  prolongadas</w:t>
        <w:br/>
        <w:t>en el tiempo, de que se trata en el presente caso de desaparición.</w:t>
        <w:br/>
        <w:br/>
        <w:t>13.   Cuando, en relación con el artículo 62.2 de  la  Convención  Americana</w:t>
        <w:br/>
        <w:t>sobre Derechos Humanos, se  llega,  por  la  aplicación  de  los  postulados</w:t>
        <w:br/>
        <w:t>rígidos del derecho de los tratados, a una situación como  la  presente,  en</w:t>
        <w:br/>
        <w:t>que las cuestiones de la investigación de  la  detención  y  muerte  de  una</w:t>
        <w:br/>
        <w:t>persona, y de la punición de los responsables, terminan por ser devueltas  a</w:t>
        <w:br/>
        <w:t>la jurisdicción interna, subsisten en  el  aire  graves  interrogantes,  que</w:t>
        <w:br/>
        <w:t>revelan un serio desafío para el futuro. Toda la  evolución,  en  las  cinco</w:t>
        <w:br/>
        <w:t>últimas décadas, del derecho internacional de los derechos  humanos,  se  ha</w:t>
        <w:br/>
        <w:t>erigido sobre el entendimiento o la premisa de  que  la  protección  de  los</w:t>
        <w:br/>
        <w:t>derechos humanos, como derechos inherentes al ser humano, no se agota  -  no</w:t>
        <w:br/>
        <w:t>puede agotarse - en la acción del Estado.</w:t>
        <w:br/>
        <w:br/>
        <w:t>14.   Llama la atención que, en las circunstancias  del  presente  caso,  se</w:t>
        <w:br/>
        <w:t>haya tenido que resignarse al renvoi o abandono a la  jurisdicción  nacional</w:t>
        <w:br/>
        <w:t>de las cuestiones de la investigación  de  la  detención  y  muerte  de  una</w:t>
        <w:br/>
        <w:t>persona, y de la punición de los responsables, después de haberse acudido  a</w:t>
        <w:br/>
        <w:t>la jurisdicción internacional precisamente  en  razón  de  las  carencias  o</w:t>
        <w:br/>
        <w:t>insuficiencias de la jurisdicción nacional en este propósito. El  gran  reto</w:t>
        <w:br/>
        <w:t>que se vislumbra en el horizonte consiste, a  mi  modo  de  ver,  en  seguir</w:t>
        <w:br/>
        <w:t>avanzando resueltamente hacia la gradual humanización  del  derecho  de  los</w:t>
        <w:br/>
        <w:t>tratados (proceso ya iniciado con la emergencia del concepto de jus  cogens2</w:t>
        <w:br/>
        <w:t>),  por  persistir  este  capítulo   del   derecho   internacional   todavía</w:t>
        <w:br/>
        <w:t>fuertemente impregnado del  voluntarismo  estatal  y  de  un  peso  indebido</w:t>
        <w:br/>
        <w:t>atribuido a las formas y manifestaciones del consentimiento.</w:t>
        <w:br/>
        <w:br/>
        <w:t>15.   Sólo me resta exteriorizar la esperanza de que, quizás con el  gradual</w:t>
        <w:br/>
        <w:t>desarrollo  de  la  conceptualización,  y   de   una   sólida   construcción</w:t>
        <w:br/>
        <w:t>jurisprudencial, del delito de la desaparición forzada de personas -  apenas</w:t>
        <w:br/>
        <w:t>recientemente definido en el derecho internacional de los derechos  humanos,</w:t>
        <w:br/>
        <w:t>- ya no más  sea  posible  en  el  futuro  previsible  compartimentalizar  o</w:t>
        <w:br/>
        <w:t>introducir separaciones artificiales entre los múltiples  elementos  que  lo</w:t>
        <w:br/>
        <w:t>componen; el día en que se llegue a este grado de evolución de  la  materia,</w:t>
        <w:br/>
        <w:t>habrá que  desestimar  por  infundada  cualquier  excepción  preliminar  que</w:t>
        <w:br/>
        <w:t>implique en desvincular el examen de la detención y muerte  de  una  persona</w:t>
        <w:br/>
        <w:t>de la consideración de presuntas violaciones adicionales  y  continuadas  de</w:t>
        <w:br/>
        <w:t>derechos conexos.</w:t>
        <w:br/>
        <w:br/>
        <w:br/>
        <w:br/>
        <w:br/>
        <w:t xml:space="preserve">                                            Antônio Augusto Cançado Trindade</w:t>
        <w:br/>
        <w:t xml:space="preserve">      Juez</w:t>
        <w:br/>
        <w:br/>
        <w:br/>
        <w:br/>
        <w:t>Manuel E. Ventura Robles</w:t>
        <w:br/>
        <w:t xml:space="preserve">      Secretario</w:t>
        <w:br/>
        <w:br/>
        <w:t xml:space="preserve">                          VOTO RAZONADO CONCURRENTE</w:t>
        <w:br/>
        <w:br/>
        <w:t xml:space="preserve">                      DEL JUEZ ALFONSO NOVALES AGUIRRE</w:t>
        <w:br/>
        <w:br/>
        <w:br/>
        <w:t>He  concurrido  con  mi  voto  en  esta  sentencia,  en  la  que  la   Corte</w:t>
        <w:br/>
        <w:t>Interamericana de Derechos Humanos acogió sólo parcialmente la excepción  de</w:t>
        <w:br/>
        <w:t>incompetencia, ratione temporis, planteada por el Gobierno de  la  República</w:t>
        <w:br/>
        <w:t>de Guatemala, porque considero que en estricto derecho  no  procedía  dictar</w:t>
        <w:br/>
        <w:t>otra resolución, aunque como consecuencia de la  aceptación  parcial  de  la</w:t>
        <w:br/>
        <w:t>excepción relacionada la Corte no podrá  pronunciarse  en  su  sentencia  de</w:t>
        <w:br/>
        <w:t>fondo sobre la detención y muerte del  señor  Nicholas  Chapman  Blake,  por</w:t>
        <w:br/>
        <w:t>haberse  sucedido  el  hecho  con  anterioridad  a  la  aceptación   de   la</w:t>
        <w:br/>
        <w:t>jurisdicción de esta Corte por parte del Estado de Guatemala.</w:t>
        <w:br/>
        <w:br/>
        <w:t>La muerte extrajudicial de una persona es intolerable y por sólo  ese  hecho</w:t>
        <w:br/>
        <w:t>no debe  quedar  impune.   Mediante  el  presente  voto  razonado  hago  una</w:t>
        <w:br/>
        <w:t>exhortación de combate en contra de la impunidad en aquellos hechos  de  los</w:t>
        <w:br/>
        <w:t>cuales la Corte se ha declarado incompetente, instando  al  Gobierno  de  la</w:t>
        <w:br/>
        <w:t>República  de  Guatemala  para  que   continúe   con   las   investigaciones</w:t>
        <w:br/>
        <w:t>exhaustivas  que  el  caso  amerita,  consecuentemente   con   la   captura,</w:t>
        <w:br/>
        <w:t>procesamiento y condena de los autores intelectuales  y  materiales  de  los</w:t>
        <w:br/>
        <w:t>delitos cometidos.</w:t>
        <w:br/>
        <w:br/>
        <w:br/>
        <w:br/>
        <w:br/>
        <w:t xml:space="preserve">                                                     Alfonso Novales Aguirre</w:t>
        <w:br/>
        <w:t xml:space="preserve">      Juez ad hoc</w:t>
        <w:br/>
        <w:br/>
        <w:br/>
        <w:br/>
        <w:br/>
        <w:t>Manuel E. Ventura Robles</w:t>
        <w:br/>
        <w:t xml:space="preserve">      Secretario</w:t>
        <w:br/>
        <w:br/>
        <w:br/>
        <w:t xml:space="preserve">  1 . Además, la práctica del Comité de Derechos Humanos, bajo el Pacto  de</w:t>
        <w:br/>
        <w:t>Derechos Civiles y Políticos  de  Naciones  Unidas  y  su  primer  Protocolo</w:t>
        <w:br/>
        <w:t>Facultativo, a partir de inicio de los años ochenta, contiene  ejemplos  del</w:t>
        <w:br/>
        <w:t>examen  de  situaciones  continuadas  generando  hechos   que   ocurrían   o</w:t>
        <w:br/>
        <w:t>persistían después de la fecha de entrada en vigor  del  Pacto  y  Protocolo</w:t>
        <w:br/>
        <w:t>con respecto al Estado en cuestión, y que constituían per se violaciones  de</w:t>
        <w:br/>
        <w:t>los derechos consagrados en el Pacto.</w:t>
        <w:br/>
        <w:t xml:space="preserve">  2 . Convención de Viena sobre el  Derecho  de  los  Tratados  (de  1969),</w:t>
        <w:br/>
        <w:t>artículos 53 y 64; Convención de Viena sobre  el  Derecho  de  los  Tratados</w:t>
        <w:br/>
        <w:t>entre  Estados  y  Organizaciones  Internacionales  o  entre  Organizaciones</w:t>
        <w:br/>
        <w:t>Internacionales (de 1986), artículos 53 y 64. -  Otra  ilustración  en  este</w:t>
        <w:br/>
        <w:t>sentido reside en la cláusula de salvaguardia en defensa del ser humano  que</w:t>
        <w:br/>
        <w:t>representa lo dispuesto en el artículo  60.5  de  las  dos  Convenciones  de</w:t>
        <w:br/>
        <w:t>Viena (en cuanto a la terminación de un tratado o  a  la  suspensión  de  su</w:t>
        <w:br/>
        <w:t>aplicación).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