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CASO HERMANOS LANDAETA MEJÍAS Y OTROS VS. VENEZUELA</w:t>
        <w:br/>
        <w:br/>
        <w:br/>
        <w:t xml:space="preserve">                      SENTENCIA DE 27 DE AGOSTO DE 2014</w:t>
        <w:br/>
        <w:t xml:space="preserve">          (Excepciones Preliminares, Fondo, Reparaciones y Costas)</w:t>
        <w:br/>
        <w:br/>
        <w:br/>
        <w:br/>
        <w:t>En el caso Hermanos Landaeta Mejías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Humberto Antonio Sierra Porto, Presidente;</w:t>
        <w:br/>
        <w:t xml:space="preserve">      Roberto F. Caldas, Vicepresidente;</w:t>
        <w:br/>
        <w:t xml:space="preserve">      Manuel E. Ventura Robles, Juez;</w:t>
        <w:br/>
        <w:t xml:space="preserve">      Eduardo Vio Grossi, Juez, y</w:t>
        <w:br/>
        <w:t xml:space="preserve">      Eduardo Ferrer Mac-Gregor Poisot, Juez(;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br/>
        <w:br/>
        <w:br/>
        <w:br/>
        <w:br/>
        <w:br/>
        <w:br/>
        <w:t xml:space="preserve">             CASO HERMANOS LANDAETA MEJÍAS Y OTROS VS. VENEZUELA</w:t>
        <w:br/>
        <w:br/>
        <w:t xml:space="preserve">                                   Índice</w:t>
        <w:br/>
        <w:br/>
        <w:t>I introducción de la causa y objeto de la controversia    2</w:t>
        <w:br/>
        <w:t>II PROCEDIMIENTO ANTE LA CORTE  2</w:t>
        <w:br/>
        <w:t>III COMPETENCIA   2</w:t>
        <w:br/>
        <w:t>IV excepciones preliminares sobre la falta de agotamiento de recursos</w:t>
        <w:br/>
        <w:t>internos 2</w:t>
        <w:br/>
        <w:t>A.   Argumentos de las partes y de la Comisión   2</w:t>
        <w:br/>
        <w:t>B.   Consideraciones de la Corte    2</w:t>
        <w:br/>
        <w:t>B.1 Alegada falta de agotamiento de los recursos internos para el caso de</w:t>
        <w:br/>
        <w:t>Eduardo José Landaeta Mejías    2</w:t>
        <w:br/>
        <w:t>B.2 Alegada falta de agotamiento de los recursos internos para el caso de</w:t>
        <w:br/>
        <w:t>Igmar Alexander Landaeta Mejías 2</w:t>
        <w:br/>
        <w:t>V prueba 2</w:t>
        <w:br/>
        <w:t>A.   Prueba documental, testimonial y pericial   2</w:t>
        <w:br/>
        <w:t>B.   Admisión de la prueba 2</w:t>
        <w:br/>
        <w:t>B.1 Admisión de la prueba documental    2</w:t>
        <w:br/>
        <w:t>B.2 Admisión de la prueba testimonial y pericial 2</w:t>
        <w:br/>
        <w:t>VI HECHOS     2</w:t>
        <w:br/>
        <w:t>A.   Alegada problemática de ejecuciones extrajudiciales cometidas por</w:t>
        <w:br/>
        <w:t>agentes policiales en Venezuela 2</w:t>
        <w:br/>
        <w:t>B.   Las amenazas recibidas por parte de agentes policiales    2</w:t>
        <w:br/>
        <w:t>C.   Muerte de Igmar Alexander Landaeta Mejías   2</w:t>
        <w:br/>
        <w:t>C.1 Versión de siete testigos presenciales y un médico    2</w:t>
        <w:br/>
        <w:t>C.2 Versión de dos agentes policiales y dos testigos presenciales  2</w:t>
        <w:br/>
        <w:t>D.   Detención y muerte de Eduardo José Landaeta Mejías   2</w:t>
        <w:br/>
        <w:t>E.   Investigación de la muerte de Igmar Alexander Landaeta Mejías 2</w:t>
        <w:br/>
        <w:t>F.   Investigación de la muerte de Eduardo José Landaeta Mejías    2</w:t>
        <w:br/>
        <w:t>VII Fondo     2</w:t>
        <w:br/>
        <w:t>VII-1 Derecho a la vida e integridad personal en relación con las</w:t>
        <w:br/>
        <w:t>obligaciones de respetar y garantizar los derechos respecto de igmar</w:t>
        <w:br/>
        <w:t>alexander landaeta MEJÍAS  2</w:t>
        <w:br/>
        <w:t>A.   Argumentos de las partes y de la Comisión   2</w:t>
        <w:br/>
        <w:t>B.   Consideraciones de la Corte    2</w:t>
        <w:br/>
        <w:t>B.1 Acciones preventivas: legalidad y excepcionalidad del uso de la fuerza</w:t>
        <w:br/>
        <w:t>en relación con el deber de garantía y las obligaciones de adecuar el</w:t>
        <w:br/>
        <w:t>derecho interno   2</w:t>
        <w:br/>
        <w:t>B.2 Acciones concomitantes a los hechos: finalidad legítima, absoluta</w:t>
        <w:br/>
        <w:t>necesidad y proporcionalidad en relación con el deber de respeto   2</w:t>
        <w:br/>
        <w:t>B.3 Acciones posteriores a los hechos: debida diligencia y humanidad en</w:t>
        <w:br/>
        <w:t>relación con el deber de respeto y garantía del derecho a la vida  2</w:t>
        <w:br/>
        <w:t>B.4 Conclusión respecto de Igmar Alexander Landaeta Mejías     2</w:t>
        <w:br/>
        <w:t>VII-2 Derecho a la vida, a la integridad personal, a la libertad personal y</w:t>
        <w:br/>
        <w:t>derechos del niño, en relación con las obligaciones de respetar y</w:t>
        <w:br/>
        <w:t>garantizar los derechos RESPECTO DE EDUARDO JOsé LANDAETA mejías   2</w:t>
        <w:br/>
        <w:t>A.   Argumentos de las partes y de la Comisión   2</w:t>
        <w:br/>
        <w:t>B.   Consideraciones de la Corte    2</w:t>
        <w:br/>
        <w:t>B.1 Derecho a la libertad personal en relación con los derechos del niño</w:t>
        <w:br/>
        <w:t>2</w:t>
        <w:br/>
        <w:t>B.2 Derecho a la vida en relación con los derechos del niño    2</w:t>
        <w:br/>
        <w:t>B.3 Derecho a la integridad personal en relación con los derechos del niño</w:t>
        <w:br/>
        <w:t>y el deber de garantía frente a los alegados hechos de tortura 2</w:t>
        <w:br/>
        <w:t>B.4 Conclusión respecto de Eduardo José Landaeta Mejías   2</w:t>
        <w:br/>
        <w:t>VII-3 DERECHO A LAS GARANTÍAS JUDICIALES Y A LA PROTECCIÓN JUDICIAL</w:t>
        <w:br/>
        <w:t>RESPECTO DE IGMAR ALEXANDER Y EDUARDO JOSÉ LANDAETA MEJÍAS     2</w:t>
        <w:br/>
        <w:t>A.   Alegatos de las partes y de la Comisión 2</w:t>
        <w:br/>
        <w:t>B.   Consideraciones de la Corte    2</w:t>
        <w:br/>
        <w:t>B.1 Ausencia de investigaciones conjuntas en relación con la muerte de los</w:t>
        <w:br/>
        <w:t>hermanos Landaeta Mejías   2</w:t>
        <w:br/>
        <w:t>B.2 Debida diligencia y plazo razonable durante las investigaciones y el</w:t>
        <w:br/>
        <w:t>proceso penal relativo a la muerte de Igmar Alexander Landaeta Mejías  2</w:t>
        <w:br/>
        <w:t>B.3 Debida diligencia y plazo razonable durante las investigaciones y el</w:t>
        <w:br/>
        <w:t>proceso penal relativo a la muerte de Eduardo José Landaeta Mejías 2</w:t>
        <w:br/>
        <w:t>VII-4 Derecho a la integridad personal de los familiares  2</w:t>
        <w:br/>
        <w:t>A.   Argumentos de las partes y de la Comisión   2</w:t>
        <w:br/>
        <w:t>B.   Consideraciones de la Corte    2</w:t>
        <w:br/>
        <w:t>VIII REPARACIONES 2</w:t>
        <w:br/>
        <w:t>A.   Parte lesionada   2</w:t>
        <w:br/>
        <w:t>B.   Obligación de investigar los hechos que generaron las violaciones e</w:t>
        <w:br/>
        <w:t>identificar, juzgar y, en su caso, sancionar a los responsables    2</w:t>
        <w:br/>
        <w:t>C.   Medidas de rehabilitación, satisfacción y garantías de no repetición</w:t>
        <w:br/>
        <w:t>2</w:t>
        <w:br/>
        <w:t>C.1 Medidas de rehabilitación   2</w:t>
        <w:br/>
        <w:t>C.2 Medidas de satisfacción     2</w:t>
        <w:br/>
        <w:t>C.3 Garantías de no repetición  2</w:t>
        <w:br/>
        <w:t>D.   Indemnización compensatoria    2</w:t>
        <w:br/>
        <w:t>D.1 Daño material 2</w:t>
        <w:br/>
        <w:t>D.2 Daño inmaterial    2</w:t>
        <w:br/>
        <w:t>E.   Costas y gastos   2</w:t>
        <w:br/>
        <w:t>F.   Reintegro de los gastos al Fondo de Asistencia Legal de Víctimas  2</w:t>
        <w:br/>
        <w:t>G.   Modalidad de cumplimiento de los pagos ordenados 2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 xml:space="preserve">   1. El caso sometido a la Corte. – El 10 de julio  de  2012,  la  Comisión</w:t>
        <w:br/>
        <w:t xml:space="preserve">      Interamericana  de  Derechos  Humanos  (en   adelante   “la   Comisión</w:t>
        <w:br/>
        <w:t xml:space="preserve">      Interamericana” o “la Comisión”) sometió a la jurisdicción de la Corte</w:t>
        <w:br/>
        <w:t xml:space="preserve">      Interamericana de Derechos Humanos el caso “Hermanos Landaeta Mejías y</w:t>
        <w:br/>
        <w:t xml:space="preserve">      otros” contra la República Bolivariana de Venezuela (en  adelante  “el</w:t>
        <w:br/>
        <w:t xml:space="preserve">      Estado” o “Venezuela”). De acuerdo con lo señalado por la Comisión, el</w:t>
        <w:br/>
        <w:t xml:space="preserve">      caso se relaciona  con  la  alegada  ejecución  extrajudicial  de  los</w:t>
        <w:br/>
        <w:t xml:space="preserve">      hermanos  Igmar  Alexander  Landaeta  Mejías   (en   adelante   “Igmar</w:t>
        <w:br/>
        <w:t xml:space="preserve">      Landaeta”) y  Eduardo  José  Landaeta  Mejías  (en  adelante  “Eduardo</w:t>
        <w:br/>
        <w:t xml:space="preserve">      Landaeta”), de 18 y 17 años de  edad  respectivamente,  por  parte  de</w:t>
        <w:br/>
        <w:t xml:space="preserve">      funcionarios del Cuerpo de Seguridad y Orden  Público  del  estado  de</w:t>
        <w:br/>
        <w:t xml:space="preserve">      Aragua, Venezuela (en adelante “CSOP”). En este sentido,  la  Comisión</w:t>
        <w:br/>
        <w:t xml:space="preserve">      señaló que “[t]ras amenazas y hostigamientos en su contra,  el  17  de</w:t>
        <w:br/>
        <w:t xml:space="preserve">      noviembre de 1996[,] Igmar Alexander  Landaeta  Mejías  fue  ejecutado</w:t>
        <w:br/>
        <w:t xml:space="preserve">      extrajudicialmente, mientras que un mes y  medio  después  –el  30  de</w:t>
        <w:br/>
        <w:t xml:space="preserve">      diciembre de 1996- su hermano, el niño Eduardo José  Landaeta  Mejías,</w:t>
        <w:br/>
        <w:t xml:space="preserve">      fue privado de libertad ilegal y arbitrariamente, y al día  siguiente,</w:t>
        <w:br/>
        <w:t xml:space="preserve">      en el marco de un supuesto traslado, fue ejecutado extrajudicialmente.</w:t>
        <w:br/>
        <w:t xml:space="preserve">      Estos hechos se enmarcan en un contexto de ejecuciones extrajudiciales</w:t>
        <w:br/>
        <w:t xml:space="preserve">      en Venezuela, con especial incidencia  en  el  estado  de  Aragua.  La</w:t>
        <w:br/>
        <w:t xml:space="preserve">      muerte de ambos hermanos permanece en impunidad. En el caso  de  Igmar</w:t>
        <w:br/>
        <w:t xml:space="preserve">      Alexander Landaeta Mejías, el proceso  penal  contra  las  autoridades</w:t>
        <w:br/>
        <w:t xml:space="preserve">      culminó con un sobreseimiento, mientras que en el caso de Eduardo José</w:t>
        <w:br/>
        <w:t xml:space="preserve">      Landaeta Mejías, pasados 16 años de su muerte, el  proceso  penal  aún</w:t>
        <w:br/>
        <w:t xml:space="preserve">      sigue en curso”.</w:t>
        <w:br/>
        <w:br/>
        <w:t xml:space="preserve">   2. Trámite ante la Comisión.  –  El  trámite  ante  la  Comisión  fue  el</w:t>
        <w:br/>
        <w:t xml:space="preserve">      siguiente:</w:t>
        <w:br/>
        <w:br/>
        <w:t xml:space="preserve">   a) Peticiones. – El 20 de septiembre de 2004 la Comisión recibió la</w:t>
        <w:br/>
        <w:t xml:space="preserve">      petición inicial respecto de Igmar Landaeta. El 24 de abril de 2006 la</w:t>
        <w:br/>
        <w:t xml:space="preserve">      Comisión recibió la petición inicial respecto de Eduardo Landaeta. El</w:t>
        <w:br/>
        <w:t xml:space="preserve">      26 de junio de 2006 la Comisión informó a las partes que la petición</w:t>
        <w:br/>
        <w:t xml:space="preserve">      de Eduardo Landaeta había sido acumulada a la petición de Igmar</w:t>
        <w:br/>
        <w:t xml:space="preserve">      Landaeta. No obstante, el 30 de enero de 2007 la Comisión indicó a las</w:t>
        <w:br/>
        <w:t xml:space="preserve">      partes que dadas las particularidades de cada petición había decidido</w:t>
        <w:br/>
        <w:t xml:space="preserve">      desglosarlas a efectos de analizar el cumplimiento de los requisitos</w:t>
        <w:br/>
        <w:t xml:space="preserve">      de admisibilidad de manera separada.</w:t>
        <w:br/>
        <w:br/>
        <w:br/>
        <w:t xml:space="preserve">   b) Informes de Admisibilidad. - El 9 de marzo de 2007 la Comisión</w:t>
        <w:br/>
        <w:t xml:space="preserve">      Interamericana aprobó el Informe de Admisibilidad No. 23/07 respecto</w:t>
        <w:br/>
        <w:t xml:space="preserve">      de la petición de Eduardo Landaeta[1]. Posteriormente, el 20 de marzo</w:t>
        <w:br/>
        <w:t xml:space="preserve">      de 2009 la Comisión aprobó el Informe de Admisibilidad No. 22/09,</w:t>
        <w:br/>
        <w:t xml:space="preserve">      respecto de la petición de Igmar Landaeta[2].</w:t>
        <w:br/>
        <w:br/>
        <w:t xml:space="preserve">   c) Informe de Fondo. – El 21 de marzo de 2012 la Comisión aprobó el</w:t>
        <w:br/>
        <w:t xml:space="preserve">      Informe de Fondo No. 58/12[3], en los términos del artículo 50 de la</w:t>
        <w:br/>
        <w:t xml:space="preserve">      Convención Americana (en adelante “Informe de Fondo” o “Informe</w:t>
        <w:br/>
        <w:t xml:space="preserve">      58/12”) respecto de ambos casos, en el cual llegó a una serie de</w:t>
        <w:br/>
        <w:t xml:space="preserve">      conclusiones y formuló varias recomendaciones al Estado.</w:t>
        <w:br/>
        <w:br/>
        <w:t xml:space="preserve">        a. Conclusiones. – La Comisión concluyó que el Estado era</w:t>
        <w:br/>
        <w:t xml:space="preserve">           responsable por la violación de los siguientes derechos</w:t>
        <w:br/>
        <w:t xml:space="preserve">           reconocidos en la Convención Americana:</w:t>
        <w:br/>
        <w:br/>
        <w:t xml:space="preserve">           i. Los derechos a la vida e integridad personal (artículos 4 y 5</w:t>
        <w:br/>
        <w:t xml:space="preserve">              de la Convención) en perjuicio de Igmar Landaeta;</w:t>
        <w:br/>
        <w:t xml:space="preserve">          ii.  Los  derechos  a  la  vida,  integridad  personal,  libertad</w:t>
        <w:br/>
        <w:t xml:space="preserve">              personal y protección especial de los niños (artículos 4,  5,</w:t>
        <w:br/>
        <w:t xml:space="preserve">              7 y 19 de la Convención) en perjuicio de Eduardo Landaeta, y</w:t>
        <w:br/>
        <w:t xml:space="preserve">         iii. Los derechos a la integridad personal, garantías judiciales y</w:t>
        <w:br/>
        <w:t xml:space="preserve">              protección judicial (artículos 5, 8 y 25 de la Convención) en</w:t>
        <w:br/>
        <w:t xml:space="preserve">              perjuicio  de  María  Magdalena  Mejías  Camero  (madre,   en</w:t>
        <w:br/>
        <w:t xml:space="preserve">              adelante “María Magdalena Mejías”),  Ignacio  Landaeta  Muñoz</w:t>
        <w:br/>
        <w:t xml:space="preserve">              (padre, en adelante “Ignacio  Landaeta”);  Victoria  Eneri  y</w:t>
        <w:br/>
        <w:t xml:space="preserve">              Leydis  Rossimar,  ambas   de   apellido   Landaeta   Galindo</w:t>
        <w:br/>
        <w:t xml:space="preserve">              (hermanas,  en   adelante   “Victoria   Landaeta   y   Leydis</w:t>
        <w:br/>
        <w:t xml:space="preserve">              Landaeta”), Francy Yellut Parra Guzmán (compañera de vida  de</w:t>
        <w:br/>
        <w:t xml:space="preserve">              Igmar Landaeta, en adelante  “Francy  Parra”),  y  Johanyelis</w:t>
        <w:br/>
        <w:t xml:space="preserve">              Alejandra  Parra  (hija  de  Igmar  Landaeta,   en   adelante</w:t>
        <w:br/>
        <w:t xml:space="preserve">              “Johanyelis Landaeta Parra”)[4].</w:t>
        <w:br/>
        <w:br/>
        <w:br/>
        <w:t xml:space="preserve">        b. Recomendaciones. – En consecuencia, la Comisión hizo al Estado</w:t>
        <w:br/>
        <w:t xml:space="preserve">           una serie de recomendaciones:</w:t>
        <w:br/>
        <w:br/>
        <w:t xml:space="preserve">           i. Realizar una investigación completa,  imparcial,  efectiva  y</w:t>
        <w:br/>
        <w:t xml:space="preserve">              oportuna de las violaciones de derechos humanos declaradas en</w:t>
        <w:br/>
        <w:t xml:space="preserve">              el Informe de Fondo, con el objeto de establecer y  sancionar</w:t>
        <w:br/>
        <w:t xml:space="preserve">              la responsabilidad  intelectual  y  material  de  los  hechos</w:t>
        <w:br/>
        <w:t xml:space="preserve">              descritos;</w:t>
        <w:br/>
        <w:t xml:space="preserve">          ii. Estas investigaciones deben efectuarse de manera tal  que  se</w:t>
        <w:br/>
        <w:t xml:space="preserve">              establezcan los vínculos entre cada uno de los hechos  objeto</w:t>
        <w:br/>
        <w:t xml:space="preserve">              del Informe de Fondo,  así  como  entre  tales  hechos  y  el</w:t>
        <w:br/>
        <w:t xml:space="preserve">              contexto   más   general   de   violencia    y    ejecuciones</w:t>
        <w:br/>
        <w:t xml:space="preserve">              extrajudiciales por parte de la policía regional;</w:t>
        <w:br/>
        <w:t xml:space="preserve">         iii.  Disponer  las  medidas  administrativas,  disciplinarias   o</w:t>
        <w:br/>
        <w:t xml:space="preserve">              penales correspondientes frente a las acciones u omisiones de</w:t>
        <w:br/>
        <w:t xml:space="preserve">              los funcionarios estatales que contribuyeron a la  denegación</w:t>
        <w:br/>
        <w:t xml:space="preserve">              de justicia e impunidad en la que se  encuentran  los  hechos</w:t>
        <w:br/>
        <w:t xml:space="preserve">              del caso;</w:t>
        <w:br/>
        <w:t xml:space="preserve">          iv. Reparar adecuadamente las  violaciones  de  derechos  humanos</w:t>
        <w:br/>
        <w:t xml:space="preserve">              declaradas en  el  Informe  de  Fondo  tanto  en  el  aspecto</w:t>
        <w:br/>
        <w:t xml:space="preserve">              material como moral, y</w:t>
        <w:br/>
        <w:t xml:space="preserve">           v.  Disponer  mecanismos  de  no  repetición  que  incluyan:  i)</w:t>
        <w:br/>
        <w:t xml:space="preserve">              programas de capacitación sobre estándares internacionales de</w:t>
        <w:br/>
        <w:t xml:space="preserve">              derechos humanos en general, y respecto  de  niños,  niñas  y</w:t>
        <w:br/>
        <w:t xml:space="preserve">              adolescentes en particular, dirigidos a la Policía del estado</w:t>
        <w:br/>
        <w:t xml:space="preserve">              de Aragua; ii) medidas para asegurar la efectiva rendición de</w:t>
        <w:br/>
        <w:t xml:space="preserve">              cuentas en el fuero penal, disciplinario o administrativo, en</w:t>
        <w:br/>
        <w:t xml:space="preserve">              casos de presunto abuso de poder por  parte  de  agentes  del</w:t>
        <w:br/>
        <w:t xml:space="preserve">              Estado a cargo  de  la  seguridad  pública,  y  iii)  medidas</w:t>
        <w:br/>
        <w:t xml:space="preserve">              legislativas,  administrativas  y   de   otra   índole   para</w:t>
        <w:br/>
        <w:t xml:space="preserve">              investigar con la debida diligencia y de conformidad con  los</w:t>
        <w:br/>
        <w:t xml:space="preserve">              estándares  internacionales  relevantes,   la   necesidad   y</w:t>
        <w:br/>
        <w:t xml:space="preserve">              proporcionalidad del uso letal de  la  fuerza  por  parte  de</w:t>
        <w:br/>
        <w:t xml:space="preserve">              funcionarios policiales, de  manera  que  existan  protocolos</w:t>
        <w:br/>
        <w:t xml:space="preserve">              eficaces que permitan  implementar  mecanismos  adecuados  de</w:t>
        <w:br/>
        <w:t xml:space="preserve">              control y rendición de cuentas frente  al  actuar  de  dichos</w:t>
        <w:br/>
        <w:t xml:space="preserve">              funcionarios.</w:t>
        <w:br/>
        <w:br/>
        <w:t xml:space="preserve">   d) Notificación al Estado. – El Informe de Fondo fue notificado al Estado</w:t>
        <w:br/>
        <w:t xml:space="preserve">      el 10 de abril de 2012, otorgándose un plazo de dos meses para</w:t>
        <w:br/>
        <w:t xml:space="preserve">      informar sobre el cumplimiento de las recomendaciones.</w:t>
        <w:br/>
        <w:br/>
        <w:br/>
        <w:t xml:space="preserve">   e)   Sometimiento a la Corte. – El 10 de julio de 2012 la Comisión</w:t>
        <w:br/>
        <w:t xml:space="preserve">      sometió a la jurisdicción de la Corte Interamericana la totalidad de</w:t>
        <w:br/>
        <w:t xml:space="preserve">      los hechos y violaciones de derechos humanos descritas en el Informe</w:t>
        <w:br/>
        <w:t xml:space="preserve">      de Fondo, “por la necesidad de obtención de justicia para las víctimas</w:t>
        <w:br/>
        <w:t xml:space="preserve">      ante la falta de cumplimiento de las recomendaciones por parte del</w:t>
        <w:br/>
        <w:t xml:space="preserve">      Estado de Venezuela”[5].</w:t>
        <w:br/>
        <w:br/>
        <w:t xml:space="preserve">   3. Solicitudes de la Comisión Interamericana. – Con base en lo  anterior,</w:t>
        <w:br/>
        <w:t xml:space="preserve">      la Comisión  solicitó  a  la  Corte  que  declare  la  responsabilidad</w:t>
        <w:br/>
        <w:t xml:space="preserve">      internacional del Estado por las mismas violaciones  señaladas  en  su</w:t>
        <w:br/>
        <w:t xml:space="preserve">      Informe de Fondo (supra párr. 2 inciso c).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 xml:space="preserve">   4. Notificación al Estado y a los representantes. – El  sometimiento  del</w:t>
        <w:br/>
        <w:t xml:space="preserve">      caso por la Comisión fue notificado al Estado y a  los  representantes</w:t>
        <w:br/>
        <w:t xml:space="preserve">      el 24 de agosto de 2012.</w:t>
        <w:br/>
        <w:t xml:space="preserve">   5. Escrito de solicitudes, argumentos y pruebas. – El 26  de  octubre  de</w:t>
        <w:br/>
        <w:t xml:space="preserve">      2012,  los  representantes  presentaron  su  escrito  de  solicitudes,</w:t>
        <w:br/>
        <w:t xml:space="preserve">      argumentos  y  pruebas  (en  adelante  “escrito   de   solicitudes   y</w:t>
        <w:br/>
        <w:t xml:space="preserve">      argumentos”). Los representantes coincidieron sustancialmente con  los</w:t>
        <w:br/>
        <w:t xml:space="preserve">      alegatos de la Comisión y  solicitaron  a  la  Corte  que  declare  la</w:t>
        <w:br/>
        <w:t xml:space="preserve">      responsabilidad internacional del  Estado  por  la  violación  de  los</w:t>
        <w:br/>
        <w:t xml:space="preserve">      mismos artículos alegados por la Comisión .  Asimismo,  las  presuntas</w:t>
        <w:br/>
        <w:t xml:space="preserve">      víctimas solicitaron, a través  de  sus  representantes,  acogerse  al</w:t>
        <w:br/>
        <w:t xml:space="preserve">      Fondo de Asistencia Legal de Víctimas de la Corte  Interamericana  (en</w:t>
        <w:br/>
        <w:t xml:space="preserve">      adelante “Fondo de Asistencia de la Corte” o “el Fondo”).  Finalmente,</w:t>
        <w:br/>
        <w:t xml:space="preserve">      solicitaron a la Corte que ordene al Estado la  adopción  de  diversas</w:t>
        <w:br/>
        <w:t xml:space="preserve">      medidas de reparación y el reintegro de determinadas costas y gastos.</w:t>
        <w:br/>
        <w:br/>
        <w:t xml:space="preserve">   6. Escrito de contestación. – El 28 de enero de 2013, el Estado  presentó</w:t>
        <w:br/>
        <w:t xml:space="preserve">      ante la Corte su escrito de interposición de excepciones preliminares,</w:t>
        <w:br/>
        <w:t xml:space="preserve">      contestación al escrito de sometimiento del caso y de observaciones al</w:t>
        <w:br/>
        <w:t xml:space="preserve">      escrito  de  solicitudes  y  argumentos  (en  adelante   “escrito   de</w:t>
        <w:br/>
        <w:t xml:space="preserve">      contestación”). En dicho escrito el Estado se opuso a las  violaciones</w:t>
        <w:br/>
        <w:t xml:space="preserve">      alegadas por la Comisión y los representantes e interpuso  excepciones</w:t>
        <w:br/>
        <w:t xml:space="preserve">      preliminares basadas en la falta de agotamiento de recursos internos y</w:t>
        <w:br/>
        <w:t xml:space="preserve">      en la falta de imparcialidad de ciertos jueces y juezas del Tribunal y</w:t>
        <w:br/>
        <w:t xml:space="preserve">      su Secretario. El Estado designó como Agente al señor  Germán  Saltrón</w:t>
        <w:br/>
        <w:t xml:space="preserve">      Negretti.</w:t>
        <w:br/>
        <w:br/>
        <w:t xml:space="preserve">   7. El 12 de febrero de 2013, el  Presidente  en  funciones  de  la  Corte</w:t>
        <w:br/>
        <w:t xml:space="preserve">      emitió una Resolución en la que, inter alia, decidió que la  alegación</w:t>
        <w:br/>
        <w:t xml:space="preserve">      de falta de imparcialidad presentada  por  el  Estado  como  excepción</w:t>
        <w:br/>
        <w:t xml:space="preserve">      preliminar no tenía tal carácter y era infundada[6].</w:t>
        <w:br/>
        <w:br/>
        <w:t xml:space="preserve">   8. Fondo de Asistencia Legal. – Mediante Resolución de 13 de  febrero  de</w:t>
        <w:br/>
        <w:t xml:space="preserve">      2013, el Presidente  del  Tribunal  declaró  procedente  la  solicitud</w:t>
        <w:br/>
        <w:t xml:space="preserve">      interpuesta  por   las   presuntas   víctimas,   a   través   de   sus</w:t>
        <w:br/>
        <w:t xml:space="preserve">      representantes, para acogerse al Fondo de Asistencia Legal,  y  aprobó</w:t>
        <w:br/>
        <w:t xml:space="preserve">      que se otorgara la asistencia económica necesaria para la presentación</w:t>
        <w:br/>
        <w:t xml:space="preserve">      de un máximo de tres declaraciones, fuera por affidávit o en audiencia</w:t>
        <w:br/>
        <w:t xml:space="preserve">      pública[7].</w:t>
        <w:br/>
        <w:br/>
        <w:t xml:space="preserve">   9. Escritos de observaciones a las excepciones preliminares. – Los días 3</w:t>
        <w:br/>
        <w:t xml:space="preserve">      y 4 de mayo de 2013, los representantes de las presuntas víctimas y la</w:t>
        <w:br/>
        <w:t xml:space="preserve">      Comisión,  respectivamente,  remitieron  sus   observaciones   a   las</w:t>
        <w:br/>
        <w:t xml:space="preserve">      excepciones preliminares interpuestas por el Estado en su  escrito  de</w:t>
        <w:br/>
        <w:t xml:space="preserve">      contestación.</w:t>
        <w:br/>
        <w:br/>
        <w:t xml:space="preserve">  10. Audiencia pública  y  prueba  adicional.  -  Mediante  Resolución  del</w:t>
        <w:br/>
        <w:t xml:space="preserve">      Presidente de la Corte de 26 de diciembre de 2013[8] se convocó a  las</w:t>
        <w:br/>
        <w:t xml:space="preserve">      partes  a  una  audiencia  pública  para  recibir   sus   alegatos   y</w:t>
        <w:br/>
        <w:t xml:space="preserve">      observaciones finales orales  sobre  las  excepciones  preliminares  y</w:t>
        <w:br/>
        <w:t xml:space="preserve">      eventuales fondo, reparaciones y costas, así  como  para  recibir  las</w:t>
        <w:br/>
        <w:t xml:space="preserve">      declaraciones  de   Ignacio   Landaeta   Muñoz,   ofrecido   por   los</w:t>
        <w:br/>
        <w:t xml:space="preserve">      representantes, y Yelitza Acacio Carmona, ofrecida por el Estado.  Los</w:t>
        <w:br/>
        <w:t xml:space="preserve">      días 21  y  30  de  enero  de  2014  el  Estado,  la  Comisión  y  los</w:t>
        <w:br/>
        <w:t xml:space="preserve">      representantes,  respectivamente,  remitieron  a  la  Secretaría   las</w:t>
        <w:br/>
        <w:t xml:space="preserve">      declaraciones solicitadas mediante  affidávit  en  la  Resolución  del</w:t>
        <w:br/>
        <w:t xml:space="preserve">      Presidente de 26 de diciembre de 2013. La audiencia fue celebrada el 7</w:t>
        <w:br/>
        <w:t xml:space="preserve">      de febrero 2014 durante el 102 Período Ordinario  de  Sesiones  de  la</w:t>
        <w:br/>
        <w:t xml:space="preserve">      Corte, la cual tuvo lugar en su sede[9]. En la audiencia se recibieron</w:t>
        <w:br/>
        <w:t xml:space="preserve">      las  declaraciones  de  las  personas   convocadas,   así   como   las</w:t>
        <w:br/>
        <w:t xml:space="preserve">      observaciones  y  alegatos  finales  orales  de   la   Comisión,   los</w:t>
        <w:br/>
        <w:t xml:space="preserve">      representantes y del Estado. Con  posterioridad  a  la  audiencia,  la</w:t>
        <w:br/>
        <w:t xml:space="preserve">      Corte requirió a las partes que presentaran determinada información  y</w:t>
        <w:br/>
        <w:t xml:space="preserve">      documentación para mejor resolver.</w:t>
        <w:br/>
        <w:br/>
        <w:t xml:space="preserve">  11. Alegatos y observaciones finales escritos. – Los días 7 y 8  de  marzo</w:t>
        <w:br/>
        <w:t xml:space="preserve">      de 2014 los  representantes  y  el  Estado  presentaron  sus  alegatos</w:t>
        <w:br/>
        <w:t xml:space="preserve">      finales escritos, respectivamente. Asimismo, el 7 de marzo de 2014  la</w:t>
        <w:br/>
        <w:t xml:space="preserve">      Comisión presentó sus observaciones finales escritas . A su vez, el 14</w:t>
        <w:br/>
        <w:t xml:space="preserve">      de abril los representantes de las presuntas víctimas presentaron  sus</w:t>
        <w:br/>
        <w:t xml:space="preserve">      observaciones a los documentos presentados por el Estado junto con sus</w:t>
        <w:br/>
        <w:t xml:space="preserve">      alegatos finales escritos.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br/>
        <w:t xml:space="preserve">  12. La Corte Interamericana es competente para conocer el  presente  caso,</w:t>
        <w:br/>
        <w:t xml:space="preserve">      en los términos del artículo 62.3 de la Convención, en  razón  de  que</w:t>
        <w:br/>
        <w:t xml:space="preserve">      Venezuela es Estado Parte desde el 9 de agosto de 1977 y reconoció  la</w:t>
        <w:br/>
        <w:t xml:space="preserve">      competencia contenciosa de la Corte el 24 de junio  de  1981.  Por  su</w:t>
        <w:br/>
        <w:t xml:space="preserve">      parte, el 10 de septiembre de 2012 Venezuela  denunció  la  Convencion</w:t>
        <w:br/>
        <w:t xml:space="preserve">      Americana, la cual entró en vigor el 10  de  septiembre  de  2013.  De</w:t>
        <w:br/>
        <w:t xml:space="preserve">      acuerdo con el  artículo  78.2  de  la  Convención[10],  la  Corte  es</w:t>
        <w:br/>
        <w:t xml:space="preserve">      competente para conocer del presente caso, tomando en cuenta  que  los</w:t>
        <w:br/>
        <w:t xml:space="preserve">      hechos analizados son anteriores a la entrada en vigor de la  denuncia</w:t>
        <w:br/>
        <w:t xml:space="preserve">      de la Convención.</w:t>
        <w:br/>
        <w:br/>
        <w:br/>
        <w:t xml:space="preserve">                                     IV</w:t>
        <w:br/>
        <w:t xml:space="preserve"> excepciones preliminares sobre la falta de agotamiento de recursos internos</w:t>
        <w:br/>
        <w:br/>
        <w:br/>
        <w:t xml:space="preserve">  13. El Estado presentó  la  excepción  de  falta  de  agotamiento  de  los</w:t>
        <w:br/>
        <w:t xml:space="preserve">      recursos internos en relación con los casos tanto de  Igmar  Landaeta,</w:t>
        <w:br/>
        <w:t xml:space="preserve">      como el de su hermano, Eduardo Landaeta. Este Tribunal  analizará  las</w:t>
        <w:br/>
        <w:t xml:space="preserve">      excepciones preliminares  interpuestas  en  el  orden  en  que  fueron</w:t>
        <w:br/>
        <w:t xml:space="preserve">      planteadas por el Estado.</w:t>
        <w:br/>
        <w:br/>
        <w:br/>
        <w:t xml:space="preserve">   Argumentos de las partes y de la Comisión</w:t>
        <w:br/>
        <w:br/>
        <w:br/>
        <w:t xml:space="preserve">  14. El Estado interpuso la excepción preliminar  manifestando  que  no  se</w:t>
        <w:br/>
        <w:t xml:space="preserve">      agotaron los recursos internos de conformidad con el artículo 46.1  de</w:t>
        <w:br/>
        <w:t xml:space="preserve">      la Convención Americana y  que  “los  peticionantes  no  ejercieron  y</w:t>
        <w:br/>
        <w:t xml:space="preserve">      agotaron los recursos establecidos en la legislación venezolana,  para</w:t>
        <w:br/>
        <w:t xml:space="preserve">      hacer valer sus pretensiones y  obtener  el  amparo  judicial  de  los</w:t>
        <w:br/>
        <w:t xml:space="preserve">      derechos que consideraban le estaban siendo vulnerados”.</w:t>
        <w:br/>
        <w:br/>
        <w:t xml:space="preserve">  15. Respecto a Eduardo  Landaeta,  el  Estado  manifestó  que  el  proceso</w:t>
        <w:br/>
        <w:t xml:space="preserve">      interno sigue en curso en  la  actualidad  y  observó  que  la  última</w:t>
        <w:br/>
        <w:t xml:space="preserve">      actuación interna fue la decisión  de  la  Corte  de  Apelaciones  del</w:t>
        <w:br/>
        <w:t xml:space="preserve">      Circuito Judicial Penal del estado de Aragua  [de  30  de  octubre  de</w:t>
        <w:br/>
        <w:t xml:space="preserve">      2012], por la cual se declaró con lugar al recurso de apelación de  16</w:t>
        <w:br/>
        <w:t xml:space="preserve">      de marzo de 2012 y se repuso la causa al estado de que se  realice  un</w:t>
        <w:br/>
        <w:t xml:space="preserve">      nuevo juicio oral y público. El Estado manifestó que  si  la  decisión</w:t>
        <w:br/>
        <w:t xml:space="preserve">      del caso no les  fuese  favorable  a  las  presuntas  víctimas,  estas</w:t>
        <w:br/>
        <w:t xml:space="preserve">      podrían interponer el recurso de casación y de revisión de  sentencia,</w:t>
        <w:br/>
        <w:t xml:space="preserve">      recogidos en la legislación interna venezolana.</w:t>
        <w:br/>
        <w:br/>
        <w:t xml:space="preserve">  16. Respecto del caso de Igmar Landaeta, el Estado señaló  que  la  última</w:t>
        <w:br/>
        <w:t xml:space="preserve">      actuación que se observa fue un auto de la Corte  de  Apelaciones  del</w:t>
        <w:br/>
        <w:t xml:space="preserve">      Circuito Judicial Penal del estado Aragua, de fecha 22 de diciembre de</w:t>
        <w:br/>
        <w:t xml:space="preserve">      2003, por medio del cual se ordenó la remisión de la causa al  Archivo</w:t>
        <w:br/>
        <w:t xml:space="preserve">      Judicial Central. Ello, debido a que no se  interpuso  recurso  alguno</w:t>
        <w:br/>
        <w:t xml:space="preserve">      contra la sentencia que declaró el sobreseimiento de 10  de  noviembre</w:t>
        <w:br/>
        <w:t xml:space="preserve">      de 2003 dictada por la misma Corte de Apelaciones, quedando con  ello,</w:t>
        <w:br/>
        <w:t xml:space="preserve">      firme la referida decisión. El Estado concluyó  apuntando  que  en  el</w:t>
        <w:br/>
        <w:t xml:space="preserve">      caso de Igmar Landaeta tampoco se interpusieron los recursos  que  les</w:t>
        <w:br/>
        <w:t xml:space="preserve">      concedió la jurisdicción interna, como el recurso  de  casación  y  de</w:t>
        <w:br/>
        <w:t xml:space="preserve">      revisión, a fin de  hacer  respetar  sus  derechos.  Sin  embargo,  en</w:t>
        <w:br/>
        <w:t xml:space="preserve">      audiencia pública el Estado señaló que la posibilidad  de  ejercer  el</w:t>
        <w:br/>
        <w:t xml:space="preserve">      recurso de casación o de un amparo constitucional ha nacido nuevamente</w:t>
        <w:br/>
        <w:t xml:space="preserve">      para la víctima y para el Estado, ya que la decisión de  la  Corte  de</w:t>
        <w:br/>
        <w:t xml:space="preserve">      Apelaciones [que sobreseyó la causa], nunca les fue  notificada  y  la</w:t>
        <w:br/>
        <w:t xml:space="preserve">      misma  debió  condenar  o   absolver,   mas   no   así   decretar   el</w:t>
        <w:br/>
        <w:t xml:space="preserve">      sobreseimiento. En  este  sentido,  el  Estado  recalcó  la  falta  de</w:t>
        <w:br/>
        <w:t xml:space="preserve">      agotamiento de los recursos internos.</w:t>
        <w:br/>
        <w:br/>
        <w:t xml:space="preserve">  17. Adicionalmente, en relación  con  la  interposición  de  la  excepción</w:t>
        <w:br/>
        <w:t xml:space="preserve">      preliminar, el Estado manifestó que “antes de terminar las actuaciones</w:t>
        <w:br/>
        <w:t xml:space="preserve">      de los tribunales venezolanos la Comisión ya había  admitido  el  caso</w:t>
        <w:br/>
        <w:t xml:space="preserve">      [referido a las  peticiones  iniciales  interpuestas].  […]  No  puede</w:t>
        <w:br/>
        <w:t xml:space="preserve">      alegar la Comisión que es por  falta  de  información,  de  parte  del</w:t>
        <w:br/>
        <w:t xml:space="preserve">      Estado venezolano porque [se le entregó] información el 8 de marzo  de</w:t>
        <w:br/>
        <w:t xml:space="preserve">      2005, escrito enviado al señor  José  Zalaquett[,]  presidente  de  la</w:t>
        <w:br/>
        <w:t xml:space="preserve">      Comisión.  Posteriormente,  [se  envió]  escrito  al  señor  Clare  K.</w:t>
        <w:br/>
        <w:t xml:space="preserve">      Roberts[,]  presidente  de  la  Comisión.  Y  finalmente,  [se  envió]</w:t>
        <w:br/>
        <w:t xml:space="preserve">      información […] el 25 de noviembre de 2009”.</w:t>
        <w:br/>
        <w:br/>
        <w:t xml:space="preserve">  18.  La  Comisión  señaló  que  la  Convención   Americana   le   atribuye</w:t>
        <w:br/>
        <w:t xml:space="preserve">      primariamente las decisiones en materia  de  admisibilidad,  adoptadas</w:t>
        <w:br/>
        <w:t xml:space="preserve">      conforme  a  la  información  disponible   en   el   momento   de   su</w:t>
        <w:br/>
        <w:t xml:space="preserve">      pronunciamiento, por lo que consideró  que  la  Corte  debía  mantener</w:t>
        <w:br/>
        <w:t xml:space="preserve">      cierta deferencia frente a  lo  decidido  por  la  Comisión  en  dicha</w:t>
        <w:br/>
        <w:t xml:space="preserve">      materia.  Asimismo,  estimó  que  la  excepción  preliminar  debe  ser</w:t>
        <w:br/>
        <w:t xml:space="preserve">      rechazada en relación con el caso de Eduardo Landaeta, debido a: i) la</w:t>
        <w:br/>
        <w:t xml:space="preserve">      extemporaneidad de la presentación  de  la  excepción  preliminar  por</w:t>
        <w:br/>
        <w:t xml:space="preserve">      parte del Estado, ya que  el  mismo  no  dio  respuesta  alguna  a  la</w:t>
        <w:br/>
        <w:t xml:space="preserve">      Comisión respecto de la admisibilidad de la petición, por lo que operó</w:t>
        <w:br/>
        <w:t xml:space="preserve">      la figura del desistimiento  tácito.  En  este  sentido,  la  Comisión</w:t>
        <w:br/>
        <w:t xml:space="preserve">      concluyó que la presentación de la excepción  es  improcedente  al  no</w:t>
        <w:br/>
        <w:t xml:space="preserve">      haber  sido  interpuesta  en  el  momento  procesal  oportuno,  y  ii)</w:t>
        <w:br/>
        <w:t xml:space="preserve">      subsidiariamente, la Comisión consideró que en el caso se configuró un</w:t>
        <w:br/>
        <w:t xml:space="preserve">      retardo injustificado y por ende, la excepción al agotamiento  de  los</w:t>
        <w:br/>
        <w:t xml:space="preserve">      recursos internos establecida en el artículo 46.2.c) de la  Convención</w:t>
        <w:br/>
        <w:t xml:space="preserve">      Americana. Ello, en virtud que el procedimiento  no  había  pasado  la</w:t>
        <w:br/>
        <w:t xml:space="preserve">      etapa preliminar de investigación al año  2007,  e  incluso  sigue  en</w:t>
        <w:br/>
        <w:t xml:space="preserve">      curso en la actualidad,  a  pesar  de  no  ser  un  caso  que  revista</w:t>
        <w:br/>
        <w:t xml:space="preserve">      complejidad.</w:t>
        <w:br/>
        <w:br/>
        <w:t xml:space="preserve">  19. Respecto de Igmar Landaeta, la Comisión indicó que si bien  el  Estado</w:t>
        <w:br/>
        <w:t xml:space="preserve">      “presentó oportunamente la excepción de falta de  agotamiento  de  los</w:t>
        <w:br/>
        <w:t xml:space="preserve">      recursos internos”, la Comisión analizó dicho alegato en la  etapa  de</w:t>
        <w:br/>
        <w:t xml:space="preserve">      admisibilidad y concluyó que el recurso de casación, el cual el Estado</w:t>
        <w:br/>
        <w:t xml:space="preserve">      manifestó se debía agotar, no  era  un  recurso  adecuado  y  efectivo</w:t>
        <w:br/>
        <w:t xml:space="preserve">      debido a que sólo tenía como objeto impugnar violaciones de la  ley  y</w:t>
        <w:br/>
        <w:t xml:space="preserve">      no  las  irregularidades  en  la  investigación,  que  por  su  propia</w:t>
        <w:br/>
        <w:t xml:space="preserve">      naturaleza no podían ser resueltas por  dicho  recurso.  Asimismo,  la</w:t>
        <w:br/>
        <w:t xml:space="preserve">      Comisión tomó nota de la “pasividad recursiva del Ministerio Público”,</w:t>
        <w:br/>
        <w:t xml:space="preserve">      ya que el mismo no  interpuso  recursos  para  impugnar  la  sentencia</w:t>
        <w:br/>
        <w:t xml:space="preserve">      absolutoria [referida a la sentencia de 10 de noviembre  de  2003],  a</w:t>
        <w:br/>
        <w:t xml:space="preserve">      pesar de que dicha autoridad se encontraba facultada para hacerlo y de</w:t>
        <w:br/>
        <w:t xml:space="preserve">      que se trataba de una acción perseguible de oficio con  la  existencia</w:t>
        <w:br/>
        <w:t xml:space="preserve">      de diversos elementos  de  contexto  que  exigían  una  respuesta  más</w:t>
        <w:br/>
        <w:t xml:space="preserve">      diligente por parte de la Fiscalía .  En  este  sentido,  la  Comisión</w:t>
        <w:br/>
        <w:t xml:space="preserve">      indicó que se configuraron excepciones al agotamiento de los  recursos</w:t>
        <w:br/>
        <w:t xml:space="preserve">      internos, en concreto, la estipulada en el  artículo  46.2  a)  de  la</w:t>
        <w:br/>
        <w:t xml:space="preserve">      Convención Americana.</w:t>
        <w:br/>
        <w:br/>
        <w:t xml:space="preserve">  20. Los representantes señalaron  que  la  excepción  interpuesta  por  el</w:t>
        <w:br/>
        <w:t xml:space="preserve">      Estado debía desestimarse debido a que  la  misma  no  contó  con  los</w:t>
        <w:br/>
        <w:t xml:space="preserve">      presupuestos formales ni materiales para su procedencia.  En  relación</w:t>
        <w:br/>
        <w:t xml:space="preserve">      con la ausencia de los presupuestos formales, indicaron que  la  Corte</w:t>
        <w:br/>
        <w:t xml:space="preserve">      no debía reabrir la determinación  de  admisibilidad  que  realizó  la</w:t>
        <w:br/>
        <w:t xml:space="preserve">      Comisión, ya que el Estado no alegó ni  fundamentó  la  existencia  de</w:t>
        <w:br/>
        <w:t xml:space="preserve">      algún error grave u  otra  inobservancia  procesal  por  parte  de  la</w:t>
        <w:br/>
        <w:t xml:space="preserve">      Comisión que hubiera ocasionado un perjuicio a su derecho de  defensa.</w:t>
        <w:br/>
        <w:t xml:space="preserve">      Asimismo, respecto de Eduardo Landaeta los representantes argumentaron</w:t>
        <w:br/>
        <w:t xml:space="preserve">      que el Estado  renunció  tácitamente  a  la  excepción  preliminar  de</w:t>
        <w:br/>
        <w:t xml:space="preserve">      agotamiento de recursos internos en la petición e indicaron  que,  más</w:t>
        <w:br/>
        <w:t xml:space="preserve">      allá de la renuncia tácita del Estado, el mismo  no  alegó,  ni  mucho</w:t>
        <w:br/>
        <w:t xml:space="preserve">      menos demostró, que un eventual recurso interno sería idóneo y eficaz,</w:t>
        <w:br/>
        <w:t xml:space="preserve">      sino que por el contrario, reconoció que el  proceso  penal  sigue  en</w:t>
        <w:br/>
        <w:t xml:space="preserve">      curso en la actualidad.</w:t>
        <w:br/>
        <w:br/>
        <w:t xml:space="preserve">  21. Respecto de Igmar Landaeta, los representantes señalaron que  si  bien</w:t>
        <w:br/>
        <w:t xml:space="preserve">      no está en controversia el hecho de que el recurso  extraordinario  de</w:t>
        <w:br/>
        <w:t xml:space="preserve">      casación no fue  agotado,  el  Estado  no  explicó  la  efectividad  e</w:t>
        <w:br/>
        <w:t xml:space="preserve">      idoneidad del mismo, por ello, la Comisión concluyó  que  aplicaba  la</w:t>
        <w:br/>
        <w:t xml:space="preserve">      excepción de agotamiento de los recursos  internos,  contenida  en  el</w:t>
        <w:br/>
        <w:t xml:space="preserve">      artículo  46.2  a)   de   la   Convención   Americana.   Además,   los</w:t>
        <w:br/>
        <w:t xml:space="preserve">      representantes alegaron que de manera alternativa,  aún  si  la  Corte</w:t>
        <w:br/>
        <w:t xml:space="preserve">      decidiera examinar el recurso  extraordinario  de  casación,  este  no</w:t>
        <w:br/>
        <w:t xml:space="preserve">      consistió en un recurso adecuado, idóneo y efectivo para el  caso,  ya</w:t>
        <w:br/>
        <w:t xml:space="preserve">      que de acuerdo a la  legislación  venezolana  sólo  tiene  por  objeto</w:t>
        <w:br/>
        <w:t xml:space="preserve">      impugnar las violaciones de la ley por parte de los jueces  por  falta</w:t>
        <w:br/>
        <w:t xml:space="preserve">      de aplicación, indebida aplicación o interpretación  errónea,  por  lo</w:t>
        <w:br/>
        <w:t xml:space="preserve">      que no protege adecuadamente los derechos en este caso.</w:t>
        <w:br/>
        <w:br/>
        <w:br/>
        <w:t xml:space="preserve">   Consideraciones de la Corte</w:t>
        <w:br/>
        <w:br/>
        <w:br/>
        <w:t xml:space="preserve">  22. El artículo 46.1.a)  de  la  Convención  Americana  dispone  que  para</w:t>
        <w:br/>
        <w:t xml:space="preserve">      determinar la admisibilidad de una petición o comunicación  presentada</w:t>
        <w:br/>
        <w:t xml:space="preserve">      ante la Comisión Interamericana, de conformidad con los artículos 44 o</w:t>
        <w:br/>
        <w:t xml:space="preserve">      45 de la Convención, es necesario que se hayan interpuesto  y  agotado</w:t>
        <w:br/>
        <w:t xml:space="preserve">      los recursos de la jurisdicción interna, conforme a los principios del</w:t>
        <w:br/>
        <w:t xml:space="preserve">      Derecho Internacional generalmente reconocidos[11]. Lo  anterior,  sin</w:t>
        <w:br/>
        <w:t xml:space="preserve">      embargo, supone que no sólo deben existir formalmente  esos  recursos,</w:t>
        <w:br/>
        <w:t xml:space="preserve">      sino también deben ser adecuados y  efectivos,  como  resulta  de  las</w:t>
        <w:br/>
        <w:t xml:space="preserve">      excepciones contempladas en el artículo 46.2 de la Convención[12].</w:t>
        <w:br/>
        <w:br/>
        <w:t xml:space="preserve">  23. En este sentido, la Corte ha sostenido en su jurisprudencia  constante</w:t>
        <w:br/>
        <w:t xml:space="preserve">      que una objeción al ejercicio de su jurisdicción basada en la supuesta</w:t>
        <w:br/>
        <w:t xml:space="preserve">      falta de agotamiento de los recursos internos debe ser  presentada  en</w:t>
        <w:br/>
        <w:t xml:space="preserve">      el momento procesal oportuno[13], esto es, durante el procedimiento de</w:t>
        <w:br/>
        <w:t xml:space="preserve">      admisibilidad ante la Comisión[14]. Esta interpretación que ha dado la</w:t>
        <w:br/>
        <w:t xml:space="preserve">      Corte al artículo 46.1.a) de la Convención por más de dos décadas está</w:t>
        <w:br/>
        <w:t xml:space="preserve">      en conformidad con  el  Derecho  Internacional[15],  por  lo  cual  se</w:t>
        <w:br/>
        <w:t xml:space="preserve">      entiende que  luego  de  dicho  momento  procesal  oportuno  opera  el</w:t>
        <w:br/>
        <w:t xml:space="preserve">      principio de preclusión procesal[16].</w:t>
        <w:br/>
        <w:br/>
        <w:t xml:space="preserve">  24. La  regla  del  previo  agotamiento  de  los  recursos  internos  está</w:t>
        <w:br/>
        <w:t xml:space="preserve">      concebida en interés del Estado, pues busca dispensarlo  de  responder</w:t>
        <w:br/>
        <w:t xml:space="preserve">      ante un órgano internacional por actos que se  le  imputen,  antes  de</w:t>
        <w:br/>
        <w:t xml:space="preserve">      haber tenido la ocasión de remediarlos con sus propios medios[17].  No</w:t>
        <w:br/>
        <w:t xml:space="preserve">      obstante, para que proceda una excepción  preliminar  a  la  falta  de</w:t>
        <w:br/>
        <w:t xml:space="preserve">      agotamiento de los recursos internos,  el  Estado  que  presenta  esta</w:t>
        <w:br/>
        <w:t xml:space="preserve">      excepción debe especificar los recursos internos que  aún  no  se  han</w:t>
        <w:br/>
        <w:t xml:space="preserve">      agotado, y demostrar que estos recursos se encontraban  disponibles  y</w:t>
        <w:br/>
        <w:t xml:space="preserve">      eran adecuados, idóneos y efectivos[18]. De esta forma, no es tarea de</w:t>
        <w:br/>
        <w:t xml:space="preserve">      la Corte, ni de la Comisión, identificar ex  officio  cuáles  son  los</w:t>
        <w:br/>
        <w:t xml:space="preserve">      recursos internos pendientes de agotamiento. El Tribunal  resalta  que</w:t>
        <w:br/>
        <w:t xml:space="preserve">      no  compete  a  los  órganos  internacionales  subsanar  la  falta  de</w:t>
        <w:br/>
        <w:t xml:space="preserve">      precisión de los alegatos del Estado[19].</w:t>
        <w:br/>
        <w:br/>
        <w:br/>
        <w:t xml:space="preserve">    B.1 Alegada falta de agotamiento de los recursos internos para el  caso</w:t>
        <w:br/>
        <w:t xml:space="preserve">    de Eduardo José Landaeta Mejías</w:t>
        <w:br/>
        <w:br/>
        <w:br/>
        <w:t xml:space="preserve">  25. En el caso de Eduardo Landaeta la petición inicial  ante  la  Comisión</w:t>
        <w:br/>
        <w:t xml:space="preserve">      fue presentada el 24 de abril de 2006[20] y trasladada al Estado el 26</w:t>
        <w:br/>
        <w:t xml:space="preserve">      de julio de 2006[21], por medio de la cual la Comisión  Interamericana</w:t>
        <w:br/>
        <w:t xml:space="preserve">      le otorgó el plazo de dos meses a efectos de que  el  Estado  emitiera</w:t>
        <w:br/>
        <w:t xml:space="preserve">      las  observaciones  correspondientes  en  cuanto   a   la   etapa   de</w:t>
        <w:br/>
        <w:t xml:space="preserve">      admisibilidad de la petición. No obstante ello, el Estado no envió las</w:t>
        <w:br/>
        <w:t xml:space="preserve">      observaciones  solicitadas,   ni   se   pronunció   respecto   de   la</w:t>
        <w:br/>
        <w:t xml:space="preserve">      admisibilidad de dicha petición, cuyo  Informe  de  Admisibilidad  fue</w:t>
        <w:br/>
        <w:t xml:space="preserve">      adoptado el 9 de marzo de 2007.</w:t>
        <w:br/>
        <w:br/>
        <w:t xml:space="preserve">  26. En este sentido, la Corte considera que el Estado no alegó la falta de</w:t>
        <w:br/>
        <w:t xml:space="preserve">      agotamiento de recursos internos durante  la  etapa  de  admisibilidad</w:t>
        <w:br/>
        <w:t xml:space="preserve">      ante la Comisión. La Corte constata que los escritos  mencionados  por</w:t>
        <w:br/>
        <w:t xml:space="preserve">      el Estado (supra párr. 17) que datan del año 2005, se  refieren  a  la</w:t>
        <w:br/>
        <w:t xml:space="preserve">      petición de Igmar  Landaeta  y  no  al  caso  de  su  hermano  Eduardo</w:t>
        <w:br/>
        <w:t xml:space="preserve">      Landaeta.  Los  únicos   escritos   presentados   ante   la   Comisión</w:t>
        <w:br/>
        <w:t xml:space="preserve">      Interamericana por el Estado venezolano en relación con la petición de</w:t>
        <w:br/>
        <w:t xml:space="preserve">      Eduardo Landaeta son de  fecha  12  de  marzo  de  2008[22]  y  25  de</w:t>
        <w:br/>
        <w:t xml:space="preserve">      noviembre de 2009[23]. Estos escritos corresponden a la etapa de fondo</w:t>
        <w:br/>
        <w:t xml:space="preserve">      ante la Comisión, por medio de  los  cuales  el  Estado  se  limitó  a</w:t>
        <w:br/>
        <w:t xml:space="preserve">      describir el estado del proceso penal en relación con  su  muerte.  En</w:t>
        <w:br/>
        <w:t xml:space="preserve">      virtud de ello, el Tribunal constata que la excepción  de  agotamiento</w:t>
        <w:br/>
        <w:t xml:space="preserve">      de los recursos internos  fue  interpuesta  por  primera  vez,  en  el</w:t>
        <w:br/>
        <w:t xml:space="preserve">      escrito de contestación del Estado ante esta  Corte,  por  lo  que  su</w:t>
        <w:br/>
        <w:t xml:space="preserve">      interposición es extemporánea. Por ende,  se  desestima  la  excepción</w:t>
        <w:br/>
        <w:t xml:space="preserve">      preliminar interpuesta por el Estado.</w:t>
        <w:br/>
        <w:br/>
        <w:br/>
        <w:t xml:space="preserve">    B.2 Alegada falta de agotamiento de los recursos internos para el  caso</w:t>
        <w:br/>
        <w:t xml:space="preserve">    de Igmar Alexander Landaeta Mejías</w:t>
        <w:br/>
        <w:br/>
        <w:br/>
        <w:t xml:space="preserve">  27. El Tribunal constata que  respecto  de  Igmar  Landaeta,  la  petición</w:t>
        <w:br/>
        <w:t xml:space="preserve">      inicial ante la  Comisión  fue  presentada  el  20  de  septiembre  de</w:t>
        <w:br/>
        <w:t xml:space="preserve">      2004[24] y mediante carta de 1 de diciembre de 2004 fue transmitida al</w:t>
        <w:br/>
        <w:t xml:space="preserve">      Estado el 8 de diciembre del mismo año[25], a efectos de  recibir  las</w:t>
        <w:br/>
        <w:t xml:space="preserve">      observaciones correspondientes en cuanto a la etapa de  admisibilidad.</w:t>
        <w:br/>
        <w:t xml:space="preserve">      En virtud de ello, el  Estado  venezolano  presentó  oportunamente  la</w:t>
        <w:br/>
        <w:t xml:space="preserve">      excepción de falta de agotamiento  de  recursos  internos  durante  la</w:t>
        <w:br/>
        <w:t xml:space="preserve">      etapa de admisibilidad de la petición ante la  Comisión,  mediante  su</w:t>
        <w:br/>
        <w:t xml:space="preserve">      escrito de 8 de marzo de 2005[26]. En el mismo escrito señaló que “[…]</w:t>
        <w:br/>
        <w:t xml:space="preserve">      el peticionario en la oportunidad legal correspondiente, no ejerció el</w:t>
        <w:br/>
        <w:t xml:space="preserve">      recurso  que  la  ley  otorgaba  para  oponerse  a  la   decisión   de</w:t>
        <w:br/>
        <w:t xml:space="preserve">      sobreseimiento, […] el Recurso de Casación[27] y al no hacerlo [,]  la</w:t>
        <w:br/>
        <w:t xml:space="preserve">      sentencia quedó  firme.  […]  [L]a  causa  concluyó  por  inercia  del</w:t>
        <w:br/>
        <w:t xml:space="preserve">      peticionario, quien no ejerció en tiempo útil los recursos a que tenía</w:t>
        <w:br/>
        <w:t xml:space="preserve">      derecho y no era obligación del Estado ejercerlos sucedáneamente”.  La</w:t>
        <w:br/>
        <w:t xml:space="preserve">      Comisión dictó su Informe de Admisibilidad el 20 de marzo de 2009,  en</w:t>
        <w:br/>
        <w:t xml:space="preserve">      el que aplicó la excepción recogida  en  el  artículo  46.2.a)  de  la</w:t>
        <w:br/>
        <w:t xml:space="preserve">      Convención  Americana[28].  La  Comisión  determinó  que   el   Estado</w:t>
        <w:br/>
        <w:t xml:space="preserve">      “presentó oportunamente  la  excepción  de  falta  de  agotamiento  de</w:t>
        <w:br/>
        <w:t xml:space="preserve">      recursos internos”[29] y consideró que el recurso de casación, el cual</w:t>
        <w:br/>
        <w:t xml:space="preserve">      el Estado manifestó se debía agotar, no consistió un recurso  adecuado</w:t>
        <w:br/>
        <w:t xml:space="preserve">      y efectivo debido a que sólo tenía como objeto impugnar violaciones de</w:t>
        <w:br/>
        <w:t xml:space="preserve">      la ley y no las irregularidades en la investigación[30].</w:t>
        <w:br/>
        <w:br/>
        <w:t xml:space="preserve">  28. En  este  sentido,  el  Estado  señaló  que  contra  la  sentencia  de</w:t>
        <w:br/>
        <w:t xml:space="preserve">      sobreseimiento de 10 de noviembre de 2003  dictada  por  la  Corte  de</w:t>
        <w:br/>
        <w:t xml:space="preserve">      Apelaciones[31] (infra párr. 93), debió  interponerse  el  recurso  de</w:t>
        <w:br/>
        <w:t xml:space="preserve">      casación e incluso el recurso de revisión[32], ambos regulados  en  la</w:t>
        <w:br/>
        <w:t xml:space="preserve">      legislación  interna.  El  Estado  señaló  que  ante   la   falta   de</w:t>
        <w:br/>
        <w:t xml:space="preserve">      interposición del recurso dicha sentencia quedó firme  y  adquirió  la</w:t>
        <w:br/>
        <w:t xml:space="preserve">      fuerza de cosa juzgada. No obstante, durante  la  audiencia  del  caso</w:t>
        <w:br/>
        <w:t xml:space="preserve">      ante el Tribunal, de manera contraria a lo antes alegado,  señaló  que</w:t>
        <w:br/>
        <w:t xml:space="preserve">      aún se podía interponer dicho recurso de casación,  en  virtud  de  la</w:t>
        <w:br/>
        <w:t xml:space="preserve">      falta de notificación de la sentencia a las partes y con base  en  que</w:t>
        <w:br/>
        <w:t xml:space="preserve">      la Corte de Apelaciones debió condenar o absolver,  mas  no  sobreseer</w:t>
        <w:br/>
        <w:t xml:space="preserve">      (infra párr. 211).</w:t>
        <w:br/>
        <w:br/>
        <w:t xml:space="preserve">  29. La Corte recuerda que es preciso que el Estado no sólo especifique los</w:t>
        <w:br/>
        <w:t xml:space="preserve">      recursos internos que aún no se han agotado, sino que  debe  demostrar</w:t>
        <w:br/>
        <w:t xml:space="preserve">      que estos  recursos  se  encontraban  disponibles  y  eran  adecuados,</w:t>
        <w:br/>
        <w:t xml:space="preserve">      idóneos y efectivos[33]. Este Tribunal considera que dicha adecuación,</w:t>
        <w:br/>
        <w:t xml:space="preserve">      idoneidad o efectividad debió haber sido  demostrada  por  el  Estado,</w:t>
        <w:br/>
        <w:t xml:space="preserve">      quien en su escrito de contestación se limitó a señalar  la  falta  de</w:t>
        <w:br/>
        <w:t xml:space="preserve">      interposición de dichos recursos y la existencia de los mismos  en  la</w:t>
        <w:br/>
        <w:t xml:space="preserve">      normativa interna. De igual manera, en sus alegatos finales  escritos,</w:t>
        <w:br/>
        <w:t xml:space="preserve">      el Estado se limitó a enumerar los artículos relativos a los  recursos</w:t>
        <w:br/>
        <w:t xml:space="preserve">      de casación[34] y revisión[35], sin demostrar y analizar de qué manera</w:t>
        <w:br/>
        <w:t xml:space="preserve">      los  mismos  hubieran  podido  proteger  los  derechos  alegados  como</w:t>
        <w:br/>
        <w:t xml:space="preserve">      vulnerados. Asimismo, tanto la Fiscal Yelitza Acacio Carmona,  testigo</w:t>
        <w:br/>
        <w:t xml:space="preserve">      propuesta por el Estado,  así  como  el  Estado  mismo,  señalaron  en</w:t>
        <w:br/>
        <w:t xml:space="preserve">      audiencia pública que al no haberse notificado la sentencia de  10  de</w:t>
        <w:br/>
        <w:t xml:space="preserve">      noviembre de 2003 a las partes procesales y al no haberse condenado  o</w:t>
        <w:br/>
        <w:t xml:space="preserve">      absuelto, ésta no habría adquirido la calidad de cosa juzgada, por  lo</w:t>
        <w:br/>
        <w:t xml:space="preserve">      que dichas  declaraciones  generan  contradicción  en  los  argumentos</w:t>
        <w:br/>
        <w:t xml:space="preserve">      esgrimidos por el Estado.</w:t>
        <w:br/>
        <w:br/>
        <w:t xml:space="preserve">  30. Con base en lo anterior, de acuerdo con la información presentada  por</w:t>
        <w:br/>
        <w:t xml:space="preserve">      el Estado, la Corte no estima que éste haya acreditado la  efectividad</w:t>
        <w:br/>
        <w:t xml:space="preserve">      o idoneidad del recurso que indicó se debió agotar, a fin de  corregir</w:t>
        <w:br/>
        <w:t xml:space="preserve">      las presuntas irregularidades en las etapas de  investigación,  mismas</w:t>
        <w:br/>
        <w:t xml:space="preserve">      que serán examinadas en el fondo del caso. Asimismo, de acuerdo  a  lo</w:t>
        <w:br/>
        <w:t xml:space="preserve">      señalado por el Estado en la audiencia, la Corte  tampoco  cuenta  con</w:t>
        <w:br/>
        <w:t xml:space="preserve">      elementos suficientes para determinar el  estado  actual  del  proceso</w:t>
        <w:br/>
        <w:t xml:space="preserve">      penal, por ende, se desestima dicha excepción preliminar.</w:t>
        <w:br/>
        <w:br/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 xml:space="preserve">  31. Con fundamento en lo establecido en los artículos 46, 47, 48, 50,  51,</w:t>
        <w:br/>
        <w:t xml:space="preserve">      57 y 58 del Reglamento, así como en su jurisprudencia respecto  de  la</w:t>
        <w:br/>
        <w:t xml:space="preserve">      prueba y su apreciación, la Corte examinará y valorará  los  elementos</w:t>
        <w:br/>
        <w:t xml:space="preserve">      probatorios  documentales  remitidos  por  las  partes   en   diversas</w:t>
        <w:br/>
        <w:t xml:space="preserve">      oportunidades procesales, las declaraciones, testimonios y  dictámenes</w:t>
        <w:br/>
        <w:t xml:space="preserve">      periciales rendidos mediante affidávit y en la audiencia pública,  así</w:t>
        <w:br/>
        <w:t xml:space="preserve">      como las pruebas para mejor resolver solicitadas por  la  Corte.  Para</w:t>
        <w:br/>
        <w:t xml:space="preserve">      ello se atendrá a los principios de la sana crítica, dentro del  marco</w:t>
        <w:br/>
        <w:t xml:space="preserve">      normativo correspondiente[36].</w:t>
        <w:br/>
        <w:t xml:space="preserve">  32. En cuanto a la recepción de la prueba, la Corte ha establecido que los</w:t>
        <w:br/>
        <w:t xml:space="preserve">      procedimientos que se siguen ante ella no están sujetos a  las  mismas</w:t>
        <w:br/>
        <w:t xml:space="preserve">      formalidades  que  las  actuaciones  judiciales  internas,  y  que  la</w:t>
        <w:br/>
        <w:t xml:space="preserve">      incorporación de determinados elementos al acervo probatorio debe  ser</w:t>
        <w:br/>
        <w:t xml:space="preserve">      efectuada prestando particular atención a las circunstancias del  caso</w:t>
        <w:br/>
        <w:t xml:space="preserve">      concreto y teniendo presentes los límites que impone el respeto  a  la</w:t>
        <w:br/>
        <w:t xml:space="preserve">      seguridad jurídica y al equilibrio procesal de las partes[37].</w:t>
        <w:br/>
        <w:br/>
        <w:br/>
        <w:t xml:space="preserve">   Prueba documental, testimonial y pericial</w:t>
        <w:br/>
        <w:br/>
        <w:br/>
        <w:t xml:space="preserve">  33. La Corte recibió diversos documentos presentados como  prueba  por  la</w:t>
        <w:br/>
        <w:t xml:space="preserve">      Comisión, los representantes y el  Estado,  adjuntos  a  sus  escritos</w:t>
        <w:br/>
        <w:t xml:space="preserve">      principales (supra párrs. 1, 2 inciso c), 5 y  6).  Además,  la  Corte</w:t>
        <w:br/>
        <w:t xml:space="preserve">      recibió los affidávits de María  Magdalena  Mejías,  Leydis  Landaeta,</w:t>
        <w:br/>
        <w:t xml:space="preserve">      Francy Parra, José Pablo Baraybar, Claudia  Carrillo,  Calixto  Ávila,</w:t>
        <w:br/>
        <w:t xml:space="preserve">      ofrecidas  por  los  representantes;  Desiree  Noelis  Boada  Guevara,</w:t>
        <w:br/>
        <w:t xml:space="preserve">      ofrecida por el Estado, y Hugo Fruhling y Diego Camaño, ofrecidas  por</w:t>
        <w:br/>
        <w:t xml:space="preserve">      la Comisión. Asimismo,  recibió  declaraciones  sin  la  autenticación</w:t>
        <w:br/>
        <w:t xml:space="preserve">      correspondiente  de  Victoria  Landaeta;   Magaly   Mercedes   Vásquez</w:t>
        <w:br/>
        <w:t xml:space="preserve">      González, y Denotila Hernández  ofrecidas por los  representantes.  En</w:t>
        <w:br/>
        <w:t xml:space="preserve">      cuanto a la prueba rendida en audiencia pública, la Corte escuchó  las</w:t>
        <w:br/>
        <w:t xml:space="preserve">      declaraciones de Ignacio Landaeta ofrecida por  los  representantes  y</w:t>
        <w:br/>
        <w:t xml:space="preserve">      Yelitza Acacio Carmona ofrecida por el Estado.</w:t>
        <w:br/>
        <w:br/>
        <w:br/>
        <w:t xml:space="preserve">   Admisión de la prueba</w:t>
        <w:br/>
        <w:br/>
        <w:br/>
        <w:br/>
        <w:t xml:space="preserve">    B.1 Admisión de la prueba documental</w:t>
        <w:br/>
        <w:br/>
        <w:br/>
        <w:t xml:space="preserve">  34. En  el  presente  caso,  como  en  otros,  la  Corte  admite  aquellos</w:t>
        <w:br/>
        <w:t xml:space="preserve">      documentos presentados por las partes  y  la  Comisión  en  la  debida</w:t>
        <w:br/>
        <w:t xml:space="preserve">      oportunidad procesal[38] que no fueron controvertidos ni objetados, ni</w:t>
        <w:br/>
        <w:t xml:space="preserve">      cuya autenticidad fue puesta en duda[39]. Los  documentos  solicitados</w:t>
        <w:br/>
        <w:t xml:space="preserve">      por la Corte, que fueron aportados por las partes con posterioridad  a</w:t>
        <w:br/>
        <w:t xml:space="preserve">      la  audiencia  pública,  son  incorporados  al  acervo  probatorio  en</w:t>
        <w:br/>
        <w:t xml:space="preserve">      aplicación del artículo 58 del Reglamento.</w:t>
        <w:br/>
        <w:br/>
        <w:t xml:space="preserve">  35. En cuanto a las notas de prensa presentadas  por  Comisión[40]  y  los</w:t>
        <w:br/>
        <w:t xml:space="preserve">      representantes[41], la Corte ha considerado que podrán ser  apreciadas</w:t>
        <w:br/>
        <w:t xml:space="preserve">      cuando  recojan  hechos  públicos  y  notorios  o   declaraciones   de</w:t>
        <w:br/>
        <w:t xml:space="preserve">      funcionarios del Estado, o cuando corroboren aspectos relacionados con</w:t>
        <w:br/>
        <w:t xml:space="preserve">      el caso, por lo que el Tribunal decide admitir los documentos  que  se</w:t>
        <w:br/>
        <w:t xml:space="preserve">      encuentren completos o que, por lo menos, permitan constatar su fuente</w:t>
        <w:br/>
        <w:t xml:space="preserve">      y fecha de publicación, y los valorará tomando en cuenta  el  conjunto</w:t>
        <w:br/>
        <w:t xml:space="preserve">      del acervo probatorio, las observaciones de las partes y las reglas de</w:t>
        <w:br/>
        <w:t xml:space="preserve">      la sana crítica[42].</w:t>
        <w:br/>
        <w:br/>
        <w:t xml:space="preserve">       B.1.1 Sobre los anexos a los alegatos finales escritos del Estado</w:t>
        <w:br/>
        <w:br/>
        <w:t xml:space="preserve">  36.  Mediante  escrito  de  14  de  abril  de  2014,  los   representantes</w:t>
        <w:br/>
        <w:t xml:space="preserve">      presentaron sus observaciones a los  anexos  a  los  alegatos  finales</w:t>
        <w:br/>
        <w:t xml:space="preserve">      escritos del Estado. Al respecto, argumentaron que “los Informes  Base</w:t>
        <w:br/>
        <w:t xml:space="preserve">      en referencia a la participación de niños en los conflictos armados  y</w:t>
        <w:br/>
        <w:t xml:space="preserve">      a la venta de niños, la prostitución  infantil  y  la  utilización  de</w:t>
        <w:br/>
        <w:t xml:space="preserve">      niños en pornografía, respectivamente […] versan sobre aspectos de  la</w:t>
        <w:br/>
        <w:t xml:space="preserve">      normativa interna sobre la tutela de menores de edad que  no  resultan</w:t>
        <w:br/>
        <w:t xml:space="preserve">      relevantes para el  análisis  del  caso  concreto”.  Por  otra  parte,</w:t>
        <w:br/>
        <w:t xml:space="preserve">      respecto del Informe Consolidado presentado al Comité de los  Derechos</w:t>
        <w:br/>
        <w:t xml:space="preserve">      del Niño en julio de 2012 y el Plan de Acción del Programa País  2009-</w:t>
        <w:br/>
        <w:t xml:space="preserve">      2013, los representantes indicaron que  “no  constituyen  prueba  para</w:t>
        <w:br/>
        <w:t xml:space="preserve">      mejor resolver, ya que no son la normativa interna solicitada  por  la</w:t>
        <w:br/>
        <w:t xml:space="preserve">      Corte, sino las valoraciones del Estado respecto de la misma.  Tampoco</w:t>
        <w:br/>
        <w:t xml:space="preserve">      se tratan de  prueba  superviniente  para  que  sean  presentadas  por</w:t>
        <w:br/>
        <w:t xml:space="preserve">      primera vez como anexos a los alegatos  finales  del  Estado.  Por  lo</w:t>
        <w:br/>
        <w:t xml:space="preserve">      tanto, [solicitaron] que el Tribunal rechace la presentación  de  este</w:t>
        <w:br/>
        <w:t xml:space="preserve">      anexo al acervo probatorio del caso concreto”.</w:t>
        <w:br/>
        <w:br/>
        <w:t xml:space="preserve">  37. Respecto de los Informes  Base  aportados  por  el  Estado,  la  Corte</w:t>
        <w:br/>
        <w:t xml:space="preserve">      considera que  estos  documentos  no  se  relacionan  con  los  hechos</w:t>
        <w:br/>
        <w:t xml:space="preserve">      analizados en el presente caso, y por lo tanto no serán admitidos. Por</w:t>
        <w:br/>
        <w:t xml:space="preserve">      otra parte, en relación  con  el  Informe  Consolidado  presentado  al</w:t>
        <w:br/>
        <w:t xml:space="preserve">      Comité de los Derechos del Niño en julio de 2012 y el Plan  de  Acción</w:t>
        <w:br/>
        <w:t xml:space="preserve">      del Programa País 2009-2013, el Tribunal los admite  como  información</w:t>
        <w:br/>
        <w:t xml:space="preserve">      que puede ser útil para la resolución del presente caso.</w:t>
        <w:br/>
        <w:br/>
        <w:t xml:space="preserve">       B.1.2 Sobre la prueba solicitada para mejor resolver</w:t>
        <w:br/>
        <w:br/>
        <w:br/>
        <w:t xml:space="preserve">  38. Mediante comunicaciones de 11 de febrero y 20 de  mayo  de  2014,  con</w:t>
        <w:br/>
        <w:t xml:space="preserve">      fundamento en el artículo 58.b del Reglamento de la Corte, se solicitó</w:t>
        <w:br/>
        <w:t xml:space="preserve">      al Estado copia de documentación como prueba para mejor resolver,  sin</w:t>
        <w:br/>
        <w:t xml:space="preserve">      embargo el Estado cumplió de forma parcial con  lo  requerido[43].  De</w:t>
        <w:br/>
        <w:t xml:space="preserve">      esta forma, la Corte tomará en consideración la documentación aportada</w:t>
        <w:br/>
        <w:t xml:space="preserve">      en lo que resulte pertinente. Al respecto, la Corte recuerda  que  las</w:t>
        <w:br/>
        <w:t xml:space="preserve">      partes deben allegar todos los elementos  probatorios  requeridos  -de</w:t>
        <w:br/>
        <w:t xml:space="preserve">      oficio, como prueba para mejor resolver o a petición de parte-  a  fin</w:t>
        <w:br/>
        <w:t xml:space="preserve">      de que el Tribunal cuente con el mayor número de elementos  de  juicio</w:t>
        <w:br/>
        <w:t xml:space="preserve">      para conocer los hechos y motivar sus resoluciones[44].</w:t>
        <w:br/>
        <w:br/>
        <w:br/>
        <w:t xml:space="preserve">    B.2 Admisión de la prueba testimonial y pericial</w:t>
        <w:br/>
        <w:br/>
        <w:br/>
        <w:t xml:space="preserve">  39. Respecto de las declaraciones rendidas durante la audiencia pública  y</w:t>
        <w:br/>
        <w:t xml:space="preserve">      mediante affidávit, la Corte las estima pertinentes sólo en lo que  se</w:t>
        <w:br/>
        <w:t xml:space="preserve">      ajusten al objeto que fue definido por el Presidente de la Corte en la</w:t>
        <w:br/>
        <w:t xml:space="preserve">      Resolución mediante  la  cual  ordenó  recibirlos  (supra  párr.  10).</w:t>
        <w:br/>
        <w:t xml:space="preserve">      Asimismo,  conforme  a  la  jurisprudencia  de  este   Tribunal,   las</w:t>
        <w:br/>
        <w:t xml:space="preserve">      declaraciones rendidas  por  las  presuntas  víctimas  no  pueden  ser</w:t>
        <w:br/>
        <w:t xml:space="preserve">      valoradas aisladamente sino dentro del conjunto  de  las  pruebas  del</w:t>
        <w:br/>
        <w:t xml:space="preserve">      proceso, ya que son útiles en la medida  en  que  pueden  proporcionar</w:t>
        <w:br/>
        <w:t xml:space="preserve">      mayor   información   sobre   las   presuntas   violaciones   y    sus</w:t>
        <w:br/>
        <w:t xml:space="preserve">      consecuencias[45].</w:t>
        <w:br/>
        <w:br/>
        <w:t xml:space="preserve">       B.2.1  Sobre  las  objeciones  del  Estado  a  declaraciones  de  las</w:t>
        <w:br/>
        <w:t xml:space="preserve">       presuntas víctimas ofrecidas por los representantes</w:t>
        <w:br/>
        <w:t xml:space="preserve">  40. Mediante escrito de 17 de diciembre de 2013 el Estado realizó diversas</w:t>
        <w:br/>
        <w:t xml:space="preserve">      objeciones respecto del ofrecimiento por parte de  los  representantes</w:t>
        <w:br/>
        <w:t xml:space="preserve">      de las declaraciones de  Ignacio  Landaeta,  María  Magdalena  Mejías,</w:t>
        <w:br/>
        <w:t xml:space="preserve">      Victoria Landaeta, Leydis Landaeta y Francy Parra.</w:t>
        <w:br/>
        <w:br/>
        <w:t xml:space="preserve">  41. Mediante Resolución del Presidente de la Corte de 26 de  diciembre  de</w:t>
        <w:br/>
        <w:t xml:space="preserve">      2013 (supra párr. 10), se resolvió recabar las  declaraciones  de  las</w:t>
        <w:br/>
        <w:t xml:space="preserve">      presuntas víctimas ofrecidas por los representantes, a efectos de  que</w:t>
        <w:br/>
        <w:t xml:space="preserve">      el Tribunal pueda apreciar su valor dentro  del  contexto  del  acervo</w:t>
        <w:br/>
        <w:t xml:space="preserve">      probatorio existente y según las reglas de la sana crítica.</w:t>
        <w:br/>
        <w:br/>
        <w:t xml:space="preserve">       B.2.2 Sobre las declaraciones sin autenticación</w:t>
        <w:br/>
        <w:br/>
        <w:t xml:space="preserve">  42. El 30 de enero de 2014 los representantes de  las  presuntas  víctimas</w:t>
        <w:br/>
        <w:t xml:space="preserve">      remitieron las declaraciones  que  fueron  requeridas  ante  fedatario</w:t>
        <w:br/>
        <w:t xml:space="preserve">      público (affidávit). No obstante, la declaración de Victoria  Landaeta</w:t>
        <w:br/>
        <w:t xml:space="preserve">      y los peritajes  de  Magaly  Mercedes  Vásquez  González  y  Denotilia</w:t>
        <w:br/>
        <w:t xml:space="preserve">      Hernández de Hernández, se  encontraban  firmados  exclusivamente  por</w:t>
        <w:br/>
        <w:t xml:space="preserve">      ellas, sin la autenticación correspondiente.</w:t>
        <w:br/>
        <w:br/>
        <w:t xml:space="preserve">  43.  Al  respecto,  los  representantes  indicaron   que   “las   notarías</w:t>
        <w:br/>
        <w:t xml:space="preserve">      venezolanas a las que se acercaron  los  testigos  y  los  peritos  se</w:t>
        <w:br/>
        <w:t xml:space="preserve">      negaron a llevar a cabo la formalización de las  declaraciones  […]  a</w:t>
        <w:br/>
        <w:t xml:space="preserve">      pesar de que éstas fueran requeridas por Resolución del Presidente  de</w:t>
        <w:br/>
        <w:t xml:space="preserve">      la Corte”, en virtud de lo cual recurrieron ante el Consulado de Costa</w:t>
        <w:br/>
        <w:t xml:space="preserve">      Rica en Caracas, Venezuela. Sin embargo,  Victoria  Landaeta  no  pudo</w:t>
        <w:br/>
        <w:t xml:space="preserve">      viajar hasta Caracas  a  formalizar  su  declaración  dado  a  que  se</w:t>
        <w:br/>
        <w:t xml:space="preserve">      encontraba guardando reposo  por  encontrarse  en  su  34ª  semana  de</w:t>
        <w:br/>
        <w:t xml:space="preserve">      embarazo,   según   certificado   médico   aportado.   Asimismo,   los</w:t>
        <w:br/>
        <w:t xml:space="preserve">      representantes  señalaron  que  el  Cónsul  tuvo   que   posponer   la</w:t>
        <w:br/>
        <w:t xml:space="preserve">      formalización de los peritajes de Magaly Mercedes Vásquez  González  y</w:t>
        <w:br/>
        <w:t xml:space="preserve">      Denotilia Hernández de Hernández para el 31 de enero o el 3 de febrero</w:t>
        <w:br/>
        <w:t xml:space="preserve">      de  2014.  En  este  sentido,  los  representantes  manifestaron   que</w:t>
        <w:br/>
        <w:t xml:space="preserve">      buscarían formalizar los peritajes  restantes  en  el  primer  horario</w:t>
        <w:br/>
        <w:t xml:space="preserve">      disponible en el Consulado. No obstante, estos no fueron remitidos  al</w:t>
        <w:br/>
        <w:t xml:space="preserve">      Tribunal.</w:t>
        <w:br/>
        <w:br/>
        <w:t xml:space="preserve">  44. La Corte considera, como lo ha  hecho  en  otros  casos[46],  que  las</w:t>
        <w:br/>
        <w:t xml:space="preserve">      declaraciones referidas fueron presentadas dentro del plazo estipulado</w:t>
        <w:br/>
        <w:t xml:space="preserve">      y que la falta de legalización  de  las  mismas  por  notario  público</w:t>
        <w:br/>
        <w:t xml:space="preserve">      responde a un proceder indebido por parte del Estado. Además, respecto</w:t>
        <w:br/>
        <w:t xml:space="preserve">      de la declaración de Victoria Landaeta, la Corte toma en consideración</w:t>
        <w:br/>
        <w:t xml:space="preserve">      que el estado de  gestación  en  que  se  encontraba  le  imposibilitó</w:t>
        <w:br/>
        <w:t xml:space="preserve">      desplazarse al Consulado de Costa Rica en Venezuela. En  consecuencia,</w:t>
        <w:br/>
        <w:t xml:space="preserve">      la Corte estima pertinente  admitir  las  declaraciones  rendidas  por</w:t>
        <w:br/>
        <w:t xml:space="preserve">      Victoria  Landaeta,  Magaly  Mercedes  Vásquez  González  y  Denotilia</w:t>
        <w:br/>
        <w:t xml:space="preserve">      Hernández de Hernández.</w:t>
        <w:br/>
        <w:br/>
        <w:br/>
        <w:t xml:space="preserve">                                     VI</w:t>
        <w:br/>
        <w:t xml:space="preserve">                                   HECHOS</w:t>
        <w:br/>
        <w:br/>
        <w:br/>
        <w:t xml:space="preserve">  45. En este capítulo se establecerán los hechos  del  presente  caso,  con</w:t>
        <w:br/>
        <w:t xml:space="preserve">      base en el marco fáctico sometido a conocimiento de la  Corte  por  la</w:t>
        <w:br/>
        <w:t xml:space="preserve">      Comisión, tomando en consideración el acervo probatorio del caso,  así</w:t>
        <w:br/>
        <w:t xml:space="preserve">      como lo alegado por los representantes y el Estado. De esta forma, los</w:t>
        <w:br/>
        <w:t xml:space="preserve">      mismos serán expuestos en los  siguientes  apartados:  1)  la  alegada</w:t>
        <w:br/>
        <w:t xml:space="preserve">      problemática de  ejecuciones  extrajudiciales  cometidas  por  agentes</w:t>
        <w:br/>
        <w:t xml:space="preserve">      policiales en Venezuela; 2) las amenazas recibidas de parte de agentes</w:t>
        <w:br/>
        <w:t xml:space="preserve">      policiales; 3) la muerte de Igmar Landaeta; 4) detención y  muerte  de</w:t>
        <w:br/>
        <w:t xml:space="preserve">      Eduardo Landaeta, y 5) las investigaciones de las muertes de  Igmar  y</w:t>
        <w:br/>
        <w:t xml:space="preserve">      Eduardo, ambos de apellidos Landaeta Mejías.</w:t>
        <w:br/>
        <w:t xml:space="preserve">  46.  Primeramente, es preciso señalar que, al momento del  inicio  de  los</w:t>
        <w:br/>
        <w:t xml:space="preserve">      hechos analizados a continuación, Igmar  Landaeta  tenía  18  años  de</w:t>
        <w:br/>
        <w:t xml:space="preserve">      edad, era estudiante de tercer año del bachillerato, trabajaba  en  la</w:t>
        <w:br/>
        <w:t xml:space="preserve">      misma empresa que su padre y vivía en el barrio Samán de Güere con  su</w:t>
        <w:br/>
        <w:t xml:space="preserve">      madre, María Magdalena Mejías, y su compañera de vida,  Francy  Parra,</w:t>
        <w:br/>
        <w:t xml:space="preserve">      quien producto de dicha relación  se  encontraba  embarazada.  Por  su</w:t>
        <w:br/>
        <w:t xml:space="preserve">      parte, Eduardo Landaeta tenía  17  años  de  edad,  trabajaba  en  una</w:t>
        <w:br/>
        <w:t xml:space="preserve">      cauchera y tenía planes de ingresar a la Marina. Sus padres eran María</w:t>
        <w:br/>
        <w:t xml:space="preserve">      Magdalena Mejías e Ignacio  Landaeta  y  sus  hermanas  eran  Victoria</w:t>
        <w:br/>
        <w:t xml:space="preserve">      Landaeta, de 5 años de edad y Leydis Landaeta, de 10 meses de edad.</w:t>
        <w:br/>
        <w:br/>
        <w:br/>
        <w:t xml:space="preserve">   Alegada problemática de ejecuciones extrajudiciales cometidas por agentes</w:t>
        <w:br/>
        <w:t xml:space="preserve">   policiales en Venezuela</w:t>
        <w:br/>
        <w:br/>
        <w:br/>
        <w:t xml:space="preserve">  47. En el presente caso, la Comisión  Interamericana  especificó  que  “ha</w:t>
        <w:br/>
        <w:t xml:space="preserve">      seguido de manera cercana y ha identificado cómo  el  contexto  en  el</w:t>
        <w:br/>
        <w:t xml:space="preserve">      cual se ubican estos casos, incluido el presente, es una  problemática</w:t>
        <w:br/>
        <w:t xml:space="preserve">      de   ejecuciones   extrajudiciales   principalmente   por   parte   de</w:t>
        <w:br/>
        <w:t xml:space="preserve">      funcionarios policiales  en  las  regiones.  Esta  problemática  tiene</w:t>
        <w:br/>
        <w:t xml:space="preserve">      carácter estructural en tanto obedece a múltiples factores  y  refleja</w:t>
        <w:br/>
        <w:t xml:space="preserve">      graves falencias en el diseño institucional de la policía, la ausencia</w:t>
        <w:br/>
        <w:t xml:space="preserve">      de mecanismos de  control  independientes  y  efectivos,  y  la  grave</w:t>
        <w:br/>
        <w:t xml:space="preserve">      situación de  impunidad  en  que  quedan  este  tipo  de  casos.  Esta</w:t>
        <w:br/>
        <w:t xml:space="preserve">      caracterización se encuentra confirmada por  las  propias  autoridades</w:t>
        <w:br/>
        <w:t xml:space="preserve">      estatales, como se dijo,  la  Defensoría  del  Pueblo  y  la  Fiscalía</w:t>
        <w:br/>
        <w:t xml:space="preserve">      General de la República[47]. En  similar  sentido  se  refirieron  los</w:t>
        <w:br/>
        <w:t xml:space="preserve">      representantes al indicar que en Venezuela  existe  una  “práctica  de</w:t>
        <w:br/>
        <w:t xml:space="preserve">      detenciones  ilegales   y   arbitrarias,   seguidas   de   ejecuciones</w:t>
        <w:br/>
        <w:t xml:space="preserve">      extrajudiciales, así como el  uso  excesivo  e  indiscriminado  de  la</w:t>
        <w:br/>
        <w:t xml:space="preserve">      fuerza atribuible a las policías nacionales y regionales”[48]. Por  su</w:t>
        <w:br/>
        <w:t xml:space="preserve">      parte, el Estado manifestó que “[e]n cuanto al interés  de  las  ONG´s</w:t>
        <w:br/>
        <w:t xml:space="preserve">      venezolanas e internacionales en querer acusar al Estado venezolano de</w:t>
        <w:br/>
        <w:t xml:space="preserve">      la existencia de ejecuciones extrajudiciales,  en  caso[s]  anteriores</w:t>
        <w:br/>
        <w:t xml:space="preserve">      [se ha] demostrado que desde que  asumió  el  gobierno  el  Comandante</w:t>
        <w:br/>
        <w:t xml:space="preserve">      Presidente Hugo Chávez Frías se tomaron las  medidas  necesarias  para</w:t>
        <w:br/>
        <w:t xml:space="preserve">      revertir esta situación” y “que en Venezuela no  es  una  política  de</w:t>
        <w:br/>
        <w:t xml:space="preserve">      Estado  […]  justificar  ejecuciones  extrajudiciales  desde  que   el</w:t>
        <w:br/>
        <w:t xml:space="preserve">      presidente Hugo Chávez Frías llegó al poder en el año 1999”.</w:t>
        <w:br/>
        <w:br/>
        <w:t xml:space="preserve">  48. En el caso Familia Barrios Vs. Venezuela, referente a hechos ocurridos</w:t>
        <w:br/>
        <w:t xml:space="preserve">      a partir de 1998 en el estado de  Aragua,  la  Corte  señaló  que  “la</w:t>
        <w:br/>
        <w:t xml:space="preserve">      prueba aportada [por las partes] no cont[enía]  elementos  suficientes</w:t>
        <w:br/>
        <w:t xml:space="preserve">      que permit[ieran] al Tribunal pronunciarse  sobre  la  existencia  del</w:t>
        <w:br/>
        <w:t xml:space="preserve">      alegado contexto de ejecuciones extrajudiciales en Venezuela ni en  el</w:t>
        <w:br/>
        <w:t xml:space="preserve">      [e]stado  Aragua”[49].  Por  su  parte,  en  el  caso  Uzcátegui   Vs.</w:t>
        <w:br/>
        <w:t xml:space="preserve">      Venezuela, referente a hechos ocurridos a partir de 2001 en el  Estado</w:t>
        <w:br/>
        <w:t xml:space="preserve">      de Falcón, la Corte señaló que “[era] un hecho no controvertido que, a</w:t>
        <w:br/>
        <w:t xml:space="preserve">      la  época  en  que  tuvieron  lugar  las  alegadas  violaciones  a  la</w:t>
        <w:br/>
        <w:t xml:space="preserve">      Convención, en el Estado ocurrían ejecuciones extrajudiciales y  otros</w:t>
        <w:br/>
        <w:t xml:space="preserve">      abusos por parte de las fuerzas policiales, en  particular  por  [los]</w:t>
        <w:br/>
        <w:t xml:space="preserve">      policías estaduales y municipales”[50].</w:t>
        <w:br/>
        <w:br/>
        <w:t xml:space="preserve">  49. Para efectos del presente caso, la Corte toma nota que el  Ex  Relator</w:t>
        <w:br/>
        <w:t xml:space="preserve">      Especial sobre Ejecuciones Extrajudiciales, Sumarias o Arbitrarias  de</w:t>
        <w:br/>
        <w:t xml:space="preserve">      la Organización de las Naciones Unidas (ONU), señor Bacre Waly Ndiaye,</w:t>
        <w:br/>
        <w:t xml:space="preserve">      en su informe de 7 de diciembre  de  1993,  manifestó  haber  recibido</w:t>
        <w:br/>
        <w:t xml:space="preserve">      informes relativos a violaciones de los  derechos  humanos,  incluidas</w:t>
        <w:br/>
        <w:t xml:space="preserve">      ejecuciones extrajudiciales, sumarias o arbitrarias, en el contexto de</w:t>
        <w:br/>
        <w:t xml:space="preserve">      manifestaciones, causadas por el  uso  arbitrario  y  excesivo  de  la</w:t>
        <w:br/>
        <w:t xml:space="preserve">      fuerza por miembros de las fuerzas  de  seguridad,  en  particular  la</w:t>
        <w:br/>
        <w:t xml:space="preserve">      Policía Metropolitana (PM), la  Policía  Técnica  Judicial  (PTJ),  la</w:t>
        <w:br/>
        <w:t xml:space="preserve">      Guardia Nacional, la Dirección de  los  Servicios  de  Inteligencia  y</w:t>
        <w:br/>
        <w:t xml:space="preserve">      Prevención (DISIP) y la Dirección de Inteligencia  Militar  (DIM)[51].</w:t>
        <w:br/>
        <w:t xml:space="preserve">      En similar sentido, la Relatora Especial de la ONU, Asma Jahangir,  en</w:t>
        <w:br/>
        <w:t xml:space="preserve">      su informe de 6  de  enero  de  1999,  señaló  haber  recibido  varias</w:t>
        <w:br/>
        <w:t xml:space="preserve">      denuncias  de  violaciones  de  los  derechos  humanos  en   Venezuela</w:t>
        <w:br/>
        <w:t xml:space="preserve">      relacionadas con muertes extrajudiciales de menores  por  miembros  de</w:t>
        <w:br/>
        <w:t xml:space="preserve">      las fuerzas policiales[52]. Asimismo, el Comité de  Derechos  Humanos,</w:t>
        <w:br/>
        <w:t xml:space="preserve">      en su informe de 26 de abril de 2001  expresó  su  honda  preocupación</w:t>
        <w:br/>
        <w:t xml:space="preserve">      ante las denuncias de tortura y de uso excesivo de la fuerza por parte</w:t>
        <w:br/>
        <w:t xml:space="preserve">      de la policía y otras fuerzas de seguridad, por la demora  del  Estado</w:t>
        <w:br/>
        <w:t xml:space="preserve">      en reaccionar frente a estos hechos, y por la ausencia  de  mecanismos</w:t>
        <w:br/>
        <w:t xml:space="preserve">      independientes que investiguen estas denuncias[53].</w:t>
        <w:br/>
        <w:br/>
        <w:t xml:space="preserve">  50. En este sentido, la Comisión Interamericana de Derechos Humanos, en su</w:t>
        <w:br/>
        <w:t xml:space="preserve">      Informe sobre la Situación de Derechos Humanos en Venezuela de  24  de</w:t>
        <w:br/>
        <w:t xml:space="preserve">      octubre de 2003, observó  la  proliferación  en  diversos  estados  de</w:t>
        <w:br/>
        <w:t xml:space="preserve">      grupos de exterminio vinculados a las organizaciones policiales, cuyas</w:t>
        <w:br/>
        <w:t xml:space="preserve">      modalidades  de  actuación  consistían  en  una   ejecución   mediante</w:t>
        <w:br/>
        <w:t xml:space="preserve">      enfrentamientos  simulados  o  cuando  la  víctima  era  arrestada   y</w:t>
        <w:br/>
        <w:t xml:space="preserve">      trasladada a la sede de detención policial luego de lo  cual  aparecía</w:t>
        <w:br/>
        <w:t xml:space="preserve">      muerta sin explicación razonable algunos días después de  desconocerse</w:t>
        <w:br/>
        <w:t xml:space="preserve">      su paradero[54].</w:t>
        <w:br/>
        <w:br/>
        <w:t xml:space="preserve">  51. En el informe elaborado por  la  Comisión  Nacional  para  la  Reforma</w:t>
        <w:br/>
        <w:t xml:space="preserve">      Policial (CONAREPOL)  de  Venezuela,  publicado  en  2007,  denominado</w:t>
        <w:br/>
        <w:t xml:space="preserve">      “Características de la Policía Venezolana”, se indicó que:</w:t>
        <w:br/>
        <w:br/>
        <w:t xml:space="preserve">     “[a]ctualmente,  a  pesar  de  algunos  cambios  relevantes,  nuestras</w:t>
        <w:br/>
        <w:t xml:space="preserve">    policías preservan un fuerte componente militar,  especialmente  en  su</w:t>
        <w:br/>
        <w:t xml:space="preserve">    estructura, táctica y sub-cultura.  Estos  elementos  se  muestran  con</w:t>
        <w:br/>
        <w:t xml:space="preserve">    mayor claridad en las policías estadales[.] En cuanto a la relación con</w:t>
        <w:br/>
        <w:t xml:space="preserve">    los ciudadanos, el modelo militarizado de  policía  supone  una  lógica</w:t>
        <w:br/>
        <w:t xml:space="preserve">    bélica, según la cual el ciudadano es  definido  como  enemigo,  y  los</w:t>
        <w:br/>
        <w:t xml:space="preserve">    estilos y tácticas de relación están modulados por esta definición,  lo</w:t>
        <w:br/>
        <w:t xml:space="preserve">    que implica mayores probabilidades de abuso, mayor disposición  al  uso</w:t>
        <w:br/>
        <w:t xml:space="preserve">    de la fuerza física, patrones operativos agresivos e ineficientes  como</w:t>
        <w:br/>
        <w:t xml:space="preserve">    métodos de lucha contra el delito, desconfianza de los ciudadanos, bajo</w:t>
        <w:br/>
        <w:t xml:space="preserve">    nivel de denuncias (sólo se acude a la policía para  denunciar  delitos</w:t>
        <w:br/>
        <w:t xml:space="preserve">    graves), poca cooperación entre policías y  ciudadanos,  así  como  una</w:t>
        <w:br/>
        <w:t xml:space="preserve">    mayor conflictividad y rechazo hacia la presencia  policial.  […]  Este</w:t>
        <w:br/>
        <w:t xml:space="preserve">    tipo de grupos, de marcado  carácter  para-militar,  son  absolutamente</w:t>
        <w:br/>
        <w:t xml:space="preserve">    ineficaces para las labores policiales regulares, mientras que, por  el</w:t>
        <w:br/>
        <w:t xml:space="preserve">    contrario, debido a la cultura para-militar que se  fomenta  entre  sus</w:t>
        <w:br/>
        <w:t xml:space="preserve">    miembros, el intenso corporativismo que favorece la  complicidad  y  el</w:t>
        <w:br/>
        <w:t xml:space="preserve">    encubrimiento, su autonomización del resto de la organización policial,</w:t>
        <w:br/>
        <w:t xml:space="preserve">    y su alto poder de fuego y capacidad de uso de  la  fuerza  física,  se</w:t>
        <w:br/>
        <w:t xml:space="preserve">    asocian con casos graves de abuso, delito y violación  a  los  derechos</w:t>
        <w:br/>
        <w:t xml:space="preserve">    humanos”[55].</w:t>
        <w:br/>
        <w:br/>
        <w:t xml:space="preserve">  52. Por otra parte, la Defensoría del Pueblo de Venezuela, en  su  Informe</w:t>
        <w:br/>
        <w:t xml:space="preserve">      Anual de 2001, indicó que respecto del estado de Aragua:</w:t>
        <w:br/>
        <w:br/>
        <w:br/>
        <w:t xml:space="preserve">     “los modos de actuación más comunes son: la persona es solicitada y se</w:t>
        <w:br/>
        <w:t xml:space="preserve">    entrega  voluntariamente  en  presencia  de  testigos,   posteriormente</w:t>
        <w:br/>
        <w:t xml:space="preserve">    aparece muerta con varios impactos de bala. Se han encontrado cadáveres</w:t>
        <w:br/>
        <w:t xml:space="preserve">    en los cuales los estudios forenses reflejan heridas y marcas  visibles</w:t>
        <w:br/>
        <w:t xml:space="preserve">    en partes del cuerpo, lo que indica la  aplicación  de  algún  tipo  de</w:t>
        <w:br/>
        <w:t xml:space="preserve">    tortura física antes de ser ajusticiados. También es común  la  tortura</w:t>
        <w:br/>
        <w:t xml:space="preserve">    psicológica, la amenaza de muerte y el  posterior  cumplimiento  de  la</w:t>
        <w:br/>
        <w:t xml:space="preserve">    misma, al igual que el hostigamiento del grupo familiar de la  víctima.</w:t>
        <w:br/>
        <w:t xml:space="preserve">    […] La Defensoría del Pueblo  atendió  durante  [el]  período  [2000  a</w:t>
        <w:br/>
        <w:t xml:space="preserve">    2001],  30  denuncias  de  ejecuciones  extrajudiciales  ocurridas   en</w:t>
        <w:br/>
        <w:t xml:space="preserve">    presuntos "enfrentamientos policiales". Por  otra  parte,  se  denunció</w:t>
        <w:br/>
        <w:t xml:space="preserve">    ante la institución la desaparición forzada de dos  personas.  Para  el</w:t>
        <w:br/>
        <w:t xml:space="preserve">    momento de cierre de la investigación aún no se conocía el paradero  de</w:t>
        <w:br/>
        <w:t xml:space="preserve">    éstas. El cuerpo policial que presenta mayores denuncias por  presuntos</w:t>
        <w:br/>
        <w:t xml:space="preserve">    ajusticiamientos es la Policía del estado Aragua, con un  total  de  23</w:t>
        <w:br/>
        <w:t xml:space="preserve">    víctimas”[56].</w:t>
        <w:br/>
        <w:br/>
        <w:t xml:space="preserve">  53. A su vez, en el Informe Anual del Fiscal General de la  República  del</w:t>
        <w:br/>
        <w:t xml:space="preserve">      año 2006, presentado a la Asamblea Nacional el 9 de agosto de 2007, se</w:t>
        <w:br/>
        <w:t xml:space="preserve">      indicó que en el período  de  2000  a  2007  existían  6405  casos  de</w:t>
        <w:br/>
        <w:t xml:space="preserve">      violación de derechos humanos, delito de homicidio, enfrentamientos  o</w:t>
        <w:br/>
        <w:t xml:space="preserve">      ajusticiamientos, de los cuales solo existían 436 acusaciones[57].</w:t>
        <w:br/>
        <w:br/>
        <w:t xml:space="preserve">  54. Adicionalmente, el perito Calixto Ávila  reseñó  que  la  Comisión  de</w:t>
        <w:br/>
        <w:t xml:space="preserve">      Política y Derechos Humanos de  la  Asamblea  Legislativa  del  Estado</w:t>
        <w:br/>
        <w:t xml:space="preserve">      Aragua interpeló a los comandantes de la Policía del Estado Aragua por</w:t>
        <w:br/>
        <w:t xml:space="preserve">      más de cuarenta denuncias de violaciones a los derechos humanos[58]. A</w:t>
        <w:br/>
        <w:t xml:space="preserve">      su vez, los  datos  recolectados  por  la  ONG  venezolana  denominada</w:t>
        <w:br/>
        <w:t xml:space="preserve">      Programa de Educación-Acción en Derechos Humanos (PROVEA) señalan  que</w:t>
        <w:br/>
        <w:t xml:space="preserve">      entre octubre de 1994 y septiembre de 1996 se registraron 272  muertes</w:t>
        <w:br/>
        <w:t xml:space="preserve">      producidas   por   las   actuaciones    ilegales    de    funcionarios</w:t>
        <w:br/>
        <w:t xml:space="preserve">      policiales[59].</w:t>
        <w:br/>
        <w:br/>
        <w:t xml:space="preserve">  55. En consecuencia, la Corte  estima  que  de  los  informes  y  estudios</w:t>
        <w:br/>
        <w:t xml:space="preserve">      aportados al acervo probatorio se desprenden elementos  de  convicción</w:t>
        <w:br/>
        <w:t xml:space="preserve">      suficientes que permiten concluir que en Venezuela, durante  la  época</w:t>
        <w:br/>
        <w:t xml:space="preserve">      de los hechos del presente caso, existía  una  seria  problemática  de</w:t>
        <w:br/>
        <w:t xml:space="preserve">      abusos policiales,  localizada  en  diversos  estados,  incluyendo  el</w:t>
        <w:br/>
        <w:t xml:space="preserve">      estado de Aragua.</w:t>
        <w:br/>
        <w:br/>
        <w:br/>
        <w:t xml:space="preserve">   Las amenazas recibidas por parte de agentes policiales</w:t>
        <w:br/>
        <w:br/>
        <w:br/>
        <w:t xml:space="preserve">  56. El 19 de noviembre de 1996 la señora María  Magdalena  Mejías  declaró</w:t>
        <w:br/>
        <w:t xml:space="preserve">      ante la prensa que en una oportunidad el funcionario AAC[60] allanó su</w:t>
        <w:br/>
        <w:t xml:space="preserve">      casa y le dijo que iba a matar a cualquiera de sus hijos y que  no  le</w:t>
        <w:br/>
        <w:t xml:space="preserve">      importaba  si  lo  denunciaba  ante   la   Fiscalía   del   Ministerio</w:t>
        <w:br/>
        <w:t xml:space="preserve">      Público[61]. Lo anterior fue reafirmado en declaración de 22 de  abril</w:t>
        <w:br/>
        <w:t xml:space="preserve">      de 1997, rendida ante el Juzgado de los Municipios Santiago  Mariño  y</w:t>
        <w:br/>
        <w:t xml:space="preserve">      Libertador, donde indicó que en una ocasión el agente AAC ingresó a su</w:t>
        <w:br/>
        <w:t xml:space="preserve">      casa portando un arma y  la  amenazó  con  matar  a  su  hijo  Eduardo</w:t>
        <w:br/>
        <w:t xml:space="preserve">      Landaeta alegando que tenía la orden de hacerlo y que si le  “daba  la</w:t>
        <w:br/>
        <w:t xml:space="preserve">      gana” mataba también a su otro hijo Igmar Landaeta. Además, el  agente</w:t>
        <w:br/>
        <w:t xml:space="preserve">      le dijo que fuera donde quisiera porque a él no le hacían nada por ser</w:t>
        <w:br/>
        <w:t xml:space="preserve">      funcionario[62].</w:t>
        <w:br/>
        <w:br/>
        <w:t xml:space="preserve">  57. Por otra parte, el 20 de noviembre de 1996, la señora María  Magdalena</w:t>
        <w:br/>
        <w:t xml:space="preserve">      Mejías declaró ante la Seccional de Mariño que los agentes  policiales</w:t>
        <w:br/>
        <w:t xml:space="preserve">      CJZM, GACF y AAC acosaban a Eduardo Landaeta en  virtud  de  que  este</w:t>
        <w:br/>
        <w:t xml:space="preserve">      último presenció la muerte de una persona en Sorocaima.  Asimismo,  en</w:t>
        <w:br/>
        <w:t xml:space="preserve">      dicha declaración María Magdalena Mejías manifestó que  desconocía  el</w:t>
        <w:br/>
        <w:t xml:space="preserve">      paradero de Eduardo Landaeta[63].</w:t>
        <w:br/>
        <w:br/>
        <w:t xml:space="preserve">  58. El 23 de enero de 2014, María Magdalena Mejías  Camero  manifestó  que</w:t>
        <w:br/>
        <w:t xml:space="preserve">      intentó denunciar dichas amenazas  ante  el  Comando  Central  en  San</w:t>
        <w:br/>
        <w:t xml:space="preserve">      Jacinto pero no le prestaron atención[64].</w:t>
        <w:br/>
        <w:br/>
        <w:br/>
        <w:t xml:space="preserve">   Muerte de Igmar Alexander Landaeta Mejías</w:t>
        <w:br/>
        <w:br/>
        <w:br/>
        <w:t xml:space="preserve">  59. De acuerdo con la prueba aportada por las partes,  la  Corte  constata</w:t>
        <w:br/>
        <w:t xml:space="preserve">      que el 17 de noviembre de 1996, Igmar Landaeta falleció con motivo  de</w:t>
        <w:br/>
        <w:t xml:space="preserve">      dos impactos de bala recibidos por parte de  agentes  policiales,  sin</w:t>
        <w:br/>
        <w:t xml:space="preserve">      embargo, existen dos versiones opuestas sobre  las  circunstancias  en</w:t>
        <w:br/>
        <w:t xml:space="preserve">      las cuales se desarrollaron los hechos,  las  que  serán  descritas  a</w:t>
        <w:br/>
        <w:t xml:space="preserve">      continuación.</w:t>
        <w:br/>
        <w:br/>
        <w:br/>
        <w:t xml:space="preserve">    C.1 Versión de siete testigos presenciales y un médico[65]</w:t>
        <w:br/>
        <w:br/>
        <w:br/>
        <w:t xml:space="preserve">  60. Al ser aproximadamente las 15:00 horas del 17 de noviembre de 1996, en</w:t>
        <w:br/>
        <w:t xml:space="preserve">      la calle Las Flores, Barrio  Samán  de  Güere,  Municipio  de  Mariño,</w:t>
        <w:br/>
        <w:t xml:space="preserve">      estado de Aragua[66], Igmar Landaeta  venía  corriendo  por  la  calle</w:t>
        <w:br/>
        <w:t xml:space="preserve">      mientras otros dos sujetos lo perseguían[67] en  un  automóvil  blanco</w:t>
        <w:br/>
        <w:t xml:space="preserve">      sin placas[68].</w:t>
        <w:br/>
        <w:br/>
        <w:t xml:space="preserve">  61. Igmar Landaeta cayó al suelo[69] y los dos sujetos, que se encontraban</w:t>
        <w:br/>
        <w:t xml:space="preserve">      vestidos como civiles,  se  bajaron  del  automóvil[70].  Uno  de  los</w:t>
        <w:br/>
        <w:t xml:space="preserve">      sujetos disparaba al aire para dispersar a la gente que se  encontraba</w:t>
        <w:br/>
        <w:t xml:space="preserve">      en el lugar[71]; el otro sujeto apuntaba a Igmar Landaeta con un  arma</w:t>
        <w:br/>
        <w:t xml:space="preserve">      mientras éste último le pedía que “no lo matara”[72].</w:t>
        <w:br/>
        <w:br/>
        <w:t xml:space="preserve">  62. Seguidamente, el sujeto que se había bajado  del  lado  izquierdo  del</w:t>
        <w:br/>
        <w:t xml:space="preserve">      vehículo le disparó a corta distancia  a  Igmar  Landaeta.  Luego  del</w:t>
        <w:br/>
        <w:t xml:space="preserve">      disparo, el sujeto volteó su  cuerpo  mientras  una  muchacha  que  se</w:t>
        <w:br/>
        <w:t xml:space="preserve">      encontraba en el vehículo blanco le  indicó  a  los  sujetos  que  “se</w:t>
        <w:br/>
        <w:t xml:space="preserve">      habían equivocado”, que ese no era, y salió corriendo de  la  zona  de</w:t>
        <w:br/>
        <w:t xml:space="preserve">      los hechos[73].</w:t>
        <w:br/>
        <w:br/>
        <w:t xml:space="preserve">  63. Posteriormente, los sujetos introdujeron el cuerpo de  Igmar  Landaeta</w:t>
        <w:br/>
        <w:t xml:space="preserve">      en el automóvil blanco y se marcharon[74]. Los testigos negaron  haber</w:t>
        <w:br/>
        <w:t xml:space="preserve">      visto un arma de fuego en posesión de Igmar  Landaeta  y  manifestaron</w:t>
        <w:br/>
        <w:t xml:space="preserve">      que se escucharon aproximadamente 10 disparos[75].</w:t>
        <w:br/>
        <w:br/>
        <w:t xml:space="preserve">  64. Según declaración del médico Velmar Quintero, al ser las 15:20  horas,</w:t>
        <w:br/>
        <w:t xml:space="preserve">      dos sujetos llegaron al Centro Ambulatorio Tipo III de Turmero, estado</w:t>
        <w:br/>
        <w:t xml:space="preserve">      de Aragua (en adelante “Centro Ambulatorio”) en  un  automóvil  blanco</w:t>
        <w:br/>
        <w:t xml:space="preserve">      sin placas dejaron en la  Sala  de  Emergencias  el  cuerpo  de  Igmar</w:t>
        <w:br/>
        <w:t xml:space="preserve">      Landaeta, el cual no presentaba signos de vida,  y  se  retiraron  sin</w:t>
        <w:br/>
        <w:t xml:space="preserve">      haberse identificado[76].</w:t>
        <w:br/>
        <w:br/>
        <w:t xml:space="preserve">    C.2 Versión de dos agentes policiales y dos testigos presenciales[77]</w:t>
        <w:br/>
        <w:br/>
        <w:br/>
        <w:t xml:space="preserve">  65. En la fecha y lugar indicados (supra párr. 60), los agentes policiales</w:t>
        <w:br/>
        <w:t xml:space="preserve">      GACF y AJCG, se encontraban  realizando  labores  de  inteligencia  en</w:t>
        <w:br/>
        <w:t xml:space="preserve">      virtud de que iban a llevar a cabo un  allanamiento  en  un  inmueble,</w:t>
        <w:br/>
        <w:t xml:space="preserve">      mientras tripulaban un vehículo particular, vestidos de civiles y  sin</w:t>
        <w:br/>
        <w:t xml:space="preserve">      ningún otro acompañante. En ese momento, los  agentes  observaron  que</w:t>
        <w:br/>
        <w:t xml:space="preserve">      dos sujetos se estaban transfiriendo un arma, por lo que procedieron a</w:t>
        <w:br/>
        <w:t xml:space="preserve">      identificarse, dieron voz de alto y  les  pidieron  que  subieran  las</w:t>
        <w:br/>
        <w:t xml:space="preserve">      manos. A pesar de lo anterior, dichos sujetos les  dispararon  en  una</w:t>
        <w:br/>
        <w:t xml:space="preserve">      ocasión y salieron corriendo. Los agentes policiales continuaron dando</w:t>
        <w:br/>
        <w:t xml:space="preserve">      voces de alto a los sujetos pero estos respondieron con  más  disparos</w:t>
        <w:br/>
        <w:t xml:space="preserve">      (tres) y se escondieron detrás de  un  camión.  En  ese  momento,  los</w:t>
        <w:br/>
        <w:t xml:space="preserve">      agentes sacaron sus armas de reglamento y comenzaron a  disparar  para</w:t>
        <w:br/>
        <w:t xml:space="preserve">      repeler el  ataque.  De  acuerdo  con  el  agente  GACF,  los  agentes</w:t>
        <w:br/>
        <w:t xml:space="preserve">      policiales se tiraron al piso con el fin de salvaguardar su integridad</w:t>
        <w:br/>
        <w:t xml:space="preserve">      y dispararon desde dicha ubicación para repeler el ataque. Uno de  los</w:t>
        <w:br/>
        <w:t xml:space="preserve">      sujetos cayó al suelo herido y el otro huyó de la zona[78].</w:t>
        <w:br/>
        <w:br/>
        <w:t xml:space="preserve">  66. Los agentes trasladaron al sujeto herido al Centro Ambulatorio,  donde</w:t>
        <w:br/>
        <w:t xml:space="preserve">      ingresó aún con signos de  vida[79].  Posteriormente,  un  médico  les</w:t>
        <w:br/>
        <w:t xml:space="preserve">      informó  que  el  sujeto,  cuyo  nombre  era  Igmar   Landeta,   había</w:t>
        <w:br/>
        <w:t xml:space="preserve">      fallecido[80].</w:t>
        <w:br/>
        <w:br/>
        <w:t xml:space="preserve">  67. Adicionalmente, los agentes policiales le incautaron a Igmar  Landaeta</w:t>
        <w:br/>
        <w:t xml:space="preserve">      un arma de fuego con cuatro cartuchos percutidos y dos  sin  percutir,</w:t>
        <w:br/>
        <w:t xml:space="preserve">      los cuales fueron remitidos al Cuerpo Técnico de Policía Judicial  (en</w:t>
        <w:br/>
        <w:t xml:space="preserve">      adelante “CTPJ”)[81].</w:t>
        <w:br/>
        <w:br/>
        <w:t xml:space="preserve">  68. Respecto de ambas versiones, la Corte advierte que  las  mismas  serán</w:t>
        <w:br/>
        <w:t xml:space="preserve">      valoradas en lo pertinente en el fondo de la presente Sentencia (infra</w:t>
        <w:br/>
        <w:t xml:space="preserve">      párrs. 137 a 142).</w:t>
        <w:br/>
        <w:br/>
        <w:br/>
        <w:t xml:space="preserve">   Detención y muerte de Eduardo José Landaeta Mejías</w:t>
        <w:br/>
        <w:br/>
        <w:br/>
        <w:t xml:space="preserve">  69. El 29 de diciembre de 1996, al ser aproximadamente  las  17:10  horas,</w:t>
        <w:br/>
        <w:t xml:space="preserve">      Eduardo Landaeta, de 17 años de edad, fue  detenido  por  dos  agentes</w:t>
        <w:br/>
        <w:t xml:space="preserve">      policiales en las cercanías de la  urbanización  Matarredonda[82].  De</w:t>
        <w:br/>
        <w:t xml:space="preserve">      acuerdo con las actas policiales de detención, Eduardo  se  encontraba</w:t>
        <w:br/>
        <w:t xml:space="preserve">      indocumentado, tenía 18 años  de  edad  y  guardaba  relación  con  el</w:t>
        <w:br/>
        <w:t xml:space="preserve">      “expediente E-702.015” de 18 de noviembre de 1996, el cual se instruía</w:t>
        <w:br/>
        <w:t xml:space="preserve">      ante la Seccional de Mariño[83].</w:t>
        <w:br/>
        <w:br/>
        <w:t xml:space="preserve">  70. Al ser aproximadamente las 17:30  horas  de  ese  mismo  día,  Eduardo</w:t>
        <w:br/>
        <w:t xml:space="preserve">      Landaeta informó a  sus  padres  que  se  encontraba  detenido  en  la</w:t>
        <w:br/>
        <w:t xml:space="preserve">      Comisaría de “El Cuartelito”,  San  Carlos[84].  De  acuerdo  con  sus</w:t>
        <w:br/>
        <w:t xml:space="preserve">      declaraciones, los  padres  de  Eduardo  Landaeta  se  trasladaron  de</w:t>
        <w:br/>
        <w:t xml:space="preserve">      inmediato a la Comisaría y al llegar informaron a una funcionaria  que</w:t>
        <w:br/>
        <w:t xml:space="preserve">      se encontraba de guardia que su hijo corría peligro de  muerte  porque</w:t>
        <w:br/>
        <w:t xml:space="preserve">      había sido amenazado en varias ocasiones por agentes policiales,  ante</w:t>
        <w:br/>
        <w:t xml:space="preserve">      lo cual la funcionaria les respondió que no se preocuparan, que ya  el</w:t>
        <w:br/>
        <w:t xml:space="preserve">      Comando Central estaba informado que Eduardo  Landaeta  era  menor  de</w:t>
        <w:br/>
        <w:t xml:space="preserve">      edad y que  se presentaran  a  la  Comisaría  al  día  siguiente  para</w:t>
        <w:br/>
        <w:t xml:space="preserve">      efectos de su traslado[85].</w:t>
        <w:br/>
        <w:br/>
        <w:t xml:space="preserve">  71. El 30 de diciembre de 1996, aproximadamente a las 8:00 horas,  Eduardo</w:t>
        <w:br/>
        <w:t xml:space="preserve">      Landaeta fue trasladado a la Estación Central[86]. De acuerdo  con  lo</w:t>
        <w:br/>
        <w:t xml:space="preserve">      declarado por Ignacio Landaeta Muñoz, al ser aproximadamente las 18:30</w:t>
        <w:br/>
        <w:t xml:space="preserve">      horas, una funcionaria informó a los padres de  Eduardo  Landaeta  que</w:t>
        <w:br/>
        <w:t xml:space="preserve">      había observado movimientos extraños y les advirtió que no  se  fueran</w:t>
        <w:br/>
        <w:t xml:space="preserve">      del lugar[87]. Asimismo, la señora María Magdalena Mejías  indicó  que</w:t>
        <w:br/>
        <w:t xml:space="preserve">      un agente de apellido Requena le pidió con insistencia  la  cédula  de</w:t>
        <w:br/>
        <w:t xml:space="preserve">      Eduardo Landaeta, en virtud de lo cual al ser las 20:30 horas,  aportó</w:t>
        <w:br/>
        <w:t xml:space="preserve">      una copia de la misma y una copia de la partida de nacimiento[88].  Al</w:t>
        <w:br/>
        <w:t xml:space="preserve">      ser a las 22:30 horas Eduardo Landaeta se asomó por una ventana  y  le</w:t>
        <w:br/>
        <w:t xml:space="preserve">      hizo una señal a sus padres para que se fueran[89].</w:t>
        <w:br/>
        <w:br/>
        <w:t xml:space="preserve">  72. El 31 de diciembre de 1996 la unidad P-66, placas DAF-91Z, marca Fiat,</w:t>
        <w:br/>
        <w:t xml:space="preserve">      modelo uno, color rojo, tipo sedán, adscrita a inteligencia, conducida</w:t>
        <w:br/>
        <w:t xml:space="preserve">      por el agente FABP, en compañía del agente CARM,  ubicado  en  asiento</w:t>
        <w:br/>
        <w:t xml:space="preserve">      del copiloto y el agente CARA, ubicado en el asiento trasero del  lado</w:t>
        <w:br/>
        <w:t xml:space="preserve">      derecho, trasladaban esposado en el asiento trasero  de  la  unidad  a</w:t>
        <w:br/>
        <w:t xml:space="preserve">      Eduardo Landaeta a la Seccional de Mariño[90].</w:t>
        <w:br/>
        <w:br/>
        <w:t xml:space="preserve">  73. De acuerdo con las versiones rendidas durante la investigación, al ser</w:t>
        <w:br/>
        <w:t xml:space="preserve">      aproximadamente las 8:30 horas, en el Sector Valle  Lindo,  la  unidad</w:t>
        <w:br/>
        <w:t xml:space="preserve">      policial fue colisionada en la parte trasera  por  un  vehículo  marca</w:t>
        <w:br/>
        <w:t xml:space="preserve">      Chevrolet, modelo  Malibú,  color  gris,  ante  lo  cual  los  agentes</w:t>
        <w:br/>
        <w:t xml:space="preserve">      policiales detuvieron la marcha para verificar  lo  ocurrido.  En  ese</w:t>
        <w:br/>
        <w:t xml:space="preserve">      momento, cuatro  sujetos  encapuchados  portando  armas  de  fuego  se</w:t>
        <w:br/>
        <w:t xml:space="preserve">      bajaron del vehículo gris, despojaron de las armas de reglamento a los</w:t>
        <w:br/>
        <w:t xml:space="preserve">      agentes  policiales  y  comenzaron  a  disparar  contra  el  vehículo,</w:t>
        <w:br/>
        <w:t xml:space="preserve">      ocasionando la muerte de Eduardo Landaeta. El agente CARA huyó  de  la</w:t>
        <w:br/>
        <w:t xml:space="preserve">      zona de los hechos hacia la Urbanización Valle Lindo; el  agente  FABP</w:t>
        <w:br/>
        <w:t xml:space="preserve">      fue herido en la pierna producto de un disparo de arma de fuego, y  el</w:t>
        <w:br/>
        <w:t xml:space="preserve">      agente CARM se quedó acostado en el pavimento[91].</w:t>
        <w:br/>
        <w:t xml:space="preserve">  74. Tras recibir informe de lo ocurrido  se  coordinó  un  operativo  para</w:t>
        <w:br/>
        <w:t xml:space="preserve">      lograr la ubicación del vehículo gris, no obstante  el  mismo  resultó</w:t>
        <w:br/>
        <w:t xml:space="preserve">      infructuoso[92].</w:t>
        <w:br/>
        <w:br/>
        <w:br/>
        <w:t xml:space="preserve">   Investigación de la muerte de Igmar Alexander Landaeta Mejías</w:t>
        <w:br/>
        <w:br/>
        <w:br/>
        <w:t xml:space="preserve">  75. Al ser las 16:00 horas de 17 de noviembre de 1996, el  CTPJ  Seccional</w:t>
        <w:br/>
        <w:t xml:space="preserve">      de Mariño (en adelante “Seccional  de  Mariño),  recibió  una  llamada</w:t>
        <w:br/>
        <w:t xml:space="preserve">      telefónica de parte del funcionario de guardia de la policía local,  a</w:t>
        <w:br/>
        <w:t xml:space="preserve">      través de la  cual  informaron  que  una  comisión  policial  tuvo  un</w:t>
        <w:br/>
        <w:t xml:space="preserve">      enfrentamiento con un ciudadano conocido como Landaeta,  en  la  calle</w:t>
        <w:br/>
        <w:t xml:space="preserve">      Las Flores del Barrio Samán de Güere, resultando abatido y  trasladado</w:t>
        <w:br/>
        <w:t xml:space="preserve">      al Centro Ambulatorio Tipo III de  Turmero[93].  En  virtud  de  ello,</w:t>
        <w:br/>
        <w:t xml:space="preserve">      cuatro agentes policiales se trasladaron al lugar de los  hechos  para</w:t>
        <w:br/>
        <w:t xml:space="preserve">      entrevistar a las personas que se encontraban en la zona[94].</w:t>
        <w:br/>
        <w:br/>
        <w:t xml:space="preserve">  76. Asimismo, dos  agentes  de  investigación  se  trasladaron  al  Centro</w:t>
        <w:br/>
        <w:t xml:space="preserve">      Ambulatorio donde verificaron la versión del  médico  Velmar  Quintero</w:t>
        <w:br/>
        <w:t xml:space="preserve">      (supra párr. 64). Los agentes de  investigación  se  dirigieron  a  la</w:t>
        <w:br/>
        <w:t xml:space="preserve">      morgue donde realizaron la inspección  ocular  del  cadáver  de  Igmar</w:t>
        <w:br/>
        <w:t xml:space="preserve">      Landaeta, el  cual  fue  posteriormente  trasladado  al  Instituto  de</w:t>
        <w:br/>
        <w:t xml:space="preserve">      Medicina Legal del Cuerpo Técnico de Policía Judicial de la Región  de</w:t>
        <w:br/>
        <w:t xml:space="preserve">      Aragua, a fin de que le fuera practicada la autopsia respectiva[95].</w:t>
        <w:br/>
        <w:br/>
        <w:t xml:space="preserve">  77. Al ser las 19:00 horas del mismo día, una Comisión de la Seccional  de</w:t>
        <w:br/>
        <w:t xml:space="preserve">      Mariño realizó una inspección ocular en la zona de los  hechos,  donde</w:t>
        <w:br/>
        <w:t xml:space="preserve">      tomaron fotografías de carácter general y en detalle,  y  recolectaron</w:t>
        <w:br/>
        <w:t xml:space="preserve">      una muestra de algodón con una sustancia color pardo rojizo[96].</w:t>
        <w:br/>
        <w:br/>
        <w:t xml:space="preserve">  78. El 18 de noviembre de 1996 un agente de investigación recibió de parte</w:t>
        <w:br/>
        <w:t xml:space="preserve">      de Ignacio  Landaeta  y  José  Francisco  Hernández  Ramírez  (testigo</w:t>
        <w:br/>
        <w:t xml:space="preserve">      presencial) un trozo de plomo color amarillo parcialmente deformado  y</w:t>
        <w:br/>
        <w:t xml:space="preserve">      seis cartuchos que fueron recolectados en la zona de  los  hechos  por</w:t>
        <w:br/>
        <w:t xml:space="preserve">      civiles y las remitió al Cuerpo Técnico de la Policía Judicial[97].</w:t>
        <w:br/>
        <w:br/>
        <w:t xml:space="preserve">  79. Ese mismo día la Medicatura Forense de Maracay realizó la autopsia  al</w:t>
        <w:br/>
        <w:t xml:space="preserve">      cadáver de Igmar Landaeta, donde se determinó que la causa  de  muerte</w:t>
        <w:br/>
        <w:t xml:space="preserve">      fue una contusión cerebral severa producto de una herida facio-craneal</w:t>
        <w:br/>
        <w:t xml:space="preserve">      ocasionada por proyectil de arma de fuego (infra párr. 133)[98].</w:t>
        <w:br/>
        <w:t xml:space="preserve">  80. El 19 de noviembre de 1996 la Seccional de Mariño realizó un  análisis</w:t>
        <w:br/>
        <w:t xml:space="preserve">      de traza de disparos sobre la mano derecha de Igmar Landaeta, el  cual</w:t>
        <w:br/>
        <w:t xml:space="preserve">      arrojó resultados positivos[99].</w:t>
        <w:br/>
        <w:br/>
        <w:t xml:space="preserve">  81. El 20 de noviembre de 1996 la Sala de Instrucción de la  Seccional  de</w:t>
        <w:br/>
        <w:t xml:space="preserve">      Mariño remitió a la Sala Técnica de la Seccional un  revólver  calibre</w:t>
        <w:br/>
        <w:t xml:space="preserve">      .357, cuatro cartuchos percutidos y dos cartuchos sin percutir calibre</w:t>
        <w:br/>
        <w:t xml:space="preserve">      .357, seis cartuchos calibre 9mm y  un  trozo  de  plomo  parcialmente</w:t>
        <w:br/>
        <w:t xml:space="preserve">      deformado, a efectos  de  que  le  fueran  practicados  experticia  de</w:t>
        <w:br/>
        <w:t xml:space="preserve">      reconocimiento[100]. Al respecto, mediante informe de 5  de  diciembre</w:t>
        <w:br/>
        <w:t xml:space="preserve">      de 1996 el  Laboratorio  Criminalístico  confirmó  que  los  cartuchos</w:t>
        <w:br/>
        <w:t xml:space="preserve">      calibre .357 correspondían al revolver del mismo calibre[101].</w:t>
        <w:br/>
        <w:br/>
        <w:t xml:space="preserve">  82. El 24 de febrero de 1997 la Fiscalía Novena denunció formalmente  ante</w:t>
        <w:br/>
        <w:t xml:space="preserve">      el Juzgado de los Municipios de Santiago Mariño  y  Libertador  a  los</w:t>
        <w:br/>
        <w:t xml:space="preserve">      agentes GACF y AJCG  por  la  presunta  comisión  de  los  delitos  de</w:t>
        <w:br/>
        <w:t xml:space="preserve">      homicidio intencional y uso indebido de arma de fuego[102].</w:t>
        <w:br/>
        <w:br/>
        <w:t xml:space="preserve">  83. El 12 de septiembre de 1997 el Juzgado de los Municipios  de  Santiago</w:t>
        <w:br/>
        <w:t xml:space="preserve">      Mariño y Libertador emitió una resolución donde declaró  terminada  la</w:t>
        <w:br/>
        <w:t xml:space="preserve">      averiguación sumaria en virtud de que no se desprendió  la  convicción</w:t>
        <w:br/>
        <w:t xml:space="preserve">      de que se hubiera cometido un hecho  punible  ni  tampoco  aparecieron</w:t>
        <w:br/>
        <w:t xml:space="preserve">      fundados indicios de culpabilidad en contra de los agentes  policiales</w:t>
        <w:br/>
        <w:t xml:space="preserve">      GACF y AJCG. El 17 de septiembre el expediente fue enviado al  Juzgado</w:t>
        <w:br/>
        <w:t xml:space="preserve">      Sexto de Primera Instancia en lo Penal y de Salvaguarda del Patrimonio</w:t>
        <w:br/>
        <w:t xml:space="preserve">      Público del estado de Aragua (en adelante “Juzgado Sexto”)[103].</w:t>
        <w:br/>
        <w:br/>
        <w:t xml:space="preserve">  84. El 23 de septiembre de 1997 la señora Josefina  Rodríguez  de  Zavala,</w:t>
        <w:br/>
        <w:t xml:space="preserve">      abogada privada de Ignacio Landaeta, interpuso ante el  Juzgado  Sexto</w:t>
        <w:br/>
        <w:t xml:space="preserve">      un escrito de acusación contra los agentes policiales GACF y AJCG  por</w:t>
        <w:br/>
        <w:t xml:space="preserve">      la presunta comisión del delito de homicidio calificado[104].</w:t>
        <w:br/>
        <w:br/>
        <w:t xml:space="preserve">  85. El 1 de octubre de 1997 el Juzgado Sexto emitió una  resolución  donde</w:t>
        <w:br/>
        <w:t xml:space="preserve">      confirmó la decisión dictada por  el  Juzgado  de  los  Municipios  de</w:t>
        <w:br/>
        <w:t xml:space="preserve">      Santiago Mariño y Libertador (supra párr. 83). El  10  de  octubre  de</w:t>
        <w:br/>
        <w:t xml:space="preserve">      1997, el Juzgado Sexto remitió de  oficio  el  expediente  al  Juzgado</w:t>
        <w:br/>
        <w:t xml:space="preserve">      Superior Tercero en lo Penal y Correccional de  Menores  (en  adelante</w:t>
        <w:br/>
        <w:t xml:space="preserve">      “Juzgado Superior Tercero”) para su revisión[105].</w:t>
        <w:br/>
        <w:br/>
        <w:t xml:space="preserve">  86. El 11 de noviembre de 1997  el  Juzgado  Superior  Tercero  revocó  la</w:t>
        <w:br/>
        <w:t xml:space="preserve">      decisión dictada por el Juzgado de los Municipios Mariño y  Libertador</w:t>
        <w:br/>
        <w:t xml:space="preserve">      y confirmada por el  Juzgado  Sexto,  y  en  consecuencia  declaró  la</w:t>
        <w:br/>
        <w:t xml:space="preserve">      detención  judicial  de  los  imputados,  debiendo  el  Juzgado  Sexto</w:t>
        <w:br/>
        <w:t xml:space="preserve">      ejecutar el fallo[106]. De esta forma, el  15  de  enero  de  1998  el</w:t>
        <w:br/>
        <w:t xml:space="preserve">      Juzgado Sexto emitió las boletas de encarcelación contra  los  agentes</w:t>
        <w:br/>
        <w:t xml:space="preserve">      GACF y AJCG[107].</w:t>
        <w:br/>
        <w:t xml:space="preserve">  87. El 21 de mayo de 1998 la Fiscalía Sexta,  formuló  cargos  contra  los</w:t>
        <w:br/>
        <w:t xml:space="preserve">      agentes GACF y AJCG  por  la  presunta  comisión  de  los  delitos  de</w:t>
        <w:br/>
        <w:t xml:space="preserve">      homicidio preterintencional y uso indebido de arma de fuego[108].</w:t>
        <w:br/>
        <w:br/>
        <w:t xml:space="preserve">  88. Por su parte, mediante la presentación de su escrito  de  contestación</w:t>
        <w:br/>
        <w:t xml:space="preserve">      de cargos, la defensa de los imputados argumentó la existencia  de  un</w:t>
        <w:br/>
        <w:t xml:space="preserve">      enfrentamiento con el hoy occiso y que los hechos se configuraron como</w:t>
        <w:br/>
        <w:t xml:space="preserve">      una legítima defensa  y/o  estado  de  necesidad.  Adicionalmente,  la</w:t>
        <w:br/>
        <w:t xml:space="preserve">      defensa solicitó el beneficio de libertad provisional bajo fianza para</w:t>
        <w:br/>
        <w:t xml:space="preserve">      los imputados, la cual fue concedida el 26 de mayo de 1998[109].</w:t>
        <w:br/>
        <w:br/>
        <w:t xml:space="preserve">  89. El 21 de julio de 1998 el Juzgado Sexto, acordó ordenar la práctica de</w:t>
        <w:br/>
        <w:t xml:space="preserve">      una reconstrucción de los hechos objeto de  la  presente  averiguación</w:t>
        <w:br/>
        <w:t xml:space="preserve">      como prueba para mejor resolver[110]. El 26 de septiembre de  1998  el</w:t>
        <w:br/>
        <w:t xml:space="preserve">      señor Ignacio Landaeta presentó  ante  el  Juzgado  Sexto  un  escrito</w:t>
        <w:br/>
        <w:t xml:space="preserve">      solicitando que los imputados fueran sentenciados por los  delitos  de</w:t>
        <w:br/>
        <w:t xml:space="preserve">      homicidio intencional simple y uso indebido de arma de fuego[111].</w:t>
        <w:br/>
        <w:br/>
        <w:t xml:space="preserve">  90. El 1 de julio de 1999 entró en vigor  en  Venezuela  el  nuevo  Código</w:t>
        <w:br/>
        <w:t xml:space="preserve">      Orgánico Procesal Penal, mediante el cual  se  estableció  un  régimen</w:t>
        <w:br/>
        <w:t xml:space="preserve">      procesal transitorio que aplicaba a las causas que estuvieran en curso</w:t>
        <w:br/>
        <w:t xml:space="preserve">      a la fecha de entrada en vigencia del Código. En virtud del régimen de</w:t>
        <w:br/>
        <w:t xml:space="preserve">      transición, el  caso  fue  enviado  al  Juzgado  Segundo  del  Régimen</w:t>
        <w:br/>
        <w:t xml:space="preserve">      Procesal Transitorio de la  Circunscripción  Judicial  del  estado  de</w:t>
        <w:br/>
        <w:t xml:space="preserve">      Aragua (en adelante “Juzgado Segundo”), el cual el 13  de  octubre  de</w:t>
        <w:br/>
        <w:t xml:space="preserve">      2000, emitió sentencia de primera  instancia  en  la  que  dispuso  lo</w:t>
        <w:br/>
        <w:t xml:space="preserve">      siguiente: 1) absolver  al  imputado  AJCG  del  delito  de  homicidio</w:t>
        <w:br/>
        <w:t xml:space="preserve">      intencional; 2) condenar al imputado GACF a la  pena  de  12  años  de</w:t>
        <w:br/>
        <w:t xml:space="preserve">      prisión por la comisión del delito  de  homicidio  intencional,  y  3)</w:t>
        <w:br/>
        <w:t xml:space="preserve">      decretar el sobreseimiento de la causa en  cuanto  al  delito  de  uso</w:t>
        <w:br/>
        <w:t xml:space="preserve">      indebido de arma[112].</w:t>
        <w:br/>
        <w:t xml:space="preserve">  91. El 7 de noviembre de  2000  la  defensa  del  condenado  interpuso  un</w:t>
        <w:br/>
        <w:t xml:space="preserve">      recurso de apelación  contra  la  sentencia  emitida  por  el  Juzgado</w:t>
        <w:br/>
        <w:t xml:space="preserve">      Segundo. El 25 de  abril  de  2002  la  Corte  de  Apelaciones  emitió</w:t>
        <w:br/>
        <w:t xml:space="preserve">      sentencia de segunda instancia donde declaró sin lugar el  recurso  de</w:t>
        <w:br/>
        <w:t xml:space="preserve">      apelación interpuesto y confirmó la condena impuesta a GACF[113].</w:t>
        <w:br/>
        <w:br/>
        <w:t xml:space="preserve">  92. El 5 de junio  de  2002  la  defensa  interpuso  recurso  de  casación</w:t>
        <w:br/>
        <w:t xml:space="preserve">      argumentando que su defendido fue víctima de interpretaciones erróneas</w:t>
        <w:br/>
        <w:t xml:space="preserve">      de la ley y que no  se  estableció  durante  el  proceso  la  supuesta</w:t>
        <w:br/>
        <w:t xml:space="preserve">      intención de dar muerte a Igmar Landaeta[114]. El 29 de  noviembre  de</w:t>
        <w:br/>
        <w:t xml:space="preserve">      2002 el Tribunal Supremo de Justicia, en Sala de  Casación  Penal  (en</w:t>
        <w:br/>
        <w:t xml:space="preserve">      adelante “Sala de Casación”),  emitió  una  decisión  donde  anuló  la</w:t>
        <w:br/>
        <w:t xml:space="preserve">      sentencia dictada por la Corte de Apelaciones  y  repuso  la  causa  a</w:t>
        <w:br/>
        <w:t xml:space="preserve">      efectos de que esta resuelva el  recurso  de  apelación  con  estricta</w:t>
        <w:br/>
        <w:t xml:space="preserve">      sujeción a lo decido en la sentencia de casación[115].</w:t>
        <w:br/>
        <w:br/>
        <w:t xml:space="preserve">  93. El 10 de noviembre de 2003, la Corte de Apelaciones emitió  una  nueva</w:t>
        <w:br/>
        <w:t xml:space="preserve">      sentencia de segunda instancia donde declaró con lugar el  recurso  de</w:t>
        <w:br/>
        <w:t xml:space="preserve">      apelación interpuesto y el  sobreseimiento  de  la  causa  seguida  al</w:t>
        <w:br/>
        <w:t xml:space="preserve">      agente policial GACF[116]. La Magistrada Presidenta  de  la  Corte  de</w:t>
        <w:br/>
        <w:t xml:space="preserve">      Apelaciones salvó su voto en el fallo emitido[117].</w:t>
        <w:br/>
        <w:br/>
        <w:t xml:space="preserve">  94. Los días 12 y 20 de noviembre de 2003,  el  Fiscal  Sexto  la  abogada</w:t>
        <w:br/>
        <w:t xml:space="preserve">      defensora  y  el  señor  Ignacio  Landaeta,  respectivamente,   fueron</w:t>
        <w:br/>
        <w:t xml:space="preserve">      notificados de la parte dispositiva de la  sentencia  emitida  por  la</w:t>
        <w:br/>
        <w:t xml:space="preserve">      Corte de Apelaciones[118].</w:t>
        <w:br/>
        <w:br/>
        <w:t xml:space="preserve">  95. El 5 de diciembre de  2003  el  señor  Ignacio  Landaeta  solicitó  la</w:t>
        <w:br/>
        <w:t xml:space="preserve">      apertura de investigación administrativa contra dos de los  jueces  de</w:t>
        <w:br/>
        <w:t xml:space="preserve">      la Corte  de  Apelaciones[119],  sin  embargo  esta  Corte  carece  de</w:t>
        <w:br/>
        <w:t xml:space="preserve">      información sobre las investigaciones realizadas.</w:t>
        <w:br/>
        <w:br/>
        <w:t xml:space="preserve">  96. Finalmente, el 22 de abril de 2004, tomando en consideración que no se</w:t>
        <w:br/>
        <w:t xml:space="preserve">      ejercitó recurso alguno en contra de la sentencia dictada, la Corte de</w:t>
        <w:br/>
        <w:t xml:space="preserve">      Apelaciones remitió la causa al Archivo Judicial Central[120].</w:t>
        <w:br/>
        <w:br/>
        <w:br/>
        <w:t xml:space="preserve">   Investigación de la muerte de Eduardo José Landaeta Mejías</w:t>
        <w:br/>
        <w:br/>
        <w:br/>
        <w:t xml:space="preserve">  97. El 31 de diciembre de  1996  la  Seccional  de  Mariño  informó  a  la</w:t>
        <w:br/>
        <w:t xml:space="preserve">      Fiscalía Novena del estado de Aragua (en adelante  “Fiscalía  Novena”)</w:t>
        <w:br/>
        <w:t xml:space="preserve">      sobre el inicio de la averiguación  sumaria  por  los  hechos  en  que</w:t>
        <w:br/>
        <w:t xml:space="preserve">      perdió  la  vida  Eduardo  Landaeta.  De  esta  forma,  cinco  agentes</w:t>
        <w:br/>
        <w:t xml:space="preserve">      policiales de la Seccional de Mariño se trasladaron al  lugar  de  los</w:t>
        <w:br/>
        <w:t xml:space="preserve">      hechos donde encontraron el vehículo  en  que  trasladaban  a  Eduardo</w:t>
        <w:br/>
        <w:t xml:space="preserve">      Landaeta resguardado por dos agentes policiales, y dentro del mismo se</w:t>
        <w:br/>
        <w:t xml:space="preserve">      encontraba  su  cuerpo  sin  vida  que  presentaba  múltiples  heridas</w:t>
        <w:br/>
        <w:t xml:space="preserve">      producidas por arma de fuego. La  comisión  investigadora  procedió  a</w:t>
        <w:br/>
        <w:t xml:space="preserve">      entrevistar a los agentes policiales y testigos que se encontraban  en</w:t>
        <w:br/>
        <w:t xml:space="preserve">      la zona. Posteriormente, se  apersonó  al  lugar  de  los  hechos  una</w:t>
        <w:br/>
        <w:t xml:space="preserve">      comisión de la Medicatura Forense de Maracay y la  Fiscalía  Novena  a</w:t>
        <w:br/>
        <w:t xml:space="preserve">      realizar el levantamiento del cadáver y trasladarlo  a  la  Medicatura</w:t>
        <w:br/>
        <w:t xml:space="preserve">      Forense de la región de Aragua[121].</w:t>
        <w:br/>
        <w:br/>
        <w:t xml:space="preserve">  98. El mismo día a las 11:00  horas,  una  comisión  compuesta  por  siete</w:t>
        <w:br/>
        <w:t xml:space="preserve">      agentes de la Seccional de Mariño realizó una inspección ocular de  la</w:t>
        <w:br/>
        <w:t xml:space="preserve">      zona de los hechos.  Posteriormente,  al  ser  las  12:00  horas,  dos</w:t>
        <w:br/>
        <w:t xml:space="preserve">      agentes de la Seccional de Mariño se trasladaron a la  Morgue  Central</w:t>
        <w:br/>
        <w:t xml:space="preserve">      de Maracay, donde realizaron dos inspecciones oculares al  cadáver  de</w:t>
        <w:br/>
        <w:t xml:space="preserve">      Eduardo Landaeta. Adicionalmente, durante  la  autopsia  realizada  al</w:t>
        <w:br/>
        <w:t xml:space="preserve">      cadáver, se recolectaron tres proyectiles que fueron  remitidos  a  la</w:t>
        <w:br/>
        <w:t xml:space="preserve">      Sala de Objetos Recuperados de la Seccional de Mariño. El vehículo  en</w:t>
        <w:br/>
        <w:t xml:space="preserve">      el que falleció Eduardo Landaeta fue depositado en el  estacionamiento</w:t>
        <w:br/>
        <w:t xml:space="preserve">      de la Seccional de Mariño para su resguardo[122].</w:t>
        <w:br/>
        <w:br/>
        <w:t xml:space="preserve">  99. El 24 de enero de 1997 la Unidad de Microscopía de la División General</w:t>
        <w:br/>
        <w:t xml:space="preserve">      de Técnica Policial realizó el análisis de traza de disparos sobre las</w:t>
        <w:br/>
        <w:t xml:space="preserve">      manos de los agentes CARM y CARA, arrojando resultados positivos[123].</w:t>
        <w:br/>
        <w:br/>
        <w:br/>
        <w:br/>
        <w:t xml:space="preserve"> 100. De forma paralela, el 7 de enero de 1997 el  Departamento  de  Asuntos</w:t>
        <w:br/>
        <w:t xml:space="preserve">      Internos  de  la  Inspectoría  General  de  la  Policía   inició   una</w:t>
        <w:br/>
        <w:t xml:space="preserve">      averiguación sumaria administrativa, conforme a lo establecido  en  el</w:t>
        <w:br/>
        <w:t xml:space="preserve">      Reglamento de Castigos Disciplinarios del Cuerpo de Seguridad  Pública</w:t>
        <w:br/>
        <w:t xml:space="preserve">      del estado de Aragua. La averiguación se declaró concluida por carecer</w:t>
        <w:br/>
        <w:t xml:space="preserve">      de indicios suficientes[124].</w:t>
        <w:br/>
        <w:br/>
        <w:t xml:space="preserve"> 101. Continuando con la averiguación penal, los días 28  de  enero,  10  de</w:t>
        <w:br/>
        <w:t xml:space="preserve">      marzo,  22  de  julio  y  22  de  octubre  de  1997,  el   Laboratorio</w:t>
        <w:br/>
        <w:t xml:space="preserve">      Criminalístico del CTPJ de la Región de Aragua realizó las experticias</w:t>
        <w:br/>
        <w:t xml:space="preserve">      de reconocimiento legal y hematológica a las  pruebas  recabadas[125].</w:t>
        <w:br/>
        <w:t xml:space="preserve">      De igual manera, el 22 de julio de 1998 la  Sección  Técnica  Policial</w:t>
        <w:br/>
        <w:t xml:space="preserve">      del CTPJ realizó una experticia de reconocimiento de  algunas  pruebas</w:t>
        <w:br/>
        <w:t xml:space="preserve">      recabadas[126].</w:t>
        <w:br/>
        <w:br/>
        <w:t xml:space="preserve"> 102. El 10 de julio de 1997 la Medicatura Forense presentó a  la  Seccional</w:t>
        <w:br/>
        <w:t xml:space="preserve">      de Mariño el informe de la autopsia realizada el 31  de  diciembre  de</w:t>
        <w:br/>
        <w:t xml:space="preserve">      1996 al cadáver de Eduardo Landaeta, en el cual indicó que la causa de</w:t>
        <w:br/>
        <w:t xml:space="preserve">      muerte fue una contusión cerebral severa producto de  dos  proyectiles</w:t>
        <w:br/>
        <w:t xml:space="preserve">      de arma de fuego, y trece heridas de proyectil de  arma  de  fuego  en</w:t>
        <w:br/>
        <w:t xml:space="preserve">      diversas zonas del cuerpo. Además, se observaron otras lesiones (infra</w:t>
        <w:br/>
        <w:t xml:space="preserve">      párr. 200)[127].</w:t>
        <w:br/>
        <w:br/>
        <w:t xml:space="preserve"> 103. El 27 de agosto de 1997 la Comisión de Derechos Humanos de Justicia  y</w:t>
        <w:br/>
        <w:t xml:space="preserve">      Paz del estado de Aragua, en representación de María Magdalena Mejías,</w:t>
        <w:br/>
        <w:t xml:space="preserve">      solicitó  a  la  Fiscalía  Novena  que  oficiara  al  Juzgado  de  los</w:t>
        <w:br/>
        <w:t xml:space="preserve">      Municipios  de  Santiago  Mariño  y  Libertador  la  apertura  de  una</w:t>
        <w:br/>
        <w:t xml:space="preserve">      investigación de nudo de hecho contra los funcionarios policiales  que</w:t>
        <w:br/>
        <w:t xml:space="preserve">      presuntamente participación en el asesinato de  Eduardo  Landaeta.  De</w:t>
        <w:br/>
        <w:t xml:space="preserve">      esta forma el 25 de marzo de 1998 la Fiscalía Novena  le  solicitó  al</w:t>
        <w:br/>
        <w:t xml:space="preserve">      Juzgado del Municipio de Mariño del estado de  Aragua  que  instruyera</w:t>
        <w:br/>
        <w:t xml:space="preserve">      averiguación de nudo de hecho contra los funcionarios policiales CARA,</w:t>
        <w:br/>
        <w:t xml:space="preserve">      CARM y FABP por los delitos de homicidio y uso  indebido  de  arma  en</w:t>
        <w:br/>
        <w:t xml:space="preserve">      perjuicio de Eduardo Landaeta. La averiguación solicitada  dio  inicio</w:t>
        <w:br/>
        <w:t xml:space="preserve">      el 14 de mayo de 1998[128].</w:t>
        <w:br/>
        <w:br/>
        <w:t xml:space="preserve"> 104. El 8 de febrero de 1999 la Fiscalía Novena denunció formalmente a  los</w:t>
        <w:br/>
        <w:t xml:space="preserve">      agentes policiales CARA, CARM y FABP por la presunta comisión  de  los</w:t>
        <w:br/>
        <w:t xml:space="preserve">      delitos de homicidio calificado y uso indebido de  arma  de  fuego  en</w:t>
        <w:br/>
        <w:t xml:space="preserve">      perjuicio de Eduardo Landaeta[129].</w:t>
        <w:br/>
        <w:br/>
        <w:t xml:space="preserve"> 105. Con motivo de la entrada en vigor del nuevo Código  Orgánico  Procesal</w:t>
        <w:br/>
        <w:t xml:space="preserve">      Penal (supra párr. 90), el 7 de enero de 2000 el Juzgado  Segundo  del</w:t>
        <w:br/>
        <w:t xml:space="preserve">      Régimen  Procesal  Transitorio  del  estado  de  Aragua  (en  adelante</w:t>
        <w:br/>
        <w:t xml:space="preserve">      “Juzgado  Segundo”)  recibió  el  expediente   de   Eduardo   Landaeta</w:t>
        <w:br/>
        <w:t xml:space="preserve">      proveniente del  Juzgado  de  los  Municipios  de  Santiago  Mariño  y</w:t>
        <w:br/>
        <w:t xml:space="preserve">      Libertador. El 30 de octubre de  2003  la  Fiscalía  para  el  Régimen</w:t>
        <w:br/>
        <w:t xml:space="preserve">      Procesal Transitorio del estado de Aragua (en adelante “la  Fiscalía”)</w:t>
        <w:br/>
        <w:t xml:space="preserve">      retomó  los  actos  de  investigación  de  la  causa  solicitando   la</w:t>
        <w:br/>
        <w:t xml:space="preserve">      realización  de  varias  diligencias  con  el   fin   de   lograr   el</w:t>
        <w:br/>
        <w:t xml:space="preserve">      esclarecimiento de los hechos[130].</w:t>
        <w:br/>
        <w:br/>
        <w:t xml:space="preserve"> 106. Durante el transcurso de los meses de enero a junio  de  2004  la  Sub</w:t>
        <w:br/>
        <w:t xml:space="preserve">      Delegación de  Mariño  entrevistó  a  siete  personas  y  realizó  una</w:t>
        <w:br/>
        <w:t xml:space="preserve">      inspección  del  vehículo  en  el  cual  falleció  Eduardo   Landaeta.</w:t>
        <w:br/>
        <w:t xml:space="preserve">      Asimismo,  el  Cuerpo  de  Investigaciones   Científicas   Penales   y</w:t>
        <w:br/>
        <w:t xml:space="preserve">      Criminalísticas informó a la Fiscalía que se había velado el rollo  en</w:t>
        <w:br/>
        <w:t xml:space="preserve">      el cual constaba  la  fijación  fotográfica  del  cadáver  de  Eduardo</w:t>
        <w:br/>
        <w:t xml:space="preserve">      Landaeta y  el  Centro  Médico  de  Maracay  informó  que  carecía  de</w:t>
        <w:br/>
        <w:t xml:space="preserve">      información sobre los registros hospitalarios de FABP,  en  virtud  de</w:t>
        <w:br/>
        <w:t xml:space="preserve">      que ya había transcurrido el periodo de cinco años durante el cual  se</w:t>
        <w:br/>
        <w:t xml:space="preserve">      mantenían los registros[131].</w:t>
        <w:br/>
        <w:t xml:space="preserve"> 107. El 17 de julio de 2004 la Fiscalía solicitó el  sobreseimiento  de  la</w:t>
        <w:br/>
        <w:t xml:space="preserve">      causa  en  virtud  de  la  inexistencia  de  elementos  de  convicción</w:t>
        <w:br/>
        <w:t xml:space="preserve">      suficientes  que  permitieran  imputarles  a  los  agentes  policiales</w:t>
        <w:br/>
        <w:t xml:space="preserve">      investigados la comisión del asesinato de Eduardo  Landaeta[132].  Con</w:t>
        <w:br/>
        <w:t xml:space="preserve">      fundamento en lo anterior, el 25 de agosto de  2004  Ignacio  Landaeta</w:t>
        <w:br/>
        <w:t xml:space="preserve">      presentó un escrito de observaciones a la solicitud de sobreseimiento,</w:t>
        <w:br/>
        <w:t xml:space="preserve">      en el cual indicó que varios elementos de convicción no fueron tomados</w:t>
        <w:br/>
        <w:t xml:space="preserve">      en cuenta  por  la  Fiscalía  y  solicitó  la  realización  de  nuevas</w:t>
        <w:br/>
        <w:t xml:space="preserve">      diligencias[133]. El 9 de noviembre de 2004, el  Tribunal  de  Primera</w:t>
        <w:br/>
        <w:t xml:space="preserve">      Instancia en lo Penal en Función de Control N°  04  (en  adelante  “el</w:t>
        <w:br/>
        <w:t xml:space="preserve">      Tribunal de Primera  Instancia”)  resolvió  denegar  la  solicitud  de</w:t>
        <w:br/>
        <w:t xml:space="preserve">      sobreseimiento presentada por la Fiscalía  en  virtud  de  que  no  se</w:t>
        <w:br/>
        <w:t xml:space="preserve">      habían  agotado  las  diligencias   propias   de   la   actividad   de</w:t>
        <w:br/>
        <w:t xml:space="preserve">      investigación[134].</w:t>
        <w:br/>
        <w:br/>
        <w:t xml:space="preserve"> 108. El 13 de julio de 2005 la  Fiscalía  Superior  del  estado  de  Aragua</w:t>
        <w:br/>
        <w:t xml:space="preserve">      acordó remitir la causa a otro Fiscal del Ministerio Público  para  el</w:t>
        <w:br/>
        <w:t xml:space="preserve">      Régimen Procesal Transitorio a fin de que prosiguiera la investigación</w:t>
        <w:br/>
        <w:t xml:space="preserve">      o, en su defecto, dictara el acto conclusivo correspondiente[135].</w:t>
        <w:br/>
        <w:br/>
        <w:t xml:space="preserve"> 109. Durante el transcurso de los meses de septiembre de 2005  a  junio  de</w:t>
        <w:br/>
        <w:t xml:space="preserve">      2006, la Fiscalía realizó diversas solicitudes a  efectos  de  recabar</w:t>
        <w:br/>
        <w:t xml:space="preserve">      prueba, entre las que destacan la solicitud del libro de novedades  de</w:t>
        <w:br/>
        <w:t xml:space="preserve">      29 de diciembre de 1996 de la Comisaría de San Carlos, la solicitud de</w:t>
        <w:br/>
        <w:t xml:space="preserve">      información respecto del armamento que portaban los agentes policiales</w:t>
        <w:br/>
        <w:t xml:space="preserve">      investigados; la realización  de  una  experticia  de  trayectoria  de</w:t>
        <w:br/>
        <w:t xml:space="preserve">      balística, y la ampliación del protocolo de autopsia[136].</w:t>
        <w:br/>
        <w:br/>
        <w:t xml:space="preserve"> 110. El 3 de julio de 2006 la Fiscalía solicitó la exhumación  del  cadáver</w:t>
        <w:br/>
        <w:t xml:space="preserve">      de Eduardo Landaeta, con la finalidad  de  extraer  un  proyectil  que</w:t>
        <w:br/>
        <w:t xml:space="preserve">      supuestamente se encontraba alojado en el cuerpo  de  la  víctima.  La</w:t>
        <w:br/>
        <w:t xml:space="preserve">      exhumación fue realizada el 9 de agosto de 2006,  pero  el  cuerpo  no</w:t>
        <w:br/>
        <w:t xml:space="preserve">      presentaba vísceras, la cuales se  presumen  fueron  extraídas  en  la</w:t>
        <w:br/>
        <w:t xml:space="preserve">      funeraria para los actos velatorios. A pesar  de  lo  anterior,  según</w:t>
        <w:br/>
        <w:t xml:space="preserve">      declaraciones de uno  de  los  sepultureros,  al  momento  en  que  se</w:t>
        <w:br/>
        <w:t xml:space="preserve">      encontraba botando los desperdicios del ataúd encontró una bala que le</w:t>
        <w:br/>
        <w:t xml:space="preserve">      entregó a Ignacio Landaeta  el  1  de  noviembre  de  2006.  El  señor</w:t>
        <w:br/>
        <w:t xml:space="preserve">      Landaeta Muñoz consignó el proyectil a la Fiscalía para que luego esta</w:t>
        <w:br/>
        <w:t xml:space="preserve">      lo remitiera al Departamento Criminalístico de la  Delegación  Estadal</w:t>
        <w:br/>
        <w:t xml:space="preserve">      de Aragua con el fin de que se le realizara un reconocimiento legal  y</w:t>
        <w:br/>
        <w:t xml:space="preserve">      hermatológico. No  obstante,  no  fue  posible  realizar  las  pruebas</w:t>
        <w:br/>
        <w:t xml:space="preserve">      requeridas en virtud  de  que  el  proyectil  presentaba  residuos  de</w:t>
        <w:br/>
        <w:t xml:space="preserve">      cemento[137].</w:t>
        <w:br/>
        <w:br/>
        <w:t xml:space="preserve"> 111. El 18 de abril de 2008 la Fiscalía  solicitó  la  realización  de  una</w:t>
        <w:br/>
        <w:t xml:space="preserve">      audiencia de reconstrucción de los hechos, la cual fue efectuada el  4</w:t>
        <w:br/>
        <w:t xml:space="preserve">      de junio de 2008 con la participación de una juez, dos  fiscales,  los</w:t>
        <w:br/>
        <w:t xml:space="preserve">      tres imputados, la defensora privada, el señor Ignacio Landaeta y  una</w:t>
        <w:br/>
        <w:t xml:space="preserve">      secretaria[138].</w:t>
        <w:br/>
        <w:br/>
        <w:t xml:space="preserve"> 112. El 15 de diciembre de 2008 la Fiscalía presentó acusación  contra  los</w:t>
        <w:br/>
        <w:t xml:space="preserve">      agentes policiales FABP, CARM  y  CARA  por  el  delito  de  homicidio</w:t>
        <w:br/>
        <w:t xml:space="preserve">      intencional calificado  en  grado  de  complicidad  correspectiva.  De</w:t>
        <w:br/>
        <w:t xml:space="preserve">      acuerdo  con  la  Fiscalía,  los  imputados   simularon   haber   sido</w:t>
        <w:br/>
        <w:t xml:space="preserve">      interceptados mientras trasladaban a Eduardo Landaeta[139].</w:t>
        <w:br/>
        <w:br/>
        <w:t xml:space="preserve"> 113. El 4 de mayo de 2009 el Tribunal fijó la celebración  de  la  apertura</w:t>
        <w:br/>
        <w:t xml:space="preserve">      del debate oral y público  para  el  15  de  junio  de  2009[140].  No</w:t>
        <w:br/>
        <w:t xml:space="preserve">      obstante, en virtud de 12 retrasos y reprogramaciones[141], el  debate</w:t>
        <w:br/>
        <w:t xml:space="preserve">      dio inicio el 31 de enero de 2011[142].</w:t>
        <w:br/>
        <w:br/>
        <w:t xml:space="preserve"> 114. Durante el transcurso de los meses de enero a diciembre  de  2011,  el</w:t>
        <w:br/>
        <w:t xml:space="preserve">      Tribunal realizó 25 audiencias para recepción de prueba y alegatos  de</w:t>
        <w:br/>
        <w:t xml:space="preserve">      las partes[143].</w:t>
        <w:br/>
        <w:br/>
        <w:t xml:space="preserve"> 115. El 16 de diciembre de 2011 el Tribunal emitió su sentencia, en la cual</w:t>
        <w:br/>
        <w:t xml:space="preserve">      decidió absolver a los tres imputados. En consecuencia, el 16 de marzo</w:t>
        <w:br/>
        <w:t xml:space="preserve">      de 2012, la Fiscalía interpuso recurso de apelación en  contra  de  la</w:t>
        <w:br/>
        <w:t xml:space="preserve">      sentencia  dictada  en  primera  instancia,  debido  a  la  falta   de</w:t>
        <w:br/>
        <w:t xml:space="preserve">      motivación  de  la  misma  y  por   causa   de   vicios   en   ciertas</w:t>
        <w:br/>
        <w:t xml:space="preserve">      notificaciones[144].</w:t>
        <w:br/>
        <w:br/>
        <w:t xml:space="preserve"> 116. El 30 de octubre de 2012 la Corte de Apelaciones  resolvió  anular  la</w:t>
        <w:br/>
        <w:t xml:space="preserve">      sentencia recurrida y ordenar la celebración de un nuevo  juicio  oral</w:t>
        <w:br/>
        <w:t xml:space="preserve">      al considerar que el Tribunal de primera instancia prescindió  de  las</w:t>
        <w:br/>
        <w:t xml:space="preserve">      declaraciones  de  seis  personas  promovidas  oportunamente  por   el</w:t>
        <w:br/>
        <w:t xml:space="preserve">      Ministerio Público sin que el juez a quo emitiera razonamiento  alguno</w:t>
        <w:br/>
        <w:t xml:space="preserve">      para la prescindencia de  los  referidos  testimonios[145].  La  Corte</w:t>
        <w:br/>
        <w:t xml:space="preserve">      carece de información adicional y actualizada al respecto.</w:t>
        <w:br/>
        <w:t xml:space="preserve"> 117. El 28 de febrero de 2013 el señor Ignacio Landaeta presentó un escrito</w:t>
        <w:br/>
        <w:t xml:space="preserve">      ante la Inspectoría General de Tribunales solicitando la  apertura  de</w:t>
        <w:br/>
        <w:t xml:space="preserve">      un  expediente  administrativo  disciplinario  del  juez  de   primera</w:t>
        <w:br/>
        <w:t xml:space="preserve">      instancia Nelson Alexis García Morales. Dicha solicitud fue acogida el</w:t>
        <w:br/>
        <w:t xml:space="preserve">      31 de mayo de 2013 por la Inspectoría General de Tribunales[146],  sin</w:t>
        <w:br/>
        <w:t xml:space="preserve">      embargo, la Corte carece  de  información  sobre  las  investigaciones</w:t>
        <w:br/>
        <w:t xml:space="preserve">      realizadas al respecto.</w:t>
        <w:br/>
        <w:br/>
        <w:br/>
        <w:t xml:space="preserve">                                     VII</w:t>
        <w:br/>
        <w:t xml:space="preserve">                                    Fondo</w:t>
        <w:br/>
        <w:br/>
        <w:br/>
        <w:t xml:space="preserve"> 118. En atención a los derechos de la Convención alegados  en  el  presente</w:t>
        <w:br/>
        <w:t xml:space="preserve">      caso, la Corte realizará el siguiente análisis: 1.  El  derecho  a  la</w:t>
        <w:br/>
        <w:t xml:space="preserve">      vida e integridad personal respecto de Igmar Landaeta; 2. El derecho a</w:t>
        <w:br/>
        <w:t xml:space="preserve">      la libertad personal, a la vida, a la  integridad  personal  y  a  los</w:t>
        <w:br/>
        <w:t xml:space="preserve">      derechos de los niños, niñas y adolescentes (para efectos del presente</w:t>
        <w:br/>
        <w:t xml:space="preserve">      caso, en adelante  “derechos  de  los  niños”),  respecto  de  Eduardo</w:t>
        <w:br/>
        <w:t xml:space="preserve">      Landaeta; 3. El  derecho  a  las  garantías  judiciales  y  protección</w:t>
        <w:br/>
        <w:t xml:space="preserve">      judicial, y 4. El derecho a la integridad personal de los familiares.</w:t>
        <w:br/>
        <w:br/>
        <w:br/>
        <w:t xml:space="preserve">                                    VII-1</w:t>
        <w:br/>
        <w:t xml:space="preserve"> Derecho a la vida e integridad personal en relación con las obligaciones de</w:t>
        <w:br/>
        <w:t xml:space="preserve">   respetar y garantizar los derechos respecto de igmar alexander landaeta</w:t>
        <w:br/>
        <w:t xml:space="preserve">                                   MEJÍAS</w:t>
        <w:br/>
        <w:br/>
        <w:br/>
        <w:br/>
        <w:t xml:space="preserve">    Argumentos de las partes y de la Comisión</w:t>
        <w:br/>
        <w:br/>
        <w:br/>
        <w:t xml:space="preserve"> 119. La Comisión señaló que los  casos  de  los  hermanos  Landaeta  tienen</w:t>
        <w:br/>
        <w:t xml:space="preserve">      elementos comunes con el contexto  de  ejecuciones  en  Venezuela:  el</w:t>
        <w:br/>
        <w:t xml:space="preserve">      perfil de las víctimas; la incidencia del contexto  en  el  estado  de</w:t>
        <w:br/>
        <w:t xml:space="preserve">      Aragua; la actuación de las autoridades policiales tras el hecho y  la</w:t>
        <w:br/>
        <w:t xml:space="preserve">      situación de impunidad. En sus alegatos finales escritos, la  Comisión</w:t>
        <w:br/>
        <w:t xml:space="preserve">      especificó que no alega que haya una “política de  Estado”,  sino  una</w:t>
        <w:br/>
        <w:t xml:space="preserve">      problemática de ejecuciones extrajudiciales principalmente  por  parte</w:t>
        <w:br/>
        <w:t xml:space="preserve">      de funcionarios policiales en la región. En particular, sobre el  caso</w:t>
        <w:br/>
        <w:t xml:space="preserve">      de Igmar Landaeta, la Comisión determinó que el Estado violó el  deber</w:t>
        <w:br/>
        <w:t xml:space="preserve">      de respetar los derechos establecidos en los artículos 4  y  5  de  la</w:t>
        <w:br/>
        <w:t xml:space="preserve">      Convención en su perjuicio. Con relación  a  su  muerte,  la  Comisión</w:t>
        <w:br/>
        <w:t xml:space="preserve">      consideró que Igmar Landaeta fue ejecutado  extrajudicialmente  y  que</w:t>
        <w:br/>
        <w:t xml:space="preserve">      aun si hubiera estado  armado  y  disparado  contra  los  funcionarios</w:t>
        <w:br/>
        <w:t xml:space="preserve">      policiales, el Estado no justificó el uso de la fuerza, al menos en el</w:t>
        <w:br/>
        <w:t xml:space="preserve">      segundo disparo en el rostro de la víctima,  bajo  los  principios  de</w:t>
        <w:br/>
        <w:t xml:space="preserve">      necesidad y proporcionalidad. La Comisión también notó  la  ilegalidad</w:t>
        <w:br/>
        <w:t xml:space="preserve">      del  actuar  de  los  funcionarios  involucrados,  por  la  falta   de</w:t>
        <w:br/>
        <w:t xml:space="preserve">      identificación (vestidos de civil y en un  automóvil  no  identificado</w:t>
        <w:br/>
        <w:t xml:space="preserve">      como de la policía), así como por la actitud de  los  mismos  una  vez</w:t>
        <w:br/>
        <w:t xml:space="preserve">      producida la muerte, al trasladar el cuerpo sin vida al centro  médico</w:t>
        <w:br/>
        <w:t xml:space="preserve">      y sin brindar una explicación de lo sucedido, lo  cual  constituye  un</w:t>
        <w:br/>
        <w:t xml:space="preserve">      elemento adicional sobre la arbitrariedad del uso de la fuerza  en  el</w:t>
        <w:br/>
        <w:t xml:space="preserve">      caso. Además, la Comisión consideró razonable  inferir  que  el  joven</w:t>
        <w:br/>
        <w:t xml:space="preserve">      tuvo profundos sentimientos  de  miedo  cuando  se  encontraba  herido</w:t>
        <w:br/>
        <w:t xml:space="preserve">      suplicando que no lo mataran, lo que configuró  una  violación  de  la</w:t>
        <w:br/>
        <w:t xml:space="preserve">      obligación de respetar el derecho a la integridad personal,  así  como</w:t>
        <w:br/>
        <w:t xml:space="preserve">      la falta de una investigación seria y  diligente  para  esclarecer  lo</w:t>
        <w:br/>
        <w:t xml:space="preserve">      sucedido, en relación con el artículo 1.1 de la Convención.</w:t>
        <w:br/>
        <w:br/>
        <w:t xml:space="preserve"> 120. Los representantes coincidieron en líneas generales  con  la  Comisión</w:t>
        <w:br/>
        <w:t xml:space="preserve">      pero  mantuvieron  que  la  presunta  víctima  no  estaba  armada   ni</w:t>
        <w:br/>
        <w:t xml:space="preserve">      representaba ningún peligro o amenaza para los funcionarios policiales</w:t>
        <w:br/>
        <w:t xml:space="preserve">      que lo interceptaron. Asimismo, los representantes  afirmaron  que  la</w:t>
        <w:br/>
        <w:t xml:space="preserve">      responsabilidad del Estado se configura debido a que: a) la  ejecución</w:t>
        <w:br/>
        <w:t xml:space="preserve">      de Igmar Landaeta fue cometida por agentes del Estado; b) los  agentes</w:t>
        <w:br/>
        <w:t xml:space="preserve">      hicieron uso desproporcionado de la fuerza  letal;  c)  el  Estado  no</w:t>
        <w:br/>
        <w:t xml:space="preserve">      adoptó las medidas adecuadas para asegurar la  efectiva  investigación</w:t>
        <w:br/>
        <w:t xml:space="preserve">      de los hechos, y d) la víctima experimentó un profundo sufrimiento  al</w:t>
        <w:br/>
        <w:t xml:space="preserve">      momento  de  su  muerte.  Asimismo,   indicaron   que   la   ejecución</w:t>
        <w:br/>
        <w:t xml:space="preserve">      extrajudicial de Igmar Landaeta no se trata  de  un  hecho  aislado  y</w:t>
        <w:br/>
        <w:t xml:space="preserve">      debió investigarse dentro del  contexto  más  general  de  ejecuciones</w:t>
        <w:br/>
        <w:t xml:space="preserve">      extrajudiciales que se presentaban en el país  para  ese  momento,  de</w:t>
        <w:br/>
        <w:t xml:space="preserve">      igual manera señalaron que no se tomaron en cuenta los  hostigamientos</w:t>
        <w:br/>
        <w:t xml:space="preserve">      y amenazas denunciados por su madre.  Los  representantes  concluyeron</w:t>
        <w:br/>
        <w:t xml:space="preserve">      que el Estado es responsable por la ejecución extrajudicial  de  Igmar</w:t>
        <w:br/>
        <w:t xml:space="preserve">      Landaeta  por  parte  de  funcionarios  estatales,  en  violación  del</w:t>
        <w:br/>
        <w:t xml:space="preserve">      artículo 4  de  la  Convención.  Además,  indicaron  que  “experimentó</w:t>
        <w:br/>
        <w:t xml:space="preserve">      ansiedad y angustia por su vida e integridad personal  a  la  vez  que</w:t>
        <w:br/>
        <w:t xml:space="preserve">      experimentó sensaciones graves de sufrimiento  físico,  psicológico  y</w:t>
        <w:br/>
        <w:t xml:space="preserve">      mental generado por un futuro incierto antes  de  ser  víctima  de  su</w:t>
        <w:br/>
        <w:t xml:space="preserve">      ejecución extrajudicial”, por lo que el Estado es  responsable  de  la</w:t>
        <w:br/>
        <w:t xml:space="preserve">      violación del artículo 5 de la Convención en su perjuicio.</w:t>
        <w:br/>
        <w:br/>
        <w:t xml:space="preserve"> 121. Por su parte, el Estado manifestó que en el parte de novedades diarias</w:t>
        <w:br/>
        <w:t xml:space="preserve">      de 18 de noviembre de 1996, consta que los funcionarios  adscritos  al</w:t>
        <w:br/>
        <w:t xml:space="preserve">      CTPJ, Seccional Mariño, “tuvieron un enfrentamiento  a  tiros  con  un</w:t>
        <w:br/>
        <w:t xml:space="preserve">      ciudadano conocido como Landaeta”. No obstante, el Estado  aclaró  que</w:t>
        <w:br/>
        <w:t xml:space="preserve">      el enfrentamiento se produjo con funcionarios de la Policía Estadal de</w:t>
        <w:br/>
        <w:t xml:space="preserve">      Aragua, conocida como Brigada de Operaciones  de  Apoyo,  de  la  zona</w:t>
        <w:br/>
        <w:t xml:space="preserve">      policial  No.  09,  Tumero,  estado  de   Aragua.   Indicó   que   las</w:t>
        <w:br/>
        <w:t xml:space="preserve">      circunstancias de la muerte de Igmar  Landaeta  no  fueron  totalmente</w:t>
        <w:br/>
        <w:t xml:space="preserve">      esclarecidas por los testigos que presenciaron los hechos.</w:t>
        <w:br/>
        <w:br/>
        <w:br/>
        <w:t xml:space="preserve">   Consideraciones de la Corte</w:t>
        <w:br/>
        <w:br/>
        <w:br/>
        <w:t xml:space="preserve"> 122. La Corte Interamericana ha establecido que el derecho a la vida  juega</w:t>
        <w:br/>
        <w:t xml:space="preserve">      un  papel  fundamental  en  la  Convención  Americana,  por   ser   el</w:t>
        <w:br/>
        <w:t xml:space="preserve">      presupuesto esencial para el ejercicio  de  los  demás  derechos.  Los</w:t>
        <w:br/>
        <w:t xml:space="preserve">      Estados  tienen  la  obligación  de  garantizar  la  creación  de  las</w:t>
        <w:br/>
        <w:t xml:space="preserve">      condiciones que se requieran para que no se produzcan  violaciones  de</w:t>
        <w:br/>
        <w:t xml:space="preserve">      este derecho inalienable y, en particular, el deber de impedir que sus</w:t>
        <w:br/>
        <w:t xml:space="preserve">      agentes atenten contra él. La observancia del artículo 4,  relacionado</w:t>
        <w:br/>
        <w:t xml:space="preserve">      con el artículo 1.1 de la Convención Americana, no sólo presupone  que</w:t>
        <w:br/>
        <w:t xml:space="preserve">      ninguna persona sea privada de  su  vida  arbitrariamente  (obligación</w:t>
        <w:br/>
        <w:t xml:space="preserve">      negativa), sino que además requiere que los Estados adopten todas  las</w:t>
        <w:br/>
        <w:t xml:space="preserve">      medidas apropiadas para proteger y preservar  el  derecho  a  la  vida</w:t>
        <w:br/>
        <w:t xml:space="preserve">      (obligación positiva)[147], conforme al deber de garantizar el pleno y</w:t>
        <w:br/>
        <w:t xml:space="preserve">      libre ejercicio  de  los  derechos  de  todas  las  personas  bajo  su</w:t>
        <w:br/>
        <w:t xml:space="preserve">      jurisdicción[148].</w:t>
        <w:br/>
        <w:br/>
        <w:t xml:space="preserve"> 123. La Corte recuerda que en todo caso de despliegue de la fuerza,  en  el</w:t>
        <w:br/>
        <w:t xml:space="preserve">      que agentes estatales hayan producido la  muerte  o  lesiones  de  una</w:t>
        <w:br/>
        <w:t xml:space="preserve">      persona, corresponde analizar el uso de la fuerza. En  virtud  de  que</w:t>
        <w:br/>
        <w:t xml:space="preserve">      Igmar Landaeta perdió la vida con motivo de un supuesto enfrentamiento</w:t>
        <w:br/>
        <w:t xml:space="preserve">      con agentes  policiales  de  inteligencia,  a  continuación  la  Corte</w:t>
        <w:br/>
        <w:t xml:space="preserve">      analizará los hechos del presente caso a la luz de lo expresado en  su</w:t>
        <w:br/>
        <w:t xml:space="preserve">      jurisprudencia constante sobre el derecho a la vida, en  relación  con</w:t>
        <w:br/>
        <w:t xml:space="preserve">      las obligaciones de respeto y garantía, y en  materia  de  uso  de  la</w:t>
        <w:br/>
        <w:t xml:space="preserve">      fuerza[149], a fin de pronunciarse  sobre  la  alegada  violación  del</w:t>
        <w:br/>
        <w:t xml:space="preserve">      referido derecho.</w:t>
        <w:br/>
        <w:br/>
        <w:t xml:space="preserve"> 124. En este sentido, la Corte  toma  nota  de  los  diversos  instrumentos</w:t>
        <w:br/>
        <w:t xml:space="preserve">      internacionales en la materia,  y  en  particular  de  los  Principios</w:t>
        <w:br/>
        <w:t xml:space="preserve">      Básicos sobre el empleo de la fuerza y  de  armas  de  fuego  por  los</w:t>
        <w:br/>
        <w:t xml:space="preserve">      funcionarios encargados de hacer  cumplir  la  ley  y  del  Código  de</w:t>
        <w:br/>
        <w:t xml:space="preserve">      conducta para funcionarios encargados de hacer cumplir la ley[150] (en</w:t>
        <w:br/>
        <w:t xml:space="preserve">      adelante, “Principios  sobre  el  uso  de  la  fuerza”  y  “Código  de</w:t>
        <w:br/>
        <w:t xml:space="preserve">      conducta”, respectivamente). Sobre esa base, como  fue  sostenido  por</w:t>
        <w:br/>
        <w:t xml:space="preserve">      este Tribunal en el caso Nadege Dorzema Vs. República Dominicana[151],</w:t>
        <w:br/>
        <w:t xml:space="preserve">      la Corte analizará el uso de la fuerza por parte de agentes del Estado</w:t>
        <w:br/>
        <w:t xml:space="preserve">      tomando en cuenta tres momentos fundamentales[152]:  a)  las  acciones</w:t>
        <w:br/>
        <w:t xml:space="preserve">      preventivas; b) las acciones concomitantes a  los  hechos,  y  c)  las</w:t>
        <w:br/>
        <w:t xml:space="preserve">      acciones posteriores a los hechos.</w:t>
        <w:br/>
        <w:br/>
        <w:br/>
        <w:t xml:space="preserve">    B.1 Acciones preventivas: legalidad y excepcionalidad  del  uso  de  la</w:t>
        <w:br/>
        <w:t xml:space="preserve">    fuerza en relación con el deber  de  garantía  y  las  obligaciones  de</w:t>
        <w:br/>
        <w:t xml:space="preserve">    adecuar el derecho interno</w:t>
        <w:br/>
        <w:br/>
        <w:br/>
        <w:t xml:space="preserve"> 125. De los hechos del caso y de la prueba aportada en el proceso  ante  la</w:t>
        <w:br/>
        <w:t xml:space="preserve">      Corte, se verifica que, para el momento de los  hechos,  Venezuela  no</w:t>
        <w:br/>
        <w:t xml:space="preserve">      contaba con una legislación que estableciera los  parámetros  para  el</w:t>
        <w:br/>
        <w:t xml:space="preserve">      uso de la fuerza por parte de agentes del  Estado.  En  este  sentido,</w:t>
        <w:br/>
        <w:t xml:space="preserve">      durante la audiencia pública y como prueba para  mejor  resolver[153],</w:t>
        <w:br/>
        <w:t xml:space="preserve">      la Corte solicitó al Estado el envío de la normativa interna sobre uso</w:t>
        <w:br/>
        <w:t xml:space="preserve">      de la fuerza por agentes policiales, al momento de los hechos y en  la</w:t>
        <w:br/>
        <w:t xml:space="preserve">      actualidad. Al respecto, el Estado remitió  legislación  posterior  al</w:t>
        <w:br/>
        <w:t xml:space="preserve">      2006, mas no la vigente al momento de los hechos, a pesar  de  que  en</w:t>
        <w:br/>
        <w:t xml:space="preserve">      diversas ocasiones se reiteró dicha solicitud. Por tanto, la Corte  no</w:t>
        <w:br/>
        <w:t xml:space="preserve">      cuenta con constancia de la existencia de dicha normativa[154].</w:t>
        <w:br/>
        <w:br/>
        <w:t xml:space="preserve"> 126. La Corte  reitera  que  tratándose  del  uso  de  la  fuerza,  resulta</w:t>
        <w:br/>
        <w:t xml:space="preserve">      indispensable que el Estado: a) cuente con la existencia de  un  marco</w:t>
        <w:br/>
        <w:t xml:space="preserve">      jurídico adecuado que regule el uso de la fuerza y  que  garantice  el</w:t>
        <w:br/>
        <w:t xml:space="preserve">      derecho a la vida; b) brinde equipamiento apropiado a los funcionarios</w:t>
        <w:br/>
        <w:t xml:space="preserve">      a cargo del uso de la fuerza, y  c)  seleccione,  capacite  y  entrene</w:t>
        <w:br/>
        <w:t xml:space="preserve">      debidamente a dichos funcionarios. En particular, sobre  el  deber  de</w:t>
        <w:br/>
        <w:t xml:space="preserve">      garantía, esta Corte ha establecido con anterioridad,  que  existe  un</w:t>
        <w:br/>
        <w:t xml:space="preserve">      deber del Estado de adecuar su legislación nacional y de “vigilar  que</w:t>
        <w:br/>
        <w:t xml:space="preserve">      sus cuerpos de seguridad, a quienes les está atribuido el  uso  de  la</w:t>
        <w:br/>
        <w:t xml:space="preserve">      fuerza  legítima,  respeten  el  derecho  a  la  vida  de  quienes  se</w:t>
        <w:br/>
        <w:t xml:space="preserve">      encuentren bajo su jurisdicción”[155]. El Estado  debe  ser  claro  al</w:t>
        <w:br/>
        <w:t xml:space="preserve">      momento de demarcar las políticas internas tratándose del  uso  de  la</w:t>
        <w:br/>
        <w:t xml:space="preserve">      fuerza y buscar estrategias  para  implementar  los  Principios  sobre</w:t>
        <w:br/>
        <w:t xml:space="preserve">      empleo de la fuerza y Código de conducta[156]. “En este  sentido  debe</w:t>
        <w:br/>
        <w:t xml:space="preserve">      dotar a los agentes de distintos tipos de armas, municiones y  equipos</w:t>
        <w:br/>
        <w:t xml:space="preserve">      de protección que les permitan adecuar materialmente  su  reacción  de</w:t>
        <w:br/>
        <w:t xml:space="preserve">      forma proporcional a los hechos en que deban intervenir, restringiendo</w:t>
        <w:br/>
        <w:t xml:space="preserve">      en la mayor medida el uso de armas letales que puedan ocasionar lesión</w:t>
        <w:br/>
        <w:t xml:space="preserve">      o muerte”[157]. A su vez, el Estado debe realizar capacitaciones a sus</w:t>
        <w:br/>
        <w:t xml:space="preserve">      agentes con la finalidad de que conozcan las disposiciones legales que</w:t>
        <w:br/>
        <w:t xml:space="preserve">      permiten el uso de las armas de fuego y que  tengan  el  entrenamiento</w:t>
        <w:br/>
        <w:t xml:space="preserve">      adecuado para que en el evento en que deban decidir acerca de  su  uso</w:t>
        <w:br/>
        <w:t xml:space="preserve">      posean los elementos de  juicio  para  hacerlo[158].  Lo  anterior  es</w:t>
        <w:br/>
        <w:t xml:space="preserve">      aplicable también a las labores  de  inteligencia  y,  por  tanto,  al</w:t>
        <w:br/>
        <w:t xml:space="preserve">      presente caso[159].</w:t>
        <w:br/>
        <w:br/>
        <w:t xml:space="preserve"> 127. En relación con lo anterior, a la luz del artículo 2 de la Convención,</w:t>
        <w:br/>
        <w:t xml:space="preserve">      la Corte ha  señalado  que  “[e]l  deber  general  [derivado  de  este</w:t>
        <w:br/>
        <w:t xml:space="preserve">      artículo] implica la adopción de medidas en dos  vertientes.  Por  una</w:t>
        <w:br/>
        <w:t xml:space="preserve">      parte, la supresión de las normas y prácticas de cualquier  naturaleza</w:t>
        <w:br/>
        <w:t xml:space="preserve">      que entrañen violación a las garantías previstas en la Convención. Por</w:t>
        <w:br/>
        <w:t xml:space="preserve">      la otra,  la  expedición  de  normas  y  el  desarrollo  de  prácticas</w:t>
        <w:br/>
        <w:t xml:space="preserve">      conducentes a la efectiva observancia de dichas garantías”[160].</w:t>
        <w:br/>
        <w:br/>
        <w:t xml:space="preserve"> 128. Siendo que las partes no alegaron la violación del artículo  2  de  la</w:t>
        <w:br/>
        <w:t xml:space="preserve">      Convención Americana, la Corte estima pertinente aplicar el  principio</w:t>
        <w:br/>
        <w:t xml:space="preserve">      iura novit curia, el cual se encuentra sólidamente  respaldado  en  la</w:t>
        <w:br/>
        <w:t xml:space="preserve">      jurisprudencia internacional, mismo que permite  estudiar  la  posible</w:t>
        <w:br/>
        <w:t xml:space="preserve">      violación de las normas de la Convención que no han sido  alegadas  en</w:t>
        <w:br/>
        <w:t xml:space="preserve">      los escritos presentados por las partes, siempre y cuando éstas  hayan</w:t>
        <w:br/>
        <w:t xml:space="preserve">      tenido la  oportunidad  de  expresar  sus  respectivas  posiciones  en</w:t>
        <w:br/>
        <w:t xml:space="preserve">      relación con los hechos que las sustentan[161]. En  este  sentido,  la</w:t>
        <w:br/>
        <w:t xml:space="preserve">      Corte ha utilizado dicho principio, desde su primera  sentencia  y  en</w:t>
        <w:br/>
        <w:t xml:space="preserve">      diversas oportunidades[162], para declarar la vulneración de  derechos</w:t>
        <w:br/>
        <w:t xml:space="preserve">      que no habían sido directamente alegados por las partes, pero  que  se</w:t>
        <w:br/>
        <w:t xml:space="preserve">      desprendían del análisis de los hechos bajo controversia,  por  cuanto</w:t>
        <w:br/>
        <w:t xml:space="preserve">      dicho principio autoriza al Tribunal, siempre y cuando se  respete  el</w:t>
        <w:br/>
        <w:t xml:space="preserve">      marco fáctico de  la  causa,  a  calificar  la  situación  o  relación</w:t>
        <w:br/>
        <w:t xml:space="preserve">      jurídica en conflicto de  manera  distinta  a  como  lo  hicieran  las</w:t>
        <w:br/>
        <w:t xml:space="preserve">      partes[163].</w:t>
        <w:br/>
        <w:br/>
        <w:t xml:space="preserve"> 129. En razón de lo anterior, el Estado  no  cumplió,  al  momento  de  los</w:t>
        <w:br/>
        <w:t xml:space="preserve">      hechos, con su obligación de garantizar el derecho a la vida  mediante</w:t>
        <w:br/>
        <w:t xml:space="preserve">      una adecuada legislación sobre el uso de la fuerza. Por ende,  tampoco</w:t>
        <w:br/>
        <w:t xml:space="preserve">      demostró haber brindado capacitación ni entrenamiento en la materia  a</w:t>
        <w:br/>
        <w:t xml:space="preserve">      los agentes encargados de hacer cumplir la ley, en  contravención  del</w:t>
        <w:br/>
        <w:t xml:space="preserve">      deber de garantía del derecho a la vida y las  obligaciones  derivadas</w:t>
        <w:br/>
        <w:t xml:space="preserve">      del artículo 2 de la Convención Americana[164].</w:t>
        <w:br/>
        <w:br/>
        <w:br/>
        <w:t xml:space="preserve">    B.2 Acciones concomitantes a los hechos: finalidad  legítima,  absoluta</w:t>
        <w:br/>
        <w:t xml:space="preserve">    necesidad y proporcionalidad en relación con el deber de respeto</w:t>
        <w:br/>
        <w:br/>
        <w:br/>
        <w:t xml:space="preserve"> 130. La Corte ha sostenido que “en el desarrollo de un evento de despliegue</w:t>
        <w:br/>
        <w:t xml:space="preserve">      de la autoridad, los agentes estatales, en la medida  de  lo  posible,</w:t>
        <w:br/>
        <w:t xml:space="preserve">      deben realizar una evaluación de la situación  y  un  plan  de  acción</w:t>
        <w:br/>
        <w:t xml:space="preserve">      previo  a  su  intervención”[165].  En  consecuencia,  los  operativos</w:t>
        <w:br/>
        <w:t xml:space="preserve">      policiales deben estar dirigidos al arresto y no a la privación de  la</w:t>
        <w:br/>
        <w:t xml:space="preserve">      vida del presunto infractor.</w:t>
        <w:br/>
        <w:br/>
        <w:t xml:space="preserve"> 131. Como regla general, el uso de armas de fuego está previsto como medida</w:t>
        <w:br/>
        <w:t xml:space="preserve">      de último recurso a la luz del derecho  interno  e  internacional.  En</w:t>
        <w:br/>
        <w:t xml:space="preserve">      este sentido, los Principios básicos sobre  el  empleo  de  la  fuerza</w:t>
        <w:br/>
        <w:t xml:space="preserve">      establecen que “los funcionarios encargados de hacer cumplir la ley no</w:t>
        <w:br/>
        <w:t xml:space="preserve">      emplearán armas de fuego contra las personas, salvo en defensa  propia</w:t>
        <w:br/>
        <w:t xml:space="preserve">      o de otras personas, en caso de peligro inminente de muerte o lesiones</w:t>
        <w:br/>
        <w:t xml:space="preserve">      graves, o con  el  propósito  de  evitar  la  comisión  de  un  delito</w:t>
        <w:br/>
        <w:t xml:space="preserve">      particularmente grave que entrañe una seria amenaza para  la  vida,  o</w:t>
        <w:br/>
        <w:t xml:space="preserve">      con el objeto de detener a una persona que represente  ese  peligro  y</w:t>
        <w:br/>
        <w:t xml:space="preserve">      oponga resistencia a su autoridad, o para impedir su fuga, y  sólo  en</w:t>
        <w:br/>
        <w:t xml:space="preserve">      caso de que resulten insuficientes medidas menos extremas para  lograr</w:t>
        <w:br/>
        <w:t xml:space="preserve">      dichos objetivos. En todo caso, sólo se podrá hacer uso intencional de</w:t>
        <w:br/>
        <w:t xml:space="preserve">      armas letales cuando sea absolutamente inevitable  para  proteger  una</w:t>
        <w:br/>
        <w:t xml:space="preserve">      vida”[166].</w:t>
        <w:br/>
        <w:br/>
        <w:t xml:space="preserve"> 132. En cuanto a los hechos en torno a la  muerte  de  Igmar  Landaeta,  la</w:t>
        <w:br/>
        <w:t xml:space="preserve">      Corte observa que, de la prueba aportada y  lo  alegado,  existen  dos</w:t>
        <w:br/>
        <w:t xml:space="preserve">      versiones de lo ocurrido (supra párr. 59), respecto de las  cuales  se</w:t>
        <w:br/>
        <w:t xml:space="preserve">      desprenden ciertas divergencias  en  la  consecución  de  los  hechos.</w:t>
        <w:br/>
        <w:t xml:space="preserve">      Corresponde por tanto, al derecho interno,  esclarecer  los  hechos  y</w:t>
        <w:br/>
        <w:t xml:space="preserve">      determinar las responsabilidades individuales. No obstante, de acuerdo</w:t>
        <w:br/>
        <w:t xml:space="preserve">      a la jurisprudencia de la Corte, debe tenerse presente, que  “en  todo</w:t>
        <w:br/>
        <w:t xml:space="preserve">      caso de uso de fuerza [por  parte  de  agentes  estatales]  que  hayan</w:t>
        <w:br/>
        <w:t xml:space="preserve">      producido la muerte o lesiones a una o más  personas,  corresponde  al</w:t>
        <w:br/>
        <w:t xml:space="preserve">      Estado la  obligación  de  proveer  una  explicación  satisfactoria  y</w:t>
        <w:br/>
        <w:t xml:space="preserve">      convincente de lo sucedido  y  desvirtuar  las  alegaciones  sobre  su</w:t>
        <w:br/>
        <w:t xml:space="preserve">      responsabilidad, mediante elementos probatorios adecuados”[167].</w:t>
        <w:br/>
        <w:br/>
        <w:t xml:space="preserve"> 133. En vista de la prueba aportada por las partes y la Comisión, la  Corte</w:t>
        <w:br/>
        <w:t xml:space="preserve">      constata  que  más  allá  de  las  diversas  versiones,  existen   los</w:t>
        <w:br/>
        <w:t xml:space="preserve">      siguientes hechos no controvertidos (supra párrs. 60, 61, 62  65,  64,</w:t>
        <w:br/>
        <w:t xml:space="preserve">      66  y  79):  a)  dos  personas  vestidas  de  civiles,  quienes   eran</w:t>
        <w:br/>
        <w:t xml:space="preserve">      funcionarios policiales realizando labores de inteligencia, llevaron a</w:t>
        <w:br/>
        <w:t xml:space="preserve">      cabo una persecución a Igmar Landaeta; b) los agentes  accionaron  sus</w:t>
        <w:br/>
        <w:t xml:space="preserve">      armas en contra de Igmar Landaeta, quien recibió dos disparos de  arma</w:t>
        <w:br/>
        <w:t xml:space="preserve">      de fuego; c)  de  acuerdo  a  la  autopsia,  ambos  disparos  tuvieron</w:t>
        <w:br/>
        <w:t xml:space="preserve">      trayectorias  distintas:  i)  el  primero  con  “orificio  de  entrada</w:t>
        <w:br/>
        <w:t xml:space="preserve">      [localizado  en]  9no  espacio  intercostal  izquierdo  posterior  con</w:t>
        <w:br/>
        <w:t xml:space="preserve">      proyección de línea escapular  interna  [y  con]  orificio  de  salida</w:t>
        <w:br/>
        <w:t xml:space="preserve">      [situado en] 6to espacio intercostal paraesternal derecho [,  tuvo  un</w:t>
        <w:br/>
        <w:t xml:space="preserve">      t]rayecto de atrás hacia adelante, de abajo hacia arriba, de izquierda</w:t>
        <w:br/>
        <w:t xml:space="preserve">      a derecha, y ii) el segundo  con  “orificio  de  entrada  [en]  puente</w:t>
        <w:br/>
        <w:t xml:space="preserve">      nasal, con halo de contusión a su alrededor y orificio de salida  [con</w:t>
        <w:br/>
        <w:t xml:space="preserve">      afectación  en  la]  región  occipital  parietal  derecha,  irregular,</w:t>
        <w:br/>
        <w:t xml:space="preserve">      anfractuoso, [tuvo un t]rayecto de adelante hacia atrás, de  izquierda</w:t>
        <w:br/>
        <w:t xml:space="preserve">      a derecha, de arriba hacia abajo”; d) el segundo disparo fue letal con</w:t>
        <w:br/>
        <w:t xml:space="preserve">      “causa de muerte [derivada de una] contusión  cerebral  severa,  [por]</w:t>
        <w:br/>
        <w:t xml:space="preserve">      herida facio craneal por proyectil de arma de fuego”, y e)  el  cuerpo</w:t>
        <w:br/>
        <w:t xml:space="preserve">      de Igmar Landaeta fue trasladado del lugar de  los  hechos  al  Centro</w:t>
        <w:br/>
        <w:t xml:space="preserve">      Ambulatorio, donde fue depositado en la sala de emergencias.</w:t>
        <w:br/>
        <w:br/>
        <w:br/>
        <w:t>B.2.1 El uso de la fuerza en el caso de Igmar Alexander Landaeta Mejías</w:t>
        <w:br/>
        <w:br/>
        <w:br/>
        <w:t xml:space="preserve"> 134. En caso de que resultare imperioso el uso  de  la  fuerza,  ésta  debe</w:t>
        <w:br/>
        <w:t xml:space="preserve">      realizarse en armonía con los principios  de  la  finalidad  legítima,</w:t>
        <w:br/>
        <w:t xml:space="preserve">      absoluta necesidad y proporcionalidad:</w:t>
        <w:br/>
        <w:br/>
        <w:t xml:space="preserve">     i. Finalidad legítima: el uso de la fuerza debe estar dirigido a</w:t>
        <w:br/>
        <w:t>lograr un objetivo legítimo[168]. En el supuesto de la versión del</w:t>
        <w:br/>
        <w:t>enfrentamiento, dicho objetivo consistía en detener a Igmar Landaeta, quien</w:t>
        <w:br/>
        <w:t>habría corrido luego de la presunta solicitud de alto de los agentes de</w:t>
        <w:br/>
        <w:t>inteligencia, mientras éste realizaba un intercambio de armas (supra párr.</w:t>
        <w:br/>
        <w:t>65). Posteriormente, según el dicho de los agentes, frente a los disparos</w:t>
        <w:br/>
        <w:t>realizados por parte de Igmar Landaeta, habrían activado sus armas de fuego</w:t>
        <w:br/>
        <w:t>para repeler la agresión y someterlo (supra párr. 65). Ya la Corte señaló</w:t>
        <w:br/>
        <w:t>la ausencia de legislación específica en la materia, no obstante existían</w:t>
        <w:br/>
        <w:t>normas generales sobre la portación de armas de fuego y su uso en la</w:t>
        <w:br/>
        <w:t>legítima defensa u orden público[169].</w:t>
        <w:br/>
        <w:br/>
        <w:t xml:space="preserve">     ii. Absoluta necesidad: es preciso verificar si existen otros medios</w:t>
        <w:br/>
        <w:t>disponibles menos lesivos para tutelar la vida e integridad de la persona o</w:t>
        <w:br/>
        <w:t>situación que se pretende proteger, de conformidad con las circunstancias</w:t>
        <w:br/>
        <w:t>del caso[170]. Esta Corte ha señalado que no se puede concluir que quede</w:t>
        <w:br/>
        <w:t>acreditado el requisito de “absoluta necesidad” para utilizar la fuerza</w:t>
        <w:br/>
        <w:t>contra personas, cuando estas no representan un peligro directo, “inclusive</w:t>
        <w:br/>
        <w:t>cuando la falta del uso de la fuerza resultare en la pérdida de la</w:t>
        <w:br/>
        <w:t>oportunidad de captura”[171]. Los hechos en este caso, en principio, se</w:t>
        <w:br/>
        <w:t>podrían encuadrar en el supuesto de impedir la fuga y/o repeler una</w:t>
        <w:br/>
        <w:t>agresión. La Corte considera que, en consecuencia, se podría justificar el</w:t>
        <w:br/>
        <w:t>empleo de la fuerza frente a la posible amenaza directa que resultara a los</w:t>
        <w:br/>
        <w:t>agentes o terceros con motivo del supuesto enfrentamiento, más debiera ser</w:t>
        <w:br/>
        <w:t>utilizada como medida de último recurso.</w:t>
        <w:br/>
        <w:br/>
        <w:t xml:space="preserve">     iii. Proporcionalidad: el nivel de fuerza  utilizado  debe  ser  acorde</w:t>
        <w:br/>
        <w:t>con el nivel de resistencia ofrecido[172], lo  cual  implica  un  equilibrio</w:t>
        <w:br/>
        <w:t>entre la situación a la que se  enfrenta  el  funcionario  y  su  respuesta,</w:t>
        <w:br/>
        <w:t>considerando el daño potencial que podría ser ocasionado. Así,  los  agentes</w:t>
        <w:br/>
        <w:t>deben aplicar un criterio de uso diferenciado de la fuerza, determinando  el</w:t>
        <w:br/>
        <w:t>grado de cooperación, resistencia o agresión de parte del sujeto al cual  se</w:t>
        <w:br/>
        <w:t>pretende intervenir y, con ello, emplear tácticas de negociación, control  o</w:t>
        <w:br/>
        <w:t>uso de fuerza, según corresponda[173].</w:t>
        <w:br/>
        <w:br/>
        <w:t xml:space="preserve"> 135. Es imperante que, con el objetivo de evitar confusión  e  inseguridad,</w:t>
        <w:br/>
        <w:t xml:space="preserve">      los funcionarios encargados de hacer cumplir la  ley  se  identifiquen</w:t>
        <w:br/>
        <w:t xml:space="preserve">      como tales y den una clara advertencia  de  su  intención  de  emplear</w:t>
        <w:br/>
        <w:t xml:space="preserve">      armas de fuego[174] en todo momento; sobre todo cuando  se  encuentran</w:t>
        <w:br/>
        <w:t xml:space="preserve">      realizando operativos y,  en  especial,  en  situaciones  que  por  su</w:t>
        <w:br/>
        <w:t xml:space="preserve">      naturaleza  pongan  en  peligro  los  derechos  fundamentales  de  las</w:t>
        <w:br/>
        <w:t xml:space="preserve">      personas.</w:t>
        <w:br/>
        <w:br/>
        <w:t xml:space="preserve"> 136. Para determinar  la  proporcionalidad  del  uso  de  la  fuerza,  debe</w:t>
        <w:br/>
        <w:t xml:space="preserve">      evaluarse la gravedad de la situación  que  enfrenta  el  funcionario.</w:t>
        <w:br/>
        <w:t xml:space="preserve">      Para  ello,  se  debe  considerar,  entre  otras  circunstancias:   la</w:t>
        <w:br/>
        <w:t xml:space="preserve">      intensidad y peligrosidad de la amenaza;  la  forma  de  proceder  del</w:t>
        <w:br/>
        <w:t xml:space="preserve">      individuo; las condiciones del  entorno,  y  los  medios  de  los  que</w:t>
        <w:br/>
        <w:t xml:space="preserve">      disponga el funcionario para abordar una situación específica. Además,</w:t>
        <w:br/>
        <w:t xml:space="preserve">      este principio exige que el funcionario encargado de hacer cumplir  la</w:t>
        <w:br/>
        <w:t xml:space="preserve">      ley busque en  toda  circunstancia  reducir  al  mínimo  los  daños  y</w:t>
        <w:br/>
        <w:t xml:space="preserve">      lesiones que pudieran causarse a cualquier persona, así como  utilizar</w:t>
        <w:br/>
        <w:t xml:space="preserve">      el nivel de fuerza más bajo necesario para alcanzar el objetivo  legal</w:t>
        <w:br/>
        <w:t xml:space="preserve">      buscado.</w:t>
        <w:br/>
        <w:br/>
        <w:t xml:space="preserve"> 137. En el presente caso, no  obstante  la  declaración  de  seis  testigos</w:t>
        <w:br/>
        <w:t xml:space="preserve">      presenciales que señalaron no haber visto armado a Igmar Landaeta, los</w:t>
        <w:br/>
        <w:t xml:space="preserve">      análisis de traza de disparos y dactiloscópicos sobre su mano  derecha</w:t>
        <w:br/>
        <w:t xml:space="preserve">      arrojaron resultados positivos, por lo que, en el  supuesto  que  éste</w:t>
        <w:br/>
        <w:t xml:space="preserve">      hubiera disparado a los  agentes,  de  acuerdo  con  el  principio  de</w:t>
        <w:br/>
        <w:t xml:space="preserve">      proporcionalidad, las medidas  utilizadas  para  repeler  la  agresión</w:t>
        <w:br/>
        <w:t xml:space="preserve">      deberían haber contemplado un uso diferenciado de la fuerza. Aún en el</w:t>
        <w:br/>
        <w:t xml:space="preserve">      supuesto de un enfrentamiento armado, esta Corte considera que, de  la</w:t>
        <w:br/>
        <w:t xml:space="preserve">      prueba evaluada, ambos disparos de los funcionarios  estatales  fueron</w:t>
        <w:br/>
        <w:t xml:space="preserve">      extremos, es decir de alto riesgo; el primero en la espalda  alta,  el</w:t>
        <w:br/>
        <w:t xml:space="preserve">      cual evidencia ventaja en la posición de los funcionarios  y  coincide</w:t>
        <w:br/>
        <w:t xml:space="preserve">      con las versiones de que Igmar Landaeta se encontraba corriendo, y  el</w:t>
        <w:br/>
        <w:t xml:space="preserve">      segundo en el puente nasal de la frente, el cual le ocasionó la muerte</w:t>
        <w:br/>
        <w:t xml:space="preserve">      con motivo de una contusión cerebral severa.</w:t>
        <w:br/>
        <w:br/>
        <w:t xml:space="preserve"> 138. En este sentido, más allá de la supuesta “voz de alto” y los  disparos</w:t>
        <w:br/>
        <w:t xml:space="preserve">      al aire a los  que  hicieron  alusión  los  funcionarios,  quienes  no</w:t>
        <w:br/>
        <w:t xml:space="preserve">      portaban insignias que los identificaran, el Estado no demostró que se</w:t>
        <w:br/>
        <w:t xml:space="preserve">      hubieran utilizado medidas menos lesivas  para  alcanzar  el  objetivo</w:t>
        <w:br/>
        <w:t xml:space="preserve">      perseguido, consistente en el sometimiento de Igmar Landaeta.</w:t>
        <w:br/>
        <w:br/>
        <w:t xml:space="preserve"> 139. Adicionalmente,  cuatro  testimonios[175]  de  las  vecinas  (testigos</w:t>
        <w:br/>
        <w:t xml:space="preserve">      presenciales) que habitaban frente y en ambos lados  del  lugar  donde</w:t>
        <w:br/>
        <w:t xml:space="preserve">      cayó el cuerpo de Igmar Landaeta, coincidieron con la versión  de  que</w:t>
        <w:br/>
        <w:t xml:space="preserve">      éste habría suplicado por su vida (“no me vayas a matar, no me vayas a</w:t>
        <w:br/>
        <w:t xml:space="preserve">      matar”), y luego de escuchar disparos lo vieron herido  de  bala,  con</w:t>
        <w:br/>
        <w:t xml:space="preserve">      sangre en la cara, y observaron que los agentes se lo llevaron  en  un</w:t>
        <w:br/>
        <w:t xml:space="preserve">      carro blanco (supra párrs. 61 y 63). Respecto del segundo disparo,  el</w:t>
        <w:br/>
        <w:t xml:space="preserve">      perito Baraybar señaló que las características  de  la  lesión  en  la</w:t>
        <w:br/>
        <w:t xml:space="preserve">      cara, con "orificio de entrada con halo de contusión a  su  alrededor,</w:t>
        <w:br/>
        <w:t xml:space="preserve">      corresponden a una lesión por arma de fuego “a distancia”[176]  en  el</w:t>
        <w:br/>
        <w:t xml:space="preserve">      tabique nasal como lo indica el informe de inspección ocular […]  [s]e</w:t>
        <w:br/>
        <w:t xml:space="preserve">      puede inferir que […] (la lesión en segmento  de  cabeza)  se  produjo</w:t>
        <w:br/>
        <w:t xml:space="preserve">      cuando se  encontraba  en  el  piso”[177].  Adicionalmente,  la  Corte</w:t>
        <w:br/>
        <w:t xml:space="preserve">      constata que el cuerpo de Igmar Landaeta fue trasladado del  lugar  de</w:t>
        <w:br/>
        <w:t xml:space="preserve">      los hechos y presentado sin vida en el Centro Ambulatorio (supra párr.</w:t>
        <w:br/>
        <w:t xml:space="preserve">      64). Por su parte, el Juzgado Segundo y la primera  decisión  adoptada</w:t>
        <w:br/>
        <w:t xml:space="preserve">      por la Corte de Apelaciones hicieron referencia a  que  “[el]  segundo</w:t>
        <w:br/>
        <w:t xml:space="preserve">      disparo no debió ser necesario”[178] y que existió “una  desproporción</w:t>
        <w:br/>
        <w:t xml:space="preserve">      entre el mal causado por el agente y su propósito de realizar el hecho</w:t>
        <w:br/>
        <w:t xml:space="preserve">      punible”[179], en perjuicio de Igmar Landaeta.</w:t>
        <w:br/>
        <w:br/>
        <w:t xml:space="preserve"> 140.  Por  otra  parte,  la  Corte  nota  ciertas  inconsistencias  en  las</w:t>
        <w:br/>
        <w:t xml:space="preserve">      declaraciones de los dos testigos que sostuvieron la  versión  de  los</w:t>
        <w:br/>
        <w:t xml:space="preserve">      agentes, de las cuales se desprende que  una  de  ellos  (July  Esther</w:t>
        <w:br/>
        <w:t xml:space="preserve">      Zacarías de Villanueva), era la  hermana  del  agente  policial  CJZM,</w:t>
        <w:br/>
        <w:t xml:space="preserve">      quien habría participado en las amenazas a los hermanos Landaeta antes</w:t>
        <w:br/>
        <w:t xml:space="preserve">      de su muerte[180]. Asimismo, una de las testigos presenciales  (Adeisa</w:t>
        <w:br/>
        <w:t xml:space="preserve">      de la Trinidad Moffi García) la habría señalado como la mujer  que  se</w:t>
        <w:br/>
        <w:t xml:space="preserve">      bajó del carro blanco de los agentes (supra párr.  62).  Al  respecto,</w:t>
        <w:br/>
        <w:t xml:space="preserve">      July Zacarías declaró que corrió hacia los funcionarios para  ver  qué</w:t>
        <w:br/>
        <w:t xml:space="preserve">      era lo que había pasado y ellos le dijeron que se fuera para su  casa.</w:t>
        <w:br/>
        <w:t xml:space="preserve">      Sin embargo, los agentes policiales no se refirieron a esta situación.</w:t>
        <w:br/>
        <w:t xml:space="preserve">      Por su parte, el otro testigo (José Gregorio del  Rosso  Dona)  señaló</w:t>
        <w:br/>
        <w:t xml:space="preserve">      que presenció los hechos, ya que transitaba por la zona y que, al  día</w:t>
        <w:br/>
        <w:t xml:space="preserve">      siguiente, al haberse enterado en las  noticias  del  suceso,  decidió</w:t>
        <w:br/>
        <w:t xml:space="preserve">      acudir a declarar sin que hubiera sido citado por  la  autoridad[181].</w:t>
        <w:br/>
        <w:t xml:space="preserve">      Por su parte, el agente GACF manifestó que él y  AJCG  se  tiraron  al</w:t>
        <w:br/>
        <w:t xml:space="preserve">      piso y dispararon desde ahí, lo cual no concuerda con las trayectorias</w:t>
        <w:br/>
        <w:t xml:space="preserve">      intraorgánicas de los disparos. Si  bien  todas  estas  declaraciones,</w:t>
        <w:br/>
        <w:t xml:space="preserve">      sostienen  la  hipótesis  del  enfrentamiento,  no  se  desprende  con</w:t>
        <w:br/>
        <w:t xml:space="preserve">      claridad las secuencias de las lesiones y la ocurrencia del disparo en</w:t>
        <w:br/>
        <w:t xml:space="preserve">      el tabique nasal, ni cómo, luego de ello, Igmar Landaeta podría  haber</w:t>
        <w:br/>
        <w:t xml:space="preserve">      continuado con vida, a fin de ser trasladado desde  el  lugar  de  los</w:t>
        <w:br/>
        <w:t xml:space="preserve">      hechos (infra párr. 146).  El Estado, en su defensa ante la Corte,  se</w:t>
        <w:br/>
        <w:t xml:space="preserve">      limitó  a  citar  los  procedimientos  internos,  sin   corroborar   o</w:t>
        <w:br/>
        <w:t xml:space="preserve">      desvirtuar ninguna de las versiones. En este  sentido,  el  Estado  no</w:t>
        <w:br/>
        <w:t xml:space="preserve">      presentó pruebas consistentes,  congruentes,  fiables  y  suficientes,</w:t>
        <w:br/>
        <w:t xml:space="preserve">      para considerar que el despliegue del uso de la fuerza letal en contra</w:t>
        <w:br/>
        <w:t xml:space="preserve">      de  Igmar  Landaeta  fuera,  en  las  circunstancias  de  los  hechos,</w:t>
        <w:br/>
        <w:t xml:space="preserve">      proporcional, o que los agentes  policiales  que  participaron  en  el</w:t>
        <w:br/>
        <w:t xml:space="preserve">      operativo hubieran intentado otros mecanismos menos letales[182].</w:t>
        <w:br/>
        <w:br/>
        <w:t xml:space="preserve"> 141. En vista de lo anterior,  más  allá  de  la  plena  certeza  de  tales</w:t>
        <w:br/>
        <w:t xml:space="preserve">      evidencias, de la narrativa de los hechos y del caudal probatorio,  se</w:t>
        <w:br/>
        <w:t xml:space="preserve">      advierte que el empleo de la fuerza de manera  letal  no  habría  sido</w:t>
        <w:br/>
        <w:t xml:space="preserve">      necesario, por lo que esta Corte estima que, en particular, el segundo</w:t>
        <w:br/>
        <w:t xml:space="preserve">      disparo excedió la proporcionalidad del uso de la fuerza que se podría</w:t>
        <w:br/>
        <w:t xml:space="preserve">      aplicar para lograr el supuesto objetivo que  se  pretendía  alcanzar,</w:t>
        <w:br/>
        <w:t xml:space="preserve">      consistente en  la  detención  y/o  sometimiento  de  Igmar  Landaeta.</w:t>
        <w:br/>
        <w:t xml:space="preserve">      Además, considerando la aludida problemática de abusos  policiacos  en</w:t>
        <w:br/>
        <w:t xml:space="preserve">      la época de los hechos y las amenazas  proferidas  a  la  familia  por</w:t>
        <w:br/>
        <w:t xml:space="preserve">      parte de los mismos agentes, la Corte estima que  existen  suficientes</w:t>
        <w:br/>
        <w:t xml:space="preserve">      indicios que apuntan a que el segundo disparo, cuando  Igmar  Landaeta</w:t>
        <w:br/>
        <w:t xml:space="preserve">      se encontraba en el suelo, habría sido deliberado.</w:t>
        <w:br/>
        <w:br/>
        <w:t xml:space="preserve"> 142. La Corte ha establecido que cuando los agentes  estatales  emplean  la</w:t>
        <w:br/>
        <w:t xml:space="preserve">      fuerza ilegítima, excesiva o desproporcionada,  como  en  el  presente</w:t>
        <w:br/>
        <w:t xml:space="preserve">      caso, dando lugar a la pérdida de la vida, se considera una  privación</w:t>
        <w:br/>
        <w:t xml:space="preserve">      arbitraria de la misma[183]. Como consecuencia,  la  muerte  de  Igmar</w:t>
        <w:br/>
        <w:t xml:space="preserve">      Landaeta, ocasionada durante su persecución, fue el resultado del  uso</w:t>
        <w:br/>
        <w:t xml:space="preserve">      desproporcionado de la  fuerza  por  el  actuar  de  los  funcionarios</w:t>
        <w:br/>
        <w:t xml:space="preserve">      encargados de hacer cumplir la ley, lo cual constituye  una  privación</w:t>
        <w:br/>
        <w:t xml:space="preserve">      arbitraria de la vida atribuible al Estado, en violación del  artículo</w:t>
        <w:br/>
        <w:t xml:space="preserve">      4 de la Convención Americana, en perjuicio de Igmar Landaeta.</w:t>
        <w:br/>
        <w:br/>
        <w:br/>
        <w:t xml:space="preserve">    B.3 Acciones posteriores a los hechos: debida diligencia y humanidad en</w:t>
        <w:br/>
        <w:t xml:space="preserve">    relación con el deber de respeto y garantía del derecho a la vida</w:t>
        <w:br/>
        <w:br/>
        <w:br/>
        <w:t xml:space="preserve"> 143. Respecto de las acciones posteriores al empleo del uso de  la  fuerza,</w:t>
        <w:br/>
        <w:t xml:space="preserve">      la Corte ha sostenido que, de conformidad con los  Principios  básicos</w:t>
        <w:br/>
        <w:t xml:space="preserve">      sobre el empleo de la fuerza, en caso de presentarse heridos luego del</w:t>
        <w:br/>
        <w:t xml:space="preserve">      despliegue de la misma, se les debe prestar y facilitar los  servicios</w:t>
        <w:br/>
        <w:t xml:space="preserve">      médicos correspondientes y notificar lo sucedido lo  antes  posible  a</w:t>
        <w:br/>
        <w:t xml:space="preserve">      los parientes o amigos íntimos[184]. Además, se debe proceder  con  la</w:t>
        <w:br/>
        <w:t xml:space="preserve">      rendición de informes de  la   situación,  los  cuales  deberán  tener</w:t>
        <w:br/>
        <w:t xml:space="preserve">      supervisión administrativa  y  judicial[185].  De  igual  forma,  debe</w:t>
        <w:br/>
        <w:t xml:space="preserve">      existir una investigación de los  hechos  que  permita  determinar  el</w:t>
        <w:br/>
        <w:t xml:space="preserve">      grado y modo de la participación de cada  uno  de  los  interventores,</w:t>
        <w:br/>
        <w:t xml:space="preserve">      sean  materiales  o  intelectuales,  y,  con  ello,   establecer   las</w:t>
        <w:br/>
        <w:t xml:space="preserve">      responsabilidades que puedan corresponder[186] (infra párr. 242).</w:t>
        <w:br/>
        <w:br/>
        <w:t xml:space="preserve"> 144. La Corte constató que luego del incidente en el  que  perdió  la  vida</w:t>
        <w:br/>
        <w:t xml:space="preserve">      Igmar Landaeta, los agentes que le dispararon lo trasladaron al Centro</w:t>
        <w:br/>
        <w:t xml:space="preserve">      Ambulatorio, en un tiempo aproximado de 20 minutos,  dejándolo  en  la</w:t>
        <w:br/>
        <w:t xml:space="preserve">      sala de emergencias, luego de lo  cual  se  retiraron  del  lugar  sin</w:t>
        <w:br/>
        <w:t xml:space="preserve">      identificarse. De  acuerdo  con  la  declaración  del  médico  que  lo</w:t>
        <w:br/>
        <w:t xml:space="preserve">      recibió, el cuerpo de Igmar  Landaeta  no  presentaba  signos  vitales</w:t>
        <w:br/>
        <w:t xml:space="preserve">      (supra párr. 64).</w:t>
        <w:br/>
        <w:br/>
        <w:t xml:space="preserve"> 145. Al respecto, la Corte toma nota que la sentencia del Juzgado  Superior</w:t>
        <w:br/>
        <w:t xml:space="preserve">      Tercero en lo Penal de 11 de noviembre de 1997 determinó que:</w:t>
        <w:br/>
        <w:br/>
        <w:t>“A criterio del juzgado superior, esto constituye una forma de  proceder  no</w:t>
        <w:br/>
        <w:t>acorde  con  los  reglamentos  y  funciones  que  debiera  tener   cualquier</w:t>
        <w:br/>
        <w:t>funcionario policial, partícipe en un hecho como el que nos ocupa, toda  vez</w:t>
        <w:br/>
        <w:t>que al suscitarse un incidente donde pierde la  vida  un  ser  humano,  todo</w:t>
        <w:br/>
        <w:t>agente del orden público debe esperar bien sea en el sitio del suceso  o  en</w:t>
        <w:br/>
        <w:t>este caso, en el lugar donde fue dejado el hoy occiso, por la presencia  del</w:t>
        <w:br/>
        <w:t>Órgano Auxiliar de los Tribunales de la República de Venezuela, como  lo  es</w:t>
        <w:br/>
        <w:t>el Cuerpo Técnico de Policía Judicial, para dar inicio como se  dijo  a  las</w:t>
        <w:br/>
        <w:t>investigaciones que determinen con exactitud, la forma como se  ocurren  los</w:t>
        <w:br/>
        <w:t>hechos”[187].</w:t>
        <w:br/>
        <w:br/>
        <w:t xml:space="preserve"> 146. La Corte encuentra que el actuar de los agentes estatales no se ajustó</w:t>
        <w:br/>
        <w:t xml:space="preserve">      a los principios antes referidos de debida diligencia y humanidad  que</w:t>
        <w:br/>
        <w:t xml:space="preserve">      se deben atender luego del despliegue de la fuerza. En particular,  ni</w:t>
        <w:br/>
        <w:t xml:space="preserve">      en el dictamen de la autopsia ni en el acta de defunción se precisa la</w:t>
        <w:br/>
        <w:t xml:space="preserve">      hora exacta y/o momento de la muerte de Igmar  Landaeta  (infra  párr.</w:t>
        <w:br/>
        <w:t xml:space="preserve">      232)[188]. No obstante, en el caso de haber sido el segundo disparo de</w:t>
        <w:br/>
        <w:t xml:space="preserve">      naturaleza  inmediatamente  mortal,  como   lo   sostuvo   el   perito</w:t>
        <w:br/>
        <w:t xml:space="preserve">      Baraybar[189], el cuerpo no debía ser trasladado o  manipulado  de  la</w:t>
        <w:br/>
        <w:t xml:space="preserve">      escena del crimen, puesto que podría repercutir  drásticamente  en  la</w:t>
        <w:br/>
        <w:t xml:space="preserve">      recolección de la prueba. En el caso de que hubiera requerido atención</w:t>
        <w:br/>
        <w:t xml:space="preserve">      médica, los agentes estatales debieron  asegurarle  atención  auxiliar</w:t>
        <w:br/>
        <w:t xml:space="preserve">      inmediata  capacitada.  De  haberlo  trasladarlo  con  vida,  debieron</w:t>
        <w:br/>
        <w:t xml:space="preserve">      presentarlo a  las  autoridades  médicas  competentes,  identificarse,</w:t>
        <w:br/>
        <w:t xml:space="preserve">      notificar lo sucedido, así como realizar un informe de  la  situación,</w:t>
        <w:br/>
        <w:t xml:space="preserve">      supervisado por una autoridad administrativa y/o judicial, y notificar</w:t>
        <w:br/>
        <w:t xml:space="preserve">      a los familiares de la víctima (supra párr. 143). Lo anterior  no  fue</w:t>
        <w:br/>
        <w:t xml:space="preserve">      acreditado en el presente caso, por lo que el  Estado  omitió  brindar</w:t>
        <w:br/>
        <w:t xml:space="preserve">      una atención con la debida diligencia y humanidad en  favor  de  Igmar</w:t>
        <w:br/>
        <w:t xml:space="preserve">      Landaeta. Tampoco se  investigó  ni  sancionó  dicha  actitud  en  vía</w:t>
        <w:br/>
        <w:t xml:space="preserve">      administrativa, disciplinaria o judicial.</w:t>
        <w:br/>
        <w:br/>
        <w:br/>
        <w:t xml:space="preserve">    B.4 Conclusión respecto de Igmar Alexander Landaeta Mejías</w:t>
        <w:br/>
        <w:br/>
        <w:br/>
        <w:t xml:space="preserve"> 147. Por tanto, esta Corte determina que el Estado no contó al  momento  de</w:t>
        <w:br/>
        <w:t xml:space="preserve">      los hechos con un marco normativo y capacitación sobre la materia para</w:t>
        <w:br/>
        <w:t xml:space="preserve">      los funcionarios encargados de cumplir la ley, incluidos  los  agentes</w:t>
        <w:br/>
        <w:t xml:space="preserve">      de inteligencia. Además, frente al despliegue  de  uso  de  la  fuerza</w:t>
        <w:br/>
        <w:t xml:space="preserve">      contra Igmar  Landaeta,  el  Estado  no  acreditó  haber  atendido  el</w:t>
        <w:br/>
        <w:t xml:space="preserve">      principio de proporcionalidad, puesto que utilizó medidas  extremas  y</w:t>
        <w:br/>
        <w:t xml:space="preserve">      fuerza letal que derivaron en la  privación  arbitraria  de  su  vida.</w:t>
        <w:br/>
        <w:t xml:space="preserve">      Asimismo, el Estado incumplió con su deber de brindar una atención  de</w:t>
        <w:br/>
        <w:t xml:space="preserve">      acuerdo a los principios  de  debida  diligencia  y  humanidad  a  las</w:t>
        <w:br/>
        <w:t xml:space="preserve">      personas heridas por uso de la fuerza. Lo anterior,  en  contravención</w:t>
        <w:br/>
        <w:t xml:space="preserve">      del deber de respeto y garantía del derecho a la vida, establecido  en</w:t>
        <w:br/>
        <w:t xml:space="preserve">      el artículo  4  de  la  Convención  Americana,  en  relación  con  los</w:t>
        <w:br/>
        <w:t xml:space="preserve">      artículos 1.1 y 2 de la misma, en perjuicio de Igmar Landaeta.</w:t>
        <w:br/>
        <w:br/>
        <w:t xml:space="preserve"> 148. Finalmente, la  Corte  nota  que  los  representantes  y  la  Comisión</w:t>
        <w:br/>
        <w:t xml:space="preserve">      alegaron la violación del derecho a la integridad personal (artículo 5</w:t>
        <w:br/>
        <w:t xml:space="preserve">      de la Convención) de Igmar Landaeta con  motivo  del  sufrimiento  que</w:t>
        <w:br/>
        <w:t xml:space="preserve">      experimentó previo a su muerte. Al respecto, la Corte considera que no</w:t>
        <w:br/>
        <w:t xml:space="preserve">      resulta necesario pronunciarse sobre otros alegatos que se refieren  a</w:t>
        <w:br/>
        <w:t xml:space="preserve">      los mismos hechos, ya que estima  que,  en  el  presente  caso,  dicha</w:t>
        <w:br/>
        <w:t xml:space="preserve">      violación ha sido analizada en el artículo 4 de la Convención[190].</w:t>
        <w:br/>
        <w:br/>
        <w:t xml:space="preserve">                                    VII-2</w:t>
        <w:br/>
        <w:t xml:space="preserve">    Derecho a la vida, a la integridad personal, a la libertad personal y</w:t>
        <w:br/>
        <w:t xml:space="preserve">      derechos del niño, en relación con las obligaciones de respetar y</w:t>
        <w:br/>
        <w:t xml:space="preserve">      garantizar los derechos RESPECTO DE EDUARDO JOsé LANDAETA mejías</w:t>
        <w:br/>
        <w:br/>
        <w:br/>
        <w:br/>
        <w:t xml:space="preserve">   Argumentos de las partes y de la Comisión</w:t>
        <w:br/>
        <w:br/>
        <w:br/>
        <w:t xml:space="preserve"> 149. La Comisión señaló que respecto del derecho a la libertad personal, la</w:t>
        <w:br/>
        <w:t xml:space="preserve">      detención de Eduardo Landaeta fue  ilegal  y  arbitraria,  ya  que  se</w:t>
        <w:br/>
        <w:t xml:space="preserve">      efectuó sin  orden  judicial,  sin  que  se  presentara  situación  de</w:t>
        <w:br/>
        <w:t xml:space="preserve">      flagrancia, tal como exigía  la  legislación  interna.  Asimismo,  fue</w:t>
        <w:br/>
        <w:t xml:space="preserve">      detenido sin que se le informara a sus padres de  inmediato  sobre  la</w:t>
        <w:br/>
        <w:t xml:space="preserve">      detención y sus  razones  y  sin  que  fuera  llevado  ante  autoridad</w:t>
        <w:br/>
        <w:t xml:space="preserve">      competente para efectuar el  respectivo  control  judicial.  Por  otra</w:t>
        <w:br/>
        <w:t xml:space="preserve">      parte, la Comisión señaló  que  no  contó  con  información  sobre  la</w:t>
        <w:br/>
        <w:t xml:space="preserve">      notificación a un defensor de oficio. La detención duró dos  días  sin</w:t>
        <w:br/>
        <w:t xml:space="preserve">      ser sometida a control judicial, por lo que se vulneró la garantía del</w:t>
        <w:br/>
        <w:t xml:space="preserve">      “control judicial sin demora”. Por ello, la  Comisión  señaló  que  el</w:t>
        <w:br/>
        <w:t xml:space="preserve">      Estado violó las garantías previstas en los numerales 7.1,  7.2,  7.3,</w:t>
        <w:br/>
        <w:t xml:space="preserve">      7.4 y 7.5 de la Convención Americana, así como no tuvo  en  cuenta  la</w:t>
        <w:br/>
        <w:t xml:space="preserve">      especial condición de niño  que  ostentaba  la  presunta  víctima,  de</w:t>
        <w:br/>
        <w:t xml:space="preserve">      acuerdo con las obligaciones establecidas en el artículo 19 y 1.1  del</w:t>
        <w:br/>
        <w:t xml:space="preserve">      mismo instrumento.</w:t>
        <w:br/>
        <w:br/>
        <w:t xml:space="preserve"> 150. En relación con el derecho a la vida, la Comisión  determinó  que  una</w:t>
        <w:br/>
        <w:t xml:space="preserve">      vez en custodia estatal, no se adoptaron las medidas  necesarias  para</w:t>
        <w:br/>
        <w:t xml:space="preserve">      proteger la vida de Eduardo  Landaeta  en  su  situación  especial  de</w:t>
        <w:br/>
        <w:t xml:space="preserve">      vulnerabilidad, tanto por su condición de niño como por  las  amenazas</w:t>
        <w:br/>
        <w:t xml:space="preserve">      recibidas  previamente.  A   esto   se   suman   múltiples   elementos</w:t>
        <w:br/>
        <w:t xml:space="preserve">      circunstanciales que apuntan hacia la ejecución  de  Eduardo  Landaeta</w:t>
        <w:br/>
        <w:t xml:space="preserve">      por parte de la policía, tales como: la muerte de su hermano “un mes y</w:t>
        <w:br/>
        <w:t xml:space="preserve">      medio antes”; las amenazas recibidas por  parte  de  funcionarios  del</w:t>
        <w:br/>
        <w:t xml:space="preserve">      cuerpo policial por intermedio de su madre, incluyendo una amenaza  de</w:t>
        <w:br/>
        <w:t xml:space="preserve">      muerte, y las advertencias del peligro que  corría  Eduardo  Landaeta,</w:t>
        <w:br/>
        <w:t xml:space="preserve">      formuladas  por  dos  funcionarios  cuando  el  padre  acudió  a   las</w:t>
        <w:br/>
        <w:t xml:space="preserve">      dependencias policiales. El Estado no llevó a cabo  una  investigación</w:t>
        <w:br/>
        <w:t xml:space="preserve">      seria y diligente a fin de dar una respuesta satisfactoria a la muerte</w:t>
        <w:br/>
        <w:t xml:space="preserve">      de un niño bajo su custodia y sancionar a los responsables. Tampoco ha</w:t>
        <w:br/>
        <w:t xml:space="preserve">      dado una respuesta judicial definitiva sobre lo sucedido  que  permita</w:t>
        <w:br/>
        <w:t xml:space="preserve">      desvirtuar la presunción de responsabilidad directa. En virtud  de  lo</w:t>
        <w:br/>
        <w:t xml:space="preserve">      anterior, la Comisión concluyó que el Estado era  responsable  por  la</w:t>
        <w:br/>
        <w:t xml:space="preserve">      violación del deber de respetar y garantizar el  derecho  a  la  vida,</w:t>
        <w:br/>
        <w:t xml:space="preserve">      consagrado en el artículo 4 de  la  Convención  en  relación  con  las</w:t>
        <w:br/>
        <w:t xml:space="preserve">      obligaciones establecidas en los artículos 19 y 1.1 de la misma.</w:t>
        <w:br/>
        <w:br/>
        <w:t xml:space="preserve"> 151. Por lo que se refiere al derecho a la integridad personal, la Comisión</w:t>
        <w:br/>
        <w:t xml:space="preserve">      señaló que, ha quedado demostrado, de conformidad con el protocolo  de</w:t>
        <w:br/>
        <w:t xml:space="preserve">      autopsia, que el cuerpo de Eduardo Landaeta  presentó,  en  adición  a</w:t>
        <w:br/>
        <w:t xml:space="preserve">      las heridas orgánicas por arma de fuego, otras lesiones  que  sugerían</w:t>
        <w:br/>
        <w:t xml:space="preserve">      prima facie que la víctima fue sometida  a  torturas  u  otros  tratos</w:t>
        <w:br/>
        <w:t xml:space="preserve">      crueles en su contra. Dicha posibilidad implicaba un deber del  Estado</w:t>
        <w:br/>
        <w:t xml:space="preserve">      de iniciar una investigación de  oficio  sobre  los  posibles  hechos.</w:t>
        <w:br/>
        <w:t xml:space="preserve">      Además, la situación de privación arbitraria e ilegal de  libertad  de</w:t>
        <w:br/>
        <w:t xml:space="preserve">      Eduardo Landaeta, en ausencia de control judicial, aunado a la  muerte</w:t>
        <w:br/>
        <w:t xml:space="preserve">      de su hermano, ocurrida “un mes” antes de manos de agentes  del  mismo</w:t>
        <w:br/>
        <w:t xml:space="preserve">      cuerpo policial, las amenazas que previamente  había  recibido,  y  su</w:t>
        <w:br/>
        <w:t xml:space="preserve">      calidad  de  niño,  constituyeron  tratos  crueles  e  inhumanos   que</w:t>
        <w:br/>
        <w:t xml:space="preserve">      afectaron su integridad psíquica y moral. Así, la  Comisión  determinó</w:t>
        <w:br/>
        <w:t xml:space="preserve">      que el Estado no respetó ni garantizó los derechos consagrados en  los</w:t>
        <w:br/>
        <w:t xml:space="preserve">      artículos 5.1 y 5.2 de la Convención en perjuicio de Eduardo Landaeta,</w:t>
        <w:br/>
        <w:t xml:space="preserve">      en relación con los artículos 19 y 1.1 del mismo instrumento.</w:t>
        <w:br/>
        <w:br/>
        <w:t xml:space="preserve"> 152. Los representantes coincidieron con las violaciones encontradas por la</w:t>
        <w:br/>
        <w:t xml:space="preserve">      Comisión. En particular, especificaron que  la  detención  de  Eduardo</w:t>
        <w:br/>
        <w:t xml:space="preserve">      Landaeta fue ilegal y arbitraria por cuanto no existió  una  orden  de</w:t>
        <w:br/>
        <w:t xml:space="preserve">      detención emanada por un juez competente que decretara,  fundadamente,</w:t>
        <w:br/>
        <w:t xml:space="preserve">      la aprehensión del menor de edad, ni se demostró que ésta hubiera sido</w:t>
        <w:br/>
        <w:t xml:space="preserve">      en situación de flagrancia, sino únicamente por actitudes  sospechosas</w:t>
        <w:br/>
        <w:t xml:space="preserve">      y privado de la libertad para los efectos de  “averiguación”.  Tampoco</w:t>
        <w:br/>
        <w:t xml:space="preserve">      consta motivación de indicios en su contra que justificara  la  misma.</w:t>
        <w:br/>
        <w:t xml:space="preserve">      De igual forma, los representantes sostuvieron  que  los  funcionarios</w:t>
        <w:br/>
        <w:t xml:space="preserve">      policiales que detuvieron a  Eduardo  Landaeta  y  lo  llevaron  a  la</w:t>
        <w:br/>
        <w:t xml:space="preserve">      Comisaría  de  Policía  no  informaron  al  padre   o   a   la   madre</w:t>
        <w:br/>
        <w:t xml:space="preserve">      inmediatamente sobre este hecho. Añadieron que  Eduardo  Landaeta  fue</w:t>
        <w:br/>
        <w:t xml:space="preserve">      sometido a una  grave  tortura  psicológica  en  el  momento  que  era</w:t>
        <w:br/>
        <w:t xml:space="preserve">      trasladado por la comisión policial, al  prever  cuál  iba  a  ser  su</w:t>
        <w:br/>
        <w:t xml:space="preserve">      destino. A falta de prueba en contrario, es  presumible  concluir  que</w:t>
        <w:br/>
        <w:t xml:space="preserve">      las lesiones  señaladas  en  el  protocolo  de  autopsia,  tales  como</w:t>
        <w:br/>
        <w:t xml:space="preserve">      desprendimiento de piel en el glúteo derecho  y  en  ambos  codos,  en</w:t>
        <w:br/>
        <w:t xml:space="preserve">      forma de quemaduras, marcas en las articulaciones de las muñecas y  la</w:t>
        <w:br/>
        <w:t xml:space="preserve">      equimosis en el labio inferior,  fueron  ocasionadas  por  los  mismos</w:t>
        <w:br/>
        <w:t xml:space="preserve">      agentes  policiales  encargados  de  su  custodia.   Finalmente,   los</w:t>
        <w:br/>
        <w:t xml:space="preserve">      representantes  señalaron  que  existen  elementos  suficientes   para</w:t>
        <w:br/>
        <w:t xml:space="preserve">      concluir que la muerte de Eduardo Landaeta  fue  consecuencia  de  una</w:t>
        <w:br/>
        <w:t xml:space="preserve">      ejecución extrajudicial cometida por agentes del Estado.</w:t>
        <w:br/>
        <w:br/>
        <w:t xml:space="preserve"> 153. El Estado se refirió a las declaraciones que corroboran la versión  de</w:t>
        <w:br/>
        <w:t xml:space="preserve">      la ejecución de Eduardo Landaeta por  parte  de  sujetos  encapuchados</w:t>
        <w:br/>
        <w:t xml:space="preserve">      armados que interceptaron el vehículo de la  policía.  Indicó  que  el</w:t>
        <w:br/>
        <w:t xml:space="preserve">      Ministerio Público inició  un  procedimiento  penal  contra  los  tres</w:t>
        <w:br/>
        <w:t xml:space="preserve">      funcionarios policiales bajo cuya custodia se realizó el  traslado  de</w:t>
        <w:br/>
        <w:t xml:space="preserve">      Eduardo Landaeta, por el delito de homicidio  intencional  calificado,</w:t>
        <w:br/>
        <w:t xml:space="preserve">      en grado de  complicidad  y  uso  indebido  de  arma  de  fuego.  Este</w:t>
        <w:br/>
        <w:t xml:space="preserve">      procedimiento  terminó  en  una  decisión  absolutoria,  la  que   fue</w:t>
        <w:br/>
        <w:t xml:space="preserve">      recurrida en apelación y en virtud de ello, la  Corte  de  Apelaciones</w:t>
        <w:br/>
        <w:t xml:space="preserve">      ordenó se iniciara un nuevo juicio oral (supra párrs. 115 y 116).</w:t>
        <w:br/>
        <w:br/>
        <w:br/>
        <w:t xml:space="preserve">   Consideraciones de la Corte</w:t>
        <w:br/>
        <w:br/>
        <w:br/>
        <w:t xml:space="preserve"> 154. La Corte constató que el 29 de diciembre de  1996,  aproximadamente  a</w:t>
        <w:br/>
        <w:t xml:space="preserve">      las 17:10 horas, Eduardo José Landaeta Mejías, menor  de  17  años  de</w:t>
        <w:br/>
        <w:t xml:space="preserve">      edad, fue detenido por agentes del Cuerpo de Seguridad y Orden Público</w:t>
        <w:br/>
        <w:t xml:space="preserve">      (CSOP) del estado de Aragua, y llevado al Cuartelito del Barrio de San</w:t>
        <w:br/>
        <w:t xml:space="preserve">      Carlos, en relación con una supuesta averiguación que se instruía ante</w:t>
        <w:br/>
        <w:t xml:space="preserve">      la Seccional de Mariño y posteriormente trasladado al Cuartel Central.</w:t>
        <w:br/>
        <w:t xml:space="preserve">      Así, estuvo detenido ante autoridades policiales por un periodo  mayor</w:t>
        <w:br/>
        <w:t xml:space="preserve">      a 38 horas, y al ser trasladado a la  CTPJ  Seccional  de  Mariño  por</w:t>
        <w:br/>
        <w:t xml:space="preserve">      funcionarios policiales bajo su custodia, fue privado de la vida.</w:t>
        <w:br/>
        <w:br/>
        <w:t xml:space="preserve"> 155. Al respecto, la  Corte  analizará  las  alegadas  violaciones  en  los</w:t>
        <w:br/>
        <w:t xml:space="preserve">      siguientes apartados: a) derecho a la libertad personal; b) derecho  a</w:t>
        <w:br/>
        <w:t xml:space="preserve">      la vida, y c)  derecho  a  la  integridad  personal,  todos  ellos  en</w:t>
        <w:br/>
        <w:t xml:space="preserve">      relación con los derechos del niño.</w:t>
        <w:br/>
        <w:br/>
        <w:br/>
        <w:t xml:space="preserve">    B.1 Derecho a la libertad personal en relación  con  los  derechos  del</w:t>
        <w:br/>
        <w:t xml:space="preserve">    niño</w:t>
        <w:br/>
        <w:br/>
        <w:br/>
        <w:t xml:space="preserve"> 156. La Corte ha señalado que el artículo 7 de la Convención[191]  consagra</w:t>
        <w:br/>
        <w:t xml:space="preserve">      garantías que representan límites al ejercicio  de  la  autoridad  por</w:t>
        <w:br/>
        <w:t xml:space="preserve">      parte  de  agentes  del  Estado.  Esos  límites  se  aplican   a   los</w:t>
        <w:br/>
        <w:t xml:space="preserve">      instrumentos de control estatales, uno de los cuales es la  detención.</w:t>
        <w:br/>
        <w:t xml:space="preserve">      Dicha medida debe estar en concordancia con las garantías  reconocidas</w:t>
        <w:br/>
        <w:t xml:space="preserve">      en la Convención, siempre y cuando su  aplicación  tenga  un  carácter</w:t>
        <w:br/>
        <w:t xml:space="preserve">      excepcional y respete el principio a la presunción de inocencia y  los</w:t>
        <w:br/>
        <w:t xml:space="preserve">      principios de legalidad, necesidad y proporcionalidad,  indispensables</w:t>
        <w:br/>
        <w:t xml:space="preserve">      en una sociedad democrática[192].</w:t>
        <w:br/>
        <w:br/>
        <w:t xml:space="preserve"> 157. Por su parte, la Corte reitera que los niños y niñas al ser  titulares</w:t>
        <w:br/>
        <w:t xml:space="preserve">      de todos los derechos reconocidos en la Convención Americana,  cuentan</w:t>
        <w:br/>
        <w:t xml:space="preserve">      además con las medidas especiales contempladas en el artículo  19  del</w:t>
        <w:br/>
        <w:t xml:space="preserve">      mismo instrumento[193], por lo que cualquier  caso  que  involucre  un</w:t>
        <w:br/>
        <w:t xml:space="preserve">      menor de edad  debe  ser  analizado  de  forma  transversal.  En  este</w:t>
        <w:br/>
        <w:t xml:space="preserve">      sentido, la Corte  afirma  que  desde  los  primeros  momentos  de  la</w:t>
        <w:br/>
        <w:t xml:space="preserve">      detención se debió brindar a Eduardo Landaeta, el trato y los derechos</w:t>
        <w:br/>
        <w:t xml:space="preserve">      que le correspondían como adolescente menor de edad (infra párrs 170 y</w:t>
        <w:br/>
        <w:t xml:space="preserve">      175).</w:t>
        <w:br/>
        <w:br/>
        <w:br/>
        <w:t>B.1.1 Ilegalidad y arbitrariedad de la detención (artículos 7.2 y 7.3)</w:t>
        <w:br/>
        <w:br/>
        <w:br/>
        <w:t xml:space="preserve"> 158. Este Tribunal ha indicado con respecto a la  garantía  específica  del</w:t>
        <w:br/>
        <w:t xml:space="preserve">      artículo 7.2 de la Convención, que cualquier requisito establecido  en</w:t>
        <w:br/>
        <w:t xml:space="preserve">      la ley nacional que no sea cumplido al privar  a  una  persona  de  su</w:t>
        <w:br/>
        <w:t xml:space="preserve">      libertad, generará que tal privación  sea  ilegal  y  contraria  a  la</w:t>
        <w:br/>
        <w:t xml:space="preserve">      Convención Americana. Esto es,  que  se  tiene  que  verificar  si  la</w:t>
        <w:br/>
        <w:t xml:space="preserve">      detención de una persona se realizó conforme la legislación interna  a</w:t>
        <w:br/>
        <w:t xml:space="preserve">      fin de establecer la convencionalidad de la detención[194].</w:t>
        <w:br/>
        <w:br/>
        <w:t xml:space="preserve"> 159. Al respecto, el artículo 60 de la Constitución Política  de  Venezuela</w:t>
        <w:br/>
        <w:t xml:space="preserve">      de 1961, vigente al momento de los hechos, señalaba que: “nadie  puede</w:t>
        <w:br/>
        <w:t xml:space="preserve">      ser preso o detenido, a menos que sea sorprendido in fraganti, sino en</w:t>
        <w:br/>
        <w:t xml:space="preserve">      virtud de orden escrita del funcionario autorizado  para  decretar  la</w:t>
        <w:br/>
        <w:t xml:space="preserve">      detención, en los casos y con esas formalidades previstas en la  ley”.</w:t>
        <w:br/>
        <w:t xml:space="preserve">      Asimismo, señalaba que “en caso de haberse cometido un hecho  punible,</w:t>
        <w:br/>
        <w:t xml:space="preserve">      las autoridades de policía podrían adoptar las medidas  provisionales,</w:t>
        <w:br/>
        <w:t xml:space="preserve">      de necesidad o urgencia, indispensables para asegurar la investigación</w:t>
        <w:br/>
        <w:t xml:space="preserve">      del hecho”. En particular, el artículo 182[195] del  entonces  vigente</w:t>
        <w:br/>
        <w:t xml:space="preserve">      Código de Enjuiciamiento Criminal regulaba dicha norma constitucional,</w:t>
        <w:br/>
        <w:t xml:space="preserve">      y establecía las reglas específicas para decretar  una  detención,  al</w:t>
        <w:br/>
        <w:t xml:space="preserve">      señalar  que  “el  Tribunal  Instructor  decretará  la  detención  del</w:t>
        <w:br/>
        <w:t xml:space="preserve">      indiciado, por su  auto  razonado”.  Asimismo,  el  artículo  183[196]</w:t>
        <w:br/>
        <w:t xml:space="preserve">      establecía que ninguna persona se le podía detener sin los  requisitos</w:t>
        <w:br/>
        <w:t xml:space="preserve">      establecidos en el artículo 182, a menos que se suscite el supuesto de</w:t>
        <w:br/>
        <w:t xml:space="preserve">      flagrancia desarrollado en el numeral 184[197] del dicho Código.</w:t>
        <w:br/>
        <w:t xml:space="preserve"> 160. En lo que se refiere a la detención de personas menores  de  edad,  la</w:t>
        <w:br/>
        <w:t xml:space="preserve">      Corte constata que, en este caso, el Estado remitió como  prueba  para</w:t>
        <w:br/>
        <w:t xml:space="preserve">      mejor resolver, la Ley Tutelar de Menores de 30 diciembre  de  1980  y</w:t>
        <w:br/>
        <w:t xml:space="preserve">      vigente al momento de los  hechos.  El  artículo  99  de  dicha  norma</w:t>
        <w:br/>
        <w:t xml:space="preserve">      establecía  que  en  “todas  aquellas  actuaciones  de   investigación</w:t>
        <w:br/>
        <w:t xml:space="preserve">      policial en las que estuviesen involucrados menores de dieciocho  (18)</w:t>
        <w:br/>
        <w:t xml:space="preserve">      años deberá estar presente el Procurador de  menores”.  Asimismo,  “en</w:t>
        <w:br/>
        <w:t xml:space="preserve">      caso de que un menor sea privado de su libertad y no se haya informado</w:t>
        <w:br/>
        <w:t xml:space="preserve">      al Juez de Menores de  su  detención,  los  padres,  el  representante</w:t>
        <w:br/>
        <w:t xml:space="preserve">      legal, el guardador, el Procurador de Menores o el Instituto  Nacional</w:t>
        <w:br/>
        <w:t xml:space="preserve">      del Menor podrán solicitar  al  Juez  de  Menores  que  se  avoque  al</w:t>
        <w:br/>
        <w:t xml:space="preserve">      conocimiento del caso y de inmediato dicte las medidas  de  protección</w:t>
        <w:br/>
        <w:t xml:space="preserve">      que correspondan”[198]. Sin embargo, dicha Ley Tutelar  del  Menor  no</w:t>
        <w:br/>
        <w:t xml:space="preserve">      describía el procedimiento ni  sus  garantías,  más  allá  de  que  la</w:t>
        <w:br/>
        <w:t xml:space="preserve">      autoridad recibiera actuaciones.</w:t>
        <w:br/>
        <w:br/>
        <w:t xml:space="preserve"> 161. La Corte ha sostenido respecto de  casos  donde  menores  de  edad  se</w:t>
        <w:br/>
        <w:t xml:space="preserve">      encuentren involucrados, que el contenido del derecho  a  la  libertad</w:t>
        <w:br/>
        <w:t xml:space="preserve">      personal no puede deslindarse del interés  superior  del  niño  y  del</w:t>
        <w:br/>
        <w:t xml:space="preserve">      carácter que reviste la posición de garante del Estado respecto de los</w:t>
        <w:br/>
        <w:t xml:space="preserve">      niños[199]. En este sentido, la  Convención  sobre  los  Derechos  del</w:t>
        <w:br/>
        <w:t xml:space="preserve">      Niño, ratificada por Venezuela desde 1990 establece,  en  el  artículo</w:t>
        <w:br/>
        <w:t xml:space="preserve">      37.b), que “los Estados Partes velarán  porque:  b)  ningún  niño  sea</w:t>
        <w:br/>
        <w:t xml:space="preserve">      privado de su libertad ilegal  o  arbitrariamente.  La  detención,  el</w:t>
        <w:br/>
        <w:t xml:space="preserve">      encarcelamiento o  la  prisión  de  un  niño  se  llevará  a  cabo  de</w:t>
        <w:br/>
        <w:t xml:space="preserve">      conformidad con la ley y se utilizará tan sólo como medida  de  último</w:t>
        <w:br/>
        <w:t xml:space="preserve">      recurso y durante el periodo más breve que proceda”[200].</w:t>
        <w:br/>
        <w:br/>
        <w:t xml:space="preserve"> 162. La Corte toma nota de lo establecido por el perito Diego  Camaño  ante</w:t>
        <w:br/>
        <w:t xml:space="preserve">      la Corte, en el sentido que:</w:t>
        <w:br/>
        <w:br/>
        <w:t xml:space="preserve">    “La primer obligación estatal es  la  de  contar  con  un  marco  legal</w:t>
        <w:br/>
        <w:t xml:space="preserve">    específico que establezca, con claridad, las causas y  condiciones  por</w:t>
        <w:br/>
        <w:t xml:space="preserve">    las cuales los agentes del Estado pueden proceder a la privación de  la</w:t>
        <w:br/>
        <w:t xml:space="preserve">    libertad personal  de  un  adolescente.  Ello  supone  contar  con  una</w:t>
        <w:br/>
        <w:t xml:space="preserve">    legislación penal y procesal que den cuenta de la especificidad de  los</w:t>
        <w:br/>
        <w:t xml:space="preserve">    derechos de toda persona menor de 18 años, bajo el criterio rector  del</w:t>
        <w:br/>
        <w:t xml:space="preserve">    interés superior  del  niño.  Dicha  legislación  debe  ser  acorde  al</w:t>
        <w:br/>
        <w:t xml:space="preserve">    paradigmas de la protección integral que surge de la Convención de  los</w:t>
        <w:br/>
        <w:t xml:space="preserve">    Derechos del  Niño,  por  lo  que  debe  establecer,  entre  otras,  el</w:t>
        <w:br/>
        <w:t xml:space="preserve">    establecimiento  de  una  edad  mínima  de  responsabilidad  penal,  el</w:t>
        <w:br/>
        <w:t xml:space="preserve">    principio de tipicidad penal, el derecho al debido proceso, el  derecho</w:t>
        <w:br/>
        <w:t xml:space="preserve">    de defensa y la garantía de  la  excepcionalidad  de  la  privación  de</w:t>
        <w:br/>
        <w:t xml:space="preserve">    libertad (que sólo puede ser utilizada como último recurso)”.</w:t>
        <w:br/>
        <w:br/>
        <w:t xml:space="preserve"> 163. Al respecto, la Corte estima que la privación de libertad en el ámbito</w:t>
        <w:br/>
        <w:t xml:space="preserve">      de la justicia penal juvenil solo podrá excepcionalmente  justificarse</w:t>
        <w:br/>
        <w:t xml:space="preserve">      en los casos previstos en  la  ley,  la  cual  deberá  establecer  con</w:t>
        <w:br/>
        <w:t xml:space="preserve">      claridad sus causas y  condiciones,  así  como  de  la  competencia  e</w:t>
        <w:br/>
        <w:t xml:space="preserve">      instancias estatales especializadas  en  la  materia,  tanto  a  nivel</w:t>
        <w:br/>
        <w:t xml:space="preserve">      policial como judicial y de  las  instituciones  encargadas  de  hacer</w:t>
        <w:br/>
        <w:t xml:space="preserve">      cumplir las  medidas  privativas  de  libertad,  con  el  objetivo  de</w:t>
        <w:br/>
        <w:t xml:space="preserve">      articular  una  “justicia  separada”  para   adolescentes,   que   sea</w:t>
        <w:br/>
        <w:t xml:space="preserve">      claramente diferenciada del sistema de justicia penal de los  adultos,</w:t>
        <w:br/>
        <w:t xml:space="preserve">      tanto a nivel normativo como institucional.  Además,  el  Estado  debe</w:t>
        <w:br/>
        <w:t xml:space="preserve">      establecer programas de capacitación  del  personal  administrativo  y</w:t>
        <w:br/>
        <w:t xml:space="preserve">      jurisdiccional, a efectos de asegurar que el  funcionamiento  concreto</w:t>
        <w:br/>
        <w:t xml:space="preserve">      del sistema logre el objetivo de la plena realización de los  derechos</w:t>
        <w:br/>
        <w:t xml:space="preserve">      de niñas, niños y adolescentes[201].</w:t>
        <w:br/>
        <w:br/>
        <w:t xml:space="preserve"> 164. Este Tribunal constató que de la prueba aportada no se  desprende  que</w:t>
        <w:br/>
        <w:t xml:space="preserve">      al momento de la detención de Eduardo Landaeta  hubiera  existido  una</w:t>
        <w:br/>
        <w:t xml:space="preserve">      orden judicial o acción en flagrancia que justificara su detención. La</w:t>
        <w:br/>
        <w:t xml:space="preserve">      boleta de arresto policial, ordenada por el policía CARA, indicaba que</w:t>
        <w:br/>
        <w:t xml:space="preserve">      la presunta víctima “estaba  solicitado”  por  el  Cuerpo  Técnico  de</w:t>
        <w:br/>
        <w:t xml:space="preserve">      Policía  Judicial,  el  cual  tenía  naturaleza  policial,   por   una</w:t>
        <w:br/>
        <w:t xml:space="preserve">      investigación sobre un supuesto homicidio, mas nunca fue  emitida  una</w:t>
        <w:br/>
        <w:t xml:space="preserve">      orden por una autoridad competente, de conformidad  con  la  normativa</w:t>
        <w:br/>
        <w:t xml:space="preserve">      interna  (supra  párr.  159),  particularmente  el  artículo  182  del</w:t>
        <w:br/>
        <w:t xml:space="preserve">      entonces vigente Código de Enjuiciamiento Criminal, que establecía que</w:t>
        <w:br/>
        <w:t xml:space="preserve">      el Tribunal instructor decretaría la detención, por auto razonado, por</w:t>
        <w:br/>
        <w:t xml:space="preserve">      lo que la misma fue ilegal. Asimismo, el Estado  nunca  probó  en  qué</w:t>
        <w:br/>
        <w:t xml:space="preserve">      calidad fue detenido ni tampoco que existiera una alguna razón fundada</w:t>
        <w:br/>
        <w:t xml:space="preserve">      y  motivada  para  su  detención,  lo  cual  derivó  su  detención  en</w:t>
        <w:br/>
        <w:t xml:space="preserve">      arbitraria[202]. Tampoco se utilizó la detención  como  última  ratio,</w:t>
        <w:br/>
        <w:t xml:space="preserve">      tratándose de menores de edad. Por lo anterior, el  Estado  contravino</w:t>
        <w:br/>
        <w:t xml:space="preserve">      lo dispuesto en los incisos 2 y 3 del  artículo  7  de  la  Convención</w:t>
        <w:br/>
        <w:t xml:space="preserve">      Americana, en relación con el artículo 19 de la misma, en perjuicio de</w:t>
        <w:br/>
        <w:t xml:space="preserve">      Eduardo Landaeta.</w:t>
        <w:br/>
        <w:br/>
        <w:br/>
        <w:t>B.1.2 Derecho a ser informado de los motivos de la detención (artículo 7.4)</w:t>
        <w:br/>
        <w:br/>
        <w:br/>
        <w:t xml:space="preserve"> 165.  Respecto  del  artículo  7.4  de  la  Convención,  la  jurisprudencia</w:t>
        <w:br/>
        <w:t xml:space="preserve">      reiterada de esta Corte ha  establecido  que  la  información  de  los</w:t>
        <w:br/>
        <w:t xml:space="preserve">      “motivos y razones”  de  la  detención  debe  darse  “cuando  ésta  se</w:t>
        <w:br/>
        <w:t xml:space="preserve">      produce”, lo cual “constituye un  mecanismo  para  evitar  detenciones</w:t>
        <w:br/>
        <w:t xml:space="preserve">      ilegales o arbitrarias desde el  momento  mismo  de  la  privación  de</w:t>
        <w:br/>
        <w:t xml:space="preserve">      libertad  y,  a  su  vez,  garantiza  el  derecho   de   defensa   del</w:t>
        <w:br/>
        <w:t xml:space="preserve">      individuo”[203].</w:t>
        <w:br/>
        <w:br/>
        <w:t xml:space="preserve"> 166. Al respecto, la Corte constató  que  del  material  probatorio  no  se</w:t>
        <w:br/>
        <w:t xml:space="preserve">      advierte haberle  brindado  a  Eduardo  Landaeta  información  oral  o</w:t>
        <w:br/>
        <w:t xml:space="preserve">      escrita sobre las razones de  la  detención,  ni  alguna  notificación</w:t>
        <w:br/>
        <w:t xml:space="preserve">      escrita de los cargos formulados contra él. Tampoco se  desprende  que</w:t>
        <w:br/>
        <w:t xml:space="preserve">      se le haya brindado asistencia letrada o defensor de oficio ni que  se</w:t>
        <w:br/>
        <w:t xml:space="preserve">      haya tomado en cuenta su condición de menor de edad. Por lo tanto,  el</w:t>
        <w:br/>
        <w:t xml:space="preserve">      Estado  incumplió  con  lo  establecido  en  el  artículo  7.4  de  la</w:t>
        <w:br/>
        <w:t xml:space="preserve">      Convención Americana, en relación con el artículo 19 de la  misma,  en</w:t>
        <w:br/>
        <w:t xml:space="preserve">      perjuicio de Eduardo Landaeta.</w:t>
        <w:br/>
        <w:br/>
        <w:t xml:space="preserve"> 167. A su vez, para la interpretación  del  artículo.  7.4  en  materia  de</w:t>
        <w:br/>
        <w:t xml:space="preserve">      menores de edad, debe tomarse en cuenta lo previsto  por  el  artículo</w:t>
        <w:br/>
        <w:t xml:space="preserve">      40.2 lit. b. ii) de la Convención sobre  los  Derechos  del  Niño,  en</w:t>
        <w:br/>
        <w:t xml:space="preserve">      cuanto establece el derecho de todo niño a ser informado sin demora  y</w:t>
        <w:br/>
        <w:t xml:space="preserve">      directamente, o cuando sea procedente, por intermedio de sus padres  o</w:t>
        <w:br/>
        <w:t xml:space="preserve">      representantes  legales,  de  los  cargos  que  pesan  sobre  él[204].</w:t>
        <w:br/>
        <w:t xml:space="preserve">      Asimismo, las Reglas Mínimas de la ONU para la  Administración  de  la</w:t>
        <w:br/>
        <w:t xml:space="preserve">      Justicia de Menores (Reglas de Beijing) disponen que “cada vez que  un</w:t>
        <w:br/>
        <w:t xml:space="preserve">      menor sea detenido, se notificará inmediatamente a  sus  padres  o  su</w:t>
        <w:br/>
        <w:t xml:space="preserve">      tutor, y cuando  no  sea  posible  dicha  notificación  inmediata,  se</w:t>
        <w:br/>
        <w:t xml:space="preserve">      notificará  a  los  padres  o  al  tutor  en  el   más   breve   plazo</w:t>
        <w:br/>
        <w:t xml:space="preserve">      posible”[205].</w:t>
        <w:br/>
        <w:br/>
        <w:t xml:space="preserve"> 168. La Comisión y los representantes alegaron  la  falta  de  notificación</w:t>
        <w:br/>
        <w:t xml:space="preserve">      pronta a los familiares sobre  el  destino  de  Eduardo  Landaeta.  No</w:t>
        <w:br/>
        <w:t xml:space="preserve">      obstante, la Corte constató que  a  las  17:30  hrs.  del  día  29  de</w:t>
        <w:br/>
        <w:t xml:space="preserve">      diciembre de 1996, se le permitió a Eduardo llamar por teléfono  a  su</w:t>
        <w:br/>
        <w:t xml:space="preserve">      padre y avisarle de  su  situación  (supra  párr.  70).  Dicho  tiempo</w:t>
        <w:br/>
        <w:t xml:space="preserve">      representa aproximadamente 30 minutos luego de su detención. Asimismo,</w:t>
        <w:br/>
        <w:t xml:space="preserve">      de la prueba presentada ante  la  Corte,  se  desprende  que  diversos</w:t>
        <w:br/>
        <w:t xml:space="preserve">      funcionarios  tuvieron  contacto  con  los  padres  de  Eduardo  y  se</w:t>
        <w:br/>
        <w:t xml:space="preserve">      refirieron a su situación, por lo que este Tribunal considera  que  el</w:t>
        <w:br/>
        <w:t xml:space="preserve">      Estado no incumplió con el extremo de su  obligación  de  notificación</w:t>
        <w:br/>
        <w:t xml:space="preserve">      inmediata de la detención a los padres del menor de edad.</w:t>
        <w:br/>
        <w:br/>
        <w:br/>
        <w:t>B.1.3 Control judicial de la privación de la libertad (artículo 7.5)</w:t>
        <w:br/>
        <w:br/>
        <w:br/>
        <w:t xml:space="preserve"> 169. Respecto al derecho contenido en el artículo 7.5 de la Convención,  la</w:t>
        <w:br/>
        <w:t xml:space="preserve">      Corte ha señalado que el control  judicial  inmediato  es  una  medida</w:t>
        <w:br/>
        <w:t xml:space="preserve">      tendiente a evitar la arbitrariedad o ilegalidad de  las  detenciones,</w:t>
        <w:br/>
        <w:t xml:space="preserve">      tomando en cuenta que en un Estado de Derecho corresponde al  juzgador</w:t>
        <w:br/>
        <w:t xml:space="preserve">      garantizar los derechos del detenido, autorizar la adopción de medidas</w:t>
        <w:br/>
        <w:t xml:space="preserve">      cautelares  o  de  coerción  cuando  sea  estrictamente  necesario   y</w:t>
        <w:br/>
        <w:t xml:space="preserve">      procurar, en general, que se trate al inculpado de manera  consecuente</w:t>
        <w:br/>
        <w:t xml:space="preserve">      con el principio de presunción de inocencia[206].</w:t>
        <w:br/>
        <w:br/>
        <w:t xml:space="preserve"> 170. Esta  Corte  estima  que  como  condiciones  mínimas  el  Estado  debe</w:t>
        <w:br/>
        <w:t xml:space="preserve">      garantizar que los niños, niñas y  adolescentes  que  sean  detenidos,</w:t>
        <w:br/>
        <w:t xml:space="preserve">      como medida de último recurso: 1) sean debidamente  identificados,  se</w:t>
        <w:br/>
        <w:t xml:space="preserve">      determine su condición de menor de edad y las  medidas  de  protección</w:t>
        <w:br/>
        <w:t xml:space="preserve">      especial aplicables; 2) sean presentados inmediatamente  ante  juez  o</w:t>
        <w:br/>
        <w:t xml:space="preserve">      autoridad competente de menores; 3) se notifique lo  antes  posible  a</w:t>
        <w:br/>
        <w:t xml:space="preserve">      sus padres o tutores y tomen contacto con sus familiares, y 4)  tengan</w:t>
        <w:br/>
        <w:t xml:space="preserve">      acceso inmediato a asistencia letrada o abogado[207].</w:t>
        <w:br/>
        <w:br/>
        <w:t xml:space="preserve"> 171. En el presente caso, la falta de control judicial reviste de  especial</w:t>
        <w:br/>
        <w:t xml:space="preserve">      gravedad, siendo que la detención ilegal  y  arbitraria,  sin  control</w:t>
        <w:br/>
        <w:t xml:space="preserve">      judicial y más aun sin considerar su minoría de edad, derivaron en  su</w:t>
        <w:br/>
        <w:t xml:space="preserve">      muerte bajo custodia policial. Por  tanto,  la  Corte  se  pronunciará</w:t>
        <w:br/>
        <w:t xml:space="preserve">      sobre: a) la determinación de oficio de la edad de un menor de edad, y</w:t>
        <w:br/>
        <w:t xml:space="preserve">      b) el control judicial sin demora en caso de menores de edad.</w:t>
        <w:br/>
        <w:br/>
        <w:br/>
        <w:t xml:space="preserve">         B.1.3.1 Determinación de oficio de la edad de un menor de edad</w:t>
        <w:br/>
        <w:br/>
        <w:br/>
        <w:t xml:space="preserve"> 172. La Corte nota que a pesar de la minoría de edad de  Eduardo  Landaeta,</w:t>
        <w:br/>
        <w:t xml:space="preserve">      la boleta de arresto  lo  identificó  como  “de  18  años  de  edad  e</w:t>
        <w:br/>
        <w:t xml:space="preserve">      indocumentado” (supra párr. 69). Posteriormente, según  declaraciones,</w:t>
        <w:br/>
        <w:t xml:space="preserve">      una funcionaria de El Cuartelito señaló que el Comando  Central  sabía</w:t>
        <w:br/>
        <w:t xml:space="preserve">      que era menor de edad (supra párr. 70). Al día siguiente en la  noche,</w:t>
        <w:br/>
        <w:t xml:space="preserve">      la madre de Eduardo Landaeta, entregó copia de su cédula y partida  de</w:t>
        <w:br/>
        <w:t xml:space="preserve">      nacimiento a un funcionario[208]. Finalmente, la  Corte  constata  que</w:t>
        <w:br/>
        <w:t xml:space="preserve">      nunca se le presentó ante autoridad competente de menores de  edad  ni</w:t>
        <w:br/>
        <w:t xml:space="preserve">      se le brindaron medidas especiales y diferenciadas de  protección  por</w:t>
        <w:br/>
        <w:t xml:space="preserve">      dicha condición.</w:t>
        <w:br/>
        <w:br/>
        <w:t xml:space="preserve"> 173. En este sentido, la Corte considera  que  en  caso  de  ser  necesario</w:t>
        <w:br/>
        <w:t xml:space="preserve">      requerir  identificar  y  determinar   la   edad   de   una   persona,</w:t>
        <w:br/>
        <w:t xml:space="preserve">      especialmente un posible menor de edad, el Estado,  a  través  de  sus</w:t>
        <w:br/>
        <w:t xml:space="preserve">      autoridades competentes en la materia, debe  realizar  de  oficio  las</w:t>
        <w:br/>
        <w:t xml:space="preserve">      acciones  pertinentes  para  acreditar  fehaciente   la   minoría   de</w:t>
        <w:br/>
        <w:t xml:space="preserve">      edad[209], a través  de  una  evaluación  con  criterios  científicos,</w:t>
        <w:br/>
        <w:t xml:space="preserve">      teniendo en cuenta la apariencia física (características  somáticas  y</w:t>
        <w:br/>
        <w:t xml:space="preserve">      morfológicas) y la madurez psicológica,  realizada  de  forma  segura,</w:t>
        <w:br/>
        <w:t xml:space="preserve">      respetuosa   y   con   consideraciones   de    género    e    impactos</w:t>
        <w:br/>
        <w:t xml:space="preserve">      diferenciados[210].  En  caso  que  no  sea  posible  llegar   a   una</w:t>
        <w:br/>
        <w:t xml:space="preserve">      determinación certera de la edad, se debe  otorgar  “al  individuo  el</w:t>
        <w:br/>
        <w:t xml:space="preserve">      beneficio de la duda, de manera que, en la hipótesis de que  se  trate</w:t>
        <w:br/>
        <w:t xml:space="preserve">      de un menor, se le trate como tal”[211].</w:t>
        <w:br/>
        <w:br/>
        <w:t xml:space="preserve"> 174. En similar sentido, el  artículo  4  de  la  Ley  Tutelar  de  Menores</w:t>
        <w:br/>
        <w:t xml:space="preserve">      disponía que:</w:t>
        <w:br/>
        <w:br/>
        <w:t>“Cuando no fuere posible establecer la minoridad por  los  medios  previstos</w:t>
        <w:br/>
        <w:t>en la legislación ordinaria, el Juez de  Menores  podrá  ordenar  experticia</w:t>
        <w:br/>
        <w:t>médica, antropológica o cualquier otro medio científico de  prueba  que  sea</w:t>
        <w:br/>
        <w:t>procedente, a objeto de establecerla. Mientras se efectúan  dichas  pruebas,</w:t>
        <w:br/>
        <w:t>la persona será sometida a la jurisdicción de menores”.</w:t>
        <w:br/>
        <w:br/>
        <w:t xml:space="preserve"> 175. Al  respecto,  el  Tribunal  observa  que  en  el  presente  caso  las</w:t>
        <w:br/>
        <w:t xml:space="preserve">      autoridades estatales, quienes no eran el Juez de  Menores,  omitieron</w:t>
        <w:br/>
        <w:t xml:space="preserve">      realizar prueba médica alguna, o de otra índole para la  determinación</w:t>
        <w:br/>
        <w:t xml:space="preserve">      de la edad  de  Eduardo  Landaeta  y  el  estado  de  salud  como  fue</w:t>
        <w:br/>
        <w:t xml:space="preserve">      presentado, por lo que no se le brindó  un  trato  diferenciado  y  de</w:t>
        <w:br/>
        <w:t xml:space="preserve">      protección especial que hubiera  permitido  su  presentación  ante  la</w:t>
        <w:br/>
        <w:t xml:space="preserve">      autoridad competente. Lo anterior en contravención con el artículo 7.5</w:t>
        <w:br/>
        <w:t xml:space="preserve">      de la Convención Americana, en relación  con  el  artículo  19  de  la</w:t>
        <w:br/>
        <w:t xml:space="preserve">      misma, en perjuicio de Eduardo Landaeta.</w:t>
        <w:br/>
        <w:br/>
        <w:br/>
        <w:t xml:space="preserve">         B.1.3.2 Control judicial sin demora aplicable a menores de edad</w:t>
        <w:br/>
        <w:br/>
        <w:br/>
        <w:t xml:space="preserve"> 176. La perita Denotilia Hernández señaló a la  Corte  que  “establecía  la</w:t>
        <w:br/>
        <w:t xml:space="preserve">      [Ley Tutelar de Menores] la obligación para los cuerpos policiales que</w:t>
        <w:br/>
        <w:t xml:space="preserve">      conociesen de un menor, en situación irregular o en cualquiera de  sus</w:t>
        <w:br/>
        <w:t xml:space="preserve">      variantes, que debían trasladarlo  a  una  Institución  del  Instituto</w:t>
        <w:br/>
        <w:t xml:space="preserve">      nacional del menor, notificar al juez de menores y  al  Procurador  de</w:t>
        <w:br/>
        <w:t xml:space="preserve">      menores […] de acuerdo a lo previsto en  el  artículo  98[212]  de  la</w:t>
        <w:br/>
        <w:t xml:space="preserve">      ley”[213]. Por su parte, el  Estado  también  remitió  la  actual  Ley</w:t>
        <w:br/>
        <w:t xml:space="preserve">      Orgánica  para  la  Protección  de  Niños,  Niñas  y  Adolescentes  de</w:t>
        <w:br/>
        <w:t xml:space="preserve">      Venezuela, misma que no  se  encontraba  vigente  al  momento  de  los</w:t>
        <w:br/>
        <w:t xml:space="preserve">      hechos, y que  en  su  artículo  37  establece  que  “la  retención  o</w:t>
        <w:br/>
        <w:t xml:space="preserve">      privación de libertad personal de los niños, niñas y  adolescentes  se</w:t>
        <w:br/>
        <w:t xml:space="preserve">      debe realizar de conformidad con la ley y se aplicará como  medida  de</w:t>
        <w:br/>
        <w:t xml:space="preserve">      último recurso  y  durante  el  periodo  más  breve  posible”.  En  la</w:t>
        <w:br/>
        <w:t xml:space="preserve">      actualidad en Venezuela dicha legislación establece también  un  plazo</w:t>
        <w:br/>
        <w:t xml:space="preserve">      de 24 horas para presentar al menor de edad ante las  autoridades.  Es</w:t>
        <w:br/>
        <w:t xml:space="preserve">      preciso señalar que algunas legislaciones del continente han  definido</w:t>
        <w:br/>
        <w:t xml:space="preserve">      el máximo de tiempo aplicable para estos  casos,  las  cuales  oscilan</w:t>
        <w:br/>
        <w:t xml:space="preserve">      entre las 6 y las 24 horas[214].</w:t>
        <w:br/>
        <w:br/>
        <w:t xml:space="preserve"> 177. La Corte recuerda que el  artículo  37  de  la  Convención  sobre  los</w:t>
        <w:br/>
        <w:t xml:space="preserve">      Derechos del Niño, establece que la detención de menores de edad  debe</w:t>
        <w:br/>
        <w:t xml:space="preserve">      ser excepcional y por el período más breve posible.  Al  respecto,  el</w:t>
        <w:br/>
        <w:t xml:space="preserve">      Comité de los Derechos del Niño en desarrollo de esta  disposición  ha</w:t>
        <w:br/>
        <w:t xml:space="preserve">      señalado que “[t]odo menor detenido y privado de  la  libertad  deberá</w:t>
        <w:br/>
        <w:t xml:space="preserve">      ser puesto a disposición de una autoridad competente en un plazo de 24</w:t>
        <w:br/>
        <w:t xml:space="preserve">      horas  para  que  se  examine  la  legalidad  de  su  privación  o  la</w:t>
        <w:br/>
        <w:t xml:space="preserve">      continuidad de ésta”[215].</w:t>
        <w:br/>
        <w:br/>
        <w:t xml:space="preserve"> 178. Esta Corte constató que desde el momento de la  detención  de  Eduardo</w:t>
        <w:br/>
        <w:t xml:space="preserve">      Landaeta a las 17:00 horas del 29  de  diciembre  de  1996,  hasta  el</w:t>
        <w:br/>
        <w:t xml:space="preserve">      segundo traslado donde perdió su vida, siendo las 8:00 horas del 31 de</w:t>
        <w:br/>
        <w:t xml:space="preserve">      diciembre, estuvo detenido aproximadamente durante 38 horas sin  haber</w:t>
        <w:br/>
        <w:t xml:space="preserve">      sido presentado ante un juez o  autoridad  competente  de  menores  de</w:t>
        <w:br/>
        <w:t xml:space="preserve">      edad, lo cual, a criterio de la Corte, excede el estándar de puesta  a</w:t>
        <w:br/>
        <w:t xml:space="preserve">      disposición de autoridad competente “sin demora” aplicable  a  menores</w:t>
        <w:br/>
        <w:t xml:space="preserve">      de edad. Cabe destacar que, inclusive, en el segundo  traslado  no  se</w:t>
        <w:br/>
        <w:t xml:space="preserve">      desprende la intención de los agentes de presentar al  menor  de  edad</w:t>
        <w:br/>
        <w:t xml:space="preserve">      ante la autoridad competente, toda  vez  que  de  las  constancias  se</w:t>
        <w:br/>
        <w:t xml:space="preserve">      advierte que lo conducían a la  Seccional  de  Mariño.  El  Estado  no</w:t>
        <w:br/>
        <w:t xml:space="preserve">      desvirtuó este hecho ni aportó elementos probatorios que  justificaran</w:t>
        <w:br/>
        <w:t xml:space="preserve">      o motivaran de manera clara la necesidad  de  tales  traslados  ni  el</w:t>
        <w:br/>
        <w:t xml:space="preserve">      tiempo de detención, máxime frente a  las  alegadas  advertencias  del</w:t>
        <w:br/>
        <w:t xml:space="preserve">      señor Ignacio Landaeta, de que su hijo corría peligro con base  en  el</w:t>
        <w:br/>
        <w:t xml:space="preserve">      riesgo que habría denunciado (supra párr. 70), lo cual  evidencia  una</w:t>
        <w:br/>
        <w:t xml:space="preserve">      violación  a  lo  dispuesto  en  el  artículo  7.5  de  la  Convención</w:t>
        <w:br/>
        <w:t xml:space="preserve">      Americana, en relación con el artículo 19 de la misma, en perjuicio de</w:t>
        <w:br/>
        <w:t xml:space="preserve">      Eduardo Landaeta.</w:t>
        <w:br/>
        <w:br/>
        <w:br/>
        <w:br/>
        <w:br/>
        <w:br/>
        <w:t xml:space="preserve">    B.2 Derecho a la vida en relación con los derechos del niño</w:t>
        <w:br/>
        <w:br/>
        <w:br/>
        <w:t xml:space="preserve"> 179. A continuación, la Corte analizará los hechos de la muerte de  Eduardo</w:t>
        <w:br/>
        <w:t xml:space="preserve">      Landaeta a la luz de lo expresado en su jurisprudencia constante sobre</w:t>
        <w:br/>
        <w:t xml:space="preserve">      el derecho a la vida en relación con las  obligaciones  de  respeto  y</w:t>
        <w:br/>
        <w:t xml:space="preserve">      garantía.</w:t>
        <w:br/>
        <w:br/>
        <w:t xml:space="preserve"> 180. La Corte constató que la presunta  víctima  falleció  en  custodia  de</w:t>
        <w:br/>
        <w:t xml:space="preserve">      policías del Cuerpo de Seguridad y Orden Público del estado de  Aragua</w:t>
        <w:br/>
        <w:t xml:space="preserve">      (CSOP), durante el traslado del Comando Central de  la  Policía  a  la</w:t>
        <w:br/>
        <w:t xml:space="preserve">      Seccional de Mariño, cuando según lo  narrado  por  el  Estado  cuatro</w:t>
        <w:br/>
        <w:t xml:space="preserve">      sujetos encapuchados armados interceptaron el  vehículo  de  traslado,</w:t>
        <w:br/>
        <w:t xml:space="preserve">      arrebatándoles las armas a  los  funcionarios  que  lo  custodiaban  y</w:t>
        <w:br/>
        <w:t xml:space="preserve">      profiriéndole diversos disparos a Eduardo Landaeta,  quien  perdió  la</w:t>
        <w:br/>
        <w:t xml:space="preserve">      vida (supra párr. 73).</w:t>
        <w:br/>
        <w:br/>
        <w:t xml:space="preserve"> 181. Sobre el derecho a la vida, la Corte reitera que el  Estado  tiene  el</w:t>
        <w:br/>
        <w:t xml:space="preserve">      deber jurídico de “prevenir, razonablemente, las  violaciones  de  los</w:t>
        <w:br/>
        <w:t xml:space="preserve">      derechos humanos, de investigar seriamente con los medios a su alcance</w:t>
        <w:br/>
        <w:t xml:space="preserve">      las violaciones  que  se  hayan  cometido  dentro  del  ámbito  de  su</w:t>
        <w:br/>
        <w:t xml:space="preserve">      jurisdicción a fin de identificar a los  responsables,  de  imponerles</w:t>
        <w:br/>
        <w:t xml:space="preserve">      las sanciones pertinentes y de asegurar  a  la  víctima  una  adecuada</w:t>
        <w:br/>
        <w:t xml:space="preserve">      reparación”[216].  Lo  decisivo  es  dilucidar  “si  una   determinada</w:t>
        <w:br/>
        <w:t xml:space="preserve">      violación […] ha tenido lugar con el apoyo o la tolerancia  del  poder</w:t>
        <w:br/>
        <w:t xml:space="preserve">      público o si éste ha actuado de manera que  la  transgresión  se  haya</w:t>
        <w:br/>
        <w:t xml:space="preserve">      cumplido en defecto de  toda  prevención  o  impunemente”[217].  Dicha</w:t>
        <w:br/>
        <w:t xml:space="preserve">      obligación  requiere  que  los  Estados  adopten  todas  las   medidas</w:t>
        <w:br/>
        <w:t xml:space="preserve">      apropiadas para  proteger  y  preservar  los  derechos  de  todas  las</w:t>
        <w:br/>
        <w:t xml:space="preserve">      personas bajo su jurisdicción (obligación positiva), conforme al deber</w:t>
        <w:br/>
        <w:t xml:space="preserve">      de garantizar su pleno y libre ejercicio (supra párr. 122)[218].  Esta</w:t>
        <w:br/>
        <w:t xml:space="preserve">      protección activa del derecho a la vida por parte del Estado involucra</w:t>
        <w:br/>
        <w:t xml:space="preserve">      a toda institución estatal, y a quienes deben resguardar la seguridad,</w:t>
        <w:br/>
        <w:t xml:space="preserve">      sean éstas sus fuerzas de policía y sus fuerzas armadas[219]. En razón</w:t>
        <w:br/>
        <w:t xml:space="preserve">      de lo anterior, los Estados deben tomar  las  medidas  necesarias,  no</w:t>
        <w:br/>
        <w:t xml:space="preserve">      sólo  para  prevenir  y  castigar  la  privación  de  la   vida   como</w:t>
        <w:br/>
        <w:t xml:space="preserve">      consecuencia  de  actos  criminales,   sino   también   prevenir   las</w:t>
        <w:br/>
        <w:t xml:space="preserve">      ejecuciones arbitrarias por parte de sus propias fuerzas de  seguridad</w:t>
        <w:br/>
        <w:t xml:space="preserve">      (obligación negativa)[220].</w:t>
        <w:br/>
        <w:br/>
        <w:t xml:space="preserve"> 182. Asimismo, este Tribunal ha manifestado que en materia de derecho a  la</w:t>
        <w:br/>
        <w:t xml:space="preserve">      vida, cuando el Estado se encuentra en presencia de niños privados  de</w:t>
        <w:br/>
        <w:t xml:space="preserve">      libertad,  tiene  además  de  las  obligaciones  señaladas  para  toda</w:t>
        <w:br/>
        <w:t xml:space="preserve">      persona, una obligación adicional establecida en el artículo 19 de  la</w:t>
        <w:br/>
        <w:t xml:space="preserve">      Convención Americana. “Por una parte, debe asumir su posición especial</w:t>
        <w:br/>
        <w:t xml:space="preserve">      de garante con mayor cuidado y responsabilidad, y debe  tomar  medidas</w:t>
        <w:br/>
        <w:t xml:space="preserve">      especiales orientadas en el principio del interés superior  del  niño.</w:t>
        <w:br/>
        <w:t xml:space="preserve">      Por otra, la protección de la vida del niño requiere que el Estado  se</w:t>
        <w:br/>
        <w:t xml:space="preserve">      preocupe particularmente de las circunstancias de la vida que  llevará</w:t>
        <w:br/>
        <w:t xml:space="preserve">      mientras se mantenga privado de libertad, puesto que ese derecho no se</w:t>
        <w:br/>
        <w:t xml:space="preserve">      ha  extinguido  ni  restringido  por  su  situación  de  detención   o</w:t>
        <w:br/>
        <w:t xml:space="preserve">      prisión”[221].</w:t>
        <w:br/>
        <w:br/>
        <w:t xml:space="preserve"> 183. La Corte ha señalado que los Estados son responsables, en su condición</w:t>
        <w:br/>
        <w:t xml:space="preserve">      de garantes de los  derechos  consagrados  en  la  Convención,  de  la</w:t>
        <w:br/>
        <w:t xml:space="preserve">      observancia de los mismos frente a todo individuo que se halla bajo su</w:t>
        <w:br/>
        <w:t xml:space="preserve">      custodia[222]. Cuando una persona y, especialmente un niño,  muere  de</w:t>
        <w:br/>
        <w:t xml:space="preserve">      manera violenta  bajo  su  custodia,  el  Estado  tiene  la  carga  de</w:t>
        <w:br/>
        <w:t xml:space="preserve">      demostrar que esta muerte no le es atribuible. La  Corte  ha  indicado</w:t>
        <w:br/>
        <w:t xml:space="preserve">      que recae en el  Estado  la  obligación  de  proveer  una  explicación</w:t>
        <w:br/>
        <w:t xml:space="preserve">      satisfactoria y convincente de lo sucedido  a  las  personas  bajo  su</w:t>
        <w:br/>
        <w:t xml:space="preserve">      custodia y a desvirtuar  las  alegaciones  sobre  su  responsabilidad,</w:t>
        <w:br/>
        <w:t xml:space="preserve">      mediante elementos probatorios válidos[223].</w:t>
        <w:br/>
        <w:br/>
        <w:t xml:space="preserve"> 184. Con base en lo anterior, la Corte analizará si en el presente caso  se</w:t>
        <w:br/>
        <w:t xml:space="preserve">      configura la responsabilidad  del  Estado  por  falta  de  prevención,</w:t>
        <w:br/>
        <w:t xml:space="preserve">      protección y, en  su  caso,  respeto.  Para  ello,  primeramente  debe</w:t>
        <w:br/>
        <w:t xml:space="preserve">      verificarse que al momento de los  hechos  existía  una  situación  de</w:t>
        <w:br/>
        <w:t xml:space="preserve">      riesgo real e inminente para la  vida  de  un  individuo  o  grupo  de</w:t>
        <w:br/>
        <w:t xml:space="preserve">      individuos determinados, que las autoridades conocían o  debían  tener</w:t>
        <w:br/>
        <w:t xml:space="preserve">      conocimiento, y que no adoptaron las  medidas  necesarias  dentro  del</w:t>
        <w:br/>
        <w:t xml:space="preserve">      ámbito  de  sus  atribuciones  que,  juzgadas  razonablemente,  podían</w:t>
        <w:br/>
        <w:t xml:space="preserve">      esperarse para prevenir o evitar ese riesgo[224].</w:t>
        <w:br/>
        <w:br/>
        <w:t xml:space="preserve"> 185. Respecto de la existencia de una situación de riesgo real e inminente,</w:t>
        <w:br/>
        <w:t xml:space="preserve">      la Corte toma nota de un primer momento, en el  que  un  mes  y  medio</w:t>
        <w:br/>
        <w:t xml:space="preserve">      antes de la detención de  Eduardo  Landaeta,  funcionarios  del  CSOP,</w:t>
        <w:br/>
        <w:t xml:space="preserve">      privaron de la vida a su hermano Igmar Landaeta. Adicionalmente, según</w:t>
        <w:br/>
        <w:t xml:space="preserve">      declaraciones de su madre (de 19  y  20  de  noviembre  de  1996),  la</w:t>
        <w:br/>
        <w:t xml:space="preserve">      familia había sufrido un allanamiento en su hogar y recibido  amenazas</w:t>
        <w:br/>
        <w:t xml:space="preserve">      un mes antes de la muerte de Igmar Landaeta, por parte de funcionarios</w:t>
        <w:br/>
        <w:t xml:space="preserve">      del mismo CSOP,  quienes  estaban  buscando  a  Eduardo  Landaeta[225]</w:t>
        <w:br/>
        <w:t xml:space="preserve">      (supra párrs. 56 y 57). Al respecto, María  Magdalena  Mejías  declaró</w:t>
        <w:br/>
        <w:t xml:space="preserve">      ante el Cuerpo Técnico de Policía Judicial que “el policía CJZM  traía</w:t>
        <w:br/>
        <w:t xml:space="preserve">      acosado a Eduardo, y decía que iba a matarlo, ya que hubo un asesinato</w:t>
        <w:br/>
        <w:t xml:space="preserve">      en Sorocaima, que Eduardo estuvo presente  y  que  desde  ese  momento</w:t>
        <w:br/>
        <w:t xml:space="preserve">      empezaron a acosarlo”[226].</w:t>
        <w:br/>
        <w:br/>
        <w:t xml:space="preserve"> 186. En un segundo momento, el  29  de  diciembre  de  1996,  como  ya  fue</w:t>
        <w:br/>
        <w:t xml:space="preserve">      acreditado, se llevó a cabo la detención ilegal, arbitraria y  carente</w:t>
        <w:br/>
        <w:t xml:space="preserve">      de garantías judiciales, en perjuicio de  Eduardo  Landaeta,  la  cual</w:t>
        <w:br/>
        <w:t xml:space="preserve">      tampoco tomó en cuenta su condición de menoría de edad,  incrementando</w:t>
        <w:br/>
        <w:t xml:space="preserve">      el riesgo existente.</w:t>
        <w:br/>
        <w:br/>
        <w:t xml:space="preserve"> 187. Respecto del conocimiento de las autoridades de dicha  situación,  los</w:t>
        <w:br/>
        <w:t xml:space="preserve">      hechos de acoso descritos en  el  primer  momento  fueron  puestos  en</w:t>
        <w:br/>
        <w:t xml:space="preserve">      conocimiento de funcionarios de la CSOP por medio  de  los  padres  de</w:t>
        <w:br/>
        <w:t xml:space="preserve">      Eduardo Landaeta durante el periodo de detención de su  hijo,  quienes</w:t>
        <w:br/>
        <w:t xml:space="preserve">      informaron sobre el peligro en el que éste se encontraba[227], lo cual</w:t>
        <w:br/>
        <w:t xml:space="preserve">      no fue controvertido por el Estado. Así, Ignacio  Landaeta  señaló  en</w:t>
        <w:br/>
        <w:t xml:space="preserve">      diversas oportunidades sobre dicho riesgo.</w:t>
        <w:br/>
        <w:br/>
        <w:t xml:space="preserve">       ”[Al llegar a la Comisaría de  San  Carlos  el  29  de  diciembre  le</w:t>
        <w:br/>
        <w:t xml:space="preserve">       manifestó a una funcionaria que su] hijo corría peligro porque  había</w:t>
        <w:br/>
        <w:t xml:space="preserve">       recibido amenazas de muerte de funcionarios policiales. Entonces [le]</w:t>
        <w:br/>
        <w:t xml:space="preserve">       recomendó que hablara con un superior que  estaba  ahí  un  sargento,</w:t>
        <w:br/>
        <w:t xml:space="preserve">       fu[e] y habl[ó] con el sargento, le manifest[ó] igualmente  que  [su]</w:t>
        <w:br/>
        <w:t xml:space="preserve">       hijo corría peligro, que no le fuera hacer traslado  a  ninguna  otra</w:t>
        <w:br/>
        <w:t xml:space="preserve">       parte  porque  ya  estaba  de  noche.  Él  [le]  dijo  [que]  no   se</w:t>
        <w:br/>
        <w:t xml:space="preserve">       preocup[ara], que no le iba hacer traslado,  [que  este]  se  [haría]</w:t>
        <w:br/>
        <w:t xml:space="preserve">       mañana, y que [viniera] mañana en la mañana y le tr[ajera] comida”.</w:t>
        <w:br/>
        <w:br/>
        <w:br/>
        <w:t xml:space="preserve">       [El 30 de diciembre]  siendo  aproximadamente  las  6  pm  salió  una</w:t>
        <w:br/>
        <w:t xml:space="preserve">       funcionaria del comando y [les] preguntó  si  [eran]  los  padres  de</w:t>
        <w:br/>
        <w:t xml:space="preserve">       Eduardo, [ellos] le manifesta[ron] que  sí.  Esta  funcionaria  [les]</w:t>
        <w:br/>
        <w:t xml:space="preserve">       dijo que no lo [fueran] a dejar solo porque [veía] movimiento raro en</w:t>
        <w:br/>
        <w:t xml:space="preserve">       contra de ese menor allá dentro, y que  no  se  [fueran],  [ella]  ya</w:t>
        <w:br/>
        <w:t xml:space="preserve">       [había] termin[ado] [su] guardia y ya [se iba].</w:t>
        <w:br/>
        <w:br/>
        <w:br/>
        <w:t xml:space="preserve">       [E]l día 31 de diciembre [se presentó  al]  Comando  Central  con  la</w:t>
        <w:br/>
        <w:t xml:space="preserve">       finalidad de averiguar si lo  habían  trasladado,  [como  había  sido</w:t>
        <w:br/>
        <w:t xml:space="preserve">       trasladado] a Turmero, […] llego  a  la  PTJ  y  preguntó  si  habían</w:t>
        <w:br/>
        <w:t xml:space="preserve">       trasladado a [su] hijo Eduardo, y salió un funcionario de  la  PTJ  y</w:t>
        <w:br/>
        <w:t xml:space="preserve">       [le] manifest[ó] que no había llegado, [y que tuviera] mucho  cuidado</w:t>
        <w:br/>
        <w:t xml:space="preserve">       […] porque esos policías [eran] malos, [eran] unas ratas, [que fuera]</w:t>
        <w:br/>
        <w:t xml:space="preserve">       a la fiscalía y p[usiera] la queja”.</w:t>
        <w:br/>
        <w:br/>
        <w:t xml:space="preserve"> 188. Asimismo, María Magdalena también hizo  valer  ante  la  autoridad  la</w:t>
        <w:br/>
        <w:t xml:space="preserve">      situación de menor de edad de su hijo, al otorgar los documentos de su</w:t>
        <w:br/>
        <w:t xml:space="preserve">      identidad a la Policía, sin que esto tuviera una  consecuencia  en  el</w:t>
        <w:br/>
        <w:t xml:space="preserve">      otorgamiento de medidas de especial  protección,  como  la  puesta  en</w:t>
        <w:br/>
        <w:t xml:space="preserve">      conocimiento a la autoridad competente de menores de edad (supra párr.</w:t>
        <w:br/>
        <w:t xml:space="preserve">      71).</w:t>
        <w:br/>
        <w:br/>
        <w:t xml:space="preserve"> 189. Respecto de las  medidas  adoptadas  por  el  Estado  frente  a  dicha</w:t>
        <w:br/>
        <w:t xml:space="preserve">      situación de riesgo, la Corte constató que, a pesar del  escenario  de</w:t>
        <w:br/>
        <w:t xml:space="preserve">      ilegalidad y arbitrariedad ya acreditado  (supra  párr.  164),  en  un</w:t>
        <w:br/>
        <w:t xml:space="preserve">      tercer momento, se realizaron dos traslados policiales, uno al Comando</w:t>
        <w:br/>
        <w:t xml:space="preserve">      Central y otro a la Seccional de Mariño, incrementando la situación de</w:t>
        <w:br/>
        <w:t xml:space="preserve">      riesgo ya existente. Este último se llevó a cabo  en  una  unidad  sin</w:t>
        <w:br/>
        <w:t xml:space="preserve">      identificación o insignia (unidad P-66, placas  DAF-91Z,  marca  Fiat,</w:t>
        <w:br/>
        <w:t xml:space="preserve">      modelo uno, color rojo, tipo sedán), acompañado por tres oficiales.</w:t>
        <w:br/>
        <w:br/>
        <w:t xml:space="preserve"> 190. La Corte estima que existen suficientes  indicios  para  afirmar  que,</w:t>
        <w:br/>
        <w:t xml:space="preserve">      luego de la detención del  menor  de  edad,  los  funcionarios  tenían</w:t>
        <w:br/>
        <w:t xml:space="preserve">      conocimiento de la situación de riesgo en que éste se encontraba, y no</w:t>
        <w:br/>
        <w:t xml:space="preserve">      obstante ello, realizaron el segundo traslado a otra unidad  policial,</w:t>
        <w:br/>
        <w:t xml:space="preserve">      omitiendo  proporcionarle   las   medidas   de   protección   que   le</w:t>
        <w:br/>
        <w:t xml:space="preserve">      correspondían brindar a Eduardo Landaeta en su condición de  menor  de</w:t>
        <w:br/>
        <w:t xml:space="preserve">      edad y por el riesgo en el que se encontraba.</w:t>
        <w:br/>
        <w:br/>
        <w:t xml:space="preserve"> 191. Respecto de la evidencias relacionadas con la muerte  en  custodia  de</w:t>
        <w:br/>
        <w:t xml:space="preserve">      Eduardo Landaeta, de la versión de  los  policías  se  desprende  que,</w:t>
        <w:br/>
        <w:t xml:space="preserve">      durante el trayecto, fueron impactados por un vehículo color gris, del</w:t>
        <w:br/>
        <w:t xml:space="preserve">      cual se bajaron unos  sujetos  encapuchados  y  armados,  quienes  les</w:t>
        <w:br/>
        <w:t xml:space="preserve">      quitaron sus armas y dispararon contra Eduardo Landaeta  (supra  párr.</w:t>
        <w:br/>
        <w:t xml:space="preserve">      73). Del expediente, se constata que los resultados de la autopsia No.</w:t>
        <w:br/>
        <w:t xml:space="preserve">      1018-96 practicada al cuerpo de Eduardo José arrojaron que  presentaba</w:t>
        <w:br/>
        <w:t xml:space="preserve">      quince heridas realizadas por proyectil de arma de fuego. La causa  de</w:t>
        <w:br/>
        <w:t xml:space="preserve">      muerte fue una contusión cerebral severa producto de  dos  proyectiles</w:t>
        <w:br/>
        <w:t xml:space="preserve">      de arma de fuego, y trece heridas de proyectil de  arma  de  fuego  en</w:t>
        <w:br/>
        <w:t xml:space="preserve">      diversas zonas del cuerpo. Además, se observaron otras  lesiones  como</w:t>
        <w:br/>
        <w:t xml:space="preserve">      desprendimiento parcial de piel de glúteo derecho “como quemadura” con</w:t>
        <w:br/>
        <w:t xml:space="preserve">      igual características en ambos codos, marcas circulares en las muñecas</w:t>
        <w:br/>
        <w:t xml:space="preserve">      de ambas manos y equimosis en el labio inferior (infra párr. 200).</w:t>
        <w:br/>
        <w:br/>
        <w:t xml:space="preserve"> 192. La inspección ocular y la declaración relacionada del  Acta  Policial,</w:t>
        <w:br/>
        <w:t xml:space="preserve">      señalaron que el cuerpo  de  la  presunta  víctima  se  encontraba  al</w:t>
        <w:br/>
        <w:t xml:space="preserve">      momento de su muerte en el interior del vehículo en posición  decúbito</w:t>
        <w:br/>
        <w:t xml:space="preserve">      dorsal. A su vez, fueron encontradas siete conchas de bala en la parte</w:t>
        <w:br/>
        <w:t xml:space="preserve">      externa  del  vehículo  y  una  en  la  parte  interior   del   mismo.</w:t>
        <w:br/>
        <w:t xml:space="preserve">      Adicionalmente,  durante  la  autopsia   realizada   al   cadáver   se</w:t>
        <w:br/>
        <w:t xml:space="preserve">      sustrajeron tres proyectiles que fueron remitidos a la Sala de Objetos</w:t>
        <w:br/>
        <w:t xml:space="preserve">      Recuperados de  la  Seccional  de  Mariño  (supra  párr.  98).  En  la</w:t>
        <w:br/>
        <w:t xml:space="preserve">      ampliación del protocolo de autopsia, no fue encontrado  el  proyectil</w:t>
        <w:br/>
        <w:t xml:space="preserve">      que correspondía a la región lumbar paravertebral derecha, por lo  que</w:t>
        <w:br/>
        <w:t xml:space="preserve">      llevó a cabo la exhumación del cadáver (supra  párr.  109).  Asimismo,</w:t>
        <w:br/>
        <w:t xml:space="preserve">      del acta de exhumación de 9 de agosto del 2006, no se encontró  ningún</w:t>
        <w:br/>
        <w:t xml:space="preserve">      proyectil adicional en el cuerpo de  Eduardo  Landaeta,  no  obstante,</w:t>
        <w:br/>
        <w:t xml:space="preserve">      según declaraciones de uno de los sepultureros,  en  el  lugar  de  la</w:t>
        <w:br/>
        <w:t xml:space="preserve">      exhumación encontró un proyectil que  le  entregó  al  señor  Landaeta</w:t>
        <w:br/>
        <w:t xml:space="preserve">      Muñoz el 1 de noviembre de  2006  (supra  párr.  110),  mismo  que  se</w:t>
        <w:br/>
        <w:t xml:space="preserve">      consignó en la Fiscalía. Cabe mencionar también que  del  análisis  de</w:t>
        <w:br/>
        <w:t xml:space="preserve">      traza de disparos sobre las manos de dos de los  funcionarios  que  lo</w:t>
        <w:br/>
        <w:t xml:space="preserve">      trasladaron arrojaron  resultados  positivos  (supra  párr.  99).  Del</w:t>
        <w:br/>
        <w:t xml:space="preserve">      expediente judicial se desprende que “las armas  de  los  policías  se</w:t>
        <w:br/>
        <w:t xml:space="preserve">      extraviaron”[228]. Asimismo, del acta de reconstrucción de los  hechos</w:t>
        <w:br/>
        <w:t xml:space="preserve">      se desprendieron algunas contradicciones en las declaraciones  de  los</w:t>
        <w:br/>
        <w:t xml:space="preserve">      agentes en custodia[229].</w:t>
        <w:br/>
        <w:br/>
        <w:t xml:space="preserve"> 193. La Corte toma nota que el 15 de diciembre de 2008 la Fiscalía presentó</w:t>
        <w:br/>
        <w:t xml:space="preserve">      acusación contra los tres agentes policiales FABP, CARM y CARA por  el</w:t>
        <w:br/>
        <w:t xml:space="preserve">      delito de homicidio intencional  calificado,  al  considerar  que  los</w:t>
        <w:br/>
        <w:t xml:space="preserve">      imputados simularon haber sido interceptados  mientras  trasladaban  a</w:t>
        <w:br/>
        <w:t xml:space="preserve">      Eduardo Landaeta, y señaló que:</w:t>
        <w:br/>
        <w:br/>
        <w:t xml:space="preserve">    “de las investigaciones realizadas pudo determinarse que la muerte  del</w:t>
        <w:br/>
        <w:t xml:space="preserve">    referido ciudadano no se produjo dentro  del  vehículo  en  el  que  se</w:t>
        <w:br/>
        <w:t xml:space="preserve">    trasladaban dado la cantidad de  impactos  de  arma  de  fuego  que  la</w:t>
        <w:br/>
        <w:t xml:space="preserve">    víctima presentó, determinándose  que  las  circunstancias  en  que  se</w:t>
        <w:br/>
        <w:t xml:space="preserve">    produjo dicha muerte no fue la indicada por los funcionarios al momento</w:t>
        <w:br/>
        <w:t xml:space="preserve">    de reportar el hecho”[230].</w:t>
        <w:br/>
        <w:br/>
        <w:t xml:space="preserve"> 194. Asimismo, en sus alegatos orales finales de 6 de  abril  de  2009,  la</w:t>
        <w:br/>
        <w:t xml:space="preserve">      Fiscalía señaló que:</w:t>
        <w:br/>
        <w:br/>
        <w:t xml:space="preserve">    “existen méritos suficientes para señalar que  los  acusados  […],  son</w:t>
        <w:br/>
        <w:t xml:space="preserve">    responsables  de  la  comisión  del  delito  de  Homicidio  Intencional</w:t>
        <w:br/>
        <w:t xml:space="preserve">    Calificado en Grado de Complicidad. […] De las pruebas se determinó que</w:t>
        <w:br/>
        <w:t xml:space="preserve">    efectivamente los hoy acusados simularon un hecho  punible,  no  existe</w:t>
        <w:br/>
        <w:t xml:space="preserve">    esa lesión en el vehículo y en las inspecciones oculares no  se  indica</w:t>
        <w:br/>
        <w:t xml:space="preserve">    eso, en las actas del proceso los hoy  acusados  no  se  estableció  su</w:t>
        <w:br/>
        <w:t xml:space="preserve">    ubicación en el sitio del suceso,  hay  un  presunto  enfrentamiento  y</w:t>
        <w:br/>
        <w:t xml:space="preserve">    ninguno salió lesionado, todas o la única perforación de adentro  hacia</w:t>
        <w:br/>
        <w:t xml:space="preserve">    afuera no se  estableció  la  existencia  del  arma  de  fuego  de  los</w:t>
        <w:br/>
        <w:t xml:space="preserve">    acusados, por el ello el Ministerio Público  ha  insistido  en  que  el</w:t>
        <w:br/>
        <w:t xml:space="preserve">    enfrentamiento no existió […]”[231].</w:t>
        <w:br/>
        <w:br/>
        <w:t xml:space="preserve"> 195. Al respecto, este Tribunal observa que la interrelación de las pruebas</w:t>
        <w:br/>
        <w:t xml:space="preserve">      anteriormente mencionados, la posición en que fue encontrado el cuerpo</w:t>
        <w:br/>
        <w:t xml:space="preserve">      de Eduardo Landaeta, la  inconsistencia  numérica  entre  las  heridas</w:t>
        <w:br/>
        <w:t xml:space="preserve">      provocadas por proyectiles de arma de fuego al cuerpo de Eduardo y los</w:t>
        <w:br/>
        <w:t xml:space="preserve">      casquillos encontradas en el lugar  de  los  hechos  y  cuerpo  de  la</w:t>
        <w:br/>
        <w:t xml:space="preserve">      víctima,  algunas  contradicciones  entre   los   agentes   policiales</w:t>
        <w:br/>
        <w:t xml:space="preserve">      descritas en la reconstrucción de los hechos, diversas omisiones en la</w:t>
        <w:br/>
        <w:t xml:space="preserve">      investigación de los mismos, a  fin  de  deslindar  la  atribución  de</w:t>
        <w:br/>
        <w:t xml:space="preserve">      responsabilidad directa de las personas que  tenían  la  custodia  del</w:t>
        <w:br/>
        <w:t xml:space="preserve">      menor de edad, mismas que serán expuestas en el capítulo  referente  a</w:t>
        <w:br/>
        <w:t xml:space="preserve">      los artículos 8 y 25 de la  Convención,  así  como  la  acusación  del</w:t>
        <w:br/>
        <w:t xml:space="preserve">      fiscal, quien consideró que se trató de  una  simulación,  representan</w:t>
        <w:br/>
        <w:t xml:space="preserve">      presunciones contundentes para determinar la  responsabilidad  directa</w:t>
        <w:br/>
        <w:t xml:space="preserve">      del Estado por la privación arbitraria de la vida de Eduardo Landaeta.</w:t>
        <w:br/>
        <w:t xml:space="preserve">      Frente a ello, el Estado no ha brindado una explicación convincente  y</w:t>
        <w:br/>
        <w:t xml:space="preserve">      satisfactoria sobre los hechos sucedidos al  menor  de  edad  bajo  su</w:t>
        <w:br/>
        <w:t xml:space="preserve">      custodia, por lo que hasta  el  momento  no  ha  sido  desvirtuada  la</w:t>
        <w:br/>
        <w:t xml:space="preserve">      responsabilidad estatal frente a los hechos.</w:t>
        <w:br/>
        <w:br/>
        <w:t xml:space="preserve"> 196. En vista de todo lo anterior, la Corte constató la existencia  de  una</w:t>
        <w:br/>
        <w:t xml:space="preserve">      situación de riesgo contra la vida de Eduardo Landaeta,  así  como  el</w:t>
        <w:br/>
        <w:t xml:space="preserve">      conocimiento  de  las  autoridades  estatales  de  un  riesgo  real  e</w:t>
        <w:br/>
        <w:t xml:space="preserve">      inminente en su perjuicio, mismo que se materializó en la privación de</w:t>
        <w:br/>
        <w:t xml:space="preserve">      su vida. Dicho riesgo  provenía  de  los  propios  agentes  estatales,</w:t>
        <w:br/>
        <w:t xml:space="preserve">      pertenecientes a la  entidad  que  estaba  a  cargo  de  su  custodia.</w:t>
        <w:br/>
        <w:t xml:space="preserve">      Asimismo, esta Corte considera que existieron una serie  de  elementos</w:t>
        <w:br/>
        <w:t xml:space="preserve">      concatenados que configuran un incumplimiento por parte del  Estado  a</w:t>
        <w:br/>
        <w:t xml:space="preserve">      su deber de respeto y garantía a favor de Eduardo Landaeta,  a  saber:</w:t>
        <w:br/>
        <w:t xml:space="preserve">      la referida problemática de abusos  policiales  en  dicha  época;  las</w:t>
        <w:br/>
        <w:t xml:space="preserve">      amenazas señaladas; la proximidad de la muerte  de  su  hermano  Igmar</w:t>
        <w:br/>
        <w:t xml:space="preserve">      Landaeta, atribuible a agentes del mismo cuerpo policial; su detención</w:t>
        <w:br/>
        <w:t xml:space="preserve">      ilegal y arbitraria en los términos descritos; la falta de  protección</w:t>
        <w:br/>
        <w:t xml:space="preserve">      especial en razón de su condición de  menor  de  edad,  así  como  del</w:t>
        <w:br/>
        <w:t xml:space="preserve">      riesgo en el que se encontraba, siendo objeto de dos traslados sin ser</w:t>
        <w:br/>
        <w:t xml:space="preserve">      puesto bajo control judicial ni autoridad  competente  de  menores  de</w:t>
        <w:br/>
        <w:t xml:space="preserve">      edad por un tiempo prolongado; la falta de  protección  frente  a  los</w:t>
        <w:br/>
        <w:t xml:space="preserve">      propios agentes implicados, el incumplimiento en su deber de custodia,</w:t>
        <w:br/>
        <w:t xml:space="preserve">      así como todos los indicios que permiten  inferir  la  responsabilidad</w:t>
        <w:br/>
        <w:t xml:space="preserve">      directa de los agentes que lo trasladaban. En razón de ello, la  Corte</w:t>
        <w:br/>
        <w:t xml:space="preserve">      considera que el Estado es responsable por la privación arbitraria  de</w:t>
        <w:br/>
        <w:t xml:space="preserve">      la vida de Eduardo Landaeta, en incumplimiento de su deber de  respeto</w:t>
        <w:br/>
        <w:t xml:space="preserve">      y garantía del derecho  a  la  vida  de  personas  bajo  su  custodia,</w:t>
        <w:br/>
        <w:t xml:space="preserve">      dispuesto en el artículo 4 de la Convención Americana, en relación con</w:t>
        <w:br/>
        <w:t xml:space="preserve">      los artículos 1.1 y el 19 del mismo instrumento.</w:t>
        <w:br/>
        <w:br/>
        <w:br/>
        <w:t xml:space="preserve">    B.3 Derecho a la integridad personal en relación con los  derechos  del</w:t>
        <w:br/>
        <w:t xml:space="preserve">    niño y el deber de garantía frente a los alegados hechos de tortura</w:t>
        <w:br/>
        <w:br/>
        <w:br/>
        <w:t xml:space="preserve"> 197. Los representantes y la Comisión alegaron que, de conformidad  con  el</w:t>
        <w:br/>
        <w:t xml:space="preserve">      protocolo de autopsia, el cuerpo  de  Eduardo  Landaeta  presentó,  en</w:t>
        <w:br/>
        <w:t xml:space="preserve">      adición a las heridas orgánicas por arma de fuego, otras lesiones  que</w:t>
        <w:br/>
        <w:t xml:space="preserve">      sugieren prima facie que la víctima habría sido sometida a torturas  u</w:t>
        <w:br/>
        <w:t xml:space="preserve">      otros tratos crueles en su contra.</w:t>
        <w:br/>
        <w:br/>
        <w:t xml:space="preserve"> 198. En cuanto al derecho a la integridad personal, la  Corte  ha  señalado</w:t>
        <w:br/>
        <w:t xml:space="preserve">      que el Estado es responsable,  en  su  condición  de  garante  de  los</w:t>
        <w:br/>
        <w:t xml:space="preserve">      derechos consagrados en la Convención, de la observancia del derecho a</w:t>
        <w:br/>
        <w:t xml:space="preserve">      la integridad  personal  de  todo  individuo  que  se  halla  bajo  su</w:t>
        <w:br/>
        <w:t xml:space="preserve">      custodia. Así, este Tribunal reitera  que,  como  responsable  de  los</w:t>
        <w:br/>
        <w:t xml:space="preserve">      establecimientos de detención y reclusión, el Estado tiene el deber de</w:t>
        <w:br/>
        <w:t xml:space="preserve">      salvaguardar la salud y el  bienestar  de  las  personas  privadas  de</w:t>
        <w:br/>
        <w:t xml:space="preserve">      libertad, y de garantizar que la manera y el método  de  privación  de</w:t>
        <w:br/>
        <w:t xml:space="preserve">      libertad no excedan el nivel inevitable de sufrimiento inherente a  la</w:t>
        <w:br/>
        <w:t xml:space="preserve">      detención[232].  Asimismo,  la  jurisprudencia  de  este  Tribunal  ha</w:t>
        <w:br/>
        <w:t xml:space="preserve">      señalado que siempre que una persona es privada de la libertad  en  un</w:t>
        <w:br/>
        <w:t xml:space="preserve">      estado de salud normal y posteriormente aparece con afectaciones a  su</w:t>
        <w:br/>
        <w:t xml:space="preserve">      salud, corresponde al Estado proveer una explicación  satisfactoria  y</w:t>
        <w:br/>
        <w:t xml:space="preserve">      convincente de esa situación[233] y desvirtuar las  alegaciones  sobre</w:t>
        <w:br/>
        <w:t xml:space="preserve">      su responsabilidad, mediante elementos probatorios adecuados[234].  En</w:t>
        <w:br/>
        <w:t xml:space="preserve">      circunstancias particulares, “la  falta  de  tal  explicación  [podría</w:t>
        <w:br/>
        <w:t xml:space="preserve">      llevar] a la presunción de responsabilidad estatal  por  las  lesiones</w:t>
        <w:br/>
        <w:t xml:space="preserve">      que exhibe una persona que ha  estado  bajo  la  custodia  de  agentes</w:t>
        <w:br/>
        <w:t xml:space="preserve">      estatales”[235].</w:t>
        <w:br/>
        <w:br/>
        <w:t xml:space="preserve"> 199. En similar sentido, el Comité de Derechos Humanos ha reafirmado que se</w:t>
        <w:br/>
        <w:t xml:space="preserve">      presume la responsabilidad del  Estado  por  el  deterioro  que  pueda</w:t>
        <w:br/>
        <w:t xml:space="preserve">      sufrir una persona en  custodia[236],  en  el  sentido  que  la  carga</w:t>
        <w:br/>
        <w:t xml:space="preserve">      probatoria no recae exclusivamente sobre el  accionante,  teniendo  en</w:t>
        <w:br/>
        <w:t xml:space="preserve">      cuenta que tanto el accionante como  el  Estado  no  tienen  el  mismo</w:t>
        <w:br/>
        <w:t xml:space="preserve">      acceso a la evidencia. Frecuentemente, solo el Estado tiene  acceso  a</w:t>
        <w:br/>
        <w:t xml:space="preserve">      información sustancial en circunstancias de detención. El Estado tiene</w:t>
        <w:br/>
        <w:t xml:space="preserve">      una obligación de investigar en buena fe las denuncias de  violaciones</w:t>
        <w:br/>
        <w:t xml:space="preserve">      de Derechos Humanos por las que  se  le  acusa,  especialmente  cuando</w:t>
        <w:br/>
        <w:t xml:space="preserve">      dichas denuncias están corroboradas por evidencia  presentada  por  el</w:t>
        <w:br/>
        <w:t xml:space="preserve">      accionante. En los casos donde la clarificación de los hechos  recaiga</w:t>
        <w:br/>
        <w:t xml:space="preserve">      exclusivamente sobre el Estado, el Comité puede  llegar  a  considerar</w:t>
        <w:br/>
        <w:t xml:space="preserve">      las denuncias como probadas en la ausencia de evidencia o  explicación</w:t>
        <w:br/>
        <w:t xml:space="preserve">      satisfactoria   que   pueda   refutar   las   pretensiones   de    los</w:t>
        <w:br/>
        <w:t xml:space="preserve">      demandantes[237].</w:t>
        <w:br/>
        <w:br/>
        <w:t xml:space="preserve"> 200. Al respecto, la Corte constató que del protocolo de autopsia No. 1018-</w:t>
        <w:br/>
        <w:t xml:space="preserve">      96 practicado al cuerpo de Eduardo Landaeta se encontraron en  adición</w:t>
        <w:br/>
        <w:t xml:space="preserve">      a las heridas orgánicas por arma de fuego, otras lesiones, a saber: a)</w:t>
        <w:br/>
        <w:t xml:space="preserve">      desprendimiento parcial de piel de glúteo derecho “como quemadura” con</w:t>
        <w:br/>
        <w:t xml:space="preserve">      igual características en ambos codos;  b)  marcas  circulares  en  las</w:t>
        <w:br/>
        <w:t xml:space="preserve">      articulación de la muñeca de ambas manos,  discretamente  profundas  e</w:t>
        <w:br/>
        <w:t xml:space="preserve">      incompletas, y c) equimosis en labio  inferior  (supra  párrs.  102  y</w:t>
        <w:br/>
        <w:t xml:space="preserve">      191).   Asimismo,  como  ya  fue  referido,   de   acuerdo   con   las</w:t>
        <w:br/>
        <w:t xml:space="preserve">      declaraciones de  los  padres  de  Eduardo,  estos  informaron  a  una</w:t>
        <w:br/>
        <w:t xml:space="preserve">      funcionaria estatal del peligro en el que se encontraba su hijo (supra</w:t>
        <w:br/>
        <w:t xml:space="preserve">      párr. 70).</w:t>
        <w:br/>
        <w:br/>
        <w:t xml:space="preserve"> 201. En vista de dichas evidencias, es razonable inferir la  existencia  de</w:t>
        <w:br/>
        <w:t xml:space="preserve">      lesiones con características diferentes a las provocadas por la  causa</w:t>
        <w:br/>
        <w:t xml:space="preserve">      de muerte, y durante la custodia estatal. No obstante dichos elementos</w:t>
        <w:br/>
        <w:t xml:space="preserve">      de prueba, del expediente no se desprenden otros indicios que pudieran</w:t>
        <w:br/>
        <w:t xml:space="preserve">      corroborar el estado de salud de Eduardo Landaeta  al  momento  de  su</w:t>
        <w:br/>
        <w:t xml:space="preserve">      ingreso a la Comisaría, y previo  a  sus  traslados,  así  como  otros</w:t>
        <w:br/>
        <w:t xml:space="preserve">      elementos de mayor convicción  que  pudieran  determinar  el  tipo  de</w:t>
        <w:br/>
        <w:t xml:space="preserve">      lesiones, momento y circunstancias de las mismas[238]. Por  tanto,  en</w:t>
        <w:br/>
        <w:t xml:space="preserve">      principio,  no  corresponde  determinar  una  violación  directa   del</w:t>
        <w:br/>
        <w:t xml:space="preserve">      artículo 5.2 de la Convención, derivada de  posibles  tratos  crueles,</w:t>
        <w:br/>
        <w:t xml:space="preserve">      inhumanos, degradantes, o de tortura, atribuible al Estado.</w:t>
        <w:br/>
        <w:br/>
        <w:t xml:space="preserve"> 202. En conclusión, si bien no cuenta  con  elementos  para  determinar  la</w:t>
        <w:br/>
        <w:t xml:space="preserve">      responsabilidad estatal del artículo 5.2 de la Convención,  motivo  de</w:t>
        <w:br/>
        <w:t xml:space="preserve">      las lesiones encontradas en el cuerpo de Eduardo  Landaeta,  la  Corte</w:t>
        <w:br/>
        <w:t xml:space="preserve">      observa que frente a estos  hechos,  el  Estado  no  ha  brindado  una</w:t>
        <w:br/>
        <w:t xml:space="preserve">      explicación sobre el origen  de  las  mismas.  Ademas,  frente  a  las</w:t>
        <w:br/>
        <w:t xml:space="preserve">      evidencias y denuncia  de  posibles  hechos  constitutivos  contra  la</w:t>
        <w:br/>
        <w:t xml:space="preserve">      integridad personas, el Estado no realizó  investigación  alguna  para</w:t>
        <w:br/>
        <w:t xml:space="preserve">      esclarecer los hechos y, en su caso, establecer responsabilidad de las</w:t>
        <w:br/>
        <w:t xml:space="preserve">      personas involucradas[239].</w:t>
        <w:br/>
        <w:br/>
        <w:t xml:space="preserve"> 203.  Adicionalmente,  la  Corte  estima  que  la  situación  de  privación</w:t>
        <w:br/>
        <w:t xml:space="preserve">      arbitraria e ilegal de libertad de Eduardo Landaeta,  en  ausencia  de</w:t>
        <w:br/>
        <w:t xml:space="preserve">      control  judicial,  aunado  a  la  situación  de  riesgo   puesta   en</w:t>
        <w:br/>
        <w:t xml:space="preserve">      conocimiento de autoridades, así como de la muerte de  su  hermano  en</w:t>
        <w:br/>
        <w:t xml:space="preserve">      manos de agentes del  mismo  cuerpo  policial,  hechos  que  generaron</w:t>
        <w:br/>
        <w:t xml:space="preserve">      sufrimiento y angustia, así como derivaron en su muerte, y tomando  en</w:t>
        <w:br/>
        <w:t xml:space="preserve">      cuenta su condición de menor de edad, evidencian la falta de  garantía</w:t>
        <w:br/>
        <w:t xml:space="preserve">      y respeto, por parte del Estado, del derecho a la integridad  psíquica</w:t>
        <w:br/>
        <w:t xml:space="preserve">      y  moral[240],  reconocido  en  el  artículo  5.1  de  la   Convención</w:t>
        <w:br/>
        <w:t xml:space="preserve">      Americana, en relación con el artículo 19 del  mismo  instrumento,  en</w:t>
        <w:br/>
        <w:t xml:space="preserve">      perjuicio de Eduardo Landaeta.</w:t>
        <w:br/>
        <w:br/>
        <w:br/>
        <w:t xml:space="preserve">    B.4 Conclusión respecto de Eduardo José Landaeta Mejías</w:t>
        <w:br/>
        <w:br/>
        <w:br/>
        <w:t xml:space="preserve"> 204. En vista de lo anterior, la Corte  encontró  al  Estado  de  Venezuela</w:t>
        <w:br/>
        <w:t xml:space="preserve">      responsable por la violación de los artículos 7 incisos 1 al  5,  4  y</w:t>
        <w:br/>
        <w:t xml:space="preserve">      5.1 de la Convención, en relación con los artículos 1.1  y  19  de  la</w:t>
        <w:br/>
        <w:t xml:space="preserve">      misma, en perjuicio de Eduardo Landaeta.</w:t>
        <w:br/>
        <w:br/>
        <w:br/>
        <w:br/>
        <w:br/>
        <w:t xml:space="preserve">                                    VII-3</w:t>
        <w:br/>
        <w:t xml:space="preserve">  DERECHO A LAS GARANTÍAS JUDICIALES Y A LA PROTECCIÓN JUDICIAL RESPECTO DE</w:t>
        <w:br/>
        <w:t xml:space="preserve">               IGMAR ALEXANDER Y EDUARDO JOSÉ LANDAETA MEJÍAS</w:t>
        <w:br/>
        <w:br/>
        <w:br/>
        <w:br/>
        <w:br/>
        <w:br/>
        <w:br/>
        <w:t xml:space="preserve">   Alegatos de las partes y de la Comisión</w:t>
        <w:br/>
        <w:br/>
        <w:br/>
        <w:t xml:space="preserve"> 205. La Comisión señaló que el Estado de Venezuela incumplió con  el  deber</w:t>
        <w:br/>
        <w:t xml:space="preserve">      de llevar a cabo una investigación diligente y en un  plazo  razonable</w:t>
        <w:br/>
        <w:t xml:space="preserve">      respecto de la muerte de  Igmar,  y  en  relación  con  la  detención,</w:t>
        <w:br/>
        <w:t xml:space="preserve">      violación a la integridad personal  y  muerte  de  Eduardo,  ambos  de</w:t>
        <w:br/>
        <w:t xml:space="preserve">      apellido Landaeta Mejías. Asimismo, concluyó que el  Estado  incumplió</w:t>
        <w:br/>
        <w:t xml:space="preserve">      con el deber de brindar  las  garantías  judiciales  y  la  protección</w:t>
        <w:br/>
        <w:t xml:space="preserve">      judicial por haber dado a las investigaciones una perspectiva  aislada</w:t>
        <w:br/>
        <w:t xml:space="preserve">      e individual sin analizar la posible vinculación e interrelación entre</w:t>
        <w:br/>
        <w:t xml:space="preserve">      las muertes de ambos hermanos, a pesar de  la  existencia  de  previas</w:t>
        <w:br/>
        <w:t xml:space="preserve">      amenazas en contra de ellos, y por no haber considerado si las  mismas</w:t>
        <w:br/>
        <w:t xml:space="preserve">      respondían al  patrón  de  ejecuciones  extrajudiciales  existente  al</w:t>
        <w:br/>
        <w:t xml:space="preserve">      momento de los hechos, lo  cual  constituyó  un  factor  adicional  de</w:t>
        <w:br/>
        <w:t xml:space="preserve">      impunidad en ambos casos. En virtud de ello, la Comisión concluyó  que</w:t>
        <w:br/>
        <w:t xml:space="preserve">      el Estado no otorgó a los familiares de los hermanos Landaeta  Mejías,</w:t>
        <w:br/>
        <w:t xml:space="preserve">      un recurso judicial efectivo en el cual se estableciera la  verdad  de</w:t>
        <w:br/>
        <w:t xml:space="preserve">      los hechos, las sanciones de los autores materiales e intelectuales  y</w:t>
        <w:br/>
        <w:t xml:space="preserve">      una reparación adecuada. En este sentido, estableció que el Estado  de</w:t>
        <w:br/>
        <w:t xml:space="preserve">      Venezuela violó los derechos a las garantías judiciales  y  protección</w:t>
        <w:br/>
        <w:t xml:space="preserve">      judicial establecidos en  los  artículos  8  y  25  de  la  Convención</w:t>
        <w:br/>
        <w:t xml:space="preserve">      Americana en relación con el artículo 1.1 del  mismo  instrumento,  en</w:t>
        <w:br/>
        <w:t xml:space="preserve">      perjuicio de los familiares de los hermanos Landaeta.</w:t>
        <w:br/>
        <w:br/>
        <w:t xml:space="preserve"> 206. Respecto de Igmar Landaeta, la Comisión señaló que las investigaciones</w:t>
        <w:br/>
        <w:t xml:space="preserve">      y el proceso penal no fueron llevados a cabo de manera diligente ni se</w:t>
        <w:br/>
        <w:t xml:space="preserve">      dieron en un plazo razonable, en virtud de  una  serie  de  omisiones,</w:t>
        <w:br/>
        <w:t xml:space="preserve">      entre las que resaltaron: a) algunos periodos de  inactividad  en  las</w:t>
        <w:br/>
        <w:t xml:space="preserve">      investigaciones y en el proceso, así como ciertas  demoras  procesales</w:t>
        <w:br/>
        <w:t xml:space="preserve">      no justificadas por lo que el proceso duró 7 años; b) la  ausencia  de</w:t>
        <w:br/>
        <w:t xml:space="preserve">      diligencias para resolver evidentes contradicciones en  la  valoración</w:t>
        <w:br/>
        <w:t xml:space="preserve">      probatoria en las diferentes instancias judiciales, sobre todo  en  la</w:t>
        <w:br/>
        <w:t xml:space="preserve">      determinación de la legalidad del uso de la fuerza; c) la ausencia  de</w:t>
        <w:br/>
        <w:t xml:space="preserve">      investigación  de  indicios  de   la   comisión   de   una   ejecución</w:t>
        <w:br/>
        <w:t xml:space="preserve">      extrajudicial;  d)  la  falta  de  investigaciones  disciplinarias  en</w:t>
        <w:br/>
        <w:t xml:space="preserve">      relación con el comportamiento  de  los  funcionarios  policiales  que</w:t>
        <w:br/>
        <w:t xml:space="preserve">      participaron en los hechos, y e) la  falta  de  motivación  suficiente</w:t>
        <w:br/>
        <w:t xml:space="preserve">      sobre la legalidad del uso de la  fuerza  de  la  decisión  de  10  de</w:t>
        <w:br/>
        <w:t xml:space="preserve">      noviembre de 2003[241].</w:t>
        <w:br/>
        <w:br/>
        <w:t xml:space="preserve"> 207. Respecto de Eduardo Landaeta, la Comisión alegó que se cometieron  una</w:t>
        <w:br/>
        <w:t xml:space="preserve">      serie de irregularidades, omisiones y retrasos en  la  realización  de</w:t>
        <w:br/>
        <w:t xml:space="preserve">      diligencias, así como inactividad  procesal  por  largos  periodos  de</w:t>
        <w:br/>
        <w:t xml:space="preserve">      tiempo. En este sentido, la Comisión  destacó  entre  las  principales</w:t>
        <w:br/>
        <w:t xml:space="preserve">      omisiones por parte del Estado: a) el desconocimiento  de  los  hechos</w:t>
        <w:br/>
        <w:t xml:space="preserve">      objeto de la investigación por  las  autoridades  encargadas;  b)  los</w:t>
        <w:br/>
        <w:t xml:space="preserve">      largos lapsos de inactividad, que incluso llegaron a tres años; c)  la</w:t>
        <w:br/>
        <w:t xml:space="preserve">      demora excesiva en la solicitud de pruebas de vital importancia,  como</w:t>
        <w:br/>
        <w:t xml:space="preserve">      la ampliación de autopsia, la trayectoria balística y  exhumación  del</w:t>
        <w:br/>
        <w:t xml:space="preserve">      cuerpo; d) la imposibilidad de obtención de prueba  por  el  paso  del</w:t>
        <w:br/>
        <w:t xml:space="preserve">      tiempo; e) la pérdida de prueba,  como  sucedió  con  las  fotografías</w:t>
        <w:br/>
        <w:t xml:space="preserve">      tomadas durante la inspección ocular del cadáver que luego se velaron;</w:t>
        <w:br/>
        <w:t xml:space="preserve">      f) la solicitud de diligencias  e  informaciones  requeridas  por  los</w:t>
        <w:br/>
        <w:t xml:space="preserve">      funcionarios encargados de la investigación que no fueron  practicadas</w:t>
        <w:br/>
        <w:t xml:space="preserve">      ni enviadas, y g) la falta de líneas lógicas de investigación, que  no</w:t>
        <w:br/>
        <w:t xml:space="preserve">      tomaron en cuenta las  declaraciones  de  los  familiares  de  Eduardo</w:t>
        <w:br/>
        <w:t xml:space="preserve">      Landaeta. Asimismo, la Comisión señaló que la inactividad absoluta  de</w:t>
        <w:br/>
        <w:t xml:space="preserve">      las  autoridades  internas  de  investigar  su  detención   ilegal   y</w:t>
        <w:br/>
        <w:t xml:space="preserve">      arbitraria,  así  como  las  posibles  violaciones  de  su  integridad</w:t>
        <w:br/>
        <w:t xml:space="preserve">      personal, significó que el  Estado  no  proveyó  un  recurso  judicial</w:t>
        <w:br/>
        <w:t xml:space="preserve">      efectivo a  los  familiares  del  mismo.  En  relación  con  el  plazo</w:t>
        <w:br/>
        <w:t xml:space="preserve">      razonable, la Comisión concluyó que el Estado no  presentó  argumentos</w:t>
        <w:br/>
        <w:t xml:space="preserve">      tendientes  a  justificar  la  demora  de  más  de  17  años  en   las</w:t>
        <w:br/>
        <w:t xml:space="preserve">      investigaciones en el caso de Eduardo Landaeta, a pesar de que este no</w:t>
        <w:br/>
        <w:t xml:space="preserve">      revestía de especial complejidad y que la falta de esclarecimiento  de</w:t>
        <w:br/>
        <w:t xml:space="preserve">      los hechos y de la sanción de los responsables se basó en la  conducta</w:t>
        <w:br/>
        <w:t xml:space="preserve">      omisiva de las autoridades, siendo el señor  Ignacio  Landaeta  Muñoz,</w:t>
        <w:br/>
        <w:t xml:space="preserve">      quien impulsó las investigaciones.</w:t>
        <w:br/>
        <w:br/>
        <w:t xml:space="preserve"> 208. Por su parte, los representantes de las presuntas víctimas  resaltaron</w:t>
        <w:br/>
        <w:t xml:space="preserve">      que, en relación con las investigaciones de ambas muertes, no se  tomó</w:t>
        <w:br/>
        <w:t xml:space="preserve">      en  cuenta  el  contexto  generalizado  de  violencia  y   ejecuciones</w:t>
        <w:br/>
        <w:t xml:space="preserve">      extrajudiciales, las amenazas y hostigamientos previos a la muerte  de</w:t>
        <w:br/>
        <w:t xml:space="preserve">      los hermanos Landaeta, así como la interrelación entre ambas  muertes,</w:t>
        <w:br/>
        <w:t xml:space="preserve">      lo que impidió que los hechos se esclarecieran, agravando con ello, la</w:t>
        <w:br/>
        <w:t xml:space="preserve">      impunidad imperante. En relación con las  amenazas  de  muerte  y  los</w:t>
        <w:br/>
        <w:t xml:space="preserve">      hostigamientos sufridos en el caso, los representantes  señalaron  que</w:t>
        <w:br/>
        <w:t xml:space="preserve">      cuando los padres de los hermanos Landaeta intentaron denunciar  estos</w:t>
        <w:br/>
        <w:t xml:space="preserve">      hechos,  sus  denuncias  no  fueron  atendidas  por  los  funcionarios</w:t>
        <w:br/>
        <w:t xml:space="preserve">      policiales, por lo que “no  pudieron  hacer  constar”  estas  amenazas</w:t>
        <w:br/>
        <w:t xml:space="preserve">      proferidas en contra de sus hijos “en un expediente  de  investigación</w:t>
        <w:br/>
        <w:t xml:space="preserve">      hasta que se habían concretado en la muerte de los dos jóvenes”. Ello,</w:t>
        <w:br/>
        <w:t xml:space="preserve">      generó un velo de encubrimiento policial que llevó al  fraccionamiento</w:t>
        <w:br/>
        <w:t xml:space="preserve">      de las investigaciones en la actualidad  y  que  incluso,  de  haberse</w:t>
        <w:br/>
        <w:t xml:space="preserve">      dejado constancia de dichas amenazas, se hubiera podido  prevenir  las</w:t>
        <w:br/>
        <w:t xml:space="preserve">      muertes de los dos hermanos.</w:t>
        <w:br/>
        <w:br/>
        <w:t xml:space="preserve"> 209. Respecto de Igmar Landaeta, los  representantes  coincidieron  con  lo</w:t>
        <w:br/>
        <w:t xml:space="preserve">      señalado por la Comisión e indicaron que del expediente se  desprendió</w:t>
        <w:br/>
        <w:t xml:space="preserve">      que el CTPJ cometió múltiples falencias  en  la  investigación,  tales</w:t>
        <w:br/>
        <w:t xml:space="preserve">      como la ausencia de las diligencias de reconstrucción de  los  hechos,</w:t>
        <w:br/>
        <w:t xml:space="preserve">      de comparación balística, de reconocimiento de  los  funcionarios  que</w:t>
        <w:br/>
        <w:t xml:space="preserve">      actuaron en los hechos por testigos presenciales, y de  la  prueba  de</w:t>
        <w:br/>
        <w:t xml:space="preserve">      trazas de  disparos  de  los  agentes  policiales.  Asimismo,  en  sus</w:t>
        <w:br/>
        <w:t xml:space="preserve">      alegatos  finales  escritos,  indicaron  que  el  caso  demostró   una</w:t>
        <w:br/>
        <w:t xml:space="preserve">      actuación policial encaminada hacia el  encubrimiento  de  la  verdad,</w:t>
        <w:br/>
        <w:t xml:space="preserve">      como la versión de un supuesto enfrentamiento, en contradicción con la</w:t>
        <w:br/>
        <w:t xml:space="preserve">      mayoría de la prueba, con el fin de producir el efecto de cosa juzgada</w:t>
        <w:br/>
        <w:t xml:space="preserve">      fraudulenta  de  los  hechos.  Ello,  fue  avalado  por  la  Corte  de</w:t>
        <w:br/>
        <w:t xml:space="preserve">      Apelaciones en su sentencia de noviembre de 2003, en la que se  aceptó</w:t>
        <w:br/>
        <w:t xml:space="preserve">      la versión policial sin analizar la excepcionalidad, proporcionalidad,</w:t>
        <w:br/>
        <w:t xml:space="preserve">      necesidad, y humanidad en el uso de la fuerza, obviando la mayoría  de</w:t>
        <w:br/>
        <w:t xml:space="preserve">      declaraciones  y  prueba  física  existente.  De  igual  manera,   los</w:t>
        <w:br/>
        <w:t xml:space="preserve">      representantes concluyeron que el Estado incumplió  con  el  deber  de</w:t>
        <w:br/>
        <w:t xml:space="preserve">      investigar en un plazo razonable, en virtud de que el proceso penal no</w:t>
        <w:br/>
        <w:t xml:space="preserve">      se llevó a cabo con la debida celeridad y tuvo una duración de 7 años,</w:t>
        <w:br/>
        <w:t xml:space="preserve">      encontrándose  en  la  actualidad  en  la  impunidad.  Asimismo,   los</w:t>
        <w:br/>
        <w:t xml:space="preserve">      representantes indicaron que el caso no resultaba  complejo,  que  los</w:t>
        <w:br/>
        <w:t xml:space="preserve">      familiares de Igmar Landaeta  participaron  de  manera  activa  en  el</w:t>
        <w:br/>
        <w:t xml:space="preserve">      impulso del proceso  y  que  las  autoridades  tuvieron  una  conducta</w:t>
        <w:br/>
        <w:t xml:space="preserve">      caracterizada por la  ausencia  de  diligencias  pertinentes,  demoras</w:t>
        <w:br/>
        <w:t xml:space="preserve">      innecesarias y extensos periodos sin actividad procesal.</w:t>
        <w:br/>
        <w:br/>
        <w:t xml:space="preserve"> 210. Respecto de Eduardo Landaeta, los representantes señalaron que  no  se</w:t>
        <w:br/>
        <w:t xml:space="preserve">      llevaron a cabo diligencias que podrían haber determinado  la  autoría</w:t>
        <w:br/>
        <w:t xml:space="preserve">      de los disparos. En  este  sentido,  manifestaron  que  el  Ministerio</w:t>
        <w:br/>
        <w:t xml:space="preserve">      Público no ordenó ni practicó diligencias tendientes a identificar las</w:t>
        <w:br/>
        <w:t xml:space="preserve">      armas  que  habrían   sido   disparadas,   tampoco   se   realizó   la</w:t>
        <w:br/>
        <w:t xml:space="preserve">      reconstrucción de la trayectoria balística y fue recién en el año 2006</w:t>
        <w:br/>
        <w:t xml:space="preserve">      que se evidenció que una de las balas había quedado en  el  cuerpo  de</w:t>
        <w:br/>
        <w:t xml:space="preserve">      Eduardo Landaeta. De igual manera, los  representantes  agregaron  que</w:t>
        <w:br/>
        <w:t xml:space="preserve">      existió una falta de seguimiento y continuidad de un  mismo  órgano  a</w:t>
        <w:br/>
        <w:t xml:space="preserve">      cargo de la  investigación,  lo  cual  generó  lapsos  prolongados  de</w:t>
        <w:br/>
        <w:t xml:space="preserve">      inactividad,  la  fragmentación  de  la  investigación  y  la  extrema</w:t>
        <w:br/>
        <w:t xml:space="preserve">      ineficacia del proceso. Asimismo, indicaron que las irregularidades en</w:t>
        <w:br/>
        <w:t xml:space="preserve">      la investigación generaron demoras prolongadas en la consideración  de</w:t>
        <w:br/>
        <w:t xml:space="preserve">      solicitudes  de  prueba  y  la  imposibilidad  de  valorar   elementos</w:t>
        <w:br/>
        <w:t xml:space="preserve">      probatorios de suma importancia, ya que se perdieron o se  solicitaron</w:t>
        <w:br/>
        <w:t xml:space="preserve">      de manera tardía. Finalmente, los representantes indicaron que el caso</w:t>
        <w:br/>
        <w:t xml:space="preserve">      no fue sustanciado en un plazo razonable, debido a que a la fecha,  es</w:t>
        <w:br/>
        <w:t xml:space="preserve">      decir a más de  17  años  de  ocurridos  los  hechos,  el  proceso  se</w:t>
        <w:br/>
        <w:t xml:space="preserve">      encuentra en primera  instancia,  en  la  etapa  de  juicio.  En  este</w:t>
        <w:br/>
        <w:t xml:space="preserve">      sentido,  concluyeron  que  el  caso  no   presentaba   elementos   de</w:t>
        <w:br/>
        <w:t xml:space="preserve">      complejidad, el proceso se vio más bien impulsado por  los  familiares</w:t>
        <w:br/>
        <w:t xml:space="preserve">      de Eduardo Landaeta, la conducta de las autoridades se caracterizó por</w:t>
        <w:br/>
        <w:t xml:space="preserve">      las irregularidades y demoras procesales innecesarias, afectando  todo</w:t>
        <w:br/>
        <w:t xml:space="preserve">      ello, la situación jurídica de los familiares.</w:t>
        <w:br/>
        <w:br/>
        <w:t xml:space="preserve"> 211. El Estado indicó, con respecto al caso  de  Igmar  Landaeta,  que  las</w:t>
        <w:br/>
        <w:t xml:space="preserve">      investigaciones realizadas por el  Ministerio Público con  el  fin  de</w:t>
        <w:br/>
        <w:t xml:space="preserve">      esclarecer lo sucedido y sancionar a los responsables  no  presentaron</w:t>
        <w:br/>
        <w:t xml:space="preserve">      deficiencias.  Asimismo,  señaló  que   siendo   que   las   versiones</w:t>
        <w:br/>
        <w:t xml:space="preserve">      contradictorias de los testigos  del  caso  contribuyeron  al  retardo</w:t>
        <w:br/>
        <w:t xml:space="preserve">      procesal de la investigación, los hechos de la muerte del joven  Igmar</w:t>
        <w:br/>
        <w:t xml:space="preserve">      Landaeta no fueron totalmente esclarecidos. De igual manera, manifestó</w:t>
        <w:br/>
        <w:t xml:space="preserve">      que los representantes de las  presuntas  víctimas  no  pueden  alegar</w:t>
        <w:br/>
        <w:t xml:space="preserve">      retardo  procesal  ni  falta  de  investigación,  ya  que  la  primera</w:t>
        <w:br/>
        <w:t xml:space="preserve">      sentencia fue dictada 12 meses después de ocurridos los hechos por  el</w:t>
        <w:br/>
        <w:t xml:space="preserve">      Juzgado de los Municipios Santiago Mariño y Libertador del  estado  de</w:t>
        <w:br/>
        <w:t xml:space="preserve">      Aragua. El Estado indicó que si  bien  pasaron  cinco  años  desde  la</w:t>
        <w:br/>
        <w:t xml:space="preserve">      sentencia condenatoria de primera instancia y la dictada por la  Corte</w:t>
        <w:br/>
        <w:t xml:space="preserve">      de Apelaciones que ratificó la misma en el año 2002, ello se  debió  a</w:t>
        <w:br/>
        <w:t xml:space="preserve">      la transición de códigos procesales y al establecimiento de un Régimen</w:t>
        <w:br/>
        <w:t xml:space="preserve">      Procesal Transitorio, en donde se pasó de un sistema penal inquisitivo</w:t>
        <w:br/>
        <w:t xml:space="preserve">      a uno acusatorio, en beneficio de los procesados. El Estado manifestó,</w:t>
        <w:br/>
        <w:t xml:space="preserve">      durante la audiencia del caso, que en relación con la sentencia de  10</w:t>
        <w:br/>
        <w:t xml:space="preserve">      de noviembre de 2003 de “la Corte  de  Apelaciones  debió  condenar  o</w:t>
        <w:br/>
        <w:t xml:space="preserve">      absolver más no así decretar el sobreseimiento de la causa. Lo que  ha</w:t>
        <w:br/>
        <w:t xml:space="preserve">      hecho nacer de nuevo tanto para la víctima, como para  el  Estado,  el</w:t>
        <w:br/>
        <w:t xml:space="preserve">      ejercicio de casación o de un recurso  de  Amparo  constitucional  por</w:t>
        <w:br/>
        <w:t xml:space="preserve">      falta de notificación de las partes procesales”.</w:t>
        <w:br/>
        <w:br/>
        <w:t xml:space="preserve"> 212. Respecto de Eduardo Landaeta, el Estado alegó que las  investigaciones</w:t>
        <w:br/>
        <w:t xml:space="preserve">      policiales luego de sucedidos los hechos, se iniciaron  de  inmediato,</w:t>
        <w:br/>
        <w:t xml:space="preserve">      es decir el mismo 31 de diciembre de 1996 y realizó un listado de  las</w:t>
        <w:br/>
        <w:t xml:space="preserve">      investigaciones practicadas a lo largo del proceso penal iniciado  por</w:t>
        <w:br/>
        <w:t xml:space="preserve">      su muerte[242]. Asimismo, resaltó que a pesar de que las declaraciones</w:t>
        <w:br/>
        <w:t xml:space="preserve">      de los funcionarios que  trasladaron  a  Eduardo  Landaeta  y  de  los</w:t>
        <w:br/>
        <w:t xml:space="preserve">      testigos presenciales de los hechos exoneraban  de  responsabilidad  a</w:t>
        <w:br/>
        <w:t xml:space="preserve">      los  funcionarios  que  lo  custodiaban,  el  Fiscal  decidió  que  su</w:t>
        <w:br/>
        <w:t xml:space="preserve">      culpabilidad o inocencia  debía  ser  demostrada  en  juicio.  Además,</w:t>
        <w:br/>
        <w:t xml:space="preserve">      señaló que en la actualidad existe un proceso penal no  concluido,  en</w:t>
        <w:br/>
        <w:t xml:space="preserve">      donde se dilucidará la presunta responsabilidad penal de  los  agentes</w:t>
        <w:br/>
        <w:t xml:space="preserve">      que trasladaron a Eduardo Landaeta, ya que si bien la versión policial</w:t>
        <w:br/>
        <w:t xml:space="preserve">      de los hechos giró en torno a que el vehículo en el que lo trasladaban</w:t>
        <w:br/>
        <w:t xml:space="preserve">      fue interceptado por sujetos armados y encapuchados y ellos fueron los</w:t>
        <w:br/>
        <w:t xml:space="preserve">      que mataron al menor de edad Landaeta, el Estado  observó  que  podría</w:t>
        <w:br/>
        <w:t xml:space="preserve">      existir alguna vinculación  de  los  funcionarios  policiales  con  su</w:t>
        <w:br/>
        <w:t xml:space="preserve">      muerte[243]. En este sentido, el Estado manifestó que el 4 de abril de</w:t>
        <w:br/>
        <w:t xml:space="preserve">      2014 se realizaría la apertura del nuevo debate  oral,  luego  que  se</w:t>
        <w:br/>
        <w:t xml:space="preserve">      declarara con lugar el recurso de apelación interpuesto por la  Décimo</w:t>
        <w:br/>
        <w:t xml:space="preserve">      Quinta Fiscalía con el fin de reponer la causa a la fase de  un  nuevo</w:t>
        <w:br/>
        <w:t xml:space="preserve">      juicio oral.</w:t>
        <w:br/>
        <w:br/>
        <w:t xml:space="preserve"> 213. En relación con el plazo razonable en ambos procedimientos, el  Estado</w:t>
        <w:br/>
        <w:t xml:space="preserve">      alegó que “[e]l problema del Régimen Procesal Transitorio ocurrido  en</w:t>
        <w:br/>
        <w:t xml:space="preserve">      Venezuela, es lo que ha originado el retardo judicial en  el  caso  de</w:t>
        <w:br/>
        <w:t xml:space="preserve">      los hermanos Landaeta. El Estado venezolano ha explicado a los señores</w:t>
        <w:br/>
        <w:t xml:space="preserve">      Magistrados en qué consistió el Régimen Procesal Transitorio  ocurrido</w:t>
        <w:br/>
        <w:t xml:space="preserve">      en [su] país, en los casos sentenciados por  la  Corte  Interamericana</w:t>
        <w:br/>
        <w:t xml:space="preserve">      [..],  conocidos  como  Familia  Barrios  y  Néstor  Luis  Uzcátegui”.</w:t>
        <w:br/>
        <w:t xml:space="preserve">      Asimismo, señaló que “sólo admite como hecho cierto, en ambos  juicios</w:t>
        <w:br/>
        <w:t xml:space="preserve">      de  los  hermanos  Landaeta,  que  hubo  retardo   judicial   en   las</w:t>
        <w:br/>
        <w:t xml:space="preserve">      investigaciones ocasionados por  el  nuevo  Código  de  Enjuiciamiento</w:t>
        <w:br/>
        <w:t xml:space="preserve">      Criminal […]”. En virtud de lo expuesto, el Estado concluyó que no  es</w:t>
        <w:br/>
        <w:t xml:space="preserve">      responsable por la violación de los derechos de los hermanos  Landaeta</w:t>
        <w:br/>
        <w:t xml:space="preserve">      y solicitó se desestimen las pretensiones de los representantes  y  de</w:t>
        <w:br/>
        <w:t xml:space="preserve">      la Comisión.</w:t>
        <w:br/>
        <w:br/>
        <w:br/>
        <w:t xml:space="preserve">   Consideraciones de la Corte</w:t>
        <w:br/>
        <w:br/>
        <w:br/>
        <w:t xml:space="preserve"> 214. La Corte ha establecido en su constante jurisprudencia que  dentro  de</w:t>
        <w:br/>
        <w:t xml:space="preserve">      las medidas positivas que un Estado debe adoptar para  garantizar  los</w:t>
        <w:br/>
        <w:t xml:space="preserve">      derechos reconocidos en la Convención se encuentra  la  obligación  de</w:t>
        <w:br/>
        <w:t xml:space="preserve">      investigar violaciones de derechos humanos. El  cumplimiento  de  esta</w:t>
        <w:br/>
        <w:t xml:space="preserve">      obligación consiste no sólo en prevenir sino  también  investigar  las</w:t>
        <w:br/>
        <w:t xml:space="preserve">      violaciones de derechos  reconocidos  en  ese  instrumento,  así  como</w:t>
        <w:br/>
        <w:t xml:space="preserve">      procurar el restablecimiento, si es posible, del derecho conculcado y,</w:t>
        <w:br/>
        <w:t xml:space="preserve">      en su caso, la reparación de los daños producidos por las  violaciones</w:t>
        <w:br/>
        <w:t xml:space="preserve">      a los derechos humanos[244].</w:t>
        <w:br/>
        <w:br/>
        <w:t xml:space="preserve"> 215. La Corte ha expresado  que  los  Estados  están  obligados  a  proveer</w:t>
        <w:br/>
        <w:t xml:space="preserve">      recursos  judiciales  efectivos  a  las  víctimas  de  violaciones  de</w:t>
        <w:br/>
        <w:t xml:space="preserve">      derechos humanos (artículo 25), los cuales deber ser  sustanciados  de</w:t>
        <w:br/>
        <w:t xml:space="preserve">      conformidad con las reglas del debido  proceso  legal  (artículo  8.1)</w:t>
        <w:br/>
        <w:t xml:space="preserve">      todo ello dentro de la obligación  general,  a  cargo  de  los  mismos</w:t>
        <w:br/>
        <w:t xml:space="preserve">      Estados, de garantizar el libre y  pleno  ejercicio  de  los  derechos</w:t>
        <w:br/>
        <w:t xml:space="preserve">      reconocidos por la Convención a toda persona que se encuentre bajo  su</w:t>
        <w:br/>
        <w:t xml:space="preserve">      jurisdicción (artículo 1.1)[245].</w:t>
        <w:br/>
        <w:br/>
        <w:t xml:space="preserve"> 216. La obligación de investigar implica que una vez  que  las  autoridades</w:t>
        <w:br/>
        <w:t xml:space="preserve">      estatales tengan conocimiento del hecho, deben iniciar  ex  officio  y</w:t>
        <w:br/>
        <w:t xml:space="preserve">      sin dilación, una investigación seria, imparcial y efectiva por  todos</w:t>
        <w:br/>
        <w:t xml:space="preserve">      los medios legales disponibles y orientada a la  determinación  de  la</w:t>
        <w:br/>
        <w:t xml:space="preserve">      verdad y a la persecución, captura, enjuiciamiento y eventual  castigo</w:t>
        <w:br/>
        <w:t xml:space="preserve">      de todos los autores de los hechos[246], especialmente cuando están  o</w:t>
        <w:br/>
        <w:t xml:space="preserve">      puedan estar involucrados agentes estatales[247]. Este  deber  es  una</w:t>
        <w:br/>
        <w:t xml:space="preserve">      obligación de medio y no de resultado, que debe  ser  asumida  por  el</w:t>
        <w:br/>
        <w:t xml:space="preserve">      Estado como un deber jurídico propio y no como una  simple  formalidad</w:t>
        <w:br/>
        <w:t xml:space="preserve">      condenada de antemano a ser infructuosa, o como una  mera  gestión  de</w:t>
        <w:br/>
        <w:t xml:space="preserve">      intereses particulares, que dependa de la iniciativa procesal  de  las</w:t>
        <w:br/>
        <w:t xml:space="preserve">      víctimas o de sus familiares o de la aportación privada  de  elementos</w:t>
        <w:br/>
        <w:t xml:space="preserve">      probatorios[248].  La  obligación  del  Estado  de   investigar   debe</w:t>
        <w:br/>
        <w:t xml:space="preserve">      cumplirse diligentemente para evitar la impunidad y que este  tipo  de</w:t>
        <w:br/>
        <w:t xml:space="preserve">      hechos vuelvan a repetirse. En este sentido, la Corte recuerda que  la</w:t>
        <w:br/>
        <w:t xml:space="preserve">      impunidad  fomenta  la  repetición  de  las  violaciones  de  derechos</w:t>
        <w:br/>
        <w:t xml:space="preserve">      humanos[249].</w:t>
        <w:br/>
        <w:br/>
        <w:t xml:space="preserve"> 217. Asimismo, la Corte ha señalado  que  para  que  la  investigación  sea</w:t>
        <w:br/>
        <w:t xml:space="preserve">      efectiva en los términos de la Convención, debe llevarse a cabo con la</w:t>
        <w:br/>
        <w:t xml:space="preserve">      debida diligencia, la cual exige que el órgano que investiga  lleve  a</w:t>
        <w:br/>
        <w:t xml:space="preserve">      cabo todas  aquellas  actuaciones  y  averiguaciones  necesarias  para</w:t>
        <w:br/>
        <w:t xml:space="preserve">      procurar  el  resultado  que  se  persigue[250].  Es  decir  que  debe</w:t>
        <w:br/>
        <w:t xml:space="preserve">      sustanciarse “por todos  los  medios  legales  disponibles  y  [estar]</w:t>
        <w:br/>
        <w:t xml:space="preserve">      orientada a la determinación de la verdad”[251]. Este deber  involucra</w:t>
        <w:br/>
        <w:t xml:space="preserve">      a toda institución estatal[252], tanto judicial como no judicial,  por</w:t>
        <w:br/>
        <w:t xml:space="preserve">      lo que la debida diligencia se  extiende  también  a  los  órganos  no</w:t>
        <w:br/>
        <w:t xml:space="preserve">      judiciales a los que corresponda la investigación previa  al  proceso,</w:t>
        <w:br/>
        <w:t xml:space="preserve">      realizada para determinar  las  circunstancias  de  una  muerte  y  la</w:t>
        <w:br/>
        <w:t xml:space="preserve">      existencia de suficientes indicios para interponer una  acción  penal.</w:t>
        <w:br/>
        <w:t xml:space="preserve">      Sin  el  cumplimiento  de  estas  exigencias,  el  “Estado  no   podrá</w:t>
        <w:br/>
        <w:t xml:space="preserve">      posteriormente ejercer de manera  efectiva  y  eficiente  su  facultad</w:t>
        <w:br/>
        <w:t xml:space="preserve">      acusatoria y los  tribunales  no  podrán  llevar  a  cabo  el  proceso</w:t>
        <w:br/>
        <w:t xml:space="preserve">      judicial que este tipo de violaciones requiere”[253].</w:t>
        <w:br/>
        <w:br/>
        <w:t xml:space="preserve"> 218. Por otro lado, este Tribunal ha  establecido  que  “el  derecho  a  la</w:t>
        <w:br/>
        <w:t xml:space="preserve">      tutela judicial efectiva exige a los jueces que dirijan el proceso  de</w:t>
        <w:br/>
        <w:t xml:space="preserve">      modo a evitar que dilaciones y entorpecimientos indebidos conduzcan  a</w:t>
        <w:br/>
        <w:t xml:space="preserve">      la impunidad, frustrando así la  debida  protección  judicial  de  los</w:t>
        <w:br/>
        <w:t xml:space="preserve">      derechos humanos. Asimismo el Tribunal ha considerado que “los  jueces</w:t>
        <w:br/>
        <w:t xml:space="preserve">      como rectores del proceso tienen el deber de  dirigir  y  encausar  el</w:t>
        <w:br/>
        <w:t xml:space="preserve">      procedimiento judicial con el fin de no sacrificar la  justicia  y  el</w:t>
        <w:br/>
        <w:t xml:space="preserve">      debido proceso legal en pro del formalismo y la impunidad”, pues de lo</w:t>
        <w:br/>
        <w:t xml:space="preserve">      contrario se “conduce a la violación de  la  obligación  internacional</w:t>
        <w:br/>
        <w:t xml:space="preserve">      del Estado de prevenir y proteger los derechos humanos y menoscaba  el</w:t>
        <w:br/>
        <w:t xml:space="preserve">      derecho de la víctima y de sus familiares a  saber  la  verdad  de  lo</w:t>
        <w:br/>
        <w:t xml:space="preserve">      sucedido, a que se identifique y se sancione a todos los  responsables</w:t>
        <w:br/>
        <w:t xml:space="preserve">      y a obtener las consecuentes reparaciones”[254], todo ello en un plazo</w:t>
        <w:br/>
        <w:t xml:space="preserve">      razonable[255]. Es decir que los juzgadores  deben  “actuar  en  forma</w:t>
        <w:br/>
        <w:t xml:space="preserve">      diligente,  procurando  la  celeridad  en  la   tramitación   de   los</w:t>
        <w:br/>
        <w:t xml:space="preserve">      procesos[256]”.</w:t>
        <w:br/>
        <w:br/>
        <w:t xml:space="preserve"> 219. En relación con las investigaciones y los procesos penales llevados  a</w:t>
        <w:br/>
        <w:t xml:space="preserve">      cabo en virtud de las muertes de  los  hermanos  Landaeta  Mejías,  la</w:t>
        <w:br/>
        <w:t xml:space="preserve">      Comisión  y  los  representantes  alegaron  una  serie  de  omisiones,</w:t>
        <w:br/>
        <w:t xml:space="preserve">      retrasos e inactividad procesal que  vulneraron  el  deber  de  debida</w:t>
        <w:br/>
        <w:t xml:space="preserve">      diligencia del Estado, así como el plazo razonable en la sustanciación</w:t>
        <w:br/>
        <w:t xml:space="preserve">      de los mismos. En virtud de ello, la Corte constata que en el caso  de</w:t>
        <w:br/>
        <w:t xml:space="preserve">      Igmar Landaeta no se han esclarecido los hechos en controversia  y  si</w:t>
        <w:br/>
        <w:t xml:space="preserve">      bien, inicialmente, se condenó a uno de los dos  procesados,  su  caso</w:t>
        <w:br/>
        <w:t xml:space="preserve">      fue  “sobreseído”  en  noviembre  de  2003.  Con  respecto  a  Eduardo</w:t>
        <w:br/>
        <w:t xml:space="preserve">      Landaeta, la Corte constata que el proceso penal se  encuentra  en  la</w:t>
        <w:br/>
        <w:t xml:space="preserve">      etapa de juicio oral en la actualidad, luego de 17 años  de  ocurridos</w:t>
        <w:br/>
        <w:t xml:space="preserve">      los hechos.  Asimismo,  el  Tribunal  toma  nota  que  las  líneas  de</w:t>
        <w:br/>
        <w:t xml:space="preserve">      investigación de ambas muertes fueron sustanciadas de manera separada,</w:t>
        <w:br/>
        <w:t xml:space="preserve">      a pesar de los indicios de la relación entre ellas y que  las  muertes</w:t>
        <w:br/>
        <w:t xml:space="preserve">      ocurrieron con 45 días de diferencia.</w:t>
        <w:br/>
        <w:br/>
        <w:t xml:space="preserve"> 220. Con base en lo expuesto, le corresponde a este Tribunal determinar  si</w:t>
        <w:br/>
        <w:t xml:space="preserve">      el Estado incurrió en violaciones a los derechos  reconocidos  en  los</w:t>
        <w:br/>
        <w:t xml:space="preserve">      artículos 8.1 y 25.1 de la Convención, en relación con el artículo 1.1</w:t>
        <w:br/>
        <w:t xml:space="preserve">      de ese tratado. Para ello,  este  Tribunal  desarrollará  su  análisis</w:t>
        <w:br/>
        <w:t xml:space="preserve">      valorando: a) la ausencia de investigaciones conjuntas en relación con</w:t>
        <w:br/>
        <w:t xml:space="preserve">      la muerte de los hermanos Landaeta Mejías; b) la debida  diligencia  y</w:t>
        <w:br/>
        <w:t xml:space="preserve">      el  plazo  razonable  respecto  de  Igmar  Landaeta;  c)   la   debida</w:t>
        <w:br/>
        <w:t xml:space="preserve">      diligencia, la ausencia de investigaciones derivadas de la detención y</w:t>
        <w:br/>
        <w:t xml:space="preserve">      presuntas afectaciones a la integridad personal y el  plazo  razonable</w:t>
        <w:br/>
        <w:t xml:space="preserve">      respecto de Eduardo Landaeta.</w:t>
        <w:br/>
        <w:br/>
        <w:br/>
        <w:t xml:space="preserve">    B.1 Ausencia de investigaciones conjuntas en relación con la muerte  de</w:t>
        <w:br/>
        <w:t xml:space="preserve">    los hermanos Landaeta Mejías</w:t>
        <w:br/>
        <w:br/>
        <w:br/>
        <w:t xml:space="preserve"> 221. La Corte observa que las investigaciones por las muertes  de  Igmar  y</w:t>
        <w:br/>
        <w:t xml:space="preserve">      Eduardo Landaeta,  fueron  llevadas  a  cabo  separadamente  y  no  se</w:t>
        <w:br/>
        <w:t xml:space="preserve">      vincularon en ningún momento. Este Tribunal ha señalado en el capítulo</w:t>
        <w:br/>
        <w:t xml:space="preserve">      de hechos probados que Igmar Landaeta falleció en noviembre de 1996  y</w:t>
        <w:br/>
        <w:t xml:space="preserve">      su hermano, Eduardo Landaeta murió 45 días después, en  diciembre  del</w:t>
        <w:br/>
        <w:t xml:space="preserve">      mismo año. La Corte constata que  María  Magdalena  Mejías  e  Ignacio</w:t>
        <w:br/>
        <w:t xml:space="preserve">      Landaeta, padres  de  los  hermanos  Landaeta  Mejías,  declararon  en</w:t>
        <w:br/>
        <w:t xml:space="preserve">      diversas oportunidades durante el desarrollo de ambos procesos penales</w:t>
        <w:br/>
        <w:t xml:space="preserve">      que  sus  hijos  habían  sido  previamente  amenazados   por   agentes</w:t>
        <w:br/>
        <w:t xml:space="preserve">      policiales, incluso antes de la muerte de Eduardo Landaeta.  De  igual</w:t>
        <w:br/>
        <w:t xml:space="preserve">      manera, en dichas declaraciones, mencionaron el nombre de tres agentes</w:t>
        <w:br/>
        <w:t xml:space="preserve">      (GACF, AAC[257] y CJZM) (supra párrs. 56 y  57),  como  los  presuntos</w:t>
        <w:br/>
        <w:t xml:space="preserve">      acosadores, estando los dos primeros involucrados y procesados por  la</w:t>
        <w:br/>
        <w:t xml:space="preserve">      muerte de Igmar Landaeta.</w:t>
        <w:br/>
        <w:br/>
        <w:t xml:space="preserve"> 222. Asimismo, de  dichas  declaraciones  se  constata  que  la  puesta  en</w:t>
        <w:br/>
        <w:t xml:space="preserve">      conocimiento a las autoridades del CTPJ  sobre  el  presunto  acoso  y</w:t>
        <w:br/>
        <w:t xml:space="preserve">      amenazas se inició desde la primera  declaración  de  María  Magdalena</w:t>
        <w:br/>
        <w:t xml:space="preserve">      Mejías el 20 de noviembre de 1996, como ya lo  estableció  esta  Corte</w:t>
        <w:br/>
        <w:t xml:space="preserve">      (supra  párr.  57).  Dichas  aseveraciones   fueron   confirmadas   en</w:t>
        <w:br/>
        <w:t xml:space="preserve">      posteriores declaraciones en abril de 1997 y en febrero  de  2004.  De</w:t>
        <w:br/>
        <w:t xml:space="preserve">      igual manera, dentro de la prueba que consta  en  el  expediente  ante</w:t>
        <w:br/>
        <w:t xml:space="preserve">      este Tribunal, existen declaraciones en las que se  señala  que  luego</w:t>
        <w:br/>
        <w:t xml:space="preserve">      del disparo que terminó con la vida de Igmar  Landaeta,  una  muchacha</w:t>
        <w:br/>
        <w:t xml:space="preserve">      que se encontraba en el vehículo blanco le indicó a  los  sujetos  que</w:t>
        <w:br/>
        <w:t xml:space="preserve">      “se habían equivocado”, que esa no era la persona que buscaban  (supra</w:t>
        <w:br/>
        <w:t xml:space="preserve">      párr. 62). En este sentido, previo a la muerte de Eduardo Landaeta, el</w:t>
        <w:br/>
        <w:t xml:space="preserve">      Estado ya tenía indicios  de  la  posible  interrelación  entre  ambas</w:t>
        <w:br/>
        <w:t xml:space="preserve">      muertes  y  no  inició  ninguna   averiguación   para   confirmar   la</w:t>
        <w:br/>
        <w:t xml:space="preserve">      vinculación. Asimismo, esta  Corte  ya  ha  establecido  que  mientras</w:t>
        <w:br/>
        <w:t xml:space="preserve">      Eduardo Landaeta  se  encontraba  detenido,  sus  padres  pusieron  en</w:t>
        <w:br/>
        <w:t xml:space="preserve">      conocimiento de las autoridades no sólo las  amenazas  en  su  contra,</w:t>
        <w:br/>
        <w:t xml:space="preserve">      sino también la situación de riesgo  contra  la  vida  en  el  que  se</w:t>
        <w:br/>
        <w:t xml:space="preserve">      encontraba su hijo (supra párrs. 70 y 187). Lo anterior, sin  que  las</w:t>
        <w:br/>
        <w:t xml:space="preserve">      autoridades tomaran las medidas necesarias  para  impedir  su  muerte;</w:t>
        <w:br/>
        <w:t xml:space="preserve">      pues, a pesar de dicha información, no consta en el expediente que  el</w:t>
        <w:br/>
        <w:t xml:space="preserve">      Estado haya considerado una  línea  de  investigación  que  tomara  en</w:t>
        <w:br/>
        <w:t xml:space="preserve">      cuenta las declaraciones de sus familiares.</w:t>
        <w:br/>
        <w:br/>
        <w:t xml:space="preserve"> 223. Por otro lado, en virtud de la muerte de Eduardo Landaeta, la Comisión</w:t>
        <w:br/>
        <w:t xml:space="preserve">      de Derechos Humanos de Justicia y Paz del estado Aragua  presentó  una</w:t>
        <w:br/>
        <w:t xml:space="preserve">      solicitud de apertura  de  averiguación  de  nudo  de  hecho  ante  la</w:t>
        <w:br/>
        <w:t xml:space="preserve">      Fiscalía Novena del Ministerio Público el 27 de  agosto  de  1997.  En</w:t>
        <w:br/>
        <w:t xml:space="preserve">      dicha solicitud, señaló de manera expresa que el 30  de  diciembre  de</w:t>
        <w:br/>
        <w:t xml:space="preserve">      1997, mientras María Magdalena Mejías  se  encontraba  en  el  comando</w:t>
        <w:br/>
        <w:t xml:space="preserve">      policial,  los  funcionarios  GACF  y  AAC,  quienes  se   encontraban</w:t>
        <w:br/>
        <w:t xml:space="preserve">      vinculados a la muerte de Igmar Landaeta, llegaron a dicha comandancia</w:t>
        <w:br/>
        <w:t xml:space="preserve">      solicitando que se les entregara al menor de edad,  Eduardo  Landaeta,</w:t>
        <w:br/>
        <w:t xml:space="preserve">      para su traslado[258]; lo que a criterio de esta Corte, evidencia  una</w:t>
        <w:br/>
        <w:t xml:space="preserve">      posible interrelación entre ambos casos.</w:t>
        <w:br/>
        <w:br/>
        <w:t xml:space="preserve"> 224. La Corte  constata  que  a  pesar  de  los  indicios  demostrados  que</w:t>
        <w:br/>
        <w:t xml:space="preserve">      indicaron  una  interrelación  entre  ambas  muertes,  la  puesta   en</w:t>
        <w:br/>
        <w:t xml:space="preserve">      conocimiento  de  las  autoridades  sobre  las   presuntas   amenazas,</w:t>
        <w:br/>
        <w:t xml:space="preserve">      hostigamientos y sobre la situación de  riesgo  de  Eduardo  Landaeta,</w:t>
        <w:br/>
        <w:t xml:space="preserve">      sumado al hecho de que la Fiscalía Novena del Ministerio  Público  fue</w:t>
        <w:br/>
        <w:t xml:space="preserve">      la encargada  de  ambos  casos  durante  un  periodo  de  tiempo,  las</w:t>
        <w:br/>
        <w:t xml:space="preserve">      autoridades no realizaron investigaciones del conjunto de estos hechos</w:t>
        <w:br/>
        <w:t xml:space="preserve">      ni  realizaron  una  averiguación   tendiente   a   comprobar   dichos</w:t>
        <w:br/>
        <w:t xml:space="preserve">      vínculos[259]. Al respecto, este Tribunal  ha  establecido  que  “[l]a</w:t>
        <w:br/>
        <w:t xml:space="preserve">      investigación con debida diligencia exige tomar en cuenta lo  ocurrido</w:t>
        <w:br/>
        <w:t xml:space="preserve">      en otros homicidios y establecer algún tipo de relación  entre  ellos.</w:t>
        <w:br/>
        <w:t xml:space="preserve">      Ello debe ser impulsado de oficio, sin que sean  las  víctimas  y  sus</w:t>
        <w:br/>
        <w:t xml:space="preserve">      familiares quienes tengan la carga de asumir tal iniciativa”[260].</w:t>
        <w:br/>
        <w:br/>
        <w:t xml:space="preserve"> 225. Con base en lo señalado, la Corte considera  que  las  investigaciones</w:t>
        <w:br/>
        <w:t xml:space="preserve">      aisladas que se efectuaron no contribuyeron con el esclarecimiento  de</w:t>
        <w:br/>
        <w:t xml:space="preserve">      los hechos ni, en su caso, con la determinación de  responsabilidades.</w:t>
        <w:br/>
        <w:t xml:space="preserve">      En este sentido, este Tribunal estima que el Estado al  no  investigar</w:t>
        <w:br/>
        <w:t xml:space="preserve">      ambas muertes de manera conjunta no agotó todas las posibles líneas de</w:t>
        <w:br/>
        <w:t xml:space="preserve">      investigación que permitieran el esclarecimiento de los hechos[261].</w:t>
        <w:br/>
        <w:br/>
        <w:br/>
        <w:t xml:space="preserve">    B.2 Debida diligencia y plazo razonable durante las  investigaciones  y</w:t>
        <w:br/>
        <w:t xml:space="preserve">    el proceso penal relativo a  la  muerte  de  Igmar  Alexander  Landaeta</w:t>
        <w:br/>
        <w:t xml:space="preserve">    Mejías</w:t>
        <w:br/>
        <w:br/>
        <w:br/>
        <w:t xml:space="preserve"> 226. El Tribunal ha establecido que Igmar Landaeta murió a  causa  del  uso</w:t>
        <w:br/>
        <w:t xml:space="preserve">      excesivo de la fuerza en noviembre de 1996  (supra  párr.  142).  Como</w:t>
        <w:br/>
        <w:t xml:space="preserve">      consecuencia  de  ello,  esta  Corte  constata  que  se   inició   una</w:t>
        <w:br/>
        <w:t xml:space="preserve">      investigación y proceso penal para el esclarecimiento de los hechos  y</w:t>
        <w:br/>
        <w:t xml:space="preserve">      la correspondiente sanción de los responsables que  concluyó  con  una</w:t>
        <w:br/>
        <w:t xml:space="preserve">      absolución y un sobreseimiento. En virtud de ello, y con  base  en  lo</w:t>
        <w:br/>
        <w:t xml:space="preserve">      alegado por la Comisión y  por  las  partes,  le  corresponde  a  este</w:t>
        <w:br/>
        <w:t xml:space="preserve">      Tribunal determinar si las investigaciones y el proceso penal  por  la</w:t>
        <w:br/>
        <w:t xml:space="preserve">      muerte de Igmar Landaeta fueron conducidos con la debida diligencia  y</w:t>
        <w:br/>
        <w:t xml:space="preserve">      en un plazo razonable, por lo que la Corte pasará a analizar:  a)  las</w:t>
        <w:br/>
        <w:t xml:space="preserve">      presuntas omisiones en las diligencias iniciales de la investigación y</w:t>
        <w:br/>
        <w:t xml:space="preserve">      el impacto de las mismas en el resultado final del proceso  penal;  b)</w:t>
        <w:br/>
        <w:t xml:space="preserve">      las presuntas irregularidades en el  proceso  penal,  y  c)  el  plazo</w:t>
        <w:br/>
        <w:t xml:space="preserve">      razonable.</w:t>
        <w:br/>
        <w:br/>
        <w:br/>
        <w:t>B.2.1 Las diligencias iniciales de investigación</w:t>
        <w:br/>
        <w:br/>
        <w:br/>
        <w:t xml:space="preserve"> 227. La Corte ha establecido que la eficiente determinación de la verdad en</w:t>
        <w:br/>
        <w:t xml:space="preserve">      el marco de la obligación de investigar  una  muerte,  debe  mostrarse</w:t>
        <w:br/>
        <w:t xml:space="preserve">      desde las primeras diligencias  con  toda  acuciosidad[262].  En  este</w:t>
        <w:br/>
        <w:t xml:space="preserve">      sentido, este Tribunal ha especificado los principios rectores que son</w:t>
        <w:br/>
        <w:t xml:space="preserve">      precisos observar en una investigación cuando se  está  frente  a  una</w:t>
        <w:br/>
        <w:t xml:space="preserve">      muerte violenta, tal como se desprende  de  los  hechos  del  presente</w:t>
        <w:br/>
        <w:t xml:space="preserve">      caso. Las autoridades estatales que conducen una investigación de este</w:t>
        <w:br/>
        <w:t xml:space="preserve">      tipo deben realizar como mínimo,  inter  alia:  i)  identificar  a  la</w:t>
        <w:br/>
        <w:t xml:space="preserve">      víctima; ii) recuperar y preservar el material probatorio  relacionado</w:t>
        <w:br/>
        <w:t xml:space="preserve">      con  la  muerte,  con  el  fin  de  ayudar  en   cualquier   potencial</w:t>
        <w:br/>
        <w:t xml:space="preserve">      investigación penal de los  responsables;  iii)  identificar  posibles</w:t>
        <w:br/>
        <w:t xml:space="preserve">      testigos y obtener sus declaraciones en relación con la muerte que  se</w:t>
        <w:br/>
        <w:t xml:space="preserve">      investiga; iv) determinar la causa,  forma,  lugar  y  momento  de  la</w:t>
        <w:br/>
        <w:t xml:space="preserve">      muerte, así como cualquier patrón o práctica que pueda  haber  causado</w:t>
        <w:br/>
        <w:t xml:space="preserve">      la muerte, y v) distinguir entre muerte  natural,  muerte  accidental,</w:t>
        <w:br/>
        <w:t xml:space="preserve">      suicidio y homicidio. Las autopsias y análisis de restos humanos deber</w:t>
        <w:br/>
        <w:t xml:space="preserve">      realizarse  en  forma  rigurosa,  por  profesionales   competentes   y</w:t>
        <w:br/>
        <w:t xml:space="preserve">      empleando los procedimientos más apropiados[263].</w:t>
        <w:br/>
        <w:br/>
        <w:t xml:space="preserve"> 228. De igual manera, es necesario investigar exhaustivamente la escena del</w:t>
        <w:br/>
        <w:t xml:space="preserve">      crimen[264]  y  deben  realizarse  algunas   diligencias   mínimas   e</w:t>
        <w:br/>
        <w:t xml:space="preserve">      indispensables para la conservación  de  los  elementos  de  prueba  y</w:t>
        <w:br/>
        <w:t xml:space="preserve">      evidencias que puedan contribuir al éxito de la investigación[265]. En</w:t>
        <w:br/>
        <w:t xml:space="preserve">      este sentido, los estándares internacionales señalan que, en  relación</w:t>
        <w:br/>
        <w:t xml:space="preserve">      con la escena del  crimen,  los  investigadores  deben,  como  mínimo:</w:t>
        <w:br/>
        <w:t xml:space="preserve">      fotografiar dicha escena[266], cualquier otra evidencia  física  y  el</w:t>
        <w:br/>
        <w:t xml:space="preserve">      cuerpo como se encontró y después  de  moverlo;  recoger  y  conservar</w:t>
        <w:br/>
        <w:t xml:space="preserve">      todas las muestras de sangre, cabello, fibras, hilos  u  otras  pistas</w:t>
        <w:br/>
        <w:t xml:space="preserve">      deben ser recogidas y conservadas[267]; examinar el área en  busca  de</w:t>
        <w:br/>
        <w:t xml:space="preserve">      huellas de zapatos o cualquier otra que tenga naturaleza de evidencia,</w:t>
        <w:br/>
        <w:t xml:space="preserve">      y hacer un informe detallando cualquier observación de la escena,  las</w:t>
        <w:br/>
        <w:t xml:space="preserve">      acciones de los investigadores y la disposición de toda  la  evidencia</w:t>
        <w:br/>
        <w:t xml:space="preserve">      coleccionada[268]. El Protocolo de Minnesota  establece,  entre  otras</w:t>
        <w:br/>
        <w:t xml:space="preserve">      obligaciones, que al investigar una escena del crimen se  debe  cerrar</w:t>
        <w:br/>
        <w:t xml:space="preserve">      la zona contigua al cadáver, y prohibir, salvo para el investigador  y</w:t>
        <w:br/>
        <w:t xml:space="preserve">      su equipo, el ingreso a la misma[269].</w:t>
        <w:br/>
        <w:br/>
        <w:t xml:space="preserve"> 229. Con base en lo señalado, la Corte constata que en las actuaciones  más</w:t>
        <w:br/>
        <w:t xml:space="preserve">      próximas al suceso, el Estado realizó diversas diligencias  iniciales.</w:t>
        <w:br/>
        <w:t xml:space="preserve">      En este sentido, a las 16:00 horas de 17  de  noviembre  de  1996,  el</w:t>
        <w:br/>
        <w:t xml:space="preserve">      mismo día en que ocurrieron los hechos, se  inició  una  investigación</w:t>
        <w:br/>
        <w:t xml:space="preserve">      sumaria[270] a  cargo  del  Cuerpo  Técnico  de  la  Policía  Judicial</w:t>
        <w:br/>
        <w:t xml:space="preserve">      Seccional Mariño, quienes se apersonaron a  la  escena  del  crimen  e</w:t>
        <w:br/>
        <w:t xml:space="preserve">      informaron de la misma a las autoridades correspondientes (supra párr.</w:t>
        <w:br/>
        <w:t xml:space="preserve">      75). En virtud de dicha investigación  sumaria,  se  llevaron  a  cabo</w:t>
        <w:br/>
        <w:t xml:space="preserve">      diligencias con el fin de recolectar elementos de prueba, tales  como:</w:t>
        <w:br/>
        <w:t xml:space="preserve">      a) la inspección ocular del cadáver de 17 de noviembre de 1996  (supra</w:t>
        <w:br/>
        <w:t xml:space="preserve">      párr. 76); b) la inspección ocular en la zona  de  los  hechos  a  las</w:t>
        <w:br/>
        <w:t xml:space="preserve">      17:00 horas de 17 de  noviembre  de  1996  (supra  párr.  77);  c)  la</w:t>
        <w:br/>
        <w:t xml:space="preserve">      autopsia del cadáver de 18 de noviembre de 1996 (supra párr.  79);  d)</w:t>
        <w:br/>
        <w:t xml:space="preserve">      el decomiso y entrega de arma incautada a Igmar Landaeta de 17 y 18 de</w:t>
        <w:br/>
        <w:t xml:space="preserve">      noviembre, respectivamente (supra párr. 67); e) el análisis  de  traza</w:t>
        <w:br/>
        <w:t xml:space="preserve">      de disparos en Igmar Landaeta de 19 de noviembre de 1996 (supra  párr.</w:t>
        <w:br/>
        <w:t xml:space="preserve">      80); f) la recepción de  diversas  declaraciones  durante  el  mes  de</w:t>
        <w:br/>
        <w:t xml:space="preserve">      noviembre de 1996 (supra  párr.  60  a  68),  y  g)  el  levantamiento</w:t>
        <w:br/>
        <w:t xml:space="preserve">      planimétrico, trayectoria balística y reconstrucción de los hechos.</w:t>
        <w:br/>
        <w:br/>
        <w:t xml:space="preserve"> 230. Por otro lado, la Corte constató  que  durante  el  transcurso  de  la</w:t>
        <w:br/>
        <w:t xml:space="preserve">      investigación varias  diligencias  probatorias  o  de  recaudación  de</w:t>
        <w:br/>
        <w:t xml:space="preserve">      prueba no se efectuaron, o no fueron llevadas a cabo apropiadamente  y</w:t>
        <w:br/>
        <w:t xml:space="preserve">      que no hubo una investigación exhaustiva de la escena del crimen[271].</w:t>
        <w:br/>
        <w:t xml:space="preserve">      En virtud de ello, el Tribunal analizará si las falencias  acreditadas</w:t>
        <w:br/>
        <w:t xml:space="preserve">      en las diligencias iniciales incidieron en términos  determinantes  en</w:t>
        <w:br/>
        <w:t xml:space="preserve">      el esclarecimiento de los hechos y en el resultado final  del  proceso</w:t>
        <w:br/>
        <w:t xml:space="preserve">      penal.</w:t>
        <w:br/>
        <w:br/>
        <w:t xml:space="preserve"> 231. La Corte nota que no se desprende del expediente  que  la  escena  del</w:t>
        <w:br/>
        <w:t xml:space="preserve">      crimen se haya resguardado con el objetivo de preservar  la  zona  del</w:t>
        <w:br/>
        <w:t xml:space="preserve">      delito y las pruebas que en ella podrían haberse  encontrado[272].  El</w:t>
        <w:br/>
        <w:t xml:space="preserve">      Tribunal constata que en  el  presente  caso,  dicha  falencia  generó</w:t>
        <w:br/>
        <w:t xml:space="preserve">      consecuencias en relación con la efectividad de la  inspección  ocular</w:t>
        <w:br/>
        <w:t xml:space="preserve">      de los hechos  ya  que  no  se  pudo  recolectar  suficiente  material</w:t>
        <w:br/>
        <w:t xml:space="preserve">      probatorio y la misma fue contaminada por civiles. En efecto, la Corte</w:t>
        <w:br/>
        <w:t xml:space="preserve">      constató que un trozo de plomo color amarillo parcialmente deformado y</w:t>
        <w:br/>
        <w:t xml:space="preserve">      seis cartuchos calibre 9 mm fueron recolectados en la zona del  crimen</w:t>
        <w:br/>
        <w:t xml:space="preserve">      por civiles, Ignacio Landaeta  y  José  Francisco  Hernández  Ramírez,</w:t>
        <w:br/>
        <w:t xml:space="preserve">      respectivamente, y entregados  a  las  autoridades  encargadas  de  la</w:t>
        <w:br/>
        <w:t xml:space="preserve">      investigación (supra párr. 78). Asimismo, el acta de inspección ocular</w:t>
        <w:br/>
        <w:t xml:space="preserve">      describió de manera general la  escena  del  crimen  y  no  denotó  la</w:t>
        <w:br/>
        <w:t xml:space="preserve">      realización de una investigación exhaustiva  de  la  misma  y  de  las</w:t>
        <w:br/>
        <w:t xml:space="preserve">      pruebas encontradas[273] cuya ubicación no fue documentada antes de su</w:t>
        <w:br/>
        <w:t xml:space="preserve">      recolección[274], con el fin de contribuir con el  esclarecimiento  de</w:t>
        <w:br/>
        <w:t xml:space="preserve">      los hechos[275]. De igual  manera,  si  bien  de  las  diligencias  de</w:t>
        <w:br/>
        <w:t xml:space="preserve">      inspección ocular de los hechos y del cadáver se deriva la  existencia</w:t>
        <w:br/>
        <w:t xml:space="preserve">      de fotografías[276], las mismas no  figuran  en  el  expediente  y  no</w:t>
        <w:br/>
        <w:t xml:space="preserve">      fueron aportadas por el Estado, a pesar de que  este  Tribunal  se  lo</w:t>
        <w:br/>
        <w:t xml:space="preserve">      solicitara como prueba para mejor resolver[277]. En este sentido, este</w:t>
        <w:br/>
        <w:t xml:space="preserve">      Tribunal estima que la toma de fotografías durante las investigaciones</w:t>
        <w:br/>
        <w:t xml:space="preserve">      podría otorgar certeza y garantizar la  información  recabada  en  las</w:t>
        <w:br/>
        <w:t xml:space="preserve">      inspecciones oculares[278].</w:t>
        <w:br/>
        <w:br/>
        <w:t xml:space="preserve"> 232. Con respecto a la autopsia[279], la Corte constata  que  presentó  una</w:t>
        <w:br/>
        <w:t xml:space="preserve">      serie de omisiones[280] tales como: un análisis somero de las lesiones</w:t>
        <w:br/>
        <w:t xml:space="preserve">      encontradas, sin la determinación  de  la  presencia  de  residuos  de</w:t>
        <w:br/>
        <w:t xml:space="preserve">      hollín, pólvora o quemadura, lo que  permite  determinar  la  cercanía</w:t>
        <w:br/>
        <w:t xml:space="preserve">      aproximada del cañón al blanco; la falta de fotografías de sustento de</w:t>
        <w:br/>
        <w:t xml:space="preserve">      las conclusiones del reporte[281], y contradicciones con la inspección</w:t>
        <w:br/>
        <w:t xml:space="preserve">      ocular del cadáver[282]. Asimismo,  el  Tribunal  constata  que  dicha</w:t>
        <w:br/>
        <w:t xml:space="preserve">      diligencia se limitó a  concluir  que  la  causa  de  muerte  fue  una</w:t>
        <w:br/>
        <w:t xml:space="preserve">      contusión  cerebral  severa  producto  de  una  herida   facio-craneal</w:t>
        <w:br/>
        <w:t xml:space="preserve">      ocasionada por proyectil de arma de fuego[283] y no recogió todos  los</w:t>
        <w:br/>
        <w:t xml:space="preserve">      elementos de prueba necesarios a determinar en  el  caso,  ya  que  no</w:t>
        <w:br/>
        <w:t xml:space="preserve">      determinó la hora del deceso[284] ni el tiempo que  transcurrió  desde</w:t>
        <w:br/>
        <w:t xml:space="preserve">      que Igmar Landaeta fue herido hasta su muerte, elementos relevantes  a</w:t>
        <w:br/>
        <w:t xml:space="preserve">      determinar en el presente caso.</w:t>
        <w:br/>
        <w:br/>
        <w:t xml:space="preserve"> 233.  Este  Tribunal  resalta  que  la  autopsia  debe   respetar   ciertas</w:t>
        <w:br/>
        <w:t xml:space="preserve">      formalidades básicas[285]  y  tiene  como  objetivo  recolectar,  como</w:t>
        <w:br/>
        <w:t xml:space="preserve">      mínimo, información para identificar a la persona fallecida, la  hora,</w:t>
        <w:br/>
        <w:t xml:space="preserve">      fecha, causa y forma de  la  muerte.  En  relación  con  la  falta  de</w:t>
        <w:br/>
        <w:t xml:space="preserve">      establecimiento de la hora de muerte de Igmar Landaeta, el perito José</w:t>
        <w:br/>
        <w:t xml:space="preserve">      Pablo Baraybar señaló que, con base en lo manifestado  por  el  médico</w:t>
        <w:br/>
        <w:t xml:space="preserve">      Velmar  Quintero,  de  acuerdo  al  acta  policial  en  donde   rindió</w:t>
        <w:br/>
        <w:t xml:space="preserve">      declaración el agente Ildelgar Ferrera, a “las 03:20 horas de la tarde</w:t>
        <w:br/>
        <w:t xml:space="preserve">      de [17 de  noviembre  de  1996],  había  ingresado  a  ese  centro  de</w:t>
        <w:br/>
        <w:t xml:space="preserve">      asistencia, […] Landaeta Mejía[s], Igmar Alexander, […] quien presentó</w:t>
        <w:br/>
        <w:t xml:space="preserve">      para el momento de su ingreso, dos heridas por armas de fuego,  y  sin</w:t>
        <w:br/>
        <w:t xml:space="preserve">      signos vitales”[286].  El  perito  concluyó  que  lo  dicho  apoya  la</w:t>
        <w:br/>
        <w:t xml:space="preserve">      hipótesis de que Igmar Landaeta se encontraba probablemente muerto  ya</w:t>
        <w:br/>
        <w:t xml:space="preserve">      en el lugar de los hechos y  que,  pese  a  ello,  fue  llevado  a  un</w:t>
        <w:br/>
        <w:t xml:space="preserve">      hospital;  en  su  opinión  “probablemente  Alexander  [Landaeta]  [,]</w:t>
        <w:br/>
        <w:t xml:space="preserve">      después de recibir el disparo en la cabeza, ya estaba muerto[287]”. El</w:t>
        <w:br/>
        <w:t xml:space="preserve">      señor Baraybar afirmó que ello se hizo con la  intención  de  “generar</w:t>
        <w:br/>
        <w:t xml:space="preserve">      una imagen de ayuda humanitaria que en realidad degrada[ba] la  escena</w:t>
        <w:br/>
        <w:t xml:space="preserve">      del delito, al remover el cuerpo de la escena del delito, a  sabiendas</w:t>
        <w:br/>
        <w:t xml:space="preserve">      de  que  se  trata[ba]  ya  de  un  cadáver,  y  no  de  una   persona</w:t>
        <w:br/>
        <w:t xml:space="preserve">      herida”[288]. En este sentido,  la  Corte  estima  que  la  diligencia</w:t>
        <w:br/>
        <w:t xml:space="preserve">      practicada no cumplió con dichos requisitos mínimos y  fue  llevada  a</w:t>
        <w:br/>
        <w:t xml:space="preserve">      cabo de manera incompleta.</w:t>
        <w:br/>
        <w:br/>
        <w:t xml:space="preserve"> 234. Por otro lado, en relación con las pericias de autoría de los disparos</w:t>
        <w:br/>
        <w:t xml:space="preserve">      y de comparación balística, la Corte constató que si bien se  práctico</w:t>
        <w:br/>
        <w:t xml:space="preserve">      una pericia de traza de disparos y se llevó a cabo una  experticia  de</w:t>
        <w:br/>
        <w:t xml:space="preserve">      reconocimiento legal y de comparación balística (supra párrs. 80 y 81)</w:t>
        <w:br/>
        <w:t xml:space="preserve">      sobre el arma incautada por  autoridades  policiales  y  presuntamente</w:t>
        <w:br/>
        <w:t xml:space="preserve">      utilizada por Igmar Landaeta, no se tomaron  huellas  dactilares[289],</w:t>
        <w:br/>
        <w:t xml:space="preserve">      lo cual podría haber corroborado la hipótesis respecto del uso  de  la</w:t>
        <w:br/>
        <w:t xml:space="preserve">      misma durante el presunto enfrentamiento con los  agentes  policiales.</w:t>
        <w:br/>
        <w:t xml:space="preserve">      De  igual  manera,  este  Tribunal  corroboró  que  la  experticia  de</w:t>
        <w:br/>
        <w:t xml:space="preserve">      reconocimiento legal y de comparación balística no se hizo respecto de</w:t>
        <w:br/>
        <w:t xml:space="preserve">      las armas utilizadas por los agentes policiales. Estas no  les  fueron</w:t>
        <w:br/>
        <w:t xml:space="preserve">      decomisadas a los policías involucrados y no consta en  el  expediente</w:t>
        <w:br/>
        <w:t xml:space="preserve">      una diligencia de comparación balística entre los proyectiles  que  le</w:t>
        <w:br/>
        <w:t xml:space="preserve">      causaron  la  muerte  a  Igmar  Landaeta  y  los  utilizados  por  las</w:t>
        <w:br/>
        <w:t xml:space="preserve">      autoridades, ni la toma de huellas dactilares  de  las  armas  de  los</w:t>
        <w:br/>
        <w:t xml:space="preserve">      funcionarios policiales. Esta Corte considera  que  ello  reviste  una</w:t>
        <w:br/>
        <w:t xml:space="preserve">      especial importancia, ya que las pruebas balísticas  deberían  hacerse</w:t>
        <w:br/>
        <w:t xml:space="preserve">      cada vez que un arma de fuego ha sido utilizada[290], sobre todo si se</w:t>
        <w:br/>
        <w:t xml:space="preserve">      está llevando a cabo una investigación  en  donde  están  involucrados</w:t>
        <w:br/>
        <w:t xml:space="preserve">      agentes estatales y donde se debe determinar la cantidad  de  disparos</w:t>
        <w:br/>
        <w:t xml:space="preserve">      proferidos por dichas autoridades, a  efectos  de  contribuir  con  el</w:t>
        <w:br/>
        <w:t xml:space="preserve">      esclarecimiento de si el uso de la fuerza por parte  de  los  policías</w:t>
        <w:br/>
        <w:t xml:space="preserve">      fue necesario[291] y proporcional con  el  fin  de  agotar  todas  las</w:t>
        <w:br/>
        <w:t xml:space="preserve">      líneas de investigación para la consecución  de  la  verdad.  En  este</w:t>
        <w:br/>
        <w:t xml:space="preserve">      sentido, la propia legislación  interna  vigente  al  momento  de  los</w:t>
        <w:br/>
        <w:t xml:space="preserve">      hechos establecía la necesidad de identificar las armas utilizadas, su</w:t>
        <w:br/>
        <w:t xml:space="preserve">      especie y su calibre[292].</w:t>
        <w:br/>
        <w:t xml:space="preserve"> 235. Adicionalmente, respecto a  la  determinación  de  la  responsabilidad</w:t>
        <w:br/>
        <w:t xml:space="preserve">      penal,  este  Tribunal  constata  que  no  se  llevó  a  cabo  ninguna</w:t>
        <w:br/>
        <w:t xml:space="preserve">      experticia  tendiente  a  establecer  la  autoría  de   los   disparos</w:t>
        <w:br/>
        <w:t xml:space="preserve">      realizados  por  cada  uno  de  los  funcionarios  y  no  se  practicó</w:t>
        <w:br/>
        <w:t xml:space="preserve">      diligencia de reconocimiento de los agentes policiales  por  parte  de</w:t>
        <w:br/>
        <w:t xml:space="preserve">      los testigos presenciales, necesaria a efectos de que dichos  testigos</w:t>
        <w:br/>
        <w:t xml:space="preserve">      identificaran, de ser el caso, cuáles de los  agentes  realizaron  los</w:t>
        <w:br/>
        <w:t xml:space="preserve">      disparos[293]. Asimismo, no  consta  que  las  autoridades  realizaran</w:t>
        <w:br/>
        <w:t xml:space="preserve">      otras  experticias  que  podrían  haber  brindado  mayores   elementos</w:t>
        <w:br/>
        <w:t xml:space="preserve">      técnicos para aclarar las discrepancias entre las  diversas  versiones</w:t>
        <w:br/>
        <w:t xml:space="preserve">      de lo ocurrido, como por ejemplo, el análisis de los vehículos,  tanto</w:t>
        <w:br/>
        <w:t xml:space="preserve">      el que transportó a Igmar Landaeta al centro médico, como el  supuesto</w:t>
        <w:br/>
        <w:t xml:space="preserve">      vehículo blanco detrás del que se habría escondido el mismo durante el</w:t>
        <w:br/>
        <w:t xml:space="preserve">      presunto  enfrentamiento,  según  ciertas  declaraciones  de  testigos</w:t>
        <w:br/>
        <w:t xml:space="preserve">      (supra párrs. 63 y 65).  Tampoco  se  realizó  diligencia  alguna  que</w:t>
        <w:br/>
        <w:t xml:space="preserve">      desvirtuara la controversia en relación con la forma en que se llevó a</w:t>
        <w:br/>
        <w:t xml:space="preserve">      cabo el segundo disparo que provocó la muerte de Igmar Landaeta.</w:t>
        <w:br/>
        <w:br/>
        <w:t xml:space="preserve"> 236. En virtud de lo expuesto, el  Tribunal  considera  que,  la  falta  de</w:t>
        <w:br/>
        <w:t xml:space="preserve">      exhaustividad en el tratamiento de  la  escena  del  crimen  y  de  la</w:t>
        <w:br/>
        <w:t xml:space="preserve">      autopsia, las falencias en la preservación de la zona de  los  hechos,</w:t>
        <w:br/>
        <w:t xml:space="preserve">      así como  la  ausencia  de  otras  diligencias  de  importancia  o  la</w:t>
        <w:br/>
        <w:t xml:space="preserve">      realización deficiente  de  algunas  de  ellas,  demuestran  falta  de</w:t>
        <w:br/>
        <w:t xml:space="preserve">      diligencia del Estado en la recuperación y  preservación  de  material</w:t>
        <w:br/>
        <w:t xml:space="preserve">      probatorio.  Todo  ello  generó  la  carencia  de  elementos  técnicos</w:t>
        <w:br/>
        <w:t xml:space="preserve">      certeros e imprescindibles ante las versiones contradictorias  de  los</w:t>
        <w:br/>
        <w:t xml:space="preserve">      hechos (supra párrs. 60 a  68),  y  derivó  en  la  imposibilidad  del</w:t>
        <w:br/>
        <w:t xml:space="preserve">      esclarecimiento de la verdad de lo ocurrido.</w:t>
        <w:br/>
        <w:br/>
        <w:br/>
        <w:t>B.2.2 Proceso penal y plazo razonable por la muerte de Igmar Landaeta</w:t>
        <w:br/>
        <w:br/>
        <w:br/>
        <w:t xml:space="preserve"> 237. El Tribunal ha establecido que la muerte  de  Igmar  Landaeta  fue  el</w:t>
        <w:br/>
        <w:t xml:space="preserve">      resultado del uso desproporcionado de  la  fuerza  por  parte  de  los</w:t>
        <w:br/>
        <w:t xml:space="preserve">      agentes policiales que participaron en el presunto enfrentamiento,  lo</w:t>
        <w:br/>
        <w:t xml:space="preserve">      cual constituyó una privación arbitraria  de  su  derecho  a  la  vida</w:t>
        <w:br/>
        <w:t xml:space="preserve">      (supra párr. 142). En este sentido, la Corte destaca que en virtud del</w:t>
        <w:br/>
        <w:t xml:space="preserve">      deber de  garantía  de  este  derecho,  el  Estado  debe  iniciar  las</w:t>
        <w:br/>
        <w:t xml:space="preserve">      investigaciones y el  proceso  penal  correspondiente,  a  efectos  de</w:t>
        <w:br/>
        <w:t xml:space="preserve">      determinar la legalidad del uso de la fuerza letal (supra párr.  242),</w:t>
        <w:br/>
        <w:t xml:space="preserve">      para lo cual es fundamental la existencia de suficientes elementos  de</w:t>
        <w:br/>
        <w:t xml:space="preserve">      prueba que le permitan  a  los  operadores  jurídicos  clarificar  los</w:t>
        <w:br/>
        <w:t xml:space="preserve">      hechos ocurridos y asignar las responsabilidades correspondientes.</w:t>
        <w:br/>
        <w:br/>
        <w:t xml:space="preserve"> 238. Este Tribunal constató que a partir de ocurridos los hechos  y  dentro</w:t>
        <w:br/>
        <w:t xml:space="preserve">      del proceso penal llevado a cabo en el presente caso, se condenó a uno</w:t>
        <w:br/>
        <w:t xml:space="preserve">      de los agentes policiales y se absolvió al otro en  octubre  de  2000,</w:t>
        <w:br/>
        <w:t xml:space="preserve">      decisión  que  fue  confirmada  en  segunda  instancia,  luego  de  la</w:t>
        <w:br/>
        <w:t xml:space="preserve">      interposición de un recurso de  apelación.  La  sentencia  de  segunda</w:t>
        <w:br/>
        <w:t xml:space="preserve">      instancia fue  materia  de  un  recurso  de  casación  que  ordenó  se</w:t>
        <w:br/>
        <w:t xml:space="preserve">      resolviera nuevamente el recurso de apelación, por lo que la Corte  de</w:t>
        <w:br/>
        <w:t xml:space="preserve">      Apelaciones sobreseyó el caso el 10 de noviembre de 2003, revocando la</w:t>
        <w:br/>
        <w:t xml:space="preserve">      condena inicialmente dictada (supra párrs. 92 y 93). La Corte constata</w:t>
        <w:br/>
        <w:t xml:space="preserve">      que el proceso duró siete años y concluyó con la determinación  de  la</w:t>
        <w:br/>
        <w:t xml:space="preserve">      inexistencia de responsabilidad penal de los presuntos autores por  la</w:t>
        <w:br/>
        <w:t xml:space="preserve">      muerte de Igmar  Landaeta.  En  razón  de  lo  anterior,  el  Tribunal</w:t>
        <w:br/>
        <w:t xml:space="preserve">      evaluará  la  alegada  existencia  de   irregularidades   y   retrasos</w:t>
        <w:br/>
        <w:t xml:space="preserve">      procesales, y si el Estado cumplió con  su  deber  de  investigar  los</w:t>
        <w:br/>
        <w:t xml:space="preserve">      hechos en el marco del análisis de la necesidad y proporcionalidad del</w:t>
        <w:br/>
        <w:t xml:space="preserve">      uso de armas de fuego por agentes policiales, para lo cual  tomará  en</w:t>
        <w:br/>
        <w:t xml:space="preserve">      cuenta tanto las decisiones a  nivel  interno,  así  como  los  medios</w:t>
        <w:br/>
        <w:t xml:space="preserve">      probatorios existentes en los que se basaron dichas decisiones.</w:t>
        <w:br/>
        <w:t xml:space="preserve"> 239. La Corte observa que luego de iniciada la averiguación  sumaria  y  la</w:t>
        <w:br/>
        <w:t xml:space="preserve">      “averiguación de nudo de  hecho”[294],  la  Fiscalía  Novena  denunció</w:t>
        <w:br/>
        <w:t xml:space="preserve">      formalmente a los funcionarios GACF y AJCG (supra párr.  82)  ante  el</w:t>
        <w:br/>
        <w:t xml:space="preserve">      Juzgado de los Municipios de Santiago Mariño y Libertador, en  febrero</w:t>
        <w:br/>
        <w:t xml:space="preserve">      de 1997. Dicho Juzgado, declaró  la  terminación  de  la  averiguación</w:t>
        <w:br/>
        <w:t xml:space="preserve">      sumaria debido a que las pruebas recabadas no le generaron  convicción</w:t>
        <w:br/>
        <w:t xml:space="preserve">      respecto de la comisión de un hecho punible ni de la  culpabilidad  de</w:t>
        <w:br/>
        <w:t xml:space="preserve">      los agentes (supra párr. 83). Luego de que dicha decisión  subiera  en</w:t>
        <w:br/>
        <w:t xml:space="preserve">      consulta a las  autoridades  correspondientes,  fue  revocada  por  el</w:t>
        <w:br/>
        <w:t xml:space="preserve">      Juzgado Superior Tercero en lo Penal, el  11  de  noviembre  de  1997,</w:t>
        <w:br/>
        <w:t xml:space="preserve">      debido a que con base en su valoración de la prueba, “se desprend[ían]</w:t>
        <w:br/>
        <w:t xml:space="preserve">      severos indicios de culpabilidad y responsabilidad penal” (supra párr.</w:t>
        <w:br/>
        <w:t xml:space="preserve">      86).</w:t>
        <w:br/>
        <w:br/>
        <w:t xml:space="preserve"> 240. Luego de concluido el sumario, la Fiscalía acusó a ambos  imputados  y</w:t>
        <w:br/>
        <w:t xml:space="preserve">      el 13 de octubre de 2000, el  Juzgado  Segundo  del  Régimen  Procesal</w:t>
        <w:br/>
        <w:t xml:space="preserve">      Transitorio emitió sentencia de primera instancia en la cual  absolvió</w:t>
        <w:br/>
        <w:t xml:space="preserve">      a AJCG y condenó a GACF a la pena de 12 años de prisión  (supra  párr.</w:t>
        <w:br/>
        <w:t xml:space="preserve">      90). Con base en la interpretación de la prueba obrante en  autos,  el</w:t>
        <w:br/>
        <w:t xml:space="preserve">      Juzgado Segundo concluyó que en el  contexto  del  enfrentamiento,  el</w:t>
        <w:br/>
        <w:t xml:space="preserve">      primer  disparo  impidió  que  la   víctima   continuara   con   dicho</w:t>
        <w:br/>
        <w:t xml:space="preserve">      enfrentamiento,  por  lo  que  “[el]  segundo  disparo  no  debió  ser</w:t>
        <w:br/>
        <w:t xml:space="preserve">      necesario”[295].  La  sentencia  atribuyó  la  comisión  del   segundo</w:t>
        <w:br/>
        <w:t xml:space="preserve">      tiro[296] a GACF y absolvió a AJCG en virtud de  que  el  primer  tiro</w:t>
        <w:br/>
        <w:t xml:space="preserve">      implicaba  una  circunstancia  excluyente  de  responsabilidad  penal,</w:t>
        <w:br/>
        <w:t xml:space="preserve">      relativa al cumplimiento de un deber o el  ejercicio  legítimo  de  un</w:t>
        <w:br/>
        <w:t xml:space="preserve">      derecho, autoridad, oficio o cargo, de  conformidad  con  el  artículo</w:t>
        <w:br/>
        <w:t xml:space="preserve">      65(1) del  Código  Penal[297].  La  defensa  presentó  un  recurso  de</w:t>
        <w:br/>
        <w:t xml:space="preserve">      apelación contra la sentencia condenatoria que  fue  resuelto  por  la</w:t>
        <w:br/>
        <w:t xml:space="preserve">      Corte de Apelaciones el 25 de abril de 2002, por  medio  del  cual  se</w:t>
        <w:br/>
        <w:t xml:space="preserve">      confirmó la condena dictada por la primera instancia con  base  en  el</w:t>
        <w:br/>
        <w:t xml:space="preserve">      análisis de la prueba y  se  concluyó  que  “se  pudo  determinar  una</w:t>
        <w:br/>
        <w:t xml:space="preserve">      desproporción entre el mal causado por el agente  y  su  propósito  de</w:t>
        <w:br/>
        <w:t xml:space="preserve">      realizar  el  hecho  punible”[298]  (supra  párr.  91).  Contra   esta</w:t>
        <w:br/>
        <w:t xml:space="preserve">      sentencia se interpuso recurso de casación, resuelto por  la  Sala  de</w:t>
        <w:br/>
        <w:t xml:space="preserve">      Casación del Tribunal Supremo de Justicia, el 29 de noviembre de 2002,</w:t>
        <w:br/>
        <w:t xml:space="preserve">      mediante la cual ordenó la anulación de la apelación y  la  reposición</w:t>
        <w:br/>
        <w:t xml:space="preserve">      de la causa al estado en que  la  Corte  de  Apelaciones  resuelva  el</w:t>
        <w:br/>
        <w:t xml:space="preserve">      recurso nuevamente[299] (supra párr. 92).</w:t>
        <w:br/>
        <w:br/>
        <w:t xml:space="preserve"> 241. En este sentido, la Corte de Apelaciones emitió una nueva sentencia el</w:t>
        <w:br/>
        <w:t xml:space="preserve">      10 de noviembre  de  2003  en  donde  analizó  la  prueba  desde  otra</w:t>
        <w:br/>
        <w:t xml:space="preserve">      perspectiva, tomando como cierta la  tesis  del  enfrentamiento  y  lo</w:t>
        <w:br/>
        <w:t xml:space="preserve">      narrado por el imputado, “en el sentido de que al girar para hacer  un</w:t>
        <w:br/>
        <w:t xml:space="preserve">      disparo, el hoy occiso recibió un proyectil que le entró  en  la  cara</w:t>
        <w:br/>
        <w:t xml:space="preserve">      con trayectoria interna de adelante hacia atrás […]”[300]. La Corte de</w:t>
        <w:br/>
        <w:t xml:space="preserve">      Apelaciones concluyó  que  los  hechos  se  enmarcaron  dentro  de  un</w:t>
        <w:br/>
        <w:t xml:space="preserve">      contexto de ejercicio legítimo de la fuerza por parte de la  autoridad</w:t>
        <w:br/>
        <w:t xml:space="preserve">      tras utilizar la legítima defensa como único  medio  para  someter  al</w:t>
        <w:br/>
        <w:t xml:space="preserve">      agresor armado, a fin de que no continuara  cometiendo  los  actos  de</w:t>
        <w:br/>
        <w:t xml:space="preserve">      agresión  con  uso  de  arma  de  fuego  en  contra  de  la   comisión</w:t>
        <w:br/>
        <w:t xml:space="preserve">      policial[301]. Asimismo, señaló que del análisis efectuado con base en</w:t>
        <w:br/>
        <w:t xml:space="preserve">      las declaraciones “contradictorias” de los testigos presenciales,  “no</w:t>
        <w:br/>
        <w:t xml:space="preserve">      se evidenci[ó] claramente que el encausado sea culpable del delito  de</w:t>
        <w:br/>
        <w:t xml:space="preserve">      homicidio intencional, duda esta, que a todo evento y a los  fines  de</w:t>
        <w:br/>
        <w:t xml:space="preserve">      la decisión que se ha  de  tomar,  debe  favorecerlo  en  aras  de  la</w:t>
        <w:br/>
        <w:t xml:space="preserve">      justicia” [302], por lo que decidió el sobreseimiento del caso a favor</w:t>
        <w:br/>
        <w:t xml:space="preserve">      de GACF[303]. La causa fue enviada al Archivo Judicial  Central  luego</w:t>
        <w:br/>
        <w:t xml:space="preserve">      de dicho sobreseimiento (supra párr. 96).</w:t>
        <w:br/>
        <w:br/>
        <w:t xml:space="preserve"> 242. Ahora bien, la Corte recuerda que en el presente caso, los hechos  por</w:t>
        <w:br/>
        <w:t xml:space="preserve">      los cuales perdió la vida Igmar Landaeta se dieron en un escenario del</w:t>
        <w:br/>
        <w:t xml:space="preserve">      uso de la fuerza por agentes policiales, por lo cual este Tribunal  ha</w:t>
        <w:br/>
        <w:t xml:space="preserve">      establecido la violación del artículo 4 de la Convención por parte del</w:t>
        <w:br/>
        <w:t xml:space="preserve">      Estado, debido al uso  desproporcionado  de  la  misma  que  causó  la</w:t>
        <w:br/>
        <w:t xml:space="preserve">      privación arbitraria de la vida de Igmar Landaeta (supra  párr.  142).</w:t>
        <w:br/>
        <w:t xml:space="preserve">      En este  sentido,  la  obligación  de  investigar  del  Estado  se  ve</w:t>
        <w:br/>
        <w:t xml:space="preserve">      acentuada en casos de uso de la fuerza letal por agentes estatales, en</w:t>
        <w:br/>
        <w:t xml:space="preserve">      donde la determinación de si ésta fue excesiva y por ende existió  una</w:t>
        <w:br/>
        <w:t xml:space="preserve">      privación arbitraria de la vida, debió analizarse en un proceso serio,</w:t>
        <w:br/>
        <w:t xml:space="preserve">      independiente,  imparcial  y  efectivo[304],   así   como   rápido   y</w:t>
        <w:br/>
        <w:t xml:space="preserve">      completo[305],  tomando  en  cuenta  todas  las  circunstancias  y  el</w:t>
        <w:br/>
        <w:t xml:space="preserve">      contexto de los  hechos,  incluyendo  las  acciones  de  planeación  y</w:t>
        <w:br/>
        <w:t xml:space="preserve">      control[306], así como evitando las omisiones  en  la  recolección  de</w:t>
        <w:br/>
        <w:t xml:space="preserve">      prueba y en el seguimiento de líneas lógicas de investigación[307].</w:t>
        <w:br/>
        <w:br/>
        <w:t xml:space="preserve"> 243. Asimismo, la Corte reitera que no es  un  tribunal  penal  en  el  que</w:t>
        <w:br/>
        <w:t xml:space="preserve">      analice la responsabilidad de los individuos[308], ya que  corresponde</w:t>
        <w:br/>
        <w:t xml:space="preserve">      a los tribunales nacionales aplicar la ley  penal  a  quienes  cometen</w:t>
        <w:br/>
        <w:t xml:space="preserve">      delitos, así como el análisis de la prueba. Sin embargo, a efectos  de</w:t>
        <w:br/>
        <w:t xml:space="preserve">      analizar si el Estado incurrió en violaciones de los artículos 8 y  25</w:t>
        <w:br/>
        <w:t xml:space="preserve">      de la Convención, la Corte ha señalado que ello puede conducir  a  que</w:t>
        <w:br/>
        <w:t xml:space="preserve">      deba  ocuparse  de  examinar  los   respectivos   procesos   internos,</w:t>
        <w:br/>
        <w:t xml:space="preserve">      particularmente, los procesos de las investigaciones de cuyo resultado</w:t>
        <w:br/>
        <w:t xml:space="preserve">      depende el inicio y el avance  del  mismo[309],  en  el  marco  de  su</w:t>
        <w:br/>
        <w:t xml:space="preserve">      competencia y funciones.</w:t>
        <w:br/>
        <w:br/>
        <w:t xml:space="preserve"> 244. Tomando en cuenta lo anterior, este Tribunal constata que  durante  el</w:t>
        <w:br/>
        <w:t xml:space="preserve">      desarrollo del proceso  interno,  el  Juzgado  Segundo  y  la  primera</w:t>
        <w:br/>
        <w:t xml:space="preserve">      decisión adoptada por la Corte de Apelaciones  hicieron  referencia  a</w:t>
        <w:br/>
        <w:t xml:space="preserve">      que “[el] segundo disparo no debió ser necesario”[310] y  que  existió</w:t>
        <w:br/>
        <w:t xml:space="preserve">      “una desproporción entre el mal causado por el agente y  su  propósito</w:t>
        <w:br/>
        <w:t xml:space="preserve">      de realizar el hecho punible”[311], en perjuicio  de  Igmar  Landaeta.</w:t>
        <w:br/>
        <w:t xml:space="preserve">      Sin embargo, la sentencia de 10  de  noviembre  de  2003  (la  segunda</w:t>
        <w:br/>
        <w:t xml:space="preserve">      apelación decidida), se limitó a señalar que le aplicaba  al  imputado</w:t>
        <w:br/>
        <w:t xml:space="preserve">      una causal de exclusión de la responsabilidad penal al  haber  actuado</w:t>
        <w:br/>
        <w:t xml:space="preserve">      en el ejercicio legítimo de la autoridad y en  legítima  defensa,  sin</w:t>
        <w:br/>
        <w:t xml:space="preserve">      que se desprenda del mismo un análisis respecto de la proporcionalidad</w:t>
        <w:br/>
        <w:t xml:space="preserve">      de las medidas utilizadas. Si bien, como  ha  sido  acreditado  (supra</w:t>
        <w:br/>
        <w:t xml:space="preserve">      párr. 147), no se contaba con un marco normativo específico sobre  uso</w:t>
        <w:br/>
        <w:t xml:space="preserve">      de la fuerza; la normativa interna sobre legítima  defensa  establecía</w:t>
        <w:br/>
        <w:t xml:space="preserve">      en los artículos 65 y 66 del Código Penal las  causales  aplicables  a</w:t>
        <w:br/>
        <w:t xml:space="preserve">      dicho eximente de responsabilidad  y  sus  límites  de  acuerdo  a  la</w:t>
        <w:br/>
        <w:t xml:space="preserve">      proporcionalidad  empleada[312].  En  vista  de  lo  anterior,  de  la</w:t>
        <w:br/>
        <w:t xml:space="preserve">      decisión de 10 de noviembre  de  2003  no  se  desprende  un  análisis</w:t>
        <w:br/>
        <w:t xml:space="preserve">      fundado y motivado[313] sobre la aplicación de la legítima defensa,  a</w:t>
        <w:br/>
        <w:t xml:space="preserve">      la luz de los estándares de proporcionalidad de la propia  legislación</w:t>
        <w:br/>
        <w:t xml:space="preserve">      interna y estándares internacionales en la materia. Adicionalmente, no</w:t>
        <w:br/>
        <w:t xml:space="preserve">      se tomaron en cuenta las irregularidades en el actuar de  los  agentes</w:t>
        <w:br/>
        <w:t xml:space="preserve">      policiales al dejar el cuerpo sin vida de Igmar Landaeta en el  centro</w:t>
        <w:br/>
        <w:t xml:space="preserve">      ambulatorio, luego de lo cual se retiraron sin identificarse,  lo  que</w:t>
        <w:br/>
        <w:t xml:space="preserve">      podría haber configurado un indicio más de la  comisión  del  ilícito,</w:t>
        <w:br/>
        <w:t xml:space="preserve">      entre otros factores aludidos en el presente Fallo (supra párrs. 145 y</w:t>
        <w:br/>
        <w:t xml:space="preserve">      146).</w:t>
        <w:br/>
        <w:br/>
        <w:t xml:space="preserve"> 245. Adicionalmente, este Tribunal estima que debido a las  irregularidades</w:t>
        <w:br/>
        <w:t xml:space="preserve">      y omisiones durante las investigaciones, establecidas por  esta  Corte</w:t>
        <w:br/>
        <w:t xml:space="preserve">      (supra párrs. 230 a 235),  los  operadores  de  justicia  no  contaron</w:t>
        <w:br/>
        <w:t xml:space="preserve">      necesariamente con elementos técnicos que pudieron haber contribuido a</w:t>
        <w:br/>
        <w:t xml:space="preserve">      determinar con mayor certeza, en el fuero interno, la  verdad  de  los</w:t>
        <w:br/>
        <w:t xml:space="preserve">      hechos en vista de las versiones contradictorias existentes y,  en  su</w:t>
        <w:br/>
        <w:t xml:space="preserve">      caso, la determinación de los responsables.</w:t>
        <w:br/>
        <w:br/>
        <w:t xml:space="preserve"> 246. Por otro lado, conforme a la jurisprudencia de la  Corte  en  relación</w:t>
        <w:br/>
        <w:t xml:space="preserve">      con  el  plazo  razonable[314],  se  han  considerado  los  siguientes</w:t>
        <w:br/>
        <w:t xml:space="preserve">      elementos para determinar la razonabilidad del mismo:  a)  complejidad</w:t>
        <w:br/>
        <w:t xml:space="preserve">      del asunto; b) actividad procesal del interesado; c) conducta  de  las</w:t>
        <w:br/>
        <w:t xml:space="preserve">      autoridades judiciales[315], y d) afectación generada en la  situación</w:t>
        <w:br/>
        <w:t xml:space="preserve">      jurídica de la persona involucrada en el  proceso[316].  Respecto  del</w:t>
        <w:br/>
        <w:t xml:space="preserve">      primer elemento, la Corte constata la existencia de ciertos  elementos</w:t>
        <w:br/>
        <w:t xml:space="preserve">      de complejidad[317], los que no justifican un retardo en el desarrollo</w:t>
        <w:br/>
        <w:t xml:space="preserve">      del proceso penal, cuya duración ascendió a siete años.  Respecto  del</w:t>
        <w:br/>
        <w:t xml:space="preserve">      segundo elemento, el Tribunal constata que las  víctimas  han  asumido</w:t>
        <w:br/>
        <w:t xml:space="preserve">      una posición activa durante las investigaciones  y  el  proceso  penal</w:t>
        <w:br/>
        <w:t xml:space="preserve">      (supra párrs. 84, 89 y 95).</w:t>
        <w:br/>
        <w:br/>
        <w:t xml:space="preserve"> 247. Por lo que refiere al tercer elemento, la Corte destaca que el  Estado</w:t>
        <w:br/>
        <w:t xml:space="preserve">      de Venezuela reconoció la existencia de un retardo judicial en el caso</w:t>
        <w:br/>
        <w:t xml:space="preserve">      de Igmar Landaeta, utilizando como justificación  de  las  demoras  la</w:t>
        <w:br/>
        <w:t xml:space="preserve">      transición procesal instaurada en virtud de la entrada en vigencia del</w:t>
        <w:br/>
        <w:t xml:space="preserve">      Código Orgánico Procesal Penal desde el 1  de  julio  de  1999  (supra</w:t>
        <w:br/>
        <w:t xml:space="preserve">      párr. 90). No obstante, en el presente caso, el Tribunal verifica  que</w:t>
        <w:br/>
        <w:t xml:space="preserve">      existieron ciertos retrasos procesales, que a criterio de la Corte, no</w:t>
        <w:br/>
        <w:t xml:space="preserve">      se justifican en virtud de dicho régimen transitorio.  En  efecto,  se</w:t>
        <w:br/>
        <w:t xml:space="preserve">      verifican retrasos atribuibles principalmente a la actuación judicial,</w:t>
        <w:br/>
        <w:t xml:space="preserve">      así como  ciertas  faltas  y  omisiones,  ya  acreditadas,  en  varias</w:t>
        <w:br/>
        <w:t xml:space="preserve">      diligencias  atribuibles  al  Cuerpo  Técnico  de  Policía   Judicial,</w:t>
        <w:br/>
        <w:t xml:space="preserve">      omisiones en la autopsia y en la recaudación de prueba  (supra  párrs.</w:t>
        <w:br/>
        <w:t xml:space="preserve">      230 a 235). En este sentido, la Corte constata que la acusación fiscal</w:t>
        <w:br/>
        <w:t xml:space="preserve">      data del 21 de mayo de 1998 y que el 28 de septiembre de 1998  se  dio</w:t>
        <w:br/>
        <w:t xml:space="preserve">      el acto de informes, luego del cual la causa  estaba  lista  para  ser</w:t>
        <w:br/>
        <w:t xml:space="preserve">      sentenciada[318], antes de la entrada en vigencia  del  nuevo  régimen</w:t>
        <w:br/>
        <w:t xml:space="preserve">      procesal. A pesar de ello, el 13 de octubre de 2000 el Juzgado Segundo</w:t>
        <w:br/>
        <w:t xml:space="preserve">      dictó sentencia de primera instancia.</w:t>
        <w:br/>
        <w:br/>
        <w:t xml:space="preserve"> 248.  Asimismo,  el  Juzgado  Sexto  derivó  el  caso  al  Juzgado  Segundo</w:t>
        <w:br/>
        <w:t xml:space="preserve">      Transitorio el 11 de octubre de 2000, “dos días” antes de la  adopción</w:t>
        <w:br/>
        <w:t xml:space="preserve">      de la sentencia de primera instancia. Sin embargo, la  Corte  verifica</w:t>
        <w:br/>
        <w:t xml:space="preserve">      que, después del acto de informes y hasta el traslado  del  expediente</w:t>
        <w:br/>
        <w:t xml:space="preserve">      al Juzgado Segundo, no consta  en  el  expediente  la  recolección  de</w:t>
        <w:br/>
        <w:t xml:space="preserve">      nuevas pruebas o la realización  de  diligencias  de  importancia,  ni</w:t>
        <w:br/>
        <w:t xml:space="preserve">      tampoco figuran diligencias anteriores ni posteriores a la entrada  en</w:t>
        <w:br/>
        <w:t xml:space="preserve">      vigencia del  nuevo  régimen.  En  virtud  de  ello,  el  Tribunal  no</w:t>
        <w:br/>
        <w:t xml:space="preserve">      considera justificable el periodo de inactividad procesal, con  motivo</w:t>
        <w:br/>
        <w:t xml:space="preserve">      de la entrada en vigencia del nuevo régimen procesal, como  lo  señaló</w:t>
        <w:br/>
        <w:t xml:space="preserve">      el Estado (supra párr. 213). Adicionalmente, según lo referido por  el</w:t>
        <w:br/>
        <w:t xml:space="preserve">      Estado en la audiencia del caso, el proceso podría estar aún pendiente</w:t>
        <w:br/>
        <w:t xml:space="preserve">      al existir la posibilidad de la  interposición  de  recursos  internos</w:t>
        <w:br/>
        <w:t xml:space="preserve">      (supra párr. 16). Finalmente, la Corte no estima necesario realizar el</w:t>
        <w:br/>
        <w:t xml:space="preserve">      análisis del cuarto elemento para efectos del presente caso[319].</w:t>
        <w:br/>
        <w:br/>
        <w:t xml:space="preserve"> 249. Con base en lo anterior, este  Tribunal  concluye  que  el  Estado  ha</w:t>
        <w:br/>
        <w:t xml:space="preserve">      incurrido en una falta de la razonabilidad del plazo en  relación  con</w:t>
        <w:br/>
        <w:t xml:space="preserve">      la investigación y sustanciación del proceso penal por  la  muerte  de</w:t>
        <w:br/>
        <w:t xml:space="preserve">      Igmar Landaeta, en contravención  del  artículo  8  de  la  Convención</w:t>
        <w:br/>
        <w:t xml:space="preserve">      Americana.</w:t>
        <w:br/>
        <w:br/>
        <w:br/>
        <w:t>B.2.3 Conclusión respecto de Igmar Landaeta</w:t>
        <w:br/>
        <w:br/>
        <w:br/>
        <w:t xml:space="preserve"> 250. La Corte concluye que, con respecto a las investigaciones y el proceso</w:t>
        <w:br/>
        <w:t xml:space="preserve">      penal incoado por la muerte de Igmar Landaeta, el Estado  no  llevó  a</w:t>
        <w:br/>
        <w:t xml:space="preserve">      cabo  una  averiguación  exhaustiva  y  diligente,  siguiendo   líneas</w:t>
        <w:br/>
        <w:t xml:space="preserve">      conjuntas de investigación en relación con la  muerte  de  su  hermano</w:t>
        <w:br/>
        <w:t xml:space="preserve">      Eduardo  Landaeta,  que  permitieran  la  obtención   de   suficientes</w:t>
        <w:br/>
        <w:t xml:space="preserve">      elementos técnicos, consistentes, congruentes y fiables, con el fin de</w:t>
        <w:br/>
        <w:t xml:space="preserve">      desvirtuar las posiciones contradictorias asumidas por las autoridades</w:t>
        <w:br/>
        <w:t xml:space="preserve">      judiciales, lo cual incidió de manera relevante en la obstrucción  del</w:t>
        <w:br/>
        <w:t xml:space="preserve">      esclarecimiento  de  los  hechos  en  el  fuero  interno   y   en   la</w:t>
        <w:br/>
        <w:t xml:space="preserve">      determinación de  las  responsabilidades  correspondientes.  De  igual</w:t>
        <w:br/>
        <w:t xml:space="preserve">      manera, el Tribunal concluye que  el  Estado  no  proveyó  un  recurso</w:t>
        <w:br/>
        <w:t xml:space="preserve">      judicial efectivo a los familiares de  Igmar  Landaeta,  debido  a  la</w:t>
        <w:br/>
        <w:t xml:space="preserve">      existencia de ciertos retrasos procesales en la prosecución del  caso,</w:t>
        <w:br/>
        <w:t xml:space="preserve">      así como a la falta de motivación y  análisis  completo  y  exhaustivo</w:t>
        <w:br/>
        <w:t xml:space="preserve">      sobre la necesidad y proporcionalidad respecto a la actuación  de  los</w:t>
        <w:br/>
        <w:t xml:space="preserve">      agentes en cumplimiento de un deber o en el ejercicio de  la  legítima</w:t>
        <w:br/>
        <w:t xml:space="preserve">      defensa, con el fin  de  esclarecer  los  hechos  y  sancionar  a  los</w:t>
        <w:br/>
        <w:t xml:space="preserve">      responsables de considerarse pertinente. En consecuencia,  esta  Corte</w:t>
        <w:br/>
        <w:t xml:space="preserve">      considera que el  Estado  es  responsable  internacionalmente  por  la</w:t>
        <w:br/>
        <w:t xml:space="preserve">      violación de los derechos establecidos en los artículos 8.1 y 25.1  de</w:t>
        <w:br/>
        <w:t xml:space="preserve">      la Convención Americana,  en  perjucio  de  los  familiares  de  Igmar</w:t>
        <w:br/>
        <w:t xml:space="preserve">      Landaeta (infra párr. 294).</w:t>
        <w:br/>
        <w:br/>
        <w:br/>
        <w:t xml:space="preserve">    B.3 Debida diligencia y plazo razonable durante las  investigaciones  y</w:t>
        <w:br/>
        <w:t xml:space="preserve">    el proceso penal relativo a la muerte de Eduardo José Landaeta Mejías</w:t>
        <w:br/>
        <w:br/>
        <w:br/>
        <w:t xml:space="preserve"> 251. El Tribunal ha establecido que el menor de edad Eduardo  Landaeta  fue</w:t>
        <w:br/>
        <w:t xml:space="preserve">      detenido ilegal y arbitrariamente por agentes policiales, luego de  lo</w:t>
        <w:br/>
        <w:t xml:space="preserve">      cual falleció bajo custodia del Estado,  por  lo  que  este  violó  su</w:t>
        <w:br/>
        <w:t xml:space="preserve">      derecho a la libertad e integridad personal y el deber  de  respeto  y</w:t>
        <w:br/>
        <w:t xml:space="preserve">      garantía del derecho a la vida (supra párrs. 164,  196  y  203).  Como</w:t>
        <w:br/>
        <w:t xml:space="preserve">      consecuencia de los hechos, esta Corte  constata  que  se  inició  una</w:t>
        <w:br/>
        <w:t xml:space="preserve">      investigación y proceso penal contra los tres agentes  policiales  que</w:t>
        <w:br/>
        <w:t xml:space="preserve">      participaron en el traslado  de  Eduardo  Landaeta,  sin  embargo,  el</w:t>
        <w:br/>
        <w:t xml:space="preserve">      proceso se encuentra en curso, en la  etapa  del  juicio  oral  (supra</w:t>
        <w:br/>
        <w:t xml:space="preserve">      párrs. 117 y 212), sin que hasta la fecha  se  hayan  esclarecido  los</w:t>
        <w:br/>
        <w:t xml:space="preserve">      hechos. Asimismo, la Corte verificó que la legalidad de  la  detención</w:t>
        <w:br/>
        <w:t xml:space="preserve">      de Eduardo Landaeta, así como los indicios de actos tortura de los que</w:t>
        <w:br/>
        <w:t xml:space="preserve">      habría sido víctima, no fueron investigados por el Estado.</w:t>
        <w:br/>
        <w:br/>
        <w:t xml:space="preserve"> 252. En virtud de ello, y con base en lo alegado por la Comisión y por  las</w:t>
        <w:br/>
        <w:t xml:space="preserve">      partes,  le  corresponde   a   este   Tribunal   determinar   si   las</w:t>
        <w:br/>
        <w:t xml:space="preserve">      investigaciones y el proceso penal por la muerte de  Eduardo  Landaeta</w:t>
        <w:br/>
        <w:t xml:space="preserve">      fueron conducidos con la debida diligencia y en  un  plazo  razonable,</w:t>
        <w:br/>
        <w:t xml:space="preserve">      así como analizar si la ausencia de investigaciones  derivadas  de  la</w:t>
        <w:br/>
        <w:t xml:space="preserve">      detención  y  presuntos  actos  de  tortura  generan   responsabilidad</w:t>
        <w:br/>
        <w:t xml:space="preserve">      internacional del Estado. En este sentido, la Corte analizará:  a)  el</w:t>
        <w:br/>
        <w:t xml:space="preserve">      deber de investigar la muerte de una persona en custodia  del  Estado;</w:t>
        <w:br/>
        <w:t xml:space="preserve">      b) la existencia de  presuntas  irregularidades  y  omisiones  en  las</w:t>
        <w:br/>
        <w:t xml:space="preserve">      diligencias  iniciales  de  la  investigación;  c)  la  existencia  de</w:t>
        <w:br/>
        <w:t xml:space="preserve">      presuntas  irregularidades  durante  el  proceso  penal  y  el   plazo</w:t>
        <w:br/>
        <w:t xml:space="preserve">      razonable, y d) la ausencia de  investigaciones  en  relación  con  la</w:t>
        <w:br/>
        <w:t xml:space="preserve">      detención y afectaciones a la integridad personal.</w:t>
        <w:br/>
        <w:br/>
        <w:br/>
        <w:t>B.3.1 Obligación de investigar la muerte de una persona bajo custodia del</w:t>
        <w:br/>
        <w:t>Estado</w:t>
        <w:br/>
        <w:br/>
        <w:br/>
        <w:t xml:space="preserve"> 253. Conforme a lo señalado por la jurisprudencia de la Corte y  a  la  luz</w:t>
        <w:br/>
        <w:t xml:space="preserve">      del deber de investigar del Estado, cuando se trata de  la  muerte  de</w:t>
        <w:br/>
        <w:t xml:space="preserve">      una persona que se encontraba bajo su custodia, como  en  el  presente</w:t>
        <w:br/>
        <w:t xml:space="preserve">      caso, las autoridades correspondientes tienen el deber  de  investigar</w:t>
        <w:br/>
        <w:t xml:space="preserve">      los hechos, a través de todos los medios legales disponibles  para  la</w:t>
        <w:br/>
        <w:t xml:space="preserve">      determinación de la verdad y para lograr el enjuiciamiento y  castigo,</w:t>
        <w:br/>
        <w:t xml:space="preserve">      de considerarse pertinente, de todos los responsables de  los  hechos,</w:t>
        <w:br/>
        <w:t xml:space="preserve">      especialmente  cuando  están  o  puedan  estar  involucrados   agentes</w:t>
        <w:br/>
        <w:t xml:space="preserve">      estatales[320]. De igual manera, el Tribunal reitera su jurisprudencia</w:t>
        <w:br/>
        <w:t xml:space="preserve">      en cuanto al deber de tutela judicial, agregando que, en  el  caso  de</w:t>
        <w:br/>
        <w:t xml:space="preserve">      que se trate de un niño, el deber de combatir la impunidad  por  todos</w:t>
        <w:br/>
        <w:t xml:space="preserve">      los medios legales disponibles  se  ve  acentuada[321].  Asimismo,  la</w:t>
        <w:br/>
        <w:t xml:space="preserve">      Corte ya ha señalado que el Estado tiene la obligación de proveer  una</w:t>
        <w:br/>
        <w:t xml:space="preserve">      explicación inmediata, satisfactoria y convincente ante la  muerte  de</w:t>
        <w:br/>
        <w:t xml:space="preserve">      cualquier individuo bajo su custodia (supra párr. 183).</w:t>
        <w:br/>
        <w:br/>
        <w:t xml:space="preserve"> 254. Adicionalmente a lo establecido por este Tribunal y por los estándares</w:t>
        <w:br/>
        <w:t xml:space="preserve">      internacionales para casos  de  muertes  violentas[322]  (supra  párr.</w:t>
        <w:br/>
        <w:t xml:space="preserve">      227), la Corte considera pertinente enfatizar que en casos de  muertes</w:t>
        <w:br/>
        <w:t xml:space="preserve">      en custodia de agentes estatales, el Estado debe  guiar  su  actuación</w:t>
        <w:br/>
        <w:t xml:space="preserve">      tomando en cuenta  ciertos  criterios  específicos  relevantes,  inter</w:t>
        <w:br/>
        <w:t xml:space="preserve">      alia: i) una investigación ex officio[323], completa[324], imparcial e</w:t>
        <w:br/>
        <w:t xml:space="preserve">      independiente[325], tomando en cuenta el  grado  de  participación  de</w:t>
        <w:br/>
        <w:t xml:space="preserve">      todos los agentes estatales; ii) brindar a la investigación un  cierto</w:t>
        <w:br/>
        <w:t xml:space="preserve">      grado de escrutinio público[326] en  razón  del  interés  público  que</w:t>
        <w:br/>
        <w:t xml:space="preserve">      podría generarse en virtud de la  calidad  de  los  presuntos  agentes</w:t>
        <w:br/>
        <w:t xml:space="preserve">      involucrados; iii) apersonarse  inmediatamente  a  la  escena  de  los</w:t>
        <w:br/>
        <w:t xml:space="preserve">      hechos y  darle  tratamiento  de  una  escena  del  crimen,  así  como</w:t>
        <w:br/>
        <w:t xml:space="preserve">      preservarla con el fin de  proteger  toda  evidencia[327]  y  realizar</w:t>
        <w:br/>
        <w:t xml:space="preserve">      pruebas balísticas cuando armas de fuego hayan  sido  utilizadas[328],</w:t>
        <w:br/>
        <w:t xml:space="preserve">      especialmente por agentes del Estado; iv) identificar si el cuerpo  ha</w:t>
        <w:br/>
        <w:t xml:space="preserve">      sido tocado o movido[329] y establecer la  secuencia  de  eventos  que</w:t>
        <w:br/>
        <w:t xml:space="preserve">      podrían haber llevado a la muerte[330], así  como  llevar  a  cabo  un</w:t>
        <w:br/>
        <w:t xml:space="preserve">      examen preliminar del cuerpo para  asegurar  cualquier  evidencia  que</w:t>
        <w:br/>
        <w:t xml:space="preserve">      podría perderse al manipularlo y transportarlo[331], y v) realizar una</w:t>
        <w:br/>
        <w:t xml:space="preserve">      autopsia por profesionales capacitados que incluyan  cualquier  prueba</w:t>
        <w:br/>
        <w:t xml:space="preserve">      que indique presuntos actos de tortura[332] por agentes estatales.</w:t>
        <w:br/>
        <w:br/>
        <w:br/>
        <w:t>B.3.2 Las diligencias iniciales de investigación</w:t>
        <w:br/>
        <w:br/>
        <w:br/>
        <w:t xml:space="preserve"> 255. El Tribunal observa que el 31 de diciembre de 1996, luego de ocurridos</w:t>
        <w:br/>
        <w:t xml:space="preserve">      los hechos, se inició una investigación sumaria  a  cargo  del  Cuerpo</w:t>
        <w:br/>
        <w:t xml:space="preserve">      Técnico de la Policía  Judicial  Seccional  Mariño  (supra  párr.  97)</w:t>
        <w:br/>
        <w:t xml:space="preserve">      quienes se apersonaron a la escena del crimen. Asimismo, una  comisión</w:t>
        <w:br/>
        <w:t xml:space="preserve">      de la Medicatura Forense y de la Fiscalía  Novena  se  apersonaron  al</w:t>
        <w:br/>
        <w:t xml:space="preserve">      lugar de los hechos (supra párr. 97). En virtud de dicha investigación</w:t>
        <w:br/>
        <w:t xml:space="preserve">      sumaria se llevaron  a  cabo  diligencias  iniciales  con  el  fin  de</w:t>
        <w:br/>
        <w:t xml:space="preserve">      recolectar  elementos  de  prueba,   entre   las   que   se   observan</w:t>
        <w:br/>
        <w:t xml:space="preserve">      principalmente: a) el levantamiento del cadáver y  su  traslado  a  la</w:t>
        <w:br/>
        <w:t xml:space="preserve">      Medicatura Forense (supra párr. 98); b) la  inspección  ocular  en  la</w:t>
        <w:br/>
        <w:t xml:space="preserve">      zona de los hechos a las 11:00 horas de 31 de diciembre de 1996, en el</w:t>
        <w:br/>
        <w:t xml:space="preserve">      que se tomaron 17 fotografías, se recolectaron 7 conchas  de  balas  y</w:t>
        <w:br/>
        <w:t xml:space="preserve">      una muestra de gaza con una sustancia pardo rojizo (supra  párr.  98);</w:t>
        <w:br/>
        <w:t xml:space="preserve">      c) dos inspecciones oculares del cadáver el 31 de  diciembre  de  1996</w:t>
        <w:br/>
        <w:t xml:space="preserve">      (supra párr. 98); d) la autopsia del cadáver realizada el  mismo  día,</w:t>
        <w:br/>
        <w:t xml:space="preserve">      de la que se  recuperaron  tres  proyectiles,  la  cual  fue  ampliada</w:t>
        <w:br/>
        <w:t xml:space="preserve">      posteriormente (supra párr. 98); e) la recepción de  declaraciones  de</w:t>
        <w:br/>
        <w:t xml:space="preserve">      los agentes policiales  que  trasladaron  a  Eduardo  Landaeta  (supra</w:t>
        <w:br/>
        <w:t xml:space="preserve">      párrs. 216 y 217); f) el análisis de traza de disparos sobre las manos</w:t>
        <w:br/>
        <w:t xml:space="preserve">      de dos agentes  policiales  (supra  párr.  99);  g)  el  levantamiento</w:t>
        <w:br/>
        <w:t xml:space="preserve">      planimétrico y trayectoria balística el 14 de agosto de 1997, los  que</w:t>
        <w:br/>
        <w:t xml:space="preserve">      fueron ampliados con posterioridad (infra párr. 259); h) la diligencia</w:t>
        <w:br/>
        <w:t xml:space="preserve">      de experticia y avalúo del vehículo que transportó a Eduardo  Landaeta</w:t>
        <w:br/>
        <w:t xml:space="preserve">      de enero de 1997[333]; i) la experticia de “activación  especial”  del</w:t>
        <w:br/>
        <w:t xml:space="preserve">      vehículo que transportó a Eduardo Landaeta de marzo de  1997[334],  la</w:t>
        <w:br/>
        <w:t xml:space="preserve">      que fue realizada nuevamente en 2004, y j) otras diligencias[335].</w:t>
        <w:br/>
        <w:br/>
        <w:t xml:space="preserve"> 256.  No obstante lo anterior,  existieron  otras  diligencias  que  no  se</w:t>
        <w:br/>
        <w:t xml:space="preserve">      practicaron, que fueron ampliadas o complementadas muchos años después</w:t>
        <w:br/>
        <w:t xml:space="preserve">      de los hechos (infra  párr.  259).  De  igual  manera,  este  Tribunal</w:t>
        <w:br/>
        <w:t xml:space="preserve">      verifica  que  durante  el  transcurso  de  la  investigación  algunas</w:t>
        <w:br/>
        <w:t xml:space="preserve">      diligencias  iniciales   presentaron   omisiones   e   irregularidades</w:t>
        <w:br/>
        <w:t xml:space="preserve">      relevantes, a saber:</w:t>
        <w:br/>
        <w:br/>
        <w:t xml:space="preserve">   a)   con motivo de que la autopsia presentó una serie  de  omisiones,  el</w:t>
        <w:br/>
        <w:t xml:space="preserve">      Juzgado  solicitó  su  ampliación  en  el  año  2006,  al  no  haberse</w:t>
        <w:br/>
        <w:t xml:space="preserve">      recuperado todos los proyectiles sin orifico de salida del  cuerpo  de</w:t>
        <w:br/>
        <w:t xml:space="preserve">      Eduardo Landaeta (supra párr. 109). Asimismo,  dicha  diligencia  sólo</w:t>
        <w:br/>
        <w:t xml:space="preserve">      estableció la causa de muerte  y  mencionó  de  manera  general  otras</w:t>
        <w:br/>
        <w:t xml:space="preserve">      lesiones observadas (supra párr. 102), sin llevar a cabo  un  análisis</w:t>
        <w:br/>
        <w:t xml:space="preserve">      detallado de las mismas, de cuya descripción no se pudo obtener  mayor</w:t>
        <w:br/>
        <w:t xml:space="preserve">      detalle a efectos de analizar si podrían haber sido  causadas  durante</w:t>
        <w:br/>
        <w:t xml:space="preserve">      el momento de la detención ilegal y arbitraria de Eduardo Landaeta. De</w:t>
        <w:br/>
        <w:t xml:space="preserve">      igual manera, la Corte considera que la autopsia no  cumplió  con  los</w:t>
        <w:br/>
        <w:t xml:space="preserve">      requisitos mínimos a efectos de establecer con detalle la hora, fecha,</w:t>
        <w:br/>
        <w:t xml:space="preserve">      causa y forma de la muerte de Eduardo Landaeta, ni de determinar  cómo</w:t>
        <w:br/>
        <w:t xml:space="preserve">      ocurrieron los hechos,  respetando  ciertas  formalidades  básicas,  y</w:t>
        <w:br/>
        <w:t xml:space="preserve">      concluye  que  la  autopsia  practicada,   adolece   de   las   mismas</w:t>
        <w:br/>
        <w:t xml:space="preserve">      omisiones[336], inter alia, ya  reconocidas  para  el  caso  de  Igmar</w:t>
        <w:br/>
        <w:t xml:space="preserve">      Landaeta por el perito José Pablo Baraybar (supra párr. 232);</w:t>
        <w:br/>
        <w:t xml:space="preserve">   b) no consta en el expediente ante  la  Corte  el  acordonamiento  de  la</w:t>
        <w:br/>
        <w:t xml:space="preserve">      escena del crimen con el objetivo de preservar las pruebas que en ella</w:t>
        <w:br/>
        <w:t xml:space="preserve">      podrían haberse encontrado. En este sentido, el Tribunal constata  que</w:t>
        <w:br/>
        <w:t xml:space="preserve">      dicha falencia influyó en la imposibilidad de la recolección de  todos</w:t>
        <w:br/>
        <w:t xml:space="preserve">      los casquillos y  proyectiles  impactados  en  el  cuerpo  de  Eduardo</w:t>
        <w:br/>
        <w:t xml:space="preserve">      Landaeta, quien habría recibido 15 impactos de bala;</w:t>
        <w:br/>
        <w:br/>
        <w:t xml:space="preserve">   c)   la pericia de  reconocimiento  legal  de  cinco  proyectiles,  nueve</w:t>
        <w:br/>
        <w:t xml:space="preserve">      conchas de bala, y otros objetos, recuperados de la escena del  crimen</w:t>
        <w:br/>
        <w:t xml:space="preserve">      y del cuerpo de Eduardo Landaeta se realizó  en  julio  de  1998,  sin</w:t>
        <w:br/>
        <w:t xml:space="preserve">      embargo, sólo concluyó que  las  nueve  conchas  encontradas  eran  de</w:t>
        <w:br/>
        <w:t xml:space="preserve">      calibre 7,65 mm y  no  determinó  las  armas  de  procedencia  de  los</w:t>
        <w:br/>
        <w:t xml:space="preserve">      proyectiles encontrados, por lo que  no  se  realizó  una  comparación</w:t>
        <w:br/>
        <w:t xml:space="preserve">      balística entre estos, encontrados en el cuerpo de Eduardo Landaeta, y</w:t>
        <w:br/>
        <w:t xml:space="preserve">      las armas utilizadas por los agentes[337], y</w:t>
        <w:br/>
        <w:br/>
        <w:t xml:space="preserve">   d) siendo que el tipo de armamento utilizado por los  agentes  policiales</w:t>
        <w:br/>
        <w:t xml:space="preserve">      presuntamente se habría extraviado, no se solicitó información precisa</w:t>
        <w:br/>
        <w:t xml:space="preserve">      sobre el mismo, sino hasta el año 2004.</w:t>
        <w:br/>
        <w:br/>
        <w:t xml:space="preserve"> 257. La Corte ha señalado que  las  actuaciones  más  próximas  al  suceso,</w:t>
        <w:br/>
        <w:t xml:space="preserve">      debidamente  realizadas  por  las   autoridades   encargadas   de   la</w:t>
        <w:br/>
        <w:t xml:space="preserve">      investigación, suelen arrojar indicios más adecuados que  favorecen  a</w:t>
        <w:br/>
        <w:t xml:space="preserve">      la identificación de elementos probatorios para el  caso.  Por  tanto,</w:t>
        <w:br/>
        <w:t xml:space="preserve">      este Tribunal  considera  que  las  omisiones  cometidas  durante  las</w:t>
        <w:br/>
        <w:t xml:space="preserve">      primeras  diligencias  han   generado   la   obstaculización   de   la</w:t>
        <w:br/>
        <w:t xml:space="preserve">      investigación, en contravención del deber  de  investigar  con  debida</w:t>
        <w:br/>
        <w:t xml:space="preserve">      diligencia.</w:t>
        <w:br/>
        <w:br/>
        <w:br/>
        <w:t>B.3.3 Proceso penal y plazo razonable por la muerte de Eduardo Landaeta</w:t>
        <w:br/>
        <w:br/>
        <w:br/>
        <w:t xml:space="preserve"> 258. La Corte observa que las investigaciones en el presente caso iniciaron</w:t>
        <w:br/>
        <w:t xml:space="preserve">      en diciembre de 1996 y se sustanciaron bajo el amparo  del  Código  de</w:t>
        <w:br/>
        <w:t xml:space="preserve">      Enjuiciamiento Criminal hasta la entrada en vigencia del nuevo  Código</w:t>
        <w:br/>
        <w:t xml:space="preserve">      Orgánico Procesal Penal el 1 de julio de 1999. En diciembre de 2011 se</w:t>
        <w:br/>
        <w:t xml:space="preserve">      absolvió a los tres agentes imputados  con  base  en  la  ausencia  de</w:t>
        <w:br/>
        <w:t xml:space="preserve">      prueba suficiente sobre su responsabilidad penal. Dicha  decisión  fue</w:t>
        <w:br/>
        <w:t xml:space="preserve">      anulada por la Corte de Apelaciones, la cual ordenó la celebración  de</w:t>
        <w:br/>
        <w:t xml:space="preserve">      un nuevo juicio oral, el que se encuentra en curso en  la  actualidad,</w:t>
        <w:br/>
        <w:t xml:space="preserve">      habiendo transcurrido más de 17 años  del  proceso.  En  razón  de  lo</w:t>
        <w:br/>
        <w:t xml:space="preserve">      anterior,   el   Tribunal   analizará   la   alegada   existencia   de</w:t>
        <w:br/>
        <w:t xml:space="preserve">      irregularidades durante las diligencias del  proceso  y  los  retrasos</w:t>
        <w:br/>
        <w:t xml:space="preserve">      procesales a lo largo del mismo.</w:t>
        <w:br/>
        <w:br/>
        <w:br/>
        <w:t>B.3.3.1 Diligencias e irregularidades durante el proceso penal</w:t>
        <w:br/>
        <w:br/>
        <w:br/>
        <w:t xml:space="preserve"> 259. La Corte constata que en enero de 2000, el Juzgado Segundo del Régimen</w:t>
        <w:br/>
        <w:t xml:space="preserve">      Transicional recibió el expediente de Eduardo Landaeta, en  virtud  de</w:t>
        <w:br/>
        <w:t xml:space="preserve">      la entrada en vigencia del nuevo régimen procesal (supra  párr.  105).</w:t>
        <w:br/>
        <w:t xml:space="preserve">      Las investigaciones se reactivaron en octubre de  2003,  luego  de  un</w:t>
        <w:br/>
        <w:t xml:space="preserve">      periodo de inactividad procesal de más de cuatro años y medio. En este</w:t>
        <w:br/>
        <w:t xml:space="preserve">      sentido, desde enero de  2004  hasta  el  2008  se  practicaron  y  se</w:t>
        <w:br/>
        <w:t xml:space="preserve">      complementaron  una  serie  de  diligencias,  recabadas   inicialmente</w:t>
        <w:br/>
        <w:t xml:space="preserve">      durante los años 1997 y 1998. Sin embargo, el Tribunal  considera  que</w:t>
        <w:br/>
        <w:t xml:space="preserve">      existieron algunas omisiones durante esta etapa de la investigación, a</w:t>
        <w:br/>
        <w:t xml:space="preserve">      saber:</w:t>
        <w:br/>
        <w:br/>
        <w:t xml:space="preserve">   a) prolongados lapsos entre la ocurrencia de los hechos y la  realización</w:t>
        <w:br/>
        <w:t xml:space="preserve">      o ampliación de ciertas experticias y demoras  en  la  realización  de</w:t>
        <w:br/>
        <w:t xml:space="preserve">      diligencias solicitadas de manera reiterada  por  la  Fiscalía,  tales</w:t>
        <w:br/>
        <w:t xml:space="preserve">      como: la inspección  técnica  del  vehículo  que  trasladó  a  Eduardo</w:t>
        <w:br/>
        <w:t xml:space="preserve">      Landaeta[338];  la  solicitud  de  información  sobre   el   armamento</w:t>
        <w:br/>
        <w:t xml:space="preserve">      utilizado por los agentes  que  lo  trasladaron[339];  la  trayectoria</w:t>
        <w:br/>
        <w:t xml:space="preserve">      balística e intraorgánica (solicitada  en  dos  oportunidades  por  la</w:t>
        <w:br/>
        <w:t xml:space="preserve">      Fiscalía[340]), y la fijación fotográfica, la reconstrucción de hechos</w:t>
        <w:br/>
        <w:t xml:space="preserve">      y el levantamiento planimétrico (solicitado en dos  oportunidades  por</w:t>
        <w:br/>
        <w:t xml:space="preserve">      la Fiscalía[341]), las cuales no fueron llevados a cabo sino hasta los</w:t>
        <w:br/>
        <w:t xml:space="preserve">      años 2004, 2006 y 2008, respectivamente;</w:t>
        <w:br/>
        <w:br/>
        <w:t xml:space="preserve">   b) si bien la ampliación del protocolo de autopsia,  de  25  de  mayo  de</w:t>
        <w:br/>
        <w:t xml:space="preserve">      2006[342], determinó  la  posibilidad  de  que  un  proyectil  hubiera</w:t>
        <w:br/>
        <w:t xml:space="preserve">      quedado en el cuerpo de Eduardo Landaeta, no subsanó las omisiones  de</w:t>
        <w:br/>
        <w:t xml:space="preserve">      la autopsia anterior (supra párr. 256);</w:t>
        <w:br/>
        <w:br/>
        <w:t xml:space="preserve">   c) la exhumación del cadáver de 9 de agosto de 2006[343], según el perito</w:t>
        <w:br/>
        <w:t xml:space="preserve">      Baraybar, fue llevada a cabo con “deficiencias fundamentales” debido a</w:t>
        <w:br/>
        <w:t xml:space="preserve">      la falta de método y técnica en la realización de  la  misma[344].  En</w:t>
        <w:br/>
        <w:t xml:space="preserve">      virtud de ello, no se recuperó el proyectil que quedó en el cuerpo del</w:t>
        <w:br/>
        <w:t xml:space="preserve">      joven  Landaeta,  sino  que  fue  consignado  por  el  sepultero   del</w:t>
        <w:br/>
        <w:t xml:space="preserve">      cementerio, prueba que no pudo analizarse por  presentar  residuos  de</w:t>
        <w:br/>
        <w:t xml:space="preserve">      cemento (supra párrs. 110);</w:t>
        <w:br/>
        <w:br/>
        <w:t xml:space="preserve">   d) no se llevó a cabo la experticia de comparación balística de todos los</w:t>
        <w:br/>
        <w:t xml:space="preserve">      proyectiles  recuperados,  con  el  fin  de   determinar   las   armas</w:t>
        <w:br/>
        <w:t xml:space="preserve">      utilizadas, a pesar de que el señor Ignacio Landaeta Muñoz lo solicitó</w:t>
        <w:br/>
        <w:t xml:space="preserve">      en diversas oportunidades[345] y de que  la  Fiscalía[346]  solicitara</w:t>
        <w:br/>
        <w:t xml:space="preserve">      experticias hematológicas de dichos proyectiles,  pedido  que  tampoco</w:t>
        <w:br/>
        <w:t xml:space="preserve">      fue respondido por el  personal  del  laboratorio  criminalístico  del</w:t>
        <w:br/>
        <w:t xml:space="preserve">      CICPC. No se resolvió la inconsistencia  numérica  entre  las  heridas</w:t>
        <w:br/>
        <w:t xml:space="preserve">      provocadas por proyectiles de arma de fuego al cuerpo de  Eduardo,  el</w:t>
        <w:br/>
        <w:t xml:space="preserve">      número de casquillos encontradas en el lugar de los hechos y cuerpo de</w:t>
        <w:br/>
        <w:t xml:space="preserve">      la víctima, ni el número de  impactos  de  bala  en  el  vehículo  que</w:t>
        <w:br/>
        <w:t xml:space="preserve">      trasladaba a Eduardo Landaeta, inconsistencias que fueron argumentadas</w:t>
        <w:br/>
        <w:t xml:space="preserve">      en la acusación fiscal (supra párr. 195);</w:t>
        <w:br/>
        <w:br/>
        <w:br/>
        <w:t xml:space="preserve">   e) con base en la prueba aportada durante el proceso ante la Corte, no se</w:t>
        <w:br/>
        <w:t xml:space="preserve">      desprende que el Estado haya llevado a cabo una investigación seria  y</w:t>
        <w:br/>
        <w:t xml:space="preserve">      detallada  en  relación  con  el  esclarecimiento   de   la   presunta</w:t>
        <w:br/>
        <w:t xml:space="preserve">      participación de los sujetos encapuchados que según la versión de  los</w:t>
        <w:br/>
        <w:t xml:space="preserve">      agentes policiales habrían interceptado al  vehículo  que  trasladó  a</w:t>
        <w:br/>
        <w:t xml:space="preserve">      Eduardo  Landaeta[347]  (supra  párr.  73).  Tampoco  se  deriva   del</w:t>
        <w:br/>
        <w:t xml:space="preserve">      expediente la práctica de diligencias relevantes a fin  de  establecer</w:t>
        <w:br/>
        <w:t xml:space="preserve">      el paradero del presunto vehículo que  impactó  al  que  trasladaba  a</w:t>
        <w:br/>
        <w:t xml:space="preserve">      Eduardo Landaeta ni se estableció una línea de investigación tendiente</w:t>
        <w:br/>
        <w:t xml:space="preserve">      a la determinación de  los  autores  intelectuales,  a  pesar  de  las</w:t>
        <w:br/>
        <w:t xml:space="preserve">      declaraciones respecto de las amenazas recibidas por la víctima (supra</w:t>
        <w:br/>
        <w:t xml:space="preserve">      párrs. 56 y  57).  Asimismo,  no  consta  en  el  expediente  ante  el</w:t>
        <w:br/>
        <w:t xml:space="preserve">      Tribunal, la existencia de diligencias dirigidas al esclarecimiento de</w:t>
        <w:br/>
        <w:t xml:space="preserve">      lo sucedido tomando en cuenta  una  línea  de  investigación  conjunta</w:t>
        <w:br/>
        <w:t xml:space="preserve">      relacionada con la muerte previa de Igmar Landaeta;</w:t>
        <w:br/>
        <w:br/>
        <w:t xml:space="preserve">   f) no consta  del  expediente  ante  la  Corte  que  se  hayan  realizado</w:t>
        <w:br/>
        <w:t xml:space="preserve">      diligencias de importancia para la identificación y ubicación  de  las</w:t>
        <w:br/>
        <w:t xml:space="preserve">      armas asignadas a los agentes policiales que realizaron  el  traslado,</w:t>
        <w:br/>
        <w:t xml:space="preserve">      las que fueron reportadas como perdidas al  haber  sido  presuntamente</w:t>
        <w:br/>
        <w:t xml:space="preserve">      sustraídas  por  los  supuestos  encapuchados  que  interceptaron   el</w:t>
        <w:br/>
        <w:t xml:space="preserve">      vehículo en que se trasladaba a Eduardo Landaeta. A pesar de ello,  el</w:t>
        <w:br/>
        <w:t xml:space="preserve">      29 de junio de 2004, las mismas seguían reportadas  como  extraviadas,</w:t>
        <w:br/>
        <w:t xml:space="preserve">      “solicitadas por el delito de hurto”[348]. Si bien  se  informó  a  la</w:t>
        <w:br/>
        <w:t xml:space="preserve">      Fiscalía[349] que el tipo  de  armamento  utilizado  por  los  agentes</w:t>
        <w:br/>
        <w:t xml:space="preserve">      policiales no fue de calibre 7,65 mm (tipo de conchas  encontradas  en</w:t>
        <w:br/>
        <w:t xml:space="preserve">      el lugar de los hechos), no se confirmó  el  asignado  el  día  de  la</w:t>
        <w:br/>
        <w:t xml:space="preserve">      muerte[350], y</w:t>
        <w:br/>
        <w:br/>
        <w:t xml:space="preserve">   g) como consecuencia de las  demoras  prolongadas  en  la  realización  o</w:t>
        <w:br/>
        <w:t xml:space="preserve">      ampliación de diligencias,  algunos  medios  probatorios  no  pudieron</w:t>
        <w:br/>
        <w:t xml:space="preserve">      recabarse o se perdieron por el paso del tiempo. En este  sentido,  la</w:t>
        <w:br/>
        <w:t xml:space="preserve">      fijación fotográfica del cadáver  de  Eduardo  Landaeta  no  pudo  ser</w:t>
        <w:br/>
        <w:t xml:space="preserve">      entregada ya que se había velado el rollo de la misma y  no  se  contó</w:t>
        <w:br/>
        <w:t xml:space="preserve">      con información sobre los registros hospitalarios de FABP[351], agente</w:t>
        <w:br/>
        <w:t xml:space="preserve">      quien habría sido herido durante el traslado de Eduardo  Landaeta,  ya</w:t>
        <w:br/>
        <w:t xml:space="preserve">      que estos eran destruidos  cada  cinco  años  (supra  párr.  106).  Lo</w:t>
        <w:br/>
        <w:t xml:space="preserve">      anterior denota deficiencias en la cadena de custodia  de  la  prueba,</w:t>
        <w:br/>
        <w:t xml:space="preserve">      así como en  el  aseguramiento  de  la  misma,  a  pesar  de  que  las</w:t>
        <w:br/>
        <w:t xml:space="preserve">      autoridades deben adoptar medidas razonables que permitan  asegurar  y</w:t>
        <w:br/>
        <w:t xml:space="preserve">      conservar el material probatorio necesario con el fin de contribuir al</w:t>
        <w:br/>
        <w:t xml:space="preserve">      éxito de la investigación y del desarrollo del proceso penal[352].</w:t>
        <w:br/>
        <w:br/>
        <w:t xml:space="preserve"> 260. El Tribunal destaca que algunas de estas omisiones fueron  reconocidas</w:t>
        <w:br/>
        <w:t xml:space="preserve">      por la Fiscalía Superior, ya que luego de que el  propio  Tribunal  de</w:t>
        <w:br/>
        <w:t xml:space="preserve">      Primera Instancia en lo Penal en Función de Control No.  4  resolviera</w:t>
        <w:br/>
        <w:t xml:space="preserve">      denegar el pedido de  sobreseimiento[353]  del  caso  de  la  Fiscalía</w:t>
        <w:br/>
        <w:t xml:space="preserve">      Transitoria  al  no  haberse  agotado  todas  las  diligencias  de  la</w:t>
        <w:br/>
        <w:t xml:space="preserve">      investigación (supra párr. 107), remitió el caso a otro Fiscal  el  13</w:t>
        <w:br/>
        <w:t xml:space="preserve">      de julio de 2005, debido a que consideró la  existencia  de  omisiones</w:t>
        <w:br/>
        <w:t xml:space="preserve">      que podrían impedir la efectiva sanción  de  los  responsables  (supra</w:t>
        <w:br/>
        <w:t xml:space="preserve">      párr. 108).</w:t>
        <w:br/>
        <w:br/>
        <w:t xml:space="preserve"> 261. En virtud de lo señalado, esta Corte valora las acciones  tomadas  por</w:t>
        <w:br/>
        <w:t xml:space="preserve">      el Estado venezolano, a través de su Fiscalía, especialmente a  partir</w:t>
        <w:br/>
        <w:t xml:space="preserve">      del año 2004, a fin de esclarecer los hechos. Sin  embargo,  la  Corte</w:t>
        <w:br/>
        <w:t xml:space="preserve">      reitera que “[l]a negligencia de las autoridades judiciales encargadas</w:t>
        <w:br/>
        <w:t xml:space="preserve">      de […] la recolección oportuna de pruebas [..], no puede ser subsanada</w:t>
        <w:br/>
        <w:t xml:space="preserve">      [en la mayoría de  casos]  con  las  tardías  diligencias  probatorias</w:t>
        <w:br/>
        <w:t xml:space="preserve">      iniciadas  en  las  investigaciones,   [pues]   [l]as   insuficiencias</w:t>
        <w:br/>
        <w:t xml:space="preserve">      señaladas p[odrían] ser calificadas como graves  faltas  al  deber  de</w:t>
        <w:br/>
        <w:t xml:space="preserve">      investigar los hechos  ocurridos  […]”[354],  por  lo  que  las  tales</w:t>
        <w:br/>
        <w:t xml:space="preserve">      diligencias deben llevarse a cabo en forma adecuada e inmediata,  pues</w:t>
        <w:br/>
        <w:t xml:space="preserve">      de esa manera el  Estado  podrá  contar  con  información  de  primera</w:t>
        <w:br/>
        <w:t xml:space="preserve">      calidad  y  ello  mejoraría  los  resultados  de   la   investigación,</w:t>
        <w:br/>
        <w:t xml:space="preserve">      proporcionando información fidedigna. En  este  sentido,  el  Tribunal</w:t>
        <w:br/>
        <w:t xml:space="preserve">      considera que en el caso concreto, las diligencias realizadas a partir</w:t>
        <w:br/>
        <w:t xml:space="preserve">      de 2004 y hasta el 2008, ocurrieron entre ocho y doce años después  de</w:t>
        <w:br/>
        <w:t xml:space="preserve">      sucedidos los hechos en diciembre de 1996, incurriendo  el  Estado  en</w:t>
        <w:br/>
        <w:t xml:space="preserve">      una falta de debida diligencia.</w:t>
        <w:br/>
        <w:br/>
        <w:t xml:space="preserve"> 262. De igual manera, en relación con las  irregularidades  en  el  proceso</w:t>
        <w:br/>
        <w:t xml:space="preserve">      penal, la Corte constata que, el 16 de diciembre de 2011, el  Tribunal</w:t>
        <w:br/>
        <w:t xml:space="preserve">      de primera instancia emitió sentencia por medio de la cual absolvió  a</w:t>
        <w:br/>
        <w:t xml:space="preserve">      los tres imputados tras el análisis de la prueba. Lo anterior, ya  que</w:t>
        <w:br/>
        <w:t xml:space="preserve">      no logró probar su responsabilidad (supra párr.  115),  luego  de  una</w:t>
        <w:br/>
        <w:t xml:space="preserve">      serie de reprogramaciones del debate judicial (infra párr.  266)  y  a</w:t>
        <w:br/>
        <w:t xml:space="preserve">      pesar  de  que  la  Fiscalía  para  el  Régimen  Procesal  Transitorio</w:t>
        <w:br/>
        <w:t xml:space="preserve">      presentara una  acusación  argumentando  que  los  agentes  policiales</w:t>
        <w:br/>
        <w:t xml:space="preserve">      simularon haber sido interceptados por cuatro sujetos al  momento  del</w:t>
        <w:br/>
        <w:t xml:space="preserve">      traslado, no siendo ello cierto, con base en la prueba y en  que  dada</w:t>
        <w:br/>
        <w:t xml:space="preserve">      la cantidad de impactos de bala que la víctima presentó, su muerte  no</w:t>
        <w:br/>
        <w:t xml:space="preserve">      pudo haber ocurrido dentro del  vehículo,  como  lo  indicaron  dichos</w:t>
        <w:br/>
        <w:t xml:space="preserve">      agentes[355]. Ante ello, la Fiscalía Décimo Quinta  interpuso  recurso</w:t>
        <w:br/>
        <w:t xml:space="preserve">      de apelación (supra párr. 115) y el 30 de diciembre del mismo  año  la</w:t>
        <w:br/>
        <w:t xml:space="preserve">      Corte de Apelaciones resolvió anular  dicha  sentencia  y  ordenar  la</w:t>
        <w:br/>
        <w:t xml:space="preserve">      celebración de un nuevo juicio oral, con base en la falta de actuación</w:t>
        <w:br/>
        <w:t xml:space="preserve">      de recursos probatorios promovidos oportunamente (supra párr. 116). Al</w:t>
        <w:br/>
        <w:t xml:space="preserve">      respecto, la propia Fiscal Yelitza Acacio resaltó en la audiencia ante</w:t>
        <w:br/>
        <w:t xml:space="preserve">      la Corte, en referencia a la actuación del juez de primera instancia,</w:t>
        <w:br/>
        <w:br/>
        <w:t xml:space="preserve">    “lo sesgado en su participación[,] la parcialidad de  su  participación</w:t>
        <w:br/>
        <w:t xml:space="preserve">    en convivencia [,] con interés de  favorecer  a  la  defensa  y  a  los</w:t>
        <w:br/>
        <w:t xml:space="preserve">    acusados, [el juez] dejó sin oportunidad a la fiscalía para atraer esos</w:t>
        <w:br/>
        <w:t xml:space="preserve">    órganos de prueba […] por eso es que se le recus[ó], por eso es que  se</w:t>
        <w:br/>
        <w:t xml:space="preserve">    le denunci[ó][,] por eso es que  está  el  tribunal  disciplinario  del</w:t>
        <w:br/>
        <w:t xml:space="preserve">    T[ribunal] S[upremo] [de] J[usticia]”.</w:t>
        <w:br/>
        <w:br/>
        <w:br/>
        <w:t xml:space="preserve">    “[existió] una convivencia, vamos a decirlo así con la  contraparte  es</w:t>
        <w:br/>
        <w:t xml:space="preserve">    decir con los acusados y con  los  defensores  [por  lo  que  el  juez]</w:t>
        <w:br/>
        <w:t xml:space="preserve">    insistía en cerrar el debate judicial”.</w:t>
        <w:br/>
        <w:br/>
        <w:t xml:space="preserve"> 263. Asimismo, el Tribunal toma nota que el mismo día en el  que  se  dictó</w:t>
        <w:br/>
        <w:t xml:space="preserve">      sentencia  de  primera  instancia  absolutoria,  es  decir  el  16  de</w:t>
        <w:br/>
        <w:t xml:space="preserve">      diciembre de 2011,  el  señor  Ignacio  Landaeta  Muñoz,  planteó  una</w:t>
        <w:br/>
        <w:t xml:space="preserve">      recusación contra el mismo juez que la Fiscal  Yelitza  Acacio  señaló</w:t>
        <w:br/>
        <w:t xml:space="preserve">      como recusado durante su declaración en  audiencia,  con  base  en  la</w:t>
        <w:br/>
        <w:t xml:space="preserve">      falta de promoción de pruebas aportadas por la Fiscalía y la  presunta</w:t>
        <w:br/>
        <w:t xml:space="preserve">      “convivencia […] entre el juez y el acusado”[356] CARM.  Este  último,</w:t>
        <w:br/>
        <w:t xml:space="preserve">      laboraba con los órganos de seguridad en  el  circuito  judicial,  con</w:t>
        <w:br/>
        <w:t xml:space="preserve">      acceso a todas las instalaciones y personal del circuito judicial.</w:t>
        <w:br/>
        <w:br/>
        <w:t xml:space="preserve"> 264. En virtud de lo señalado, esta Corte considera que si bien  al  inicio</w:t>
        <w:br/>
        <w:t xml:space="preserve">      de las  investigaciones  se  llevaron  a  cabo  diversas  diligencias,</w:t>
        <w:br/>
        <w:t xml:space="preserve">      algunas  de  ellas  presentaron  falencias.  En  este   sentido,   las</w:t>
        <w:br/>
        <w:t xml:space="preserve">      diligencias complementarias o  ampliatorias  fueron  realizadas  entre</w:t>
        <w:br/>
        <w:t xml:space="preserve">      ocho y doce  años  después  de  los  hechos,  afectando  con  ello  la</w:t>
        <w:br/>
        <w:t xml:space="preserve">      inmediatez de la prueba y la obtención de  información  fidedigna,  lo</w:t>
        <w:br/>
        <w:t xml:space="preserve">      que implicó la pérdida de prueba o la imposibilidad de su recolección,</w:t>
        <w:br/>
        <w:t xml:space="preserve">      debido al paso del tiempo. Asimismo, el Tribunal verifica la falta  de</w:t>
        <w:br/>
        <w:t xml:space="preserve">      actuación de pruebas sustanciales a pesar de las solicitudes del señor</w:t>
        <w:br/>
        <w:t xml:space="preserve">      Ignacio Landaeta Muñoz y de la Fiscalía (supra párr. 259), que podrían</w:t>
        <w:br/>
        <w:t xml:space="preserve">      contribuir al esclarecimiento de los hechos. De igual modo,  la  Corte</w:t>
        <w:br/>
        <w:t xml:space="preserve">      considera que la ausencia de diligencias con el fin de  desvirtuar  la</w:t>
        <w:br/>
        <w:t xml:space="preserve">      versión sobre la interceptación de los encapuchados, así como la falta</w:t>
        <w:br/>
        <w:t xml:space="preserve">      de investigación conjunta tomando en cuenta los hechos de la muerte de</w:t>
        <w:br/>
        <w:t xml:space="preserve">      Igmar  Landaeta  y  una  serie  de  irregularidades  en  el   proceso,</w:t>
        <w:br/>
        <w:t xml:space="preserve">      demuestran una falta de efectividad en el actuar del Estado con el fin</w:t>
        <w:br/>
        <w:t xml:space="preserve">      de alcanzar la verdad y sancionar a los responsables.</w:t>
        <w:br/>
        <w:br/>
        <w:br/>
        <w:t>B.3.3.2 Plazo razonable</w:t>
        <w:br/>
        <w:br/>
        <w:br/>
        <w:t xml:space="preserve"> 265. El Tribunal destaca que el Estado de Venezuela reconoció la existencia</w:t>
        <w:br/>
        <w:t xml:space="preserve">      de un retardo judicial en el caso de Eduardo Landaeta, utilizando como</w:t>
        <w:br/>
        <w:t xml:space="preserve">      justificación de las  demoras  la  entrada  en  vigencia  del  Régimen</w:t>
        <w:br/>
        <w:t xml:space="preserve">      Procesal Transitorio en Venezuela (supra párr. 213). No  obstante,  en</w:t>
        <w:br/>
        <w:t xml:space="preserve">      el presente caso, la Corte constata que han  transcurrido  más  de  17</w:t>
        <w:br/>
        <w:t xml:space="preserve">      años de los hechos del caso y del inicio de la investigación, sin  que</w:t>
        <w:br/>
        <w:t xml:space="preserve">      aún  exista  sentencia  de  primera  instancia  y  sin  que  se  hayan</w:t>
        <w:br/>
        <w:t xml:space="preserve">      esclarecidos los mismos  ni  se  haya  determinado  la  verdad  de  lo</w:t>
        <w:br/>
        <w:t xml:space="preserve">      ocurrido, afectando  el  derecho  al  acceso  a  la  justicia  de  los</w:t>
        <w:br/>
        <w:t xml:space="preserve">      familiares de Eduardo Landaeta  en un plazo razonable. En  efecto,  el</w:t>
        <w:br/>
        <w:t xml:space="preserve">      Tribunal constata la  existencia  de  serios  retrasos  procesales  al</w:t>
        <w:br/>
        <w:t xml:space="preserve">      inicio del procedimiento penal, debido a demoras iniciales atribuibles</w:t>
        <w:br/>
        <w:t xml:space="preserve">      a la Fiscalía  Novena[357]  y  con  motivo  de  la  emisión  de  autos</w:t>
        <w:br/>
        <w:t xml:space="preserve">      duplicados y solicitudes  de  prueba  ya  practicadas  por  parte  del</w:t>
        <w:br/>
        <w:t xml:space="preserve">      Juzgado de los  Municipios  de  Mariño  y  Libertador[358].  De  igual</w:t>
        <w:br/>
        <w:t xml:space="preserve">      manera, la Corte verificó que en virtud de la  entrada  en  vigor  del</w:t>
        <w:br/>
        <w:t xml:space="preserve">      nuevo Código Orgánico Procesal Penal, el caso de Eduardo  Landaeta  se</w:t>
        <w:br/>
        <w:t xml:space="preserve">      derivó al Segundo Juzgado del Régimen Transitorio el  7  de  enero  de</w:t>
        <w:br/>
        <w:t xml:space="preserve">      2000 (supra párr. 105). Sin embargo, no fue hasta el 30 de octubre  de</w:t>
        <w:br/>
        <w:t xml:space="preserve">      2003 que la Fiscalía Transitoria retomó los  actos  de  investigación,</w:t>
        <w:br/>
        <w:t xml:space="preserve">      solicitando la colaboración del Cuerpo de Investigaciones  Científicas</w:t>
        <w:br/>
        <w:t xml:space="preserve">      Penales y Criminalísticas  (anteriormente  el  Cuerpo  Técnico  de  la</w:t>
        <w:br/>
        <w:t xml:space="preserve">      Policía Judicial), las que reiniciaron en diciembre de 2003. En virtud</w:t>
        <w:br/>
        <w:t xml:space="preserve">      de ello, la Corte observa que existió un lapso de inactividad procesal</w:t>
        <w:br/>
        <w:t xml:space="preserve">      de más de cuatro años y medio, lo cual a criterio de este Tribunal  no</w:t>
        <w:br/>
        <w:t xml:space="preserve">      se encuentra justificado por la transición de regímenes procesales.</w:t>
        <w:br/>
        <w:t xml:space="preserve"> 266.  Asimismo,  luego  de  concluidas  las  investigaciones,  la  Fiscalía</w:t>
        <w:br/>
        <w:t xml:space="preserve">      presentó acusación en diciembre de 2008 contra los agentes  policiales</w:t>
        <w:br/>
        <w:t xml:space="preserve">      que trasladaron a Eduardo Landaeta, (supra párr. 112) y la apertura al</w:t>
        <w:br/>
        <w:t xml:space="preserve">      debate oral y público se fijó para el 15 de junio de  2009,  es  decir</w:t>
        <w:br/>
        <w:t xml:space="preserve">      más de 12 años después de iniciadas las mismas. Asimismo,  esta  Corte</w:t>
        <w:br/>
        <w:t xml:space="preserve">      verifica que el debate del juicio oral no se llevó a cabo hasta el  31</w:t>
        <w:br/>
        <w:t xml:space="preserve">      de enero de 2011, es decir casi 1 año y 9 meses después  de  la  fecha</w:t>
        <w:br/>
        <w:t xml:space="preserve">      original fijada para  dichos  efectos,  debido  a  aproximadamente  12</w:t>
        <w:br/>
        <w:t xml:space="preserve">      retrasos y reprogramaciones de las audiencias  públicas  (supra  párr.</w:t>
        <w:br/>
        <w:t xml:space="preserve">      113). En este sentido, el Tribunal nota que las principales dilaciones</w:t>
        <w:br/>
        <w:t xml:space="preserve">      y reprogramaciones se debieron a que “no hubo despacho”, es decir  por</w:t>
        <w:br/>
        <w:t xml:space="preserve">      causa de los jueces de primera instancia a cargo del  proceso;  cuatro</w:t>
        <w:br/>
        <w:t xml:space="preserve">      reprogramaciones se debieron a la inasistencia de la defensa o de  los</w:t>
        <w:br/>
        <w:t xml:space="preserve">      acusados y una, debido a la inasistencia de la Fiscalía  (supra  párr.</w:t>
        <w:br/>
        <w:t xml:space="preserve">      113).</w:t>
        <w:br/>
        <w:br/>
        <w:t xml:space="preserve"> 267. Por tanto, esta Corte considera que una demora prolongada, como la que</w:t>
        <w:br/>
        <w:t xml:space="preserve">      se ha dado en este caso, constituye en principio, por  sí  misma,  una</w:t>
        <w:br/>
        <w:t xml:space="preserve">      violación a las garantías judiciales. En  vista  de  lo  anterior,  la</w:t>
        <w:br/>
        <w:t xml:space="preserve">      Corte no considera necesario realizar mayores consideraciones respecto</w:t>
        <w:br/>
        <w:t xml:space="preserve">      a los otros elementos referentes al plazo razonable.</w:t>
        <w:br/>
        <w:br/>
        <w:br/>
        <w:t>B.3.4 Ausencia de investigaciones en relación con la detención y</w:t>
        <w:br/>
        <w:t>afectaciones a la integridad personal</w:t>
        <w:br/>
        <w:br/>
        <w:br/>
        <w:t xml:space="preserve"> 268. La Corte ha concluido que el Estado de Venezuela es responsable por la</w:t>
        <w:br/>
        <w:t xml:space="preserve">      detención ilegal y arbitraria, del menor Eduardo Landaeta debido a que</w:t>
        <w:br/>
        <w:t xml:space="preserve">      no fue presentado ante un juez o autoridad competente  de  menores  ni</w:t>
        <w:br/>
        <w:t xml:space="preserve">      informado de los motivos de su detención  (supra  párrs.  164,  166  y</w:t>
        <w:br/>
        <w:t xml:space="preserve">      178). Sin embargo, el Tribunal verifica que no consta  del  expediente</w:t>
        <w:br/>
        <w:t xml:space="preserve">      del caso ninguna diligencia o acto tendiente a investigar la  conducta</w:t>
        <w:br/>
        <w:t xml:space="preserve">      de los agentes policiales (José Cortez y Carlos Varela) que llevaron a</w:t>
        <w:br/>
        <w:t xml:space="preserve">      cabo dicha detención. Sólo se deriva de la prueba ante esta Corte  que</w:t>
        <w:br/>
        <w:t xml:space="preserve">      dichos  funcionarios  fueron   llamados   a   declarar   durante   las</w:t>
        <w:br/>
        <w:t xml:space="preserve">      investigaciones por la muerte de Eduardo Landaeta, pero  sólo  uno  de</w:t>
        <w:br/>
        <w:t xml:space="preserve">      ellos  (José  Cortez)   se   apersonó   al   proceso   en   una   sola</w:t>
        <w:br/>
        <w:t xml:space="preserve">      oportunidad[359], sin que el Estado tomara las medidas necesarias para</w:t>
        <w:br/>
        <w:t xml:space="preserve">      el apersonamiento de los mismos.</w:t>
        <w:br/>
        <w:br/>
        <w:t xml:space="preserve"> 269. De igual manera, este Tribunal concluyó que el Estado incumplió con su</w:t>
        <w:br/>
        <w:t xml:space="preserve">      deber de garantía y respeto del derecho a  la  integridad  psíquica  y</w:t>
        <w:br/>
        <w:t xml:space="preserve">      moral de Eduardo Landaeta, en virtud de una serie de factores  que  le</w:t>
        <w:br/>
        <w:t xml:space="preserve">      generaron angustia y miedo antes de su muerte (supra párr.  203),  así</w:t>
        <w:br/>
        <w:t xml:space="preserve">      como la falta de investigación de presuntos actos de tortura.</w:t>
        <w:br/>
        <w:br/>
        <w:t xml:space="preserve"> 270. Al respecto, la Corte ha señalado que, de conformidad con el  artículo</w:t>
        <w:br/>
        <w:t xml:space="preserve">      1.1 de la  Convención  Americana,  la  obligación  de  garantizar  los</w:t>
        <w:br/>
        <w:t xml:space="preserve">      derechos reconocidos en los artículos  5.1  y  5.2  de  la  Convención</w:t>
        <w:br/>
        <w:t xml:space="preserve">      Americana implica el deber del Estado de investigar posibles actos  de</w:t>
        <w:br/>
        <w:t xml:space="preserve">      tortura  u  otros  tratos  crueles,  inhumanos  o  degradantes.   Esta</w:t>
        <w:br/>
        <w:t xml:space="preserve">      obligación de investigar se ve  reforzada  por  lo  dispuesto  en  los</w:t>
        <w:br/>
        <w:t xml:space="preserve">      artículos 1, 6 y 8 de la Convención contra la Tortura, que obligan  al</w:t>
        <w:br/>
        <w:t xml:space="preserve">      Estado a "tomar [...] medidas efectivas para prevenir y  sancionar  la</w:t>
        <w:br/>
        <w:t xml:space="preserve">      tortura en el ámbito de su  jurisdicción",  así  como  a  "prevenir  y</w:t>
        <w:br/>
        <w:t xml:space="preserve">      sancionar  [...]  otros  tratos   o   penas   crueles,   inhumanos   o</w:t>
        <w:br/>
        <w:t xml:space="preserve">      degradantes". Además, de acuerdo con lo dispuesto en el artículo 8  de</w:t>
        <w:br/>
        <w:t xml:space="preserve">      esta Convención, los Estados Parte garantizarán: [...] a toda  persona</w:t>
        <w:br/>
        <w:t xml:space="preserve">      que denuncie haber  sido  sometida  a  tortura  en  el  ámbito  de  su</w:t>
        <w:br/>
        <w:t xml:space="preserve">      jurisdicción el derecho a que el caso sea examinado imparcialmente  [,</w:t>
        <w:br/>
        <w:t xml:space="preserve">      y] [c]uando exista denuncia o razón  fundada  para  creer  que  se  ha</w:t>
        <w:br/>
        <w:t xml:space="preserve">      cometido un acto de tortura en el ámbito de su jurisdicción, [...] que</w:t>
        <w:br/>
        <w:t xml:space="preserve">      sus respectivas autoridades procederán de  oficio  y  de  inmediato  a</w:t>
        <w:br/>
        <w:t xml:space="preserve">      realizar  una  investigación  sobre  el  caso  y  a  iniciar,   cuando</w:t>
        <w:br/>
        <w:t xml:space="preserve">      corresponda, el respectivo proceso penal”[360].</w:t>
        <w:br/>
        <w:br/>
        <w:t xml:space="preserve"> 271. Asimismo, el Tribunal observa que la investigación de  una  muerte  en</w:t>
        <w:br/>
        <w:t xml:space="preserve">      custodia puede revelar un patrón o práctica directa  o  indirectamente</w:t>
        <w:br/>
        <w:t xml:space="preserve">      vinculada con ella. En tales situaciones, la investigación debe  hacer</w:t>
        <w:br/>
        <w:t xml:space="preserve">      frente a  las  posibles  causas  de  raíz  y  prevenir  este  tipo  de</w:t>
        <w:br/>
        <w:t xml:space="preserve">      incidentes.  A  ese  respecto,  los  Estados  deben:  a)  recabar   la</w:t>
        <w:br/>
        <w:t xml:space="preserve">      información esencial relativa a las personas bajo custodia, tales como</w:t>
        <w:br/>
        <w:t xml:space="preserve">      el tiempo y lugar de su detención; b) el  estado  de  su  salud  a  su</w:t>
        <w:br/>
        <w:t xml:space="preserve">      llegada  al  lugar  de  detención;  c)  el  nombre  de  las   personas</w:t>
        <w:br/>
        <w:t xml:space="preserve">      responsables de mantenerlos en custodia, o en  el  momento,  y  d)  el</w:t>
        <w:br/>
        <w:t xml:space="preserve">      lugar de su interrogatorio debe ser registrado y puesto a  disposición</w:t>
        <w:br/>
        <w:t xml:space="preserve">      de procedimientos judiciales o administrativos[361].</w:t>
        <w:br/>
        <w:br/>
        <w:t xml:space="preserve"> 272. En particular, la  Corte  constató,  que  de  la  propia  autopsia  se</w:t>
        <w:br/>
        <w:t xml:space="preserve">      desprendieron  una  serie  de  lesiones  (supra  párr.  200),  quienes</w:t>
        <w:br/>
        <w:t xml:space="preserve">      estuvieron  en  conocimiento  de  las  autoridades,  las  que  también</w:t>
        <w:br/>
        <w:t xml:space="preserve">      tuvieron conocimiento del riesgo en el que se encontraba el  detenido.</w:t>
        <w:br/>
        <w:t xml:space="preserve">      Adicionalmente, no se deriva de la prueba aportada por el  Estado  que</w:t>
        <w:br/>
        <w:t xml:space="preserve">      se haya practicado una pericia médico legal para verificar  el  estado</w:t>
        <w:br/>
        <w:t xml:space="preserve">      de salud de Eduardo Landaeta al momento de su ingreso a la dependencia</w:t>
        <w:br/>
        <w:t xml:space="preserve">      policial. Asimismo, el 21 de mayo de 2001, el  padre  de  la  presunta</w:t>
        <w:br/>
        <w:t xml:space="preserve">      víctima, a través de su representante legal, solicitó ante la Fiscalía</w:t>
        <w:br/>
        <w:t xml:space="preserve">      para el Régimen Procesal Penal  de  la  Circunscripción  Judicial  del</w:t>
        <w:br/>
        <w:t xml:space="preserve">      estado de Aragua se investigaran los posibles actos de tortura, mismos</w:t>
        <w:br/>
        <w:t xml:space="preserve">      que habrían podido ser presenciados u ordenados por  funcionarios  del</w:t>
        <w:br/>
        <w:t xml:space="preserve">      Cuerpo de Seguridad y Orden Público del estado de Aragua[362].</w:t>
        <w:br/>
        <w:br/>
        <w:t xml:space="preserve"> 273. La Corte constata que, ante  esta  situación,  el  Estado  no  realizó</w:t>
        <w:br/>
        <w:t xml:space="preserve">      investigación alguna de  oficio  para  determinar  el  origen  de  las</w:t>
        <w:br/>
        <w:t xml:space="preserve">      mencionadas lesiones o la  autoría  de  las  mismas[363],  las  cuales</w:t>
        <w:br/>
        <w:t xml:space="preserve">      estuvieron  en  conocimiento  de  las  autoridades,  quienes   también</w:t>
        <w:br/>
        <w:t xml:space="preserve">      tuvieron  conocimiento  del  riesgo  en  el  que  se   encontraba   el</w:t>
        <w:br/>
        <w:t xml:space="preserve">      detenido[364]. Una vez denunciados dichos hechos  el  21  de  mayo  de</w:t>
        <w:br/>
        <w:t xml:space="preserve">      2001, del expediente  judicial  no  se  desprende  ninguna  diligencia</w:t>
        <w:br/>
        <w:t xml:space="preserve">      orientada a ese  fin,  incluso  en  la  ampliación  del  protocolo  de</w:t>
        <w:br/>
        <w:t xml:space="preserve">      autopsia (de fecha 25 de mayo de 2006) solamente se llevó  a  cabo  el</w:t>
        <w:br/>
        <w:t xml:space="preserve">      análisis de las lesiones provocadas por el arma de  fuego,  sin  hacer</w:t>
        <w:br/>
        <w:t xml:space="preserve">      mención alguna sobre el otro tipo de lesiones que presentó  el  cuerpo</w:t>
        <w:br/>
        <w:t xml:space="preserve">      de Eduardo Landaeta.</w:t>
        <w:br/>
        <w:br/>
        <w:t xml:space="preserve"> 274. En virtud de lo expuesto, el Tribunal estima que el  Estado  incumplió</w:t>
        <w:br/>
        <w:t xml:space="preserve">      con su deber de garantizar el derecho  a  la  integridad  personal,  a</w:t>
        <w:br/>
        <w:t xml:space="preserve">      través de una investigación de oficio seria y no  proveyó  un  recurso</w:t>
        <w:br/>
        <w:t xml:space="preserve">      judicial efectivo a los familiares de Eduardo Landaeta.</w:t>
        <w:br/>
        <w:br/>
        <w:br/>
        <w:t>B.3.5 Conclusión respecto de Eduardo Landaeta</w:t>
        <w:br/>
        <w:br/>
        <w:br/>
        <w:t xml:space="preserve"> 275. La Corte concluye que con respecto a las investigaciones y el  proceso</w:t>
        <w:br/>
        <w:t xml:space="preserve">      penal incoado por la muerte de Eduardo Landaeta, el Estado no llevó  a</w:t>
        <w:br/>
        <w:t xml:space="preserve">      cabo  una  averiguación  diligente  debido  a  falencias  durante   la</w:t>
        <w:br/>
        <w:t xml:space="preserve">      recolección  de  pruebas,  las  cuales  implicaron  la  actuación   de</w:t>
        <w:br/>
        <w:t xml:space="preserve">      diligencias de importancia más de ocho años después de  sucedidos  los</w:t>
        <w:br/>
        <w:t xml:space="preserve">      hechos. Asimismo, el Tribunal concluye que el Estado no siguió  líneas</w:t>
        <w:br/>
        <w:t xml:space="preserve">      conjuntas  de  investigación  en  relación  con  la  muerte  de  Igmar</w:t>
        <w:br/>
        <w:t xml:space="preserve">      Landaeta, a pesar de los indicios de conexidad existentes entre  ambas</w:t>
        <w:br/>
        <w:t xml:space="preserve">      muertes. De igual manera, este Tribunal considera que el proceso penal</w:t>
        <w:br/>
        <w:t xml:space="preserve">      presentó serios retrasos procesales e irregularidades  destacadas  por</w:t>
        <w:br/>
        <w:t xml:space="preserve">      las propias autoridades internas, por lo que no se ha llevado  a  cabo</w:t>
        <w:br/>
        <w:t xml:space="preserve">      en un plazo razonable, con el fin de esclarecer los hechos y sancionar</w:t>
        <w:br/>
        <w:t xml:space="preserve">      a los responsables. Finalmente, la Corte concluye  que  el  Estado  no</w:t>
        <w:br/>
        <w:t xml:space="preserve">      llevó a cabo ningún tipo de averiguación en  virtud  de  la  detención</w:t>
        <w:br/>
        <w:t xml:space="preserve">      ilegal y arbitraria de Eduardo Landaeta ni por los indicios de tortura</w:t>
        <w:br/>
        <w:t xml:space="preserve">      durante su detención. En consecuencia, este Tribunal considera que  el</w:t>
        <w:br/>
        <w:t xml:space="preserve">      Estado es responsable  internacionalmente  por  la  violación  de  los</w:t>
        <w:br/>
        <w:t xml:space="preserve">      derechos establecidos en los artículos 8.1 y  25.1  de  la  Convención</w:t>
        <w:br/>
        <w:t xml:space="preserve">      Americana, en perjuicio de los familiares de Eduardo  Landaeta  (infra</w:t>
        <w:br/>
        <w:t xml:space="preserve">      párr. 294).</w:t>
        <w:br/>
        <w:br/>
        <w:br/>
        <w:t xml:space="preserve">                                    VII-4</w:t>
        <w:br/>
        <w:t xml:space="preserve">             Derecho a la integridad personal de los familiares</w:t>
        <w:br/>
        <w:br/>
        <w:br/>
        <w:br/>
        <w:t xml:space="preserve">   Argumentos de las partes y de la Comisión</w:t>
        <w:br/>
        <w:br/>
        <w:br/>
        <w:t xml:space="preserve"> 276. La Comisión alegó que el Estado  violó  el  derecho  a  la  integridad</w:t>
        <w:br/>
        <w:t xml:space="preserve">      psíquica y moral  contenido  en  el  artículo  5.1  de  la  Convención</w:t>
        <w:br/>
        <w:t xml:space="preserve">      Americana en relación con artículo 1.1 de la misma,  en  perjuicio  de</w:t>
        <w:br/>
        <w:t xml:space="preserve">      los  familiares  de  los  hermanos  Landaeta  Mejías,  en  virtud  del</w:t>
        <w:br/>
        <w:t xml:space="preserve">      sufrimiento y angustia producidos por las actuaciones poco efectivas y</w:t>
        <w:br/>
        <w:t xml:space="preserve">      omisiones  de  las  autoridades  internas  frente  a  las  ejecuciones</w:t>
        <w:br/>
        <w:t xml:space="preserve">      extrajudiciales de sus seres queridos.  La  Comisión  aseguró  que  la</w:t>
        <w:br/>
        <w:t xml:space="preserve">      forma como se dieron los hechos y la impunidad imperante, han afectado</w:t>
        <w:br/>
        <w:t xml:space="preserve">      tanto psíquica como moralmente a los familiares,  debido  al  profundo</w:t>
        <w:br/>
        <w:t xml:space="preserve">      sufrimiento y al  cambio  radical  en  sus  vidas.  No  obstante,  los</w:t>
        <w:br/>
        <w:t xml:space="preserve">      esfuerzos por alcanzar justicia y determinar el esclarecimiento de los</w:t>
        <w:br/>
        <w:t xml:space="preserve">      hechos, las transgresiones continúan en la  impunidad,  situación  que</w:t>
        <w:br/>
        <w:t xml:space="preserve">      los mantiene  en  un  constante  estado  de  frustración,  tristeza  e</w:t>
        <w:br/>
        <w:t xml:space="preserve">      impotencia. A efectos de determinar la  vulneración  a  la  integridad</w:t>
        <w:br/>
        <w:t xml:space="preserve">      psíquica y moral de los familiares, la Comisión consideró el  profundo</w:t>
        <w:br/>
        <w:t xml:space="preserve">      sufrimiento por las amenazas y posterior  ejecución  extrajudicial  de</w:t>
        <w:br/>
        <w:t xml:space="preserve">      lgmar y EduardoLandaeta Mejías, con un  mes  y  medio  de  diferencia,</w:t>
        <w:br/>
        <w:t xml:space="preserve">      sumado a la angustia que debieron  sentir  al  prever  el  destino  de</w:t>
        <w:br/>
        <w:t xml:space="preserve">      Eduardo una vez fue detenido e incomunicado,  tomando  en  cuenta  las</w:t>
        <w:br/>
        <w:t xml:space="preserve">      amenazas previas y la muerte de su hermano.</w:t>
        <w:br/>
        <w:br/>
        <w:t xml:space="preserve"> 277. Por su parte los representantes coincidieron en que el Estado violó el</w:t>
        <w:br/>
        <w:t xml:space="preserve">      derecho consagrado en el  artículo  5.1.  de  la  Convención  por  las</w:t>
        <w:br/>
        <w:t xml:space="preserve">      afectaciones “psíquicas y morales” (de los familiares, producto de  la</w:t>
        <w:br/>
        <w:t xml:space="preserve">      detención ilegal de Eduardo y las muertes de éste último y su  hermano</w:t>
        <w:br/>
        <w:t xml:space="preserve">      Igmar, ambos de apellidos Landaeta Mejías. Los representantes hicieron</w:t>
        <w:br/>
        <w:t xml:space="preserve">      mención  de  los  factores  que  generaron   “sufrimiento,   angustia,</w:t>
        <w:br/>
        <w:t xml:space="preserve">      inseguridad, frustración e impotencia” en sus familiares, a saber:  la</w:t>
        <w:br/>
        <w:t xml:space="preserve">      omisión de las autoridades  públicas  de  efectuar  una  investigación</w:t>
        <w:br/>
        <w:t xml:space="preserve">      profunda y diligente, los recursos  inefectivos  para  satisfacer  sus</w:t>
        <w:br/>
        <w:t xml:space="preserve">      pretensiones, la ausencia de una versión oficial de los  hechos  y  la</w:t>
        <w:br/>
        <w:t xml:space="preserve">      falta de sanción  para  los  responsables  a  pesar  de  los  16  años</w:t>
        <w:br/>
        <w:t xml:space="preserve">      transcurridos. Según los representantes, todo ello ha impedido  “sanar</w:t>
        <w:br/>
        <w:t xml:space="preserve">      las heridas causadas por la muerte de Igmar y Eduardo”, resaltando  el</w:t>
        <w:br/>
        <w:t xml:space="preserve">      sufrimiento de los padres durante la detención del último, quienes  no</w:t>
        <w:br/>
        <w:t xml:space="preserve">      recibieron  la  “atención  e  información  debida  por  parte  de  los</w:t>
        <w:br/>
        <w:t xml:space="preserve">      organismos estatales y sus agentes”, acerca del lugar de  localización</w:t>
        <w:br/>
        <w:t xml:space="preserve">      o  el  momento  en  que  éste  sería  trasladado.  Los  representantes</w:t>
        <w:br/>
        <w:t xml:space="preserve">      señalaron  que  los  hechos  han  dañado  las  relaciones   afectivas,</w:t>
        <w:br/>
        <w:t xml:space="preserve">      “sociales y laborales” de los familiares  de  los  hermanos  Landaeta,</w:t>
        <w:br/>
        <w:t xml:space="preserve">      alterando con ello  “su  dinámica  y  proyectos  de  vida”.  Asimismo,</w:t>
        <w:br/>
        <w:t xml:space="preserve">      resaltaron algunos de los sufrimientos padecidos de manera particular,</w:t>
        <w:br/>
        <w:t xml:space="preserve">      como el trauma sufrido por la  madre  de  los  hermanos  Landaeta,  el</w:t>
        <w:br/>
        <w:t xml:space="preserve">      desgaste emocional y físico del padre y de las dos hermanas,  teniendo</w:t>
        <w:br/>
        <w:t xml:space="preserve">      la mayor de ellas, Victoria Eneri Landaeta Galindo,  la  necesidad  de</w:t>
        <w:br/>
        <w:t xml:space="preserve">      acudir a terapia psicológica para “superar la muerte de sus  hermanos,</w:t>
        <w:br/>
        <w:t xml:space="preserve">      y la distancia emocional que la separaba de su padre”. En relación con</w:t>
        <w:br/>
        <w:t xml:space="preserve">      la compañera de Igmar Landaeta, los  representantes  alegaron  que  la</w:t>
        <w:br/>
        <w:t xml:space="preserve">      muerte del mismo tuvo repercusiones en su proyecto de vida,  debido  a</w:t>
        <w:br/>
        <w:t xml:space="preserve">      que estuvo a cargo de la “tarea de criar a la  hija  de  ambos”  sola.</w:t>
        <w:br/>
        <w:t xml:space="preserve">      Finalmente, los representantes señalaron que la hija de Igmar Landaeta</w:t>
        <w:br/>
        <w:t xml:space="preserve">      también sufrió afectaciones emocionales por la ausencia de su padre.</w:t>
        <w:br/>
        <w:br/>
        <w:t xml:space="preserve"> 278. El Estado no  elaboró  argumentos  de  fondo  respecto  a  la  alegada</w:t>
        <w:br/>
        <w:t xml:space="preserve">      violación de la integridad personal de los familiares sino que rechazó</w:t>
        <w:br/>
        <w:t xml:space="preserve">      todos y  cada  uno  de  los  petitorios  realizados  por  la  Comisión</w:t>
        <w:br/>
        <w:t xml:space="preserve">      Interamericana en su Informe de Fondo.</w:t>
        <w:br/>
        <w:br/>
        <w:br/>
        <w:t xml:space="preserve">   Consideraciones de la Corte</w:t>
        <w:br/>
        <w:br/>
        <w:br/>
        <w:t xml:space="preserve"> 279. La Corte ya ha establecido que el Estado de Venezuela  es  responsable</w:t>
        <w:br/>
        <w:t xml:space="preserve">      por la violación del deber de respeto a la vida en perjuicio de  Igmar</w:t>
        <w:br/>
        <w:t xml:space="preserve">      Landaeta, y por la detención ilegal y arbitraria, seguida de la muerte</w:t>
        <w:br/>
        <w:t xml:space="preserve">      del menor Eduardo  Landaeta,  al  faltar  a  su  deber  de  respeto  y</w:t>
        <w:br/>
        <w:t xml:space="preserve">      garantía. El Tribunal  ha  considerado  en  numerosos  casos  que  los</w:t>
        <w:br/>
        <w:t xml:space="preserve">      familiares de las víctimas de violaciones de derechos  humanos  pueden</w:t>
        <w:br/>
        <w:t xml:space="preserve">      ser a su vez víctimas[365]. En  este  punto,  la  Corte  ha  entendido</w:t>
        <w:br/>
        <w:t xml:space="preserve">      violado el derecho  a  la  integridad  psíquica  y  moral  de  algunos</w:t>
        <w:br/>
        <w:t xml:space="preserve">      familiares con motivo del sufrimiento adicional que estos han padecido</w:t>
        <w:br/>
        <w:t xml:space="preserve">      como producto de las circunstancias particulares  de  las  violaciones</w:t>
        <w:br/>
        <w:t xml:space="preserve">      perpetradas contra sus seres queridos y a  causa  de  las  posteriores</w:t>
        <w:br/>
        <w:t xml:space="preserve">      actuaciones u omisiones de las  autoridades  estatales  frente  a  los</w:t>
        <w:br/>
        <w:t xml:space="preserve">      hechos[366].</w:t>
        <w:br/>
        <w:br/>
        <w:t xml:space="preserve"> 280. En el presente caso, la Corte considera  como  presuntas  víctimas  a:</w:t>
        <w:br/>
        <w:t xml:space="preserve">      María  Magdalena  Mejías  (madre);  Ignacio  Landaeta  Muñoz  (padre);</w:t>
        <w:br/>
        <w:t xml:space="preserve">      Victoria Eneri y Leydis Rossimar, ambas de apellido  Landaeta  Galindo</w:t>
        <w:br/>
        <w:t xml:space="preserve">      (hermanas); Francy Yellut Parra Guzmán (compañera  de  vida  de  Igmar</w:t>
        <w:br/>
        <w:t xml:space="preserve">      Landaeta), y  Johanyelis  Alejandra  Landaeta  Parra  (hija  de  Igmar</w:t>
        <w:br/>
        <w:t xml:space="preserve">      Landaeta).</w:t>
        <w:br/>
        <w:br/>
        <w:t xml:space="preserve"> 281.  Por  tanto,  el  Tribunal  podrá  evaluar,  si  existe   un   vínculo</w:t>
        <w:br/>
        <w:t xml:space="preserve">      particularmente estrecho entre los familiares y las víctimas del  caso</w:t>
        <w:br/>
        <w:t xml:space="preserve">      que le permita establecer una afectación a su  integridad  personal  y</w:t>
        <w:br/>
        <w:t xml:space="preserve">      por  ende,  una  violación  del  artículo  5  de  la  Convención[367].</w:t>
        <w:br/>
        <w:t xml:space="preserve">      Asimismo, se analizará la alegada existencia de una  afectación  a  la</w:t>
        <w:br/>
        <w:t xml:space="preserve">      integridad psíquica y moral de los familiares de los hermanos Landaeta</w:t>
        <w:br/>
        <w:t xml:space="preserve">      Mejías en virtud de sus declaraciones testimoniales[368], así como del</w:t>
        <w:br/>
        <w:t xml:space="preserve">      dictamen  psicológico  elaborado  por  la  perita   Claudia   Carrillo</w:t>
        <w:br/>
        <w:t xml:space="preserve">      Ramírez[369] y de la declaración de Ignacio Landaeta  Mejías  brindada</w:t>
        <w:br/>
        <w:t xml:space="preserve">      durante la audiencia pública ante la Corte.</w:t>
        <w:br/>
        <w:br/>
        <w:t xml:space="preserve"> 282. Al respecto, el Tribunal nota que ha quedado demostrada la  existencia</w:t>
        <w:br/>
        <w:t xml:space="preserve">      de un vínculo estrecho entre los familiares y  los  hermanos  Landaeta</w:t>
        <w:br/>
        <w:t xml:space="preserve">      Mejías, debido a que formaban parte de un sólo grupo familiar y  ambos</w:t>
        <w:br/>
        <w:t xml:space="preserve">      hermanos  “contribuían   económicamente   al   hogar   antes   de   su</w:t>
        <w:br/>
        <w:t xml:space="preserve">      muerte”[370]. Al respecto, la señora  María  Magdalena  Mejías  Camero</w:t>
        <w:br/>
        <w:t xml:space="preserve">      manifestó,  que  era  muy  unida  a  ellos  y  realizaban  actividades</w:t>
        <w:br/>
        <w:t xml:space="preserve">      juntos[371].</w:t>
        <w:br/>
        <w:br/>
        <w:t xml:space="preserve"> 283. Asimismo, la Corte ha declarado la responsabilidad del Estado  por  la</w:t>
        <w:br/>
        <w:t xml:space="preserve">      violación del artículo 4 (deber de  respeto)  en  perjuicio  de  Igmar</w:t>
        <w:br/>
        <w:t xml:space="preserve">      Landaeta y por la violación del artículo 7, 4 y 5 del  menor  de  edad</w:t>
        <w:br/>
        <w:t xml:space="preserve">      Eduardo Landaeta, hechos que  ocasionaron  un  dolor  profundo  a  los</w:t>
        <w:br/>
        <w:t xml:space="preserve">      familiares de las víctimas. En  este  sentido,  de  las  declaraciones</w:t>
        <w:br/>
        <w:t xml:space="preserve">      rendidas  en  la  sustanciación  del  presente  caso  y  del  peritaje</w:t>
        <w:br/>
        <w:t xml:space="preserve">      efectuado por Claudia Carrillo, se desprende  que  sus  fallecimientos</w:t>
        <w:br/>
        <w:t xml:space="preserve">      han causado secuelas a nivel psicológico, personal y emocional en  los</w:t>
        <w:br/>
        <w:t xml:space="preserve">      familiares, lo cual les ha suscitado un  profundo  dolor,  tristeza  y</w:t>
        <w:br/>
        <w:t xml:space="preserve">      sufrimiento[372].</w:t>
        <w:br/>
        <w:br/>
        <w:t xml:space="preserve"> 284. En este sentido, la perita señaló que los padres han padecido el mayor</w:t>
        <w:br/>
        <w:t xml:space="preserve">      sufrimiento[373], ya que el  fallecimiento  inesperado  de  sus  hijos</w:t>
        <w:br/>
        <w:t xml:space="preserve">      propició sintomatologías de  “trauma,  ansiedad  y  trastornos  de  la</w:t>
        <w:br/>
        <w:t xml:space="preserve">      afectividad, como depresión”[374]. De igual  manera,  María  Magdalena</w:t>
        <w:br/>
        <w:t xml:space="preserve">      manifiestó que “a pesar de los años que han  pasado,  todavía  no  [se</w:t>
        <w:br/>
        <w:t xml:space="preserve">      hacía] a la idea de tener a sus dos hijos muertos” y que  “todavía  no</w:t>
        <w:br/>
        <w:t xml:space="preserve">      h[a] conseguido consuelo”[375], por lo que la perita concluyó que  “su</w:t>
        <w:br/>
        <w:t xml:space="preserve">      vida ha transcurrido en sobrellevar el profundo vacío que ambos  hijos</w:t>
        <w:br/>
        <w:t xml:space="preserve">      deja[ron] en su hogar y en su historia”[376].</w:t>
        <w:br/>
        <w:br/>
        <w:t xml:space="preserve"> 285. Asimismo, la perita  observó  un  daño  psicológico  en  las  personas</w:t>
        <w:br/>
        <w:t xml:space="preserve">      evaluadas, lo que en el  caso  de  Victoria  Eneri  Landaeta  Galindo,</w:t>
        <w:br/>
        <w:t xml:space="preserve">      implicó que desde la muerte de sus hermanos sufriera un  trastorno  en</w:t>
        <w:br/>
        <w:t xml:space="preserve">      el sueño e inclusive tuviera  “fantasías  en  las  que  dialogaba  con</w:t>
        <w:br/>
        <w:t xml:space="preserve">      [ellos]  durante su actividad lúdica”[377], lo que  propició  que  sus</w:t>
        <w:br/>
        <w:t xml:space="preserve">      padres la llevaran a terapia psicológica y psiquiátrica. Por su parte,</w:t>
        <w:br/>
        <w:t xml:space="preserve">      Francy Yellut Parra,  refirió  que  tanto  ella  como  Igmar  Landaeta</w:t>
        <w:br/>
        <w:t xml:space="preserve">      estaban ilusionados  y  tenían  muchos  planes  para  cuando  su  hija</w:t>
        <w:br/>
        <w:t xml:space="preserve">      Johanyelis Alejandra Landaeta Parra naciera[378]), sin embargo  dichos</w:t>
        <w:br/>
        <w:t xml:space="preserve">      planes se vieron frustrados con la muerte de este. La hija  de  ambos,</w:t>
        <w:br/>
        <w:t xml:space="preserve">      quien aún no había nacido al momento de los hechos, ya que su madre se</w:t>
        <w:br/>
        <w:t xml:space="preserve">      encontraba con cinco meses de gestación, señaló que  “aunque  no  haya</w:t>
        <w:br/>
        <w:t xml:space="preserve">      conocido a su papá siente  la  necesidad  de  saber  de  él  y  de  su</w:t>
        <w:br/>
        <w:t xml:space="preserve">      afecto”[379]. Con respecto a esta última, la Corte estima  reconocerla</w:t>
        <w:br/>
        <w:t xml:space="preserve">      como  víctima,  ya  que  además  del  periodo  de  gestación,  también</w:t>
        <w:br/>
        <w:t xml:space="preserve">      experimentó  dolor  debido  a  que  vivió  rodeada   de   un   entorno</w:t>
        <w:br/>
        <w:t xml:space="preserve">      caracterizado por el   pesar  y  la  incertidumbre  por  la  falta  de</w:t>
        <w:br/>
        <w:t xml:space="preserve">      determinación de la verdad de los hechos, sumado a los efectos que  la</w:t>
        <w:br/>
        <w:t xml:space="preserve">      ausencia de su padre y la forma de su  muerte,  causaron  en  su  vida</w:t>
        <w:br/>
        <w:t xml:space="preserve">      sentimientos de angustia y sufrimiento[380].</w:t>
        <w:br/>
        <w:br/>
        <w:t xml:space="preserve"> 286. Por otro lado, la Corte declaró la violación de los artículos 8  y  25</w:t>
        <w:br/>
        <w:t xml:space="preserve">      de la Convención. En virtud de ello,  el  Tribunal  considera  que  el</w:t>
        <w:br/>
        <w:t xml:space="preserve">      grupo familiar en su conjunto ha sufrido afectaciones derivadas de  la</w:t>
        <w:br/>
        <w:t xml:space="preserve">      ausencia de una investigación completa, diligente y efectiva y por  la</w:t>
        <w:br/>
        <w:t xml:space="preserve">      falta de acceso a la justicia, lo  que  agudizó  los  sentimientos  de</w:t>
        <w:br/>
        <w:t xml:space="preserve">      dolor, impotencia y angustia[381]. En relación  con  ello,  la  perita</w:t>
        <w:br/>
        <w:t xml:space="preserve">      Claudia  Carrillo  señaló  que  “la  búsqueda  de  la  verdad   y   la</w:t>
        <w:br/>
        <w:t xml:space="preserve">      justicia”[382] por 18 años, se transformó en el proyecto de vida de la</w:t>
        <w:br/>
        <w:t xml:space="preserve">      familia Landaeta Mejías.</w:t>
        <w:br/>
        <w:br/>
        <w:t xml:space="preserve"> 287. La Corte considera que el desgaste físico y emocional derivado de  los</w:t>
        <w:br/>
        <w:t xml:space="preserve">      hechos y la búsqueda de la justicia, han causado un  impacto  negativo</w:t>
        <w:br/>
        <w:t xml:space="preserve">      en el conjunto familiar, principalmente en relación con  los  aspectos</w:t>
        <w:br/>
        <w:t xml:space="preserve">      económico, social y laboral[383]. De igual manera del expediente  ante</w:t>
        <w:br/>
        <w:t xml:space="preserve">      la Corte se desprende que María  Magdalena  Mejías  Camero  e  Ignacio</w:t>
        <w:br/>
        <w:t xml:space="preserve">      Landaeta se involucraron  desde  el  inicio  en  las  investigaciones,</w:t>
        <w:br/>
        <w:t xml:space="preserve">      rindiendo declaraciones  a  nivel  interno.  Asimismo,  este  Tribunal</w:t>
        <w:br/>
        <w:t xml:space="preserve">      constata que Ignacio Landaeta fue la persona que participó  de  manera</w:t>
        <w:br/>
        <w:t xml:space="preserve">      más activa en el impulso del proceso, a través  de  las  declaraciones</w:t>
        <w:br/>
        <w:t xml:space="preserve">      rendidas, los escritos presentados  y  las  múltiples  solicitudes  de</w:t>
        <w:br/>
        <w:t xml:space="preserve">      actuación de pruebas y recusación de algunos  operadores  de  justicia</w:t>
        <w:br/>
        <w:t xml:space="preserve">      (supra párrs. 263  y  264),  por  lo  que  mantuvo  una  participación</w:t>
        <w:br/>
        <w:t xml:space="preserve">      constante ante el sistema judicial nacional y continúa  haciéndolo  en</w:t>
        <w:br/>
        <w:t xml:space="preserve">      la actualidad, ante el sistema interamericano.</w:t>
        <w:br/>
        <w:br/>
        <w:t xml:space="preserve"> 288. Finalmente, la Corte toma nota del sufrimiento que se alega  vivió  el</w:t>
        <w:br/>
        <w:t xml:space="preserve">      grupo familiar, por las presuntas amenazas de  las  que  habrían  sido</w:t>
        <w:br/>
        <w:t xml:space="preserve">      víctimas antes de la muerte de los hermanos Landaeta, así como por  la</w:t>
        <w:br/>
        <w:t xml:space="preserve">      supuesta persecución de Ignacio Landaeta por policías  el  día  31  de</w:t>
        <w:br/>
        <w:t xml:space="preserve">      diciembre de 1996, quienes al decir de los representantes,  tenían  la</w:t>
        <w:br/>
        <w:t xml:space="preserve">      orden de matarlo. Estos acontecimientos  incrementaron  la  tensión  y</w:t>
        <w:br/>
        <w:t xml:space="preserve">      miedo de la familia durante el periodo posterior a los  sucesos,  dada</w:t>
        <w:br/>
        <w:t xml:space="preserve">      la constante búsqueda de justicia ante  los  tribunales  nacionales  e</w:t>
        <w:br/>
        <w:t xml:space="preserve">      interamericano[384].</w:t>
        <w:br/>
        <w:br/>
        <w:t xml:space="preserve"> 289. Por lo tanto, la Corte determina que, la falta del deber de respeto  y</w:t>
        <w:br/>
        <w:t xml:space="preserve">      garantía del derecho a la vida de Igmar y Eduardo Landaeta, sumado  al</w:t>
        <w:br/>
        <w:t xml:space="preserve">      incumplimiento de lo dispuesto en los artículos 4, 5.1 y 7 en relación</w:t>
        <w:br/>
        <w:t xml:space="preserve">      con el artículo 19 de la  Convención  en  perjuicio  de  este  último,</w:t>
        <w:br/>
        <w:t xml:space="preserve">      generaron secuelas a nivel psicológico, personal y emocional; así como</w:t>
        <w:br/>
        <w:t xml:space="preserve">      la falta de efectividad de las medidas adoptadas para  esclarecer  los</w:t>
        <w:br/>
        <w:t xml:space="preserve">      hechos (artículos 8 y 25 de  la  Convención),  han  provocado  en  los</w:t>
        <w:br/>
        <w:t xml:space="preserve">      familiares de los hermanos Landaeta  Mejías  sufrimiento  y  angustia,</w:t>
        <w:br/>
        <w:t xml:space="preserve">      además de un sentimiento de  inseguridad,  frustración  e  impotencia,</w:t>
        <w:br/>
        <w:t xml:space="preserve">      afectando así su integridad psíquica  y  moral.  En  consecuencia,  la</w:t>
        <w:br/>
        <w:t xml:space="preserve">      Corte considera que el Estado es  responsable  por  la  violación  del</w:t>
        <w:br/>
        <w:t xml:space="preserve">      artículo 5.1 de la Convención Americana, en relación con  el  artículo</w:t>
        <w:br/>
        <w:t xml:space="preserve">      1.1 de la misma, en perjuicio  de:  María  Magdalena  Mejías  (madre);</w:t>
        <w:br/>
        <w:t xml:space="preserve">      Ignacio Landaeta Muñoz (padre):  Victoria  Eneri  y  Leydis  Rossimar,</w:t>
        <w:br/>
        <w:t xml:space="preserve">      ambas de apellido Landaeta Galindo  (hermanas);  Francy  Yellut  Parra</w:t>
        <w:br/>
        <w:t xml:space="preserve">      Guzmán (compañera de vida de Igmar Landaeta), y  Johanyelis  Alejandra</w:t>
        <w:br/>
        <w:t xml:space="preserve">      Landaeta Parra (hija de Igmar Landaeta).</w:t>
        <w:br/>
        <w:br/>
        <w:br/>
        <w:t xml:space="preserve">                                    VIII</w:t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 xml:space="preserve"> 290. Sobre la base de lo dispuesto en el artículo  63.1  de  la  Convención</w:t>
        <w:br/>
        <w:t xml:space="preserve">      Americana[385], la  Corte  ha  indicado  que  toda  violación  de  una</w:t>
        <w:br/>
        <w:t xml:space="preserve">      obligación internacional que haya producido daño comporta el deber  de</w:t>
        <w:br/>
        <w:t xml:space="preserve">      repararlo  adecuadamente  y  que  esa  disposición  recoge 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Estado[386].</w:t>
        <w:br/>
        <w:br/>
        <w:t xml:space="preserve"> 291. En consideración de las violaciones a la Convención declaradas en  los</w:t>
        <w:br/>
        <w:t xml:space="preserve">      capítulos anteriores, la Corte procede  a  analizar  las  pretensiones</w:t>
        <w:br/>
        <w:t xml:space="preserve">      presentadas por la Comisión y los representantes,  a  la  luz  de  los</w:t>
        <w:br/>
        <w:t xml:space="preserve">      criterios fijados en su jurisprudencia en relación con la naturaleza y</w:t>
        <w:br/>
        <w:t xml:space="preserve">      alcance de la obligación de reparar, con el  objeto  de  disponer  las</w:t>
        <w:br/>
        <w:t xml:space="preserve">      medidas dirigidas a reparar los daños ocasionados a la víctima[387].</w:t>
        <w:br/>
        <w:br/>
        <w:t xml:space="preserve"> 292. La Corte ha establecido que  las  reparaciones  deben  tener  un  nexo</w:t>
        <w:br/>
        <w:t xml:space="preserve">      causal con los hechos del caso, las violaciones declaradas, los  daños</w:t>
        <w:br/>
        <w:t xml:space="preserve">      acreditados, así como las medidas solicitadas para reparar  los  daños</w:t>
        <w:br/>
        <w:t xml:space="preserve">      respectivos, esta debe observar dicha concurrencia  para  pronunciarse</w:t>
        <w:br/>
        <w:t xml:space="preserve">      debidamente y conforme a derecho[388].</w:t>
        <w:br/>
        <w:br/>
        <w:t xml:space="preserve"> 293. La Corte tiene presente que, de acuerdo con el  artículo  78.2  de  la</w:t>
        <w:br/>
        <w:t xml:space="preserve">      Convención[389], es obligación del Estado el cumplimiento efectivo  de</w:t>
        <w:br/>
        <w:t xml:space="preserve">      la presente Sentencia.</w:t>
        <w:br/>
        <w:br/>
        <w:br/>
        <w:t xml:space="preserve">   Parte lesionada</w:t>
        <w:br/>
        <w:br/>
        <w:br/>
        <w:t xml:space="preserve"> 294. El Tribunal reitera que se considera parte lesionada, en los  términos</w:t>
        <w:br/>
        <w:t xml:space="preserve">      del artículo  63.1  de  la  Convención  Americana,  a  quien  ha  sido</w:t>
        <w:br/>
        <w:t xml:space="preserve">      declarado víctima de la violación de algún derecho  reconocido  en  la</w:t>
        <w:br/>
        <w:t xml:space="preserve">      misma. Por lo tanto,  para  efectos  del  presente  caso,  esta  Corte</w:t>
        <w:br/>
        <w:t xml:space="preserve">      considera como “parte lesionada” a Igmar  Alexander  Landaeta  Mejías,</w:t>
        <w:br/>
        <w:t xml:space="preserve">      Eduardo José Landaeta Mejías, Ignacio Landaeta Muñoz, María  Magdalena</w:t>
        <w:br/>
        <w:t xml:space="preserve">      Mejías  Camero,  Francy  Yellut  Parra  Guzmán,  Johanyelis  Alejandra</w:t>
        <w:br/>
        <w:t xml:space="preserve">      Landaeta Parra, Victoria Eneri  Landaeta  Galindo  y  Leydis  Rossimar</w:t>
        <w:br/>
        <w:t xml:space="preserve">      Landaeta  Galindo,  quienes  en  su  carácter  de  víctimas   de   las</w:t>
        <w:br/>
        <w:t xml:space="preserve">      violaciones  declaradas  en   esta   Sentencia,   serán   consideradas</w:t>
        <w:br/>
        <w:t xml:space="preserve">      beneficiarias de las reparaciones que la Corte ordene.</w:t>
        <w:br/>
        <w:br/>
        <w:br/>
        <w:t xml:space="preserve">   Obligación de investigar los  hechos  que  generaron  las  violaciones  e</w:t>
        <w:br/>
        <w:t xml:space="preserve">   identificar, juzgar y, en su caso, sancionar a los responsables</w:t>
        <w:br/>
        <w:br/>
        <w:br/>
        <w:t xml:space="preserve"> 295.  La  Comisión  recomendó  que  el  Estado  realice  una  investigación</w:t>
        <w:br/>
        <w:t xml:space="preserve">      completa,  imparcial,  efectiva  y  oportuna  de  las  violaciones  de</w:t>
        <w:br/>
        <w:t xml:space="preserve">      derechos humanos declaradas, con el objeto de establecer  y  sancionar</w:t>
        <w:br/>
        <w:t xml:space="preserve">      la responsabilidad intelectual y material  de  los  hechos  descritos.</w:t>
        <w:br/>
        <w:t xml:space="preserve">      Asimismo,   recomendó   que   el   Estado   disponga    las    medidas</w:t>
        <w:br/>
        <w:t xml:space="preserve">      administrativas, disciplinarias o penales  correspondientes  frente  a</w:t>
        <w:br/>
        <w:t xml:space="preserve">      las  acciones  u  omisiones  de   los   funcionarios   estatales   que</w:t>
        <w:br/>
        <w:t xml:space="preserve">      contribuyeron en la denegación de justicia e impunidad en  la  que  se</w:t>
        <w:br/>
        <w:t xml:space="preserve">      encuentran los hechos del caso.</w:t>
        <w:br/>
        <w:br/>
        <w:t xml:space="preserve"> 296. Los representantes solicitaron que el Estado lleve a cabo,  dentro  de</w:t>
        <w:br/>
        <w:t xml:space="preserve">      un plazo razonable, una investigación completa, imparcial y efectiva a</w:t>
        <w:br/>
        <w:t xml:space="preserve">      fin de identificar, juzgar y sancionar a todos los autores  materiales</w:t>
        <w:br/>
        <w:t xml:space="preserve">      e intelectuales de las violaciones  a  los  derechos  humanos  de  las</w:t>
        <w:br/>
        <w:t xml:space="preserve">      víctimas  con  penas  proporcionales  a  la  gravedad  de  los  hechos</w:t>
        <w:br/>
        <w:t xml:space="preserve">      cometidos contra los hermanos Landaeta Mejías. El Estado no se refirió</w:t>
        <w:br/>
        <w:t xml:space="preserve">      a esta medida de reparación.</w:t>
        <w:br/>
        <w:br/>
        <w:t xml:space="preserve"> 297. Respecto de la  privación  arbitraria  de  la  vida  de  los  hermanos</w:t>
        <w:br/>
        <w:t xml:space="preserve">      Landaeta Mejías, la Corte estableció en la presente Sentencia  que  el</w:t>
        <w:br/>
        <w:t xml:space="preserve">      Estado era  responsable  por  la  violación  del  derecho  a  la  vida</w:t>
        <w:br/>
        <w:t xml:space="preserve">      establecido en el artículo 4 de la Convención Americana,  respecto  de</w:t>
        <w:br/>
        <w:t xml:space="preserve">      Igmar Landaeta, así como de los derechos establecidos en los artículos</w:t>
        <w:br/>
        <w:t xml:space="preserve">      4, 5 y 7 de la Convención Americana, en relación con el 1.1  y  el  19</w:t>
        <w:br/>
        <w:t xml:space="preserve">      del mismo instrumento (supra párrs. 147 y  204)  respecto  de  Eduardo</w:t>
        <w:br/>
        <w:t xml:space="preserve">      Landaeta. Asimismo, en ambos casos la Corte concluyó que el Estado  no</w:t>
        <w:br/>
        <w:t xml:space="preserve">      llevó a cabo una averiguación completa y exhaustiva, siguiendo  líneas</w:t>
        <w:br/>
        <w:t xml:space="preserve">      conjuntas de investigación en relación con la muerte de los  hermanos,</w:t>
        <w:br/>
        <w:t xml:space="preserve">      ni en un plazo razonable, con  el  fin  de  esclarecer  los  hechos  y</w:t>
        <w:br/>
        <w:t xml:space="preserve">      sancionar a los responsables, y por lo tanto el Estado es  responsable</w:t>
        <w:br/>
        <w:t xml:space="preserve">      por la violación  de  los  artículos  8.1  y  25.1  de  la  Convención</w:t>
        <w:br/>
        <w:t xml:space="preserve">      Americana (supra párrs. 250 y 275).</w:t>
        <w:br/>
        <w:br/>
        <w:t xml:space="preserve"> 298. Asimismo, la Corte observó que, en el  caso  de  Igmar  Landaeta,  los</w:t>
        <w:br/>
        <w:t xml:space="preserve">      agentes del Estado declararon durante la audiencia  pública  del  caso</w:t>
        <w:br/>
        <w:t xml:space="preserve">      que “la Corte de Apelaciones debió condenar  o  absolver  más  no  así</w:t>
        <w:br/>
        <w:t xml:space="preserve">      decretar el sobreseimiento de la causa[,] lo que  ha  hecho  nacer  de</w:t>
        <w:br/>
        <w:t xml:space="preserve">      nuevo tanto para la víctima y para el Estado el ejercicio de  casación</w:t>
        <w:br/>
        <w:t xml:space="preserve">      o de un recurso de Amparo constitucional por falta de notificación  de</w:t>
        <w:br/>
        <w:t xml:space="preserve">      las partes procesales” (supra párr. 211). Además,  la  Fiscal  Yelitza</w:t>
        <w:br/>
        <w:t xml:space="preserve">      Acacio Carmona, propuesta por el Estado, declaró ante la Corte que  “a</w:t>
        <w:br/>
        <w:t xml:space="preserve">      los efectos de la  investigación  que  se  llevó  a  los  efectos  del</w:t>
        <w:br/>
        <w:t xml:space="preserve">      pronunciamiento  de  la  Corte  de  Apelaciones[,]   no   consta   tal</w:t>
        <w:br/>
        <w:t xml:space="preserve">      notificación a la fecha de la representante del Ministerio Público  lo</w:t>
        <w:br/>
        <w:t xml:space="preserve">      que da la posibilidad  y  hace  nacer  la  posibilidad  de  una  carga</w:t>
        <w:br/>
        <w:t xml:space="preserve">      repulsiva adicional[,] que es volver a subir  a  casación  [para  que]</w:t>
        <w:br/>
        <w:t xml:space="preserve">      haya el pronunciamiento definitivo, la confirmación o no de esa última</w:t>
        <w:br/>
        <w:t xml:space="preserve">      sentencia que fue emitida”.</w:t>
        <w:br/>
        <w:br/>
        <w:t xml:space="preserve"> 299. En virtud de lo señalado por  el  Estado  respecto  a  la  posibilidad</w:t>
        <w:br/>
        <w:t xml:space="preserve">      recursiva del proceso en el caso  de  Igmar  Landaeta,  y  tomando  en</w:t>
        <w:br/>
        <w:t xml:space="preserve">      cuenta las falencias y omisiones en la investigación y en el  proceso,</w:t>
        <w:br/>
        <w:t xml:space="preserve">      las cuales derivaron en las violaciones establecidas en el fondo de la</w:t>
        <w:br/>
        <w:t xml:space="preserve">      presente Sentencia (supra párrs. 250 y 275), la Corte dispone que,  el</w:t>
        <w:br/>
        <w:t xml:space="preserve">      Estado reabra, de oficio, la investigación, a fin  de  esclarecer  los</w:t>
        <w:br/>
        <w:t xml:space="preserve">      hechos y, en su caso, establecer la determinación de responsabilidades</w:t>
        <w:br/>
        <w:t xml:space="preserve">      por la privación arbitraria de la vida de Igmar Landaeta, dentro de un</w:t>
        <w:br/>
        <w:t xml:space="preserve">      plazo razonable.</w:t>
        <w:br/>
        <w:br/>
        <w:t xml:space="preserve"> 300. Respecto del caso de Eduardo Landaeta, este Tribunal  dispone  que  el</w:t>
        <w:br/>
        <w:t xml:space="preserve">      Estado  debe  continuar  y  concluir,  en  un  plazo   razonable,   la</w:t>
        <w:br/>
        <w:t xml:space="preserve">      investigación de  dichos  hechos  en  la  jurisdicción  ordinaria,  de</w:t>
        <w:br/>
        <w:t xml:space="preserve">      conformidad con la  normativa  interna  y  estándares  internacionales</w:t>
        <w:br/>
        <w:t xml:space="preserve">      correspondientes, que permita efectivamente identificar, juzgar y,  en</w:t>
        <w:br/>
        <w:t xml:space="preserve">      su caso, sancionar a los responsables por la privación  arbitraria  de</w:t>
        <w:br/>
        <w:t xml:space="preserve">      la vida de Eduardo Landaeta.</w:t>
        <w:br/>
        <w:br/>
        <w:t xml:space="preserve">   Medidas de rehabilitación, satisfacción y garantías de no repetición</w:t>
        <w:br/>
        <w:br/>
        <w:br/>
        <w:br/>
        <w:t xml:space="preserve">    C.1 Medidas de rehabilitación</w:t>
        <w:br/>
        <w:br/>
        <w:br/>
        <w:t xml:space="preserve"> 301. Los representantes indicaron que es incuestionable el  profundo  dolor</w:t>
        <w:br/>
        <w:t xml:space="preserve">      que la muerte de los hermanos Landaeta Mejías trajo a  su  familia,  y</w:t>
        <w:br/>
        <w:t xml:space="preserve">      por ello solicitaron que el Estado les garantice un tratamiento médico</w:t>
        <w:br/>
        <w:t xml:space="preserve">      y psicológico, gratuito y permanente. Asimismo,  solicitaron  que  las</w:t>
        <w:br/>
        <w:t xml:space="preserve">      prestaciones sean suministradas por profesionales competentes, tras la</w:t>
        <w:br/>
        <w:t xml:space="preserve">      determinación de las necesidades médicas de cada víctima, que  incluya</w:t>
        <w:br/>
        <w:t xml:space="preserve">      la provisión de los  medicamentos  que  sean  requeridos.  A  su  vez,</w:t>
        <w:br/>
        <w:t xml:space="preserve">      solicitaron que el Estado se haga  cargo  de  otros  gastos  que  sean</w:t>
        <w:br/>
        <w:t xml:space="preserve">      generados conjuntamente a la provisión del tratamiento,  tal  como  el</w:t>
        <w:br/>
        <w:t xml:space="preserve">      costo del transporte. Ni la Comisión ni el Estado se refirieron a esta</w:t>
        <w:br/>
        <w:t xml:space="preserve">      medida de reparación.</w:t>
        <w:br/>
        <w:br/>
        <w:t xml:space="preserve"> 302. En el presente caso, la Corte constató que las  violaciones  cometidas</w:t>
        <w:br/>
        <w:t xml:space="preserve">      por el Estado en perjuicio de Igmar y Eduardo Landaeta, provocaron  en</w:t>
        <w:br/>
        <w:t xml:space="preserve">      sus familiares sufrimiento y angustia, además  de  un  sentimiento  de</w:t>
        <w:br/>
        <w:t xml:space="preserve">      inseguridad,  frustración  e  impotencia,  en  contravención  con   el</w:t>
        <w:br/>
        <w:t xml:space="preserve">      artículo 5.1 de la Convención Americana (supra párr. 289).</w:t>
        <w:br/>
        <w:br/>
        <w:t xml:space="preserve"> 303. Con el fin de contribuir a la reparación  de  estos  daños,  la  Corte</w:t>
        <w:br/>
        <w:t xml:space="preserve">      dispone la obligación a cargo del Estado de brindar  gratuitamente,  a</w:t>
        <w:br/>
        <w:t xml:space="preserve">      través de  sus  instituciones  de  salud  especializadas  y  de  forma</w:t>
        <w:br/>
        <w:t xml:space="preserve">      inmediata, el tratamiento  psicológico  que  requieran  las  víctimas,</w:t>
        <w:br/>
        <w:t xml:space="preserve">      previo consentimiento informado y por el  tiempo  que  sea  necesario,</w:t>
        <w:br/>
        <w:t xml:space="preserve">      incluida la provisión gratuita de medicamentos. En el caso de  que  el</w:t>
        <w:br/>
        <w:t xml:space="preserve">      Estado careciera de ellas, deberá recurrir a instituciones privadas  o</w:t>
        <w:br/>
        <w:t xml:space="preserve">      de la sociedad civil especializadas[390]. Asimismo,  los  tratamientos</w:t>
        <w:br/>
        <w:t xml:space="preserve">      respectivos deberán prestarse, en la medida  de  lo  posible,  en  los</w:t>
        <w:br/>
        <w:t xml:space="preserve">      centros más cercanos a sus lugares de residencia. Para tal efecto, las</w:t>
        <w:br/>
        <w:t xml:space="preserve">      víctimas disponen del plazo de seis meses,  contado  a  partir  de  la</w:t>
        <w:br/>
        <w:t xml:space="preserve">      notificación de la presente Sentencia, para requerir al  Estado  dicho</w:t>
        <w:br/>
        <w:t xml:space="preserve">      tratamiento[391].</w:t>
        <w:br/>
        <w:br/>
        <w:br/>
        <w:t xml:space="preserve">    C.2 Medidas de satisfacción</w:t>
        <w:br/>
        <w:br/>
        <w:br/>
        <w:br/>
        <w:br/>
        <w:t xml:space="preserve">     C.2.1 Publicación y difusión de la Sentencia</w:t>
        <w:br/>
        <w:br/>
        <w:br/>
        <w:t xml:space="preserve"> 304. Los representantes solicitaron que el Estado publique en un  plazo  de</w:t>
        <w:br/>
        <w:t xml:space="preserve">      seis meses, por lo menos las secciones de contexto, hechos probados  y</w:t>
        <w:br/>
        <w:t xml:space="preserve">      la parte resolutiva de la Sentencia en  el  Diario  Oficial  y  en  un</w:t>
        <w:br/>
        <w:t xml:space="preserve">      diario  de  circulación  nacional.  Asimismo,  solicitaron  que  dicha</w:t>
        <w:br/>
        <w:t xml:space="preserve">      publicación sea realizada en la página web del Ministerio Público a no</w:t>
        <w:br/>
        <w:t xml:space="preserve">      más de tres clics de la página principal y que sea mantenida hasta  el</w:t>
        <w:br/>
        <w:t xml:space="preserve">      momento en que se cumpla integralmente la Sentencia. Ni la Comisión ni</w:t>
        <w:br/>
        <w:t xml:space="preserve">      el Estado se refirieron a esta medida de reparación.</w:t>
        <w:br/>
        <w:br/>
        <w:t xml:space="preserve"> 305. En vista de las violaciones declaradas en el presente Fallo, la  Corte</w:t>
        <w:br/>
        <w:t xml:space="preserve">      estima pertinente disponer, como lo ha hecho en otros casos[392],  que</w:t>
        <w:br/>
        <w:t xml:space="preserve">      el Estado, en  el  plazo  de  seis  meses,  contado  a  partir  de  la</w:t>
        <w:br/>
        <w:t xml:space="preserve">      notificación  de  la  presente  Sentencia,  realice   las   siguientes</w:t>
        <w:br/>
        <w:t xml:space="preserve">      publicaciones:  a)  el  resumen  oficial  de  la  presente   Sentencia</w:t>
        <w:br/>
        <w:t xml:space="preserve">      elaborado por la Corte por una sola vez, en el Diario Oficial y en  un</w:t>
        <w:br/>
        <w:t xml:space="preserve">      diario de amplia circulación nacional de Venezuela, y b)  la  presente</w:t>
        <w:br/>
        <w:t xml:space="preserve">      Sentencia en su integridad, disponible, por un período de un  año,  en</w:t>
        <w:br/>
        <w:t xml:space="preserve">      un sitio web oficial del Estado de manera accesible al público.</w:t>
        <w:br/>
        <w:br/>
        <w:br/>
        <w:t>C.2.2 Acto público de reconocimiento de responsabilidad internacional y</w:t>
        <w:br/>
        <w:t>disculpas públicas</w:t>
        <w:br/>
        <w:br/>
        <w:br/>
        <w:t xml:space="preserve"> 306. Los representantes solicitaron que el Estado realice un  acto  público</w:t>
        <w:br/>
        <w:t xml:space="preserve">      de reconocimiento de responsabilidad internacional, de desagravio y de</w:t>
        <w:br/>
        <w:t xml:space="preserve">      compromiso de no repetición y ofrezca disculpas a  los  familiares  de</w:t>
        <w:br/>
        <w:t xml:space="preserve">      los hermanos Landaeta Mejías, así como a la sociedad  venezolana.  Los</w:t>
        <w:br/>
        <w:t xml:space="preserve">      representantes indicaron que  el  Estado  deberá  consensuar  con  los</w:t>
        <w:br/>
        <w:t xml:space="preserve">      miembros de la familia las características del acto público. Asimismo,</w:t>
        <w:br/>
        <w:t xml:space="preserve">      solicitaron que el acto cuente con  la  presencia  de  los  medios  de</w:t>
        <w:br/>
        <w:t xml:space="preserve">      comunicación públicos con mayor cobertura nacional y en un horario  de</w:t>
        <w:br/>
        <w:t xml:space="preserve">      alta audiencia, con el fin de asegurar  la  más  amplia  difusión  del</w:t>
        <w:br/>
        <w:t xml:space="preserve">      evento. Ni la Comisión ni el Estado se refirieron  a  esta  medida  de</w:t>
        <w:br/>
        <w:t xml:space="preserve">      reparación.</w:t>
        <w:br/>
        <w:br/>
        <w:t xml:space="preserve"> 307. Como lo ha hecho en otros casos[393], el  Tribunal  estima  necesario,</w:t>
        <w:br/>
        <w:t xml:space="preserve">      con el fin de reparar el daño causado a las víctimas y de  evitar  que</w:t>
        <w:br/>
        <w:t xml:space="preserve">      hechos como los de  este  caso  se  repitan,  disponer  que  Venezuela</w:t>
        <w:br/>
        <w:t xml:space="preserve">      realice en el estado de Aragua un acto público  de  reconocimiento  de</w:t>
        <w:br/>
        <w:t xml:space="preserve">      responsabilidad internacional y disculpas públicas en relación con los</w:t>
        <w:br/>
        <w:t xml:space="preserve">      hechos del presente caso. En dicho acto se deberá hacer  referencia  a</w:t>
        <w:br/>
        <w:t xml:space="preserve">      las  violaciones  de  derechos  humanos  declaradas  en  la   presente</w:t>
        <w:br/>
        <w:t xml:space="preserve">      Sentencia. El acto deberá  llevarse  a  cabo  mediante  una  ceremonia</w:t>
        <w:br/>
        <w:t xml:space="preserve">      pública en presencia de altos funcionarios del Estado y  las  víctimas</w:t>
        <w:br/>
        <w:t xml:space="preserve">      del presente caso. El Estado deberá acordar con  las  víctimas  o  sus</w:t>
        <w:br/>
        <w:t xml:space="preserve">      representantes la  modalidad  de  cumplimiento  del  acto  público  de</w:t>
        <w:br/>
        <w:t xml:space="preserve">      reconocimiento, así como las particularidades que se requieran,  tales</w:t>
        <w:br/>
        <w:t xml:space="preserve">      como el lugar y la fecha para su realización.  Para  ello,  el  Estado</w:t>
        <w:br/>
        <w:t xml:space="preserve">      cuenta con el plazo de un año, contado a partir de la notificación  de</w:t>
        <w:br/>
        <w:t xml:space="preserve">      la presente Sentencia.</w:t>
        <w:br/>
        <w:br/>
        <w:br/>
        <w:t xml:space="preserve">    C.3 Garantías de no repetición</w:t>
        <w:br/>
        <w:br/>
        <w:br/>
        <w:br/>
        <w:t>C.3.1 Medidas para uso de la fuerza y rendición de cuentas</w:t>
        <w:br/>
        <w:br/>
        <w:br/>
        <w:t xml:space="preserve"> 308. La Comisión  recomendó  que  el  Estado  disponga  “mecanismos  de  no</w:t>
        <w:br/>
        <w:t xml:space="preserve">      repetición que  incluyan:  i)  programas  de  capacitación  sobre  los</w:t>
        <w:br/>
        <w:t xml:space="preserve">      estándares internacionales de derechos humanos en general  y  respecto</w:t>
        <w:br/>
        <w:t xml:space="preserve">      de niños, niñas y adolescentes en particular, dirigidos a  la  Policía</w:t>
        <w:br/>
        <w:t xml:space="preserve">      del Estado de Aragua; ii) medidas para asegurar la efectiva  rendición</w:t>
        <w:br/>
        <w:t xml:space="preserve">      de cuentas en el fuero penal, disciplinario o administrativo, en casos</w:t>
        <w:br/>
        <w:t xml:space="preserve">      de presunto abuso de poder por parte de agentes del Estado a cargo  de</w:t>
        <w:br/>
        <w:t xml:space="preserve">      la seguridad pública[,] y iii) medidas legislativas, administrativas y</w:t>
        <w:br/>
        <w:t xml:space="preserve">      de  otra  índole  para  investigar  con  la  debida  diligencia  y  de</w:t>
        <w:br/>
        <w:t xml:space="preserve">      conformidad  con  los  estándares   internacionales   relevantes,   la</w:t>
        <w:br/>
        <w:t xml:space="preserve">      necesidad y proporcionalidad del uso letal de la fuerza por  parte  de</w:t>
        <w:br/>
        <w:t xml:space="preserve">      funcionarios estatales, de manera que existan protocolos eficaces  que</w:t>
        <w:br/>
        <w:t xml:space="preserve">      permitan implementar mecanismos adecuados de control  y  rendición  de</w:t>
        <w:br/>
        <w:t xml:space="preserve">      cuentas  frente  al   actuar   de   dichos   funcionarios”.   Ni   los</w:t>
        <w:br/>
        <w:t xml:space="preserve">      representantes ni el Estado se refirieron a esta medida de reparación.</w:t>
        <w:br/>
        <w:br/>
        <w:t xml:space="preserve"> 309. Cabe señalar que, previamente la Corte ha  ordenado  garantías  de  no</w:t>
        <w:br/>
        <w:t xml:space="preserve">      repetición respecto de Venezuela relacionadas con el uso de la  fuerza</w:t>
        <w:br/>
        <w:t xml:space="preserve">      por parte de cuerpos de seguridad. Sin embargo, de la  supervisión  de</w:t>
        <w:br/>
        <w:t xml:space="preserve">      cumplimiento de dichas Sentencias no se desprende que a  la  fecha  se</w:t>
        <w:br/>
        <w:t xml:space="preserve">      hubiere dado cumplimiento por parte del Estado a las medidas ordenadas</w:t>
        <w:br/>
        <w:t xml:space="preserve">      en las mismas[394].</w:t>
        <w:br/>
        <w:t xml:space="preserve"> 310. De acuerdo con la información remitida por el Estado  en  el  presente</w:t>
        <w:br/>
        <w:t xml:space="preserve">      caso, el Tribunal toma nota de los desarrollos llevados a cabo por  el</w:t>
        <w:br/>
        <w:t xml:space="preserve">      mismo en materia del  proceso  de  modificación  del  modelo  policial</w:t>
        <w:br/>
        <w:t xml:space="preserve">      venezolano. Entre otros,  la  Corte  destaca  los  siguientes:  1)  la</w:t>
        <w:br/>
        <w:t xml:space="preserve">      constitución en el 2006  de  la  Comisión  Nacional  para  la  Reforma</w:t>
        <w:br/>
        <w:t xml:space="preserve">      Policial (CONAREPOL) con la finalidad de realizar  un  diagnóstico  de</w:t>
        <w:br/>
        <w:t xml:space="preserve">      los cuerpos policiales de Venezuela[395]; 2) la aprobación en el  2008</w:t>
        <w:br/>
        <w:t xml:space="preserve">      de la Ley Orgánica del Servicio de Policía y  del  Cuerpo  de  Policía</w:t>
        <w:br/>
        <w:t xml:space="preserve">      Nacional Bolivariana, mediante la cual se establece el uso  progresivo</w:t>
        <w:br/>
        <w:t xml:space="preserve">      y diferenciado de la fuerza policial como  herramienta  de  aplicación</w:t>
        <w:br/>
        <w:t xml:space="preserve">      por parte de los funcionarios policiales en  su  actuación  frente  al</w:t>
        <w:br/>
        <w:t xml:space="preserve">      ciudadano[396]; 3) la creación en el 2009 del Consejo de Policía, cuya</w:t>
        <w:br/>
        <w:t xml:space="preserve">      función es asesorar y participar en  la  definición,  planificación  y</w:t>
        <w:br/>
        <w:t xml:space="preserve">      coordinación de políticas públicas en  materia  policial[397];  4)  la</w:t>
        <w:br/>
        <w:t xml:space="preserve">      creación en  el  2009  de  la  Universidad  Nacional  Experimental  de</w:t>
        <w:br/>
        <w:t xml:space="preserve">      Seguridad (UNES)[398], cuya función consiste en la  formación  de  los</w:t>
        <w:br/>
        <w:t xml:space="preserve">      funcionarios policiales  de  acuerdo  con  el  nuevo  modelo  policial</w:t>
        <w:br/>
        <w:t xml:space="preserve">      venezolano, y 5) la elaboración  y  distribución  desde  2010  de  una</w:t>
        <w:br/>
        <w:t xml:space="preserve">      colección  de  guías   auto-instruccionales   denominadas   “Baquías”,</w:t>
        <w:br/>
        <w:t xml:space="preserve">      dirigidas  a  establecer  indicadores  de  gestión  institucional  que</w:t>
        <w:br/>
        <w:t xml:space="preserve">      permitan a cada cuerpo policial, de forma autónoma, evaluar  el  nivel</w:t>
        <w:br/>
        <w:t xml:space="preserve">      de cumplimiento en los procesos de adecuación[399].</w:t>
        <w:br/>
        <w:br/>
        <w:t xml:space="preserve"> 311. Por otra parte, sobre las medidas para asegurar la efectiva  rendición</w:t>
        <w:br/>
        <w:t xml:space="preserve">      de cuentas, la Corte nota que  la  Ley  del  Estatuto  de  la  Función</w:t>
        <w:br/>
        <w:t xml:space="preserve">      Policial establece que los funcionarios policiales responderán  penal,</w:t>
        <w:br/>
        <w:t xml:space="preserve">      civil, administrativa y disciplinariamente por  los  hechos  ilícitos,</w:t>
        <w:br/>
        <w:t xml:space="preserve">      delitos, faltas e  irregularidades  administrativas  cometidas  en  el</w:t>
        <w:br/>
        <w:t xml:space="preserve">      ejercicio de sus funciones[400]. Adicionalmente, establece la  Oficina</w:t>
        <w:br/>
        <w:t xml:space="preserve">      de Control de Actuación  Policial,  la  Oficina  de  Respuesta  a  las</w:t>
        <w:br/>
        <w:t xml:space="preserve">      Desviaciones Policiales y el Consejo  Disciplinario  de  Policía  como</w:t>
        <w:br/>
        <w:t xml:space="preserve">      instancias de control interno de la  policía[401]  y  se  promueve  la</w:t>
        <w:br/>
        <w:t xml:space="preserve">      constitución de  comités  ciudadanos  de  control  policial,  consejos</w:t>
        <w:br/>
        <w:t xml:space="preserve">      comunales y cualquier organización de carácter comunitario debidamente</w:t>
        <w:br/>
        <w:t xml:space="preserve">      estructurada como instancias de control externo de la policía[402].</w:t>
        <w:br/>
        <w:br/>
        <w:t xml:space="preserve"> 312.  Con  fundamento  en  lo  anterior,  la  Corte  valora  los  esfuerzos</w:t>
        <w:br/>
        <w:t xml:space="preserve">      progresivos realizados por el Estado. No obstante, siendo  que  en  el</w:t>
        <w:br/>
        <w:t xml:space="preserve">      presente caso determinó la responsabilidad estatal  por  la  violación</w:t>
        <w:br/>
        <w:t xml:space="preserve">      del artículo 2 de la Convención por la falta de legislación adecuada y</w:t>
        <w:br/>
        <w:t xml:space="preserve">      capacitación sobre uso de la fuerza al momento de  los  hechos,  y  en</w:t>
        <w:br/>
        <w:t xml:space="preserve">      consideración de lo ya ordenado en sus Sentencias previas al respecto,</w:t>
        <w:br/>
        <w:t xml:space="preserve">      la Corte reitera  la  necesidad  de  dar  cumplimiento  a  los  puntos</w:t>
        <w:br/>
        <w:t xml:space="preserve">      pendientes  ordenados  en  sus  Fallos.   En   particular,   considera</w:t>
        <w:br/>
        <w:t xml:space="preserve">      importante que el Estado refuerce sus capacidades en la implementación</w:t>
        <w:br/>
        <w:t xml:space="preserve">      del  monitoreo  y  rendición  de   cuentas   de   agentes   policiales</w:t>
        <w:br/>
        <w:t xml:space="preserve">      involucrados en episodios de uso de la fuerza, de conformidad con  los</w:t>
        <w:br/>
        <w:t xml:space="preserve">      estándares internacionales reflejados en el presente fallo.</w:t>
        <w:br/>
        <w:br/>
        <w:br/>
        <w:t>C.3.2 Otras medidas solicitadas</w:t>
        <w:br/>
        <w:br/>
        <w:br/>
        <w:br/>
        <w:t xml:space="preserve">         C.3.2.1 Adecuación de normativa sobre detenciones en casos de</w:t>
        <w:br/>
        <w:t xml:space="preserve">         menores de edad</w:t>
        <w:br/>
        <w:br/>
        <w:br/>
        <w:t xml:space="preserve"> 313. Los representantes señalaron que Eduardo Landaeta fue  privado  de  su</w:t>
        <w:br/>
        <w:t xml:space="preserve">      libertad de  forma  arbitraria  y  posteriormente  procesado  bajo  un</w:t>
        <w:br/>
        <w:t xml:space="preserve">      trámite de estándares comunes en el que su calidad de menor de edad no</w:t>
        <w:br/>
        <w:t xml:space="preserve">      fue considerada, a pesar de que sus familiares lo hicieron notar a los</w:t>
        <w:br/>
        <w:t xml:space="preserve">      agentes estatales a cargo del mismo. En este sentido, solicitaron  que</w:t>
        <w:br/>
        <w:t xml:space="preserve">      el Estado adecue su normativa a los  estándares  internacionales  para</w:t>
        <w:br/>
        <w:t xml:space="preserve">      los casos de detenciones de menores de edad, para que hechos como  los</w:t>
        <w:br/>
        <w:t xml:space="preserve">      del presente caso no vuelvan a repetirse. Ni la Comisión ni el  Estado</w:t>
        <w:br/>
        <w:t xml:space="preserve">      se refirieron a esta medida de reparación.</w:t>
        <w:br/>
        <w:br/>
        <w:t xml:space="preserve"> 314. La Corte toma nota de la legislación al respecto, vigente en Venezuela</w:t>
        <w:br/>
        <w:t xml:space="preserve">      sobre detención juvenil. En primer lugar,  la  Ley  Orgánica  para  la</w:t>
        <w:br/>
        <w:t xml:space="preserve">      Protección de Niñas, Niños y Adolescentes promulgada en el 2007,  crea</w:t>
        <w:br/>
        <w:t xml:space="preserve">      por medio de su artículo 526 un sistema de  Responsabilidad  Penal  de</w:t>
        <w:br/>
        <w:t xml:space="preserve">      Adolescentes[403]  conformado  por  diferentes  órganos  y   entidades</w:t>
        <w:br/>
        <w:t xml:space="preserve">      estatales[404], cuyo fin es establecer un régimen  de  responsabilidad</w:t>
        <w:br/>
        <w:t xml:space="preserve">      que se diferencie del régimen común. Dicha diferencia se  basa  en  la</w:t>
        <w:br/>
        <w:t xml:space="preserve">      jurisdicción especializada y en las sanciones impuestas en contra  del</w:t>
        <w:br/>
        <w:t xml:space="preserve">      adolescente[405]. Por otra parte, el artículo 548 de la ley, establece</w:t>
        <w:br/>
        <w:t xml:space="preserve">      que la medida de privación de la libertad de  un  adolescente  es  una</w:t>
        <w:br/>
        <w:t xml:space="preserve">      medida excepcional y que solo procede por orden judicial[406]. En caso</w:t>
        <w:br/>
        <w:t xml:space="preserve">      de que la detención se realice en flagrancia, la ley provee  un  plazo</w:t>
        <w:br/>
        <w:t xml:space="preserve">      de  24  horas,  para  que  las  autoridades  encargadas  presenten  al</w:t>
        <w:br/>
        <w:t xml:space="preserve">      adolescente ante un juez[407]. Si la detención se realiza  con  motivo</w:t>
        <w:br/>
        <w:t xml:space="preserve">      de identificar al menor, la  detención  no  podrá  extenderse  más  de</w:t>
        <w:br/>
        <w:t xml:space="preserve">      noventa y seis  horas  y  deberá  cesar  una  vez  se  identifique  al</w:t>
        <w:br/>
        <w:t xml:space="preserve">      menor[408]. Por último, se establece que los adolescentes deben  estar</w:t>
        <w:br/>
        <w:t xml:space="preserve">      siempre separados de las personas  adultas  cuando  estén  en  prisión</w:t>
        <w:br/>
        <w:t xml:space="preserve">      preventiva o cumpliendo sanción privativa de libertad.  Asimismo,  las</w:t>
        <w:br/>
        <w:t xml:space="preserve">      oficinas de  la  policía  de  investigación  deben  contar  con  áreas</w:t>
        <w:br/>
        <w:t xml:space="preserve">      exclusivas para los  y  las  adolescentes  detenidos  o  detenidas  en</w:t>
        <w:br/>
        <w:t xml:space="preserve">      flagrancia o a disposición del o de la Fiscal del  Ministerio  Público</w:t>
        <w:br/>
        <w:t xml:space="preserve">      para su presentación al juez o jueza.</w:t>
        <w:br/>
        <w:br/>
        <w:br/>
        <w:t xml:space="preserve"> 315.  Teniendo  en  cuenta  lo  anterior,  y  que  los  representantes   no</w:t>
        <w:br/>
        <w:t xml:space="preserve">      identificaron ni demostraron las razones por las cuales  la  normativa</w:t>
        <w:br/>
        <w:t xml:space="preserve">      actual del Estado sería contraria u omisa respecto de  los  estándares</w:t>
        <w:br/>
        <w:t xml:space="preserve">      establecidos en la materia, la Corte no estima pertinente ordenar  una</w:t>
        <w:br/>
        <w:t xml:space="preserve">      medida de reparación al respecto en el presente caso.</w:t>
        <w:br/>
        <w:br/>
        <w:br/>
        <w:t>C.3.2.2 Solicitud de obra para preservar la memoria de las víctimas</w:t>
        <w:br/>
        <w:br/>
        <w:br/>
        <w:t xml:space="preserve"> 316. Los representantes solicitaron que el Estado construya una biblioteca,</w:t>
        <w:br/>
        <w:t xml:space="preserve">      una cancha deportiva de múltiples usos y una cafetería en  la  escuela</w:t>
        <w:br/>
        <w:t xml:space="preserve">      “Rosa Amelia Flores”, a  la  cual  asistieron  los  hermanos  Landaeta</w:t>
        <w:br/>
        <w:t xml:space="preserve">      Mejías, y que dichas obras lleven los nombres de los hermanos Landaeta</w:t>
        <w:br/>
        <w:t xml:space="preserve">      Mejías. De acuerdo con los representantes, este  proyecto  contribuirá</w:t>
        <w:br/>
        <w:t xml:space="preserve">      al desarrollo de los niños que asisten a dicha institución  educativa,</w:t>
        <w:br/>
        <w:t xml:space="preserve">      de modo que puedan  convivir  en  espacios  que  además  propicien  su</w:t>
        <w:br/>
        <w:t xml:space="preserve">      desarrollo físico e intelectual.  Ni  la  Comisión  ni  el  Estado  se</w:t>
        <w:br/>
        <w:t xml:space="preserve">      refirieron a esta medida de reparación.</w:t>
        <w:br/>
        <w:br/>
        <w:t xml:space="preserve"> 317. La Corte observa que la medida solicitada carece de  nexo  causal  con</w:t>
        <w:br/>
        <w:t xml:space="preserve">      las violaciones encontradas en el  presente  caso,  y  estima  que  la</w:t>
        <w:br/>
        <w:t xml:space="preserve">      emisión de la presente Sentencia y las reparaciones ordenadas en  este</w:t>
        <w:br/>
        <w:t xml:space="preserve">      capítulo resultan suficientes y adecuadas para preservar la memoria de</w:t>
        <w:br/>
        <w:t xml:space="preserve">      las víctimas. Con fundamento en lo anterior, la  Corte  no   considera</w:t>
        <w:br/>
        <w:t xml:space="preserve">      pertinente ordenar la medida de reparación solicitada.</w:t>
        <w:br/>
        <w:br/>
        <w:br/>
        <w:t xml:space="preserve">   Indemnización compensatoria</w:t>
        <w:br/>
        <w:br/>
        <w:br/>
        <w:t xml:space="preserve"> 318. La Corte toma en consideración que la Comisión recomendó que el Estado</w:t>
        <w:br/>
        <w:t xml:space="preserve">      repare adecuadamente las violaciones de derechos humanos tanto  en  el</w:t>
        <w:br/>
        <w:t xml:space="preserve">      aspecto material como moral. Por otra parte, el Estado no se refirió a</w:t>
        <w:br/>
        <w:t xml:space="preserve">      esta medida de reparación.</w:t>
        <w:br/>
        <w:br/>
        <w:br/>
        <w:t xml:space="preserve">    D.1 Daño material</w:t>
        <w:br/>
        <w:br/>
        <w:br/>
        <w:br/>
        <w:t>D.1.1 Lucro cesante</w:t>
        <w:br/>
        <w:br/>
        <w:br/>
        <w:t xml:space="preserve"> 319. Tomando en consideración las edades de los hermanos Landaeta Mejías al</w:t>
        <w:br/>
        <w:t xml:space="preserve">      momento de su muerte (18 y 17 años), la  expectativa  de  vida  de  un</w:t>
        <w:br/>
        <w:t xml:space="preserve">      hombre en 1996 en Venezuela (71.80 años) y el salario mínimo[409], los</w:t>
        <w:br/>
        <w:t xml:space="preserve">      representantes estimaron el lucro cesante  de  Igmar  Landaeta  en  un</w:t>
        <w:br/>
        <w:t xml:space="preserve">      monto de US$601.219 (seiscientos un mil doscientos diecinueve  dólares</w:t>
        <w:br/>
        <w:t xml:space="preserve">      de los Estados Unidos de América) y el de Eduardo Landaeta en un monto</w:t>
        <w:br/>
        <w:t xml:space="preserve">      de US$604.049 (seiscientos cuatro mil cuarenta y nueve dólares de  los</w:t>
        <w:br/>
        <w:t xml:space="preserve">      Estados Unidos de América). Sin embargo, solicitaron a  la  Corte  que</w:t>
        <w:br/>
        <w:t xml:space="preserve">      determine una indemnización compensatoria en equidad, por concepto  de</w:t>
        <w:br/>
        <w:t xml:space="preserve">      lucro cesante a favor de Igmar y Eduardo   Landaeta  por  la  suma  de</w:t>
        <w:br/>
        <w:t xml:space="preserve">      US$600.000 (seiscientos mil dólares de los Estados Unidos de  América)</w:t>
        <w:br/>
        <w:t xml:space="preserve">      para cada uno.</w:t>
        <w:br/>
        <w:br/>
        <w:t xml:space="preserve"> 320. En virtud de que el Estado fue encontrado responsable por  violaciones</w:t>
        <w:br/>
        <w:t xml:space="preserve">      a los deberes de respeto y garantía del derecho a la vida,  y  tomando</w:t>
        <w:br/>
        <w:t xml:space="preserve">      en consideración la edad de las víctimas, la expectativa  de  vida  en</w:t>
        <w:br/>
        <w:t xml:space="preserve">      Venezuela y  el  salario  mínimo  correspondiente  al  momento  de  su</w:t>
        <w:br/>
        <w:t xml:space="preserve">      fallecimiento[410], la Corte dispone que el Estado debe pagar una suma</w:t>
        <w:br/>
        <w:t xml:space="preserve">      de US$177.540 (ciento setenta y siete mil quinientos cuarenta  dólares</w:t>
        <w:br/>
        <w:t xml:space="preserve">      de los Estados Unidos  de  América),  por  concepto  de  indemnización</w:t>
        <w:br/>
        <w:t xml:space="preserve">      compensatoria con  motivo  del  lucro  cesante  de  Igmar  Landaeta  y</w:t>
        <w:br/>
        <w:t xml:space="preserve">      US$180.840 (ciento ochenta mil ochocientos  cuarenta  dólares  de  los</w:t>
        <w:br/>
        <w:t xml:space="preserve">      Estados  Unidos   de   América),   por   concepto   de   indemnización</w:t>
        <w:br/>
        <w:t xml:space="preserve">      compensatoria con motivo del lucro  cesante  de  Eduardo  Landaeta,  a</w:t>
        <w:br/>
        <w:t xml:space="preserve">      favor  de  los  familiares  de  los  hermanos  Landaeta   Mejías,   de</w:t>
        <w:br/>
        <w:t xml:space="preserve">      conformidad con el párrafo 326 de la presente Sentencia.</w:t>
        <w:br/>
        <w:br/>
        <w:br/>
        <w:t>D.1.2 Daño emergente</w:t>
        <w:br/>
        <w:br/>
        <w:br/>
        <w:t xml:space="preserve"> 321. Los representantes manifestaron que el fallecimiento de  los  hermanos</w:t>
        <w:br/>
        <w:t xml:space="preserve">      Landaeta Mejías trajo consigo gastos inesperados que fueron sufragados</w:t>
        <w:br/>
        <w:t xml:space="preserve">      en su totalidad por la familia. En virtud de que la familia no  cuenta</w:t>
        <w:br/>
        <w:t xml:space="preserve">      con comprobantes de dicho gasto, los representantes solicitaron que la</w:t>
        <w:br/>
        <w:t xml:space="preserve">      Corte determine en equidad la suma de US$ 500 (quinientos  dólares  de</w:t>
        <w:br/>
        <w:t xml:space="preserve">      los Estados Unidos de América) como gastos funerarios.  Asimismo,  los</w:t>
        <w:br/>
        <w:t xml:space="preserve">      representantes manifestaron que las afectaciones psicológicas de Maria</w:t>
        <w:br/>
        <w:t xml:space="preserve">      Magdalena  Mejías  y  Victoria  Landaeta  causaron  que   la   familia</w:t>
        <w:br/>
        <w:t xml:space="preserve">      incurriera en diversos gastos para la obtención de atención  médica  y</w:t>
        <w:br/>
        <w:t xml:space="preserve">      medicamentos, pues se vieron en la necesidad de visitar un  psicólogo.</w:t>
        <w:br/>
        <w:t xml:space="preserve">      Al no contar con documentación sobre dichos gastos, los representantes</w:t>
        <w:br/>
        <w:t xml:space="preserve">      solicitaron que la Corte  determine  en  equidad  la  suma  de  US$500</w:t>
        <w:br/>
        <w:t xml:space="preserve">      (quinientos dólares de los Estados Unidos de América). Por otra parte,</w:t>
        <w:br/>
        <w:t xml:space="preserve">      los representantes indicaron que dicha atención  es  necesaria  en  el</w:t>
        <w:br/>
        <w:t xml:space="preserve">      futuro, por lo cual solicitaron que la Corte ordene  el  pago  de  una</w:t>
        <w:br/>
        <w:t xml:space="preserve">      indemnización en equidad de US$2.000 (dos mil dólares de  los  Estados</w:t>
        <w:br/>
        <w:t xml:space="preserve">      Unidos de América).</w:t>
        <w:br/>
        <w:br/>
        <w:t xml:space="preserve"> 322. Respecto de los gastos funerarios incurridos por la  familia  Landaeta</w:t>
        <w:br/>
        <w:t xml:space="preserve">      Mejías, la Corte constata que no  fueron  aportados  comprobantes,  no</w:t>
        <w:br/>
        <w:t xml:space="preserve">      obstante,  el  Tribunal  presume,  como   lo   ha   hecho   en   casos</w:t>
        <w:br/>
        <w:t xml:space="preserve">      anteriores[411], que los familiares incurrieron en diversos gastos con</w:t>
        <w:br/>
        <w:t xml:space="preserve">      motivo de la muerte  de  los  hermanos  Landaeta  Mejías.  Tomando  en</w:t>
        <w:br/>
        <w:t xml:space="preserve">      consideración que el Estado fue encontrado responsable por violaciones</w:t>
        <w:br/>
        <w:t xml:space="preserve">      a los deberes de respeto y garantía del derecho a la vida (supra párr.</w:t>
        <w:br/>
        <w:t xml:space="preserve">      147 y 204), la Corte  dispone  que  el  Estado  debe  pagar  una  suma</w:t>
        <w:br/>
        <w:t xml:space="preserve">      proporcional de US$500 (quinientos dólares de los  Estados  Unidos  de</w:t>
        <w:br/>
        <w:t xml:space="preserve">      América), por  concepto  de  indemnización  compensatoria  por  gastos</w:t>
        <w:br/>
        <w:t xml:space="preserve">      funerarios, a favor de Ignacio Landaeta Muñoz y María Magdalena Mejías</w:t>
        <w:br/>
        <w:t xml:space="preserve">      Camero.</w:t>
        <w:br/>
        <w:br/>
        <w:t xml:space="preserve"> 323. Respecto de los presuntos gastos en  salud  incurridos,  la  Corte  no</w:t>
        <w:br/>
        <w:t xml:space="preserve">      cuenta  con  elementos  que   permitan   acreditar   las   erogaciones</w:t>
        <w:br/>
        <w:t xml:space="preserve">      argumentadas por los representantes[412]. Por  otra  parte,  la  Corte</w:t>
        <w:br/>
        <w:t xml:space="preserve">      estima que la atención médica futura se encuentra contemplada  por  la</w:t>
        <w:br/>
        <w:t xml:space="preserve">      medida de rehabilitación señalada  anteriormente  (supra  párr.  303).</w:t>
        <w:br/>
        <w:t xml:space="preserve">      Como consecuencia de lo anterior, en el presente caso  no  corresponde</w:t>
        <w:br/>
        <w:t xml:space="preserve">      fijar una indemnización compensatoria respecto de los gastos en  salud</w:t>
        <w:br/>
        <w:t xml:space="preserve">      solicitados.</w:t>
        <w:br/>
        <w:br/>
        <w:br/>
        <w:t xml:space="preserve">    D.2 Daño inmaterial</w:t>
        <w:br/>
        <w:br/>
        <w:br/>
        <w:t xml:space="preserve"> 324. Los representantes solicitaron que se le ordene al Estado el  pago  de</w:t>
        <w:br/>
        <w:t xml:space="preserve">      una indemnización  por el  daño  moral  ocasionado  por  la  ejecución</w:t>
        <w:br/>
        <w:t xml:space="preserve">      extrajudicial de Igmar Landaeta, la detención arbitraria  y  ejecución</w:t>
        <w:br/>
        <w:t xml:space="preserve">      extrajudicial de Eduardo  Landaeta y por el daño  moral  en  perjuicio</w:t>
        <w:br/>
        <w:t xml:space="preserve">      de los familiares. En consecuencia, solicitaron a la Corte que  ordene</w:t>
        <w:br/>
        <w:t xml:space="preserve">      al Estado el pago de la suma de US$100.000 (cien mil  dólares  de  los</w:t>
        <w:br/>
        <w:t xml:space="preserve">      Estados Unidos de América), que sea distribuida en  partes  iguales  a</w:t>
        <w:br/>
        <w:t xml:space="preserve">      sus padres y compañera de vida. En  cuanto  a  Eduardo  Landaeta,  los</w:t>
        <w:br/>
        <w:t xml:space="preserve">      representantes alegaron que mientras estuvo bajo la  custodia  de  las</w:t>
        <w:br/>
        <w:t xml:space="preserve">      autoridades del Estado, este fue sometido a una  detención  prolongada</w:t>
        <w:br/>
        <w:t xml:space="preserve">      por un día y medio en el que se le ocasionó  temor  y  resaltaron  que</w:t>
        <w:br/>
        <w:t xml:space="preserve">      este había sufrido otras lesiones provocadas durante la detención. Por</w:t>
        <w:br/>
        <w:t xml:space="preserve">      todo lo anterior, solicitaron la suma de US$100.000 (cien mil  dólares</w:t>
        <w:br/>
        <w:t xml:space="preserve">      de los Estados Unidos de  América)  como  reparación  del  daño  moral</w:t>
        <w:br/>
        <w:t xml:space="preserve">      causado,  para  que  fuese  distribuido  entre  su  padre   y   madre.</w:t>
        <w:br/>
        <w:t xml:space="preserve">      Finalmente, en cuanto al daño moral sufrido por  los  familiares,  los</w:t>
        <w:br/>
        <w:t xml:space="preserve">      representantes señalaron que debido a las ejecuciones  extrajudiciales</w:t>
        <w:br/>
        <w:t xml:space="preserve">      de estos, así como los diferentes hostigamientos, acosos, amenazas que</w:t>
        <w:br/>
        <w:t xml:space="preserve">      sufrieron  varios  familiares  y  la  ausencia  de  justicia  en   los</w:t>
        <w:br/>
        <w:t xml:space="preserve">      procedimientos judiciales, la familia ha  sufrido  severa  angustia  y</w:t>
        <w:br/>
        <w:t xml:space="preserve">      sufrimiento. Por ello,  solicitaron  a  la  Corte  que  determine  una</w:t>
        <w:br/>
        <w:t xml:space="preserve">      indemnización en equidad y de conformidad con  su  jurisprudencia,  de</w:t>
        <w:br/>
        <w:t xml:space="preserve">      US$50.000,00 (cincuenta mil dólares de los Estados Unidos de  América)</w:t>
        <w:br/>
        <w:t xml:space="preserve">      para  María  Magdalena  Mejías,  Ignacio  Landaeta,  Francy  Parra   y</w:t>
        <w:br/>
        <w:t xml:space="preserve">      Johanyelis Landaeta Parra. Asimismo, solicitaron una indemnización  de</w:t>
        <w:br/>
        <w:t xml:space="preserve">      US$25.000,00  (veinticinco  mil  dólares  de  los  Estados  Unidos  de</w:t>
        <w:br/>
        <w:t xml:space="preserve">      América) en  favor  de  Victoria  Eneri  y  Leydis  Rossimar  Landaeta</w:t>
        <w:br/>
        <w:t xml:space="preserve">      Galindo.</w:t>
        <w:br/>
        <w:br/>
        <w:t xml:space="preserve"> 325. La Corte con base a su reiterada  jurisprudencia[413]  y  teniendo  en</w:t>
        <w:br/>
        <w:t xml:space="preserve">      cuenta  las  circunstancias  del  caso  estudiado,   las   violaciones</w:t>
        <w:br/>
        <w:t xml:space="preserve">      cometidas a cada una de  las  víctimas,  el  sufrimiento  causado,  el</w:t>
        <w:br/>
        <w:t xml:space="preserve">      tiempo transcurrido,  la  particular  denegación  de  justicia  en  el</w:t>
        <w:br/>
        <w:t xml:space="preserve">      presente caso, los  cambios  en  su  vida  cotidiana,  los  perjuicios</w:t>
        <w:br/>
        <w:t xml:space="preserve">      probados sobre su  integridad  personal,  así  como  todas  las  otras</w:t>
        <w:br/>
        <w:t xml:space="preserve">      consecuencias de carácter inmaterial que sufrieron, fija  en  equidad,</w:t>
        <w:br/>
        <w:t xml:space="preserve">      las siguientes cantidades a favor de las víctimas,  como  compensación</w:t>
        <w:br/>
        <w:t xml:space="preserve">      por concepto de daño inmaterial.</w:t>
        <w:br/>
        <w:br/>
        <w:t>|Nombre                       |Cantidad     |              |</w:t>
        <w:br/>
        <w:t>|Igmar Alexander Landaeta     |$60.000      |              |</w:t>
        <w:br/>
        <w:t>|Mejías                       |             |              |</w:t>
        <w:br/>
        <w:t>|Eduardo José Landaeta Mejías |$60.000      |              |</w:t>
        <w:br/>
        <w:t>|María Magdalena Mejías Camero|$35.000      |              |</w:t>
        <w:br/>
        <w:t>|Ignacio Landaeta Muñoz       |$35.000      |              |</w:t>
        <w:br/>
        <w:t>|Francy Yellut Parra Guzmán   |$30.000      |              |</w:t>
        <w:br/>
        <w:t>|Johanyelis Alejandra Landaeta|$20.000      |              |</w:t>
        <w:br/>
        <w:t>|Parra                        |             |              |</w:t>
        <w:br/>
        <w:t>|Victoria Eneri Landaeta      |$15.000      |              |</w:t>
        <w:br/>
        <w:t>|Galindo                      |             |              |</w:t>
        <w:br/>
        <w:t>|Leydis Rosimar Landaeta      |$15.000      |              |</w:t>
        <w:br/>
        <w:t>|Galindo                      |             |              |</w:t>
        <w:br/>
        <w:br/>
        <w:t xml:space="preserve"> 326. Las indemnizaciones fijadas en este capítulo a favor de Igmar Landaeta</w:t>
        <w:br/>
        <w:t xml:space="preserve">      se deberán repartir por partes iguales entre Ignacio  Landaeta  Muñoz,</w:t>
        <w:br/>
        <w:t xml:space="preserve">      María Magdalena Mejías Camero, Francy Yellut Parra Guzmán y Johanyelis</w:t>
        <w:br/>
        <w:t xml:space="preserve">      Alejandra Landaeta Parra. Por su parte, las indemnizaciones fijadas en</w:t>
        <w:br/>
        <w:t xml:space="preserve">      este capítulo a favor de Eduardo  Landaeta  se  deberán  repartir  por</w:t>
        <w:br/>
        <w:t xml:space="preserve">      partes iguales entre Ignacio Landaeta Muñoz y María  Magdalena  Mejías</w:t>
        <w:br/>
        <w:t xml:space="preserve">      Camero.</w:t>
        <w:br/>
        <w:br/>
        <w:br/>
        <w:t xml:space="preserve">   Costas y gastos</w:t>
        <w:br/>
        <w:br/>
        <w:br/>
        <w:t xml:space="preserve"> 327. Los representantes indicaron que la familia de los  hermanos  Landaeta</w:t>
        <w:br/>
        <w:t xml:space="preserve">      Mejías no ha conservado los recibos de los gastos incurridos,  por  lo</w:t>
        <w:br/>
        <w:t xml:space="preserve">      cual solicitaron que la Corte fije dicha suma  en  equidad.  Asimismo,</w:t>
        <w:br/>
        <w:t xml:space="preserve">      los representantes señalaron que la Comisión de  Derechos  Humanos  de</w:t>
        <w:br/>
        <w:t xml:space="preserve">      Justicia y Paz del estado Aragua acompañó a la familia Landaeta Mejías</w:t>
        <w:br/>
        <w:t xml:space="preserve">      durante la última década en la búsqueda de justicia; sin  embargo,  al</w:t>
        <w:br/>
        <w:t xml:space="preserve">      no contar con recibos de los gastos  incurridos,  solicitaron  que  la</w:t>
        <w:br/>
        <w:t xml:space="preserve">      Corte dicte en equidad la suma de US$6.000 (seis mil  dólares  de  los</w:t>
        <w:br/>
        <w:t xml:space="preserve">      Estados Unidos de América). A su vez, indicaron que el Centro  por  la</w:t>
        <w:br/>
        <w:t xml:space="preserve">      Justicia y el Derecho Internacional (CEJIL), comenzó a trabajar en  el</w:t>
        <w:br/>
        <w:t xml:space="preserve">      presente caso en el año 2006, por lo que solicitaron a  la  Corte  que</w:t>
        <w:br/>
        <w:t xml:space="preserve">      fije en equidad la cantidad de US$7.238 (siete mil doscientos  treinta</w:t>
        <w:br/>
        <w:t xml:space="preserve">      y ocho dólares de los Estados Unidos de América). Por otra  parte,  en</w:t>
        <w:br/>
        <w:t xml:space="preserve">      sus  Alegatos   Finales   Escritos,   los   representantes   aportaron</w:t>
        <w:br/>
        <w:t xml:space="preserve">      información respecto de los gastos incurridos con posterioridad  a  la</w:t>
        <w:br/>
        <w:t xml:space="preserve">      presentación de su escrito de solicitudes y argumentos por parte de la</w:t>
        <w:br/>
        <w:t xml:space="preserve">      Vicaría Episcopal de Derechos  Humanos  de  Caracas,  la  Comisión  de</w:t>
        <w:br/>
        <w:t xml:space="preserve">      Derechos Humanos de Justicia y Paz del estado Aragua y del Centro  por</w:t>
        <w:br/>
        <w:t xml:space="preserve">      la  Justicia  y  el   Derecho   Internacional   (CEJIL).   Finalmente,</w:t>
        <w:br/>
        <w:t xml:space="preserve">      solicitaron que los montos señalados  sean  reintegrados  directamente</w:t>
        <w:br/>
        <w:t xml:space="preserve">      por el Estado a los representantes. Ni la Comisión  ni  el  Estado  se</w:t>
        <w:br/>
        <w:t xml:space="preserve">      refirieron a esta medida de reparación.</w:t>
        <w:br/>
        <w:br/>
        <w:t xml:space="preserve"> 328. El Tribunal ha señalado que “las pretensiones de las  víctimas  o  sus</w:t>
        <w:br/>
        <w:t xml:space="preserve">      representantes en materia de costas y gastos, y las  pruebas  que  las</w:t>
        <w:br/>
        <w:t xml:space="preserve">      sustentan, deben presentarse a la Corte en el primer momento  procesal</w:t>
        <w:br/>
        <w:t xml:space="preserve">      que  se  les  concede,  esto  es,  en  el  escrito  de  solicitudes  y</w:t>
        <w:br/>
        <w:t xml:space="preserve">      argumentos, sin perjuicio de que tales pretensiones se  actualicen  en</w:t>
        <w:br/>
        <w:t xml:space="preserve">      un momento posterior, conforme a las nuevas costas y gastos en que  se</w:t>
        <w:br/>
        <w:t xml:space="preserve">      haya incurrido con ocasión del procedimiento  ante  esta  Corte”[414].</w:t>
        <w:br/>
        <w:t xml:space="preserve">      Asimismo, la Corte  reitera  que  no  es  suficiente  la  remisión  de</w:t>
        <w:br/>
        <w:t xml:space="preserve">      documentos probatorios, sino que se requiere que las partes hagan  una</w:t>
        <w:br/>
        <w:t xml:space="preserve">      argumentación que relacione la prueba con el hecho  que  se  considera</w:t>
        <w:br/>
        <w:t xml:space="preserve">      representado, y que, al tratarse de alegados  desembolsos  económicos,</w:t>
        <w:br/>
        <w:t xml:space="preserve">      se establezcan con claridad los  rubros  y  la  justificación  de  los</w:t>
        <w:br/>
        <w:t xml:space="preserve">      mismos[415].</w:t>
        <w:br/>
        <w:br/>
        <w:t xml:space="preserve"> 329. En el presente caso, la prueba aportada por los  representantes  y  la</w:t>
        <w:br/>
        <w:t xml:space="preserve">      argumentación correspondiente no permite una justificación completa de</w:t>
        <w:br/>
        <w:t xml:space="preserve">      los montos solicitados. Teniendo en cuenta lo anterior, la Corte  fija</w:t>
        <w:br/>
        <w:t xml:space="preserve">      un monto proporcional por la  cantidad  de  US$1.500  (mil  quinientos</w:t>
        <w:br/>
        <w:t xml:space="preserve">      dólares de los Estados Unidos de América) para Ignacio Landaeta  Muñoz</w:t>
        <w:br/>
        <w:t xml:space="preserve">      con motivo de  los  gastos  realizados  en  la  jurisdicción  interna;</w:t>
        <w:br/>
        <w:t xml:space="preserve">      US$2.000 (dos mil dólares de los Estados Unidos de  América)  para  la</w:t>
        <w:br/>
        <w:t xml:space="preserve">      Comisión de Derechos Humanos de Justicia y Paz del estado  Aragua  con</w:t>
        <w:br/>
        <w:t xml:space="preserve">      motivo de los gastos por la tramitación del proceso  ante  el  Sistema</w:t>
        <w:br/>
        <w:t xml:space="preserve">      Interamericano de Derechos Humanos; US$2.000 (dos mil dólares  de  los</w:t>
        <w:br/>
        <w:t xml:space="preserve">      Estados Unidos de América)  para  la  Vicaría  Episcopal  de  Derechos</w:t>
        <w:br/>
        <w:t xml:space="preserve">      Humanos de Caracas con motivo de los gastos  por  la  tramitación  del</w:t>
        <w:br/>
        <w:t xml:space="preserve">      proceso ante el Sistema Interamericano de Derechos Humanos, y US$6.511</w:t>
        <w:br/>
        <w:t xml:space="preserve">      (seis mil quinientos once dólares de los Estados  Unidos  de  América)</w:t>
        <w:br/>
        <w:t xml:space="preserve">      para el Centro por la Justicia y el Derecho Internacional (CEJIL)  con</w:t>
        <w:br/>
        <w:t xml:space="preserve">      motivo de los gastos comprobados[416] por la tramitación  del  proceso</w:t>
        <w:br/>
        <w:t xml:space="preserve">      ante el Sistema Interamericano de  Derechos  Humanos.  Además,  dichos</w:t>
        <w:br/>
        <w:t xml:space="preserve">      montos deberán ser  entregados  a  Ignacio  Landaeta  Muñoz  y  a  sus</w:t>
        <w:br/>
        <w:t xml:space="preserve">      representantes, en lo que corresponda, dentro  del  plazo  de  un  año</w:t>
        <w:br/>
        <w:t xml:space="preserve">      contado a partir de la notificación del presente Fallo. En la etapa de</w:t>
        <w:br/>
        <w:t xml:space="preserve">      supervisión de cumplimiento de la presente Sentencia, la  Corte  podrá</w:t>
        <w:br/>
        <w:t xml:space="preserve">      disponer el reembolso por parte  del  Estado  a  las  víctimas  o  sus</w:t>
        <w:br/>
        <w:t xml:space="preserve">      representantes  de  gastos  posteriores,  razonables   y   debidamente</w:t>
        <w:br/>
        <w:t xml:space="preserve">      comprobados[417].</w:t>
        <w:br/>
        <w:br/>
        <w:br/>
        <w:t xml:space="preserve">   Reintegro de los gastos al Fondo de Asistencia Legal de Víctimas</w:t>
        <w:br/>
        <w:br/>
        <w:br/>
        <w:t xml:space="preserve"> 330. Mediante Resolución de  13  de  febrero  de  2013  el  Presidente  del</w:t>
        <w:br/>
        <w:t xml:space="preserve">      Tribunal declaró procedente la solicitud interpuesta por las presuntas</w:t>
        <w:br/>
        <w:t xml:space="preserve">      víctimas a través de sus representantes  para  acogerse  al  Fondo  de</w:t>
        <w:br/>
        <w:t xml:space="preserve">      Asistencia Legal, y aprobó que se  otorgara  la  asistencia  económica</w:t>
        <w:br/>
        <w:t xml:space="preserve">      necesaria para la presentación de un  máximo  de  tres  declaraciones,</w:t>
        <w:br/>
        <w:t xml:space="preserve">      fuera por affidávit o en audiencia pública (supra párr. 8).</w:t>
        <w:br/>
        <w:br/>
        <w:t xml:space="preserve"> 331. Mediante comunicación de 30 de mayo de 2014, la Secretaría de la Corte</w:t>
        <w:br/>
        <w:t xml:space="preserve">      transmitió  al  Estado  copia  del  informe  sobre   las   erogaciones</w:t>
        <w:br/>
        <w:t xml:space="preserve">      realizadas en aplicación de dicho  fondo  en  el  presente  caso,  las</w:t>
        <w:br/>
        <w:t xml:space="preserve">      cuales ascendieron a la  suma  de  US$2.725,17  (dos  mil  setecientos</w:t>
        <w:br/>
        <w:t xml:space="preserve">      veinticinco dólares de los Estados Unidos de  América  con  diecisiete</w:t>
        <w:br/>
        <w:t xml:space="preserve">      centavos), y le concedió plazo hasta el 15 de junio de 2014  para  que</w:t>
        <w:br/>
        <w:t xml:space="preserve">      presentara las observaciones que estimare pertinentes  a  la  referida</w:t>
        <w:br/>
        <w:t xml:space="preserve">      información. Sin  embargo,  Venezuela  no  presentó  observaciones  al</w:t>
        <w:br/>
        <w:t xml:space="preserve">      respecto. Corresponde al Tribunal, en aplicación del  artículo  5  del</w:t>
        <w:br/>
        <w:t xml:space="preserve">      Reglamento del Fondo, evaluar la  procedencia  de  ordenar  al  Estado</w:t>
        <w:br/>
        <w:t xml:space="preserve">      demandado el reintegro al Fondo de Asistencia Legal de las erogaciones</w:t>
        <w:br/>
        <w:t xml:space="preserve">      en que se hubiese incurrido.</w:t>
        <w:br/>
        <w:br/>
        <w:t xml:space="preserve"> 332. En razón de las violaciones declaradas en la  presente  Sentencia,  la</w:t>
        <w:br/>
        <w:t xml:space="preserve">      Corte ordena al Estado el reintegro a dicho Fondo por la  cantidad  de</w:t>
        <w:br/>
        <w:t xml:space="preserve">      US$2.725,17 (dos mil setecientos veinticinco dólares  de  los  Estados</w:t>
        <w:br/>
        <w:t xml:space="preserve">      Unidos de América con diecisiete centavos) por los gastos  incurridos.</w:t>
        <w:br/>
        <w:t xml:space="preserve">      Este monto deberá ser reintegrado a  la  Corte  Interamericana  en  el</w:t>
        <w:br/>
        <w:t xml:space="preserve">      plazo de noventa días,  contados  a  partir  de  la  notificación  del</w:t>
        <w:br/>
        <w:t xml:space="preserve">      presente Fallo.</w:t>
        <w:br/>
        <w:br/>
        <w:br/>
        <w:t xml:space="preserve">   Modalidad de cumplimiento de los pagos ordenados</w:t>
        <w:br/>
        <w:br/>
        <w:br/>
        <w:t xml:space="preserve"> 333. El Estado deberá efectuar el pago de las indemnizaciones por  concepto</w:t>
        <w:br/>
        <w:t xml:space="preserve">      de daño material e inmaterial  y  el  reintegro  de  costas  y  gastos</w:t>
        <w:br/>
        <w:t xml:space="preserve">      establecidos en la presente  Sentencia  directamente  a  las  personas</w:t>
        <w:br/>
        <w:t xml:space="preserve">      indicadas en la misma, dentro del plazo de un año, contado a partir de</w:t>
        <w:br/>
        <w:t xml:space="preserve">      la notificación del presente Fallo, en los términos de los  siguientes</w:t>
        <w:br/>
        <w:t xml:space="preserve">      párrafos.</w:t>
        <w:br/>
        <w:br/>
        <w:t xml:space="preserve"> 334. En caso de que los beneficiarios  fallezcan  antes  de  que  les  sean</w:t>
        <w:br/>
        <w:t xml:space="preserve">      entregadas  las  indemnizaciones  respectivas,  éstas  se   efectuarán</w:t>
        <w:br/>
        <w:t xml:space="preserve">      directamente a  sus  derechohabientes,  conforme  al  derecho  interno</w:t>
        <w:br/>
        <w:t xml:space="preserve">      aplicable.</w:t>
        <w:br/>
        <w:br/>
        <w:t xml:space="preserve"> 335. El Estado debe cumplir sus obligaciones mediante el pago en dólares de</w:t>
        <w:br/>
        <w:t xml:space="preserve">      los Estados Unidos de América o moneda venezolana, utilizando para  el</w:t>
        <w:br/>
        <w:t xml:space="preserve">      cálculo respectivo el tipo de cambio  entre  ambas  monedas  que  esté</w:t>
        <w:br/>
        <w:t xml:space="preserve">      vigente en la bolsa de Nueva York, Estados Unidos de América,  el  día</w:t>
        <w:br/>
        <w:t xml:space="preserve">      anterior al pago.</w:t>
        <w:br/>
        <w:br/>
        <w:t xml:space="preserve"> 336. Si por causas atribuibles a los beneficiarios de  las  indemnizaciones</w:t>
        <w:br/>
        <w:t xml:space="preserve">      no fuese posible que las reciban dentro del plazo indicado, el  Estado</w:t>
        <w:br/>
        <w:t xml:space="preserve">      consignará dichos montos a su favor en una  cuenta  o  certificado  de</w:t>
        <w:br/>
        <w:t xml:space="preserve">      depósito en una institución financiera venezolana, en dólares  de  los</w:t>
        <w:br/>
        <w:t xml:space="preserve">      Estados Unidos  de  América  y  en  las  condiciones  financieras  más</w:t>
        <w:br/>
        <w:t xml:space="preserve">      favorables que permitan la  legislación  y  la  práctica  bancaria  de</w:t>
        <w:br/>
        <w:t xml:space="preserve">      Venezuela. Si al cabo de 10  años  las  indemnizaciones  no  han  sido</w:t>
        <w:br/>
        <w:t xml:space="preserve">      reclamadas, las cantidades serán devueltas al Estado con los intereses</w:t>
        <w:br/>
        <w:t xml:space="preserve">      devengados.</w:t>
        <w:br/>
        <w:br/>
        <w:t xml:space="preserve"> 337. Las cantidades asignadas en la presente Sentencia  como  indemnización</w:t>
        <w:br/>
        <w:t xml:space="preserve">      deberán ser entregadas a  las  personas  indicadas  en  forma  íntegra</w:t>
        <w:br/>
        <w:t xml:space="preserve">      conforme a lo establecido en este Fallo, sin reducciones derivadas  de</w:t>
        <w:br/>
        <w:t xml:space="preserve">      eventuales cargas fiscales.</w:t>
        <w:br/>
        <w:br/>
        <w:t xml:space="preserve"> 338. En caso de que el Estado incurriera en mora, deberá pagar  un  interés</w:t>
        <w:br/>
        <w:t xml:space="preserve">      sobre  la  cantidad  adeudada,  correspondiente  al  interés  bancario</w:t>
        <w:br/>
        <w:t xml:space="preserve">      moratorio en Venezuela.</w:t>
        <w:br/>
        <w:br/>
        <w:t xml:space="preserve">                                     IX</w:t>
        <w:br/>
        <w:t xml:space="preserve">                             PUNTOS RESOLUTIVOS</w:t>
        <w:br/>
        <w:br/>
        <w:t xml:space="preserve"> 339. Por tanto,</w:t>
        <w:br/>
        <w:br/>
        <w:t>LA CORTE</w:t>
        <w:br/>
        <w:br/>
        <w:t>DECIDE,</w:t>
        <w:br/>
        <w:br/>
        <w:t>por unanimidad,</w:t>
        <w:br/>
        <w:br/>
        <w:t>1.   Desestimar las excepciones  preliminares  interpuestas  por  el  Estado</w:t>
        <w:br/>
        <w:t>sobre la falta de agotamiento de recursos internos, en los términos  de  los</w:t>
        <w:br/>
        <w:t>párrafos 22 a 30 de la presente Sentencia.</w:t>
        <w:br/>
        <w:br/>
        <w:t>DECLARA,</w:t>
        <w:br/>
        <w:br/>
        <w:t>por unanimidad, que:</w:t>
        <w:br/>
        <w:br/>
        <w:t>2.   El Estado es responsable por la violación de la obligación  de  respeto</w:t>
        <w:br/>
        <w:t>y garantía del derecho  a  la  vida  reconocido  en  el  artículo  4  de  la</w:t>
        <w:br/>
        <w:t>Convención Americana sobre Derechos Humanos, en  relación  con  el  artículo</w:t>
        <w:br/>
        <w:t>1.1 y 2 de la misma, en perjuicio de Igmar  Alexander  Landaeta  Mejías,  en</w:t>
        <w:br/>
        <w:t>los términos de los párrafos 122 a 147 de la presente Sentencia.</w:t>
        <w:br/>
        <w:br/>
        <w:t>3.   El Estado es responsable por la violación del  derecho  a  la  libertad</w:t>
        <w:br/>
        <w:t>personal, reconocido en los artículos 7.1, 7.2, 7.3, 7.4  y  7.5,  así  como</w:t>
        <w:br/>
        <w:t>por la violación de la obligación de respeto y garantía de  los  derechos  a</w:t>
        <w:br/>
        <w:t>la vida y a la integridad personal, reconocidos en los artículos 4 y 5.1  de</w:t>
        <w:br/>
        <w:t>la Convención Americana sobre Derechos Humanos, todas ellas en relación  con</w:t>
        <w:br/>
        <w:t>los artículos 1.1 y 19 de la misma, en perjuicio de  Eduardo  José  Landaeta</w:t>
        <w:br/>
        <w:t>Mejías, en los términos de los párrafos 154 a 204 de la presente  Sentencia.</w:t>
        <w:br/>
        <w:br/>
        <w:br/>
        <w:t>4.   El Estado es responsable  por  la  violación  de  los  derechos  a  las</w:t>
        <w:br/>
        <w:t>garantías  judiciales  y  a  la  protección  judicial,  reconocidos  en  los</w:t>
        <w:br/>
        <w:t>artículos 8.1 y 25.1 de la Convención Americana sobre Derechos  Humanos,  en</w:t>
        <w:br/>
        <w:t>perjuicio de  los  familiares  de  los  hermanos  Landaeta  Mejías,  en  los</w:t>
        <w:br/>
        <w:t>términos de los párrafos 214 a 275 de la presente Sentencia.</w:t>
        <w:br/>
        <w:br/>
        <w:t>5.   El Estado es responsable por la violación del derecho a  la  integridad</w:t>
        <w:br/>
        <w:t>personal, reconocido en el artículo 5.1 de  la  Convención  Americana  sobre</w:t>
        <w:br/>
        <w:t>Derechos Humanos, en relación con el artículo 1.1 del mismo instrumento,  en</w:t>
        <w:br/>
        <w:t>perjuicio de  los  familiares  de  los  hermanos  Landaeta  Mejías,  en  los</w:t>
        <w:br/>
        <w:t>términos de los párrafos 279 a 289 de la presente Sentencia.</w:t>
        <w:br/>
        <w:br/>
        <w:t>6.   No procede emitir un pronunciamiento sobre  la  alegada  violación  del</w:t>
        <w:br/>
        <w:t>derecho a la integridad personal,  reconocido  en  el  artículo  5.1  de  la</w:t>
        <w:br/>
        <w:t>Convención  Americana  sobre  Derechos  Humanos,  en  perjuicio   de   Igmar</w:t>
        <w:br/>
        <w:t>Alexander Landaeta Mejías, en los términos del párrafo 148  de  la  presente</w:t>
        <w:br/>
        <w:t>Sentencia.</w:t>
        <w:br/>
        <w:br/>
        <w:t>7.   No cuenta con  suficientes  elementos  que  permitan  concluir  que  el</w:t>
        <w:br/>
        <w:t>Estado violó el derecho a la integridad personal, consagrado en el  artículo</w:t>
        <w:br/>
        <w:t>5.2 de la Convención Americana  sobre  Derechos  Humanos,  en  perjuicio  de</w:t>
        <w:br/>
        <w:t>Eduardo José Landaeta  Mejías,  en  los  términos  del  párrafo  201  de  la</w:t>
        <w:br/>
        <w:t>presente Sentencia.</w:t>
        <w:br/>
        <w:br/>
        <w:t>Y DISPONE</w:t>
        <w:br/>
        <w:br/>
        <w:t>por unanimidad, que:</w:t>
        <w:br/>
        <w:br/>
        <w:t>8.   Esta Sentencia constituye per se una forma de reparación.</w:t>
        <w:br/>
        <w:br/>
        <w:t>por cuatro votos contra uno, disiente el Juez Roberto F. Caldas, que:</w:t>
        <w:br/>
        <w:br/>
        <w:t>9.   Respecto de Igmar Landaeta, el Estado debe de investigar  y  esclarecer</w:t>
        <w:br/>
        <w:t>los hechos, y en su caso, establecer la determinación de  responsabilidades,</w:t>
        <w:br/>
        <w:t>dentro de un plazo razonable, en los términos de los párrafos 298 y  299  de</w:t>
        <w:br/>
        <w:t>la presente Sentencia.</w:t>
        <w:br/>
        <w:br/>
        <w:t>10.  Respecto de Eduardo Landaeta, el Estado debe continuar y  concluir,  en</w:t>
        <w:br/>
        <w:t>un plazo razonable, la investigación de dichos  hechos  en  la  jurisdicción</w:t>
        <w:br/>
        <w:t>ordinaria, y en  su  caso  sancionar  a  los  responsables,  atendiendo  los</w:t>
        <w:br/>
        <w:t>términos del párrafo 300 de la presente Sentencia.</w:t>
        <w:br/>
        <w:br/>
        <w:t>por unanimidad, que:</w:t>
        <w:br/>
        <w:br/>
        <w:t>11.  El Estado debe brindar gratuitamente, a través de sus instituciones  de</w:t>
        <w:br/>
        <w:t>salud especializadas y de forma inmediata  el  tratamiento  psicológico  que</w:t>
        <w:br/>
        <w:t>requieran las víctimas, previo consentimiento informado y por el tiempo  que</w:t>
        <w:br/>
        <w:t>sea necesario, incluida  la  provisión  gratuita  de  medicamentos,  en  los</w:t>
        <w:br/>
        <w:t>términos del párrafo 303 de la presente Sentencia.</w:t>
        <w:br/>
        <w:br/>
        <w:t>12.   El  Estado  debe  realizar  un  acto  público  de  reconocimiento   de</w:t>
        <w:br/>
        <w:t>responsabilidad internacional y  disculpas  públicas  en  relación  con  los</w:t>
        <w:br/>
        <w:t>hechos del presente caso, en los términos del párrafo  307  de  la  presente</w:t>
        <w:br/>
        <w:t>Sentencia.</w:t>
        <w:br/>
        <w:br/>
        <w:t>13.  El Estado debe realizar las publicaciones que se indican en el  párrafo</w:t>
        <w:br/>
        <w:t>305 del presente Fallo.</w:t>
        <w:br/>
        <w:br/>
        <w:t>14.  El Estado debe pagar las cantidades fijadas en los párrafos  320,  322,</w:t>
        <w:br/>
        <w:t>325 y 329  de  la  presente  Sentencia  por  concepto  de  daño  material  e</w:t>
        <w:br/>
        <w:t>inmaterial, reintegro de costas y gastos en el plazo de un  año,  contado  a</w:t>
        <w:br/>
        <w:t>partir de la notificación de la misma.</w:t>
        <w:br/>
        <w:br/>
        <w:t>15.  El Estado debe reintegrar al Fondo de Asistencia Legal de  Víctimas  de</w:t>
        <w:br/>
        <w:t>la Corte Interamericana de Derechos Humanos la cantidad erogada  durante  la</w:t>
        <w:br/>
        <w:t>tramitación del presente caso, en los  términos  de  lo  establecido  en  el</w:t>
        <w:br/>
        <w:t>párrafo 332 del presente Fallo.</w:t>
        <w:br/>
        <w:br/>
        <w:t>16.  El Estado debe, dentro del plazo de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t>17.  La Corte supervisará el cumplimiento  íntegro  de  esta  Sentencia,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t>El Juez Roberto F. Caldas hizo conocer a la  Corte  su  voto  disidente,  el</w:t>
        <w:br/>
        <w:t>cual acompaña a esta Sentencia.</w:t>
        <w:br/>
        <w:br/>
        <w:br/>
        <w:t>Redactada en español en San José, Costa Rica, el 27 de agosto de 2014.</w:t>
        <w:br/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br/>
        <w:t>Roberto  F.  Caldas                                     Manuel  E.   Ventura</w:t>
        <w:br/>
        <w:t>Robles</w:t>
        <w:br/>
        <w:br/>
        <w:br/>
        <w:br/>
        <w:br/>
        <w:br/>
        <w:br/>
        <w:br/>
        <w:br/>
        <w:t>Eduardo Vio Grossi                             Eduardo Ferrer Mac-Gregor</w:t>
        <w:br/>
        <w:t>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Humberto Antonio Sierra Porto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CASO HERMANOS LANDAETA MEJÍAS Y OTROS VS. VENEZUELA</w:t>
        <w:br/>
        <w:br/>
        <w:t xml:space="preserve">                       VOTO PARCIALMENTE DISIDENTE DEL</w:t>
        <w:br/>
        <w:t xml:space="preserve">                           JUEZ ROBERTO F. CALDAS</w:t>
        <w:br/>
        <w:t xml:space="preserve">                      SENTENCIA DE 27 DE AGOSTO DE 2014</w:t>
        <w:br/>
        <w:t xml:space="preserve">          (Excepciones Preliminares, Fondo, Reparaciones y Costas)</w:t>
        <w:br/>
        <w:br/>
        <w:br/>
        <w:t xml:space="preserve">   1. El presente voto razonado se refiere solamente a una única parte de la</w:t>
        <w:br/>
        <w:t xml:space="preserve">      sentencia, en la cual respetuosamente disentí de la mayoría, lo que en</w:t>
        <w:br/>
        <w:t xml:space="preserve">      raras oportunidades ocurre. La deliberación estuvo compuesta por otros</w:t>
        <w:br/>
        <w:t xml:space="preserve">      cuatros jueces, toda vez que fue realizada con  el  quórum  mínimo  de</w:t>
        <w:br/>
        <w:t xml:space="preserve">      cinco jueces.</w:t>
        <w:br/>
        <w:br/>
        <w:t xml:space="preserve">   2. Específicamente, disentí de la parte en la cual la Corte  deliberó  el</w:t>
        <w:br/>
        <w:t xml:space="preserve">      capítulo VIII de la  Sentencia  sobre  “Reparaciones  (Aplicación  del</w:t>
        <w:br/>
        <w:t xml:space="preserve">      artículo  63.1  de  la  Convención  Americana)”,  punto  B,  sobre  la</w:t>
        <w:br/>
        <w:t xml:space="preserve">      “Obligación de investigar los hechos que generaron las  violaciones  e</w:t>
        <w:br/>
        <w:t xml:space="preserve">      identificar, juzgar y, en su caso, sancionar a los responsables”.</w:t>
        <w:br/>
        <w:br/>
        <w:t xml:space="preserve">   3. En realidad, la  Corte  determinó  de  manera  unánime  respeto  a  la</w:t>
        <w:br/>
        <w:t xml:space="preserve">      responsabilidad del Estado, sin embargo traté en  mi  intervención  de</w:t>
        <w:br/>
        <w:t xml:space="preserve">      imprimir un efecto útil a la orden  de  investigación  que,  desde  mi</w:t>
        <w:br/>
        <w:t xml:space="preserve">      punto de vista, de la manera como deliberaron  los  demás  jueces,  no</w:t>
        <w:br/>
        <w:t xml:space="preserve">      tiene ningún efecto práctico,  dejando  a  las  víctimas  sin  remedio</w:t>
        <w:br/>
        <w:t xml:space="preserve">      efectivo.</w:t>
        <w:br/>
        <w:br/>
        <w:t xml:space="preserve">   4. Al considerar las falencias, omisiones y retrasos verificados  en  las</w:t>
        <w:br/>
        <w:t xml:space="preserve">      investigaciones y en  los  procesos  de  ambos  hermanos,  concordamos</w:t>
        <w:br/>
        <w:t xml:space="preserve">      unánimemente respeto a la responsabilidad  internacional  del  Estado,</w:t>
        <w:br/>
        <w:t xml:space="preserve">      referida en el párrafo 297, así redactado:</w:t>
        <w:br/>
        <w:br/>
        <w:t xml:space="preserve">           297. Respecto de la privación  arbitraria  de  la  vida  de  los</w:t>
        <w:br/>
        <w:t xml:space="preserve">           hermanos Landaeta Mejías, la Corte  estableció  en  la  presente</w:t>
        <w:br/>
        <w:t xml:space="preserve">           Sentencia que el Estado era responsable  por  la  violación  del</w:t>
        <w:br/>
        <w:t xml:space="preserve">           derecho a la vida establecido en el artículo 4 de la  Convención</w:t>
        <w:br/>
        <w:t xml:space="preserve">           Americana, respecto de Igmar Landaeta, así como de los  derechos</w:t>
        <w:br/>
        <w:t xml:space="preserve">           establecidos en  los  artículos  4,  5  y  7  de  la  Convención</w:t>
        <w:br/>
        <w:t xml:space="preserve">           Americana, en relación con el 1.1 y el 19 del mismo  instrumento</w:t>
        <w:br/>
        <w:t xml:space="preserve">           (supra párrs. 147 y 204) respecto de Eduardo Landaeta. Asimismo,</w:t>
        <w:br/>
        <w:t xml:space="preserve">           en ambos casos la Corte concluyó que el Estado no llevó  a  cabo</w:t>
        <w:br/>
        <w:t xml:space="preserve">           una  averiguación  completa  y  exhaustiva,   siguiendo   líneas</w:t>
        <w:br/>
        <w:t xml:space="preserve">           conjuntas de investigación en relación  con  la  muerte  de  los</w:t>
        <w:br/>
        <w:t xml:space="preserve">           hermanos, ni en un plazo razonable, con el fin de esclarecer los</w:t>
        <w:br/>
        <w:t xml:space="preserve">           hechos y sancionar a los responsables, y por lo tanto el  Estado</w:t>
        <w:br/>
        <w:t xml:space="preserve">           es responsable por la violación de los artículos 8.1 y  25.1  de</w:t>
        <w:br/>
        <w:t xml:space="preserve">           la Convención Americana (supra párrs. 250 y 275).</w:t>
        <w:br/>
        <w:br/>
        <w:t xml:space="preserve">   5. Sin embargo, disentí en cuanto a la forma de  la  reparación  adoptada</w:t>
        <w:br/>
        <w:t xml:space="preserve">      para los dos hermanos  dispuesta  en  la  Sentencia  de  la  siguiente</w:t>
        <w:br/>
        <w:t xml:space="preserve">      manera:</w:t>
        <w:br/>
        <w:br/>
        <w:t xml:space="preserve">           Caso de Igmar Landaeta:</w:t>
        <w:br/>
        <w:t xml:space="preserve">           “la  Corte  dispone  que,  el  Estado  reabra,  de  oficio,   la</w:t>
        <w:br/>
        <w:t xml:space="preserve">           investigación, a fin de esclarecer los hechos  y,  en  su  caso,</w:t>
        <w:br/>
        <w:t xml:space="preserve">           establecer  la  determinación  de   responsabilidades   por   la</w:t>
        <w:br/>
        <w:t xml:space="preserve">           privación arbitraria de la vida de Igmar Landaeta, dentro de  un</w:t>
        <w:br/>
        <w:t xml:space="preserve">           plazo razonable” (párr. 299).</w:t>
        <w:br/>
        <w:t xml:space="preserve">           “[…] el Estado debe de investigar y esclarecer los hechos, y  en</w:t>
        <w:br/>
        <w:t xml:space="preserve">           su  caso,  establecer  la  determinación  de  responsabilidades,</w:t>
        <w:br/>
        <w:t xml:space="preserve">           dentro de un plazo razonable, en los términos  de  los  párrafos</w:t>
        <w:br/>
        <w:t xml:space="preserve">           298 y 299 de la presente Sentencia” (punto resolutivo n. 9).</w:t>
        <w:br/>
        <w:br/>
        <w:br/>
        <w:t xml:space="preserve">           Caso de Eduardo Landaeta:</w:t>
        <w:br/>
        <w:t xml:space="preserve">           “[...] este Tribunal dispone que  el  Estado  debe  continuar  y</w:t>
        <w:br/>
        <w:t xml:space="preserve">           concluir, en un plazo  razonable,  la  investigación  de  dichos</w:t>
        <w:br/>
        <w:t xml:space="preserve">           hechos en la  jurisdicción  ordinaria,  de  conformidad  con  la</w:t>
        <w:br/>
        <w:t xml:space="preserve">           normativa interna y estándares internacionales correspondientes,</w:t>
        <w:br/>
        <w:t xml:space="preserve">           que permita efectivamente identificar, juzgar  y,  en  su  caso,</w:t>
        <w:br/>
        <w:t xml:space="preserve">           sancionar a los responsables por la privación arbitraria  de  la</w:t>
        <w:br/>
        <w:t xml:space="preserve">           vida de Eduardo Landaeta” (párr. 300).</w:t>
        <w:br/>
        <w:t xml:space="preserve">           “[…] el Estado debe continuar y concluir, en un plazo razonable,</w:t>
        <w:br/>
        <w:t xml:space="preserve">           la investigación de dichos hechos en la jurisdicción  ordinaria,</w:t>
        <w:br/>
        <w:t xml:space="preserve">           y en su  caso  sancionar  a  los  responsables,  atendiendo  los</w:t>
        <w:br/>
        <w:t xml:space="preserve">           términos del  párrafo  300  de  la  presente  Sentencia”  (punto</w:t>
        <w:br/>
        <w:t xml:space="preserve">           resolutivo n. 10).</w:t>
        <w:br/>
        <w:br/>
        <w:t xml:space="preserve">   6. Por  lo  tanto,  la  Corte  simplemente  determinó,  en  un  caso,  la</w:t>
        <w:br/>
        <w:t xml:space="preserve">      reapertura  de  la  investigación  y,  en  otro,  la  continuación   y</w:t>
        <w:br/>
        <w:t xml:space="preserve">      conclusión  de  la  investigación,  seguidos  de   todos   los   actos</w:t>
        <w:br/>
        <w:t xml:space="preserve">      procedimentales y procesales posteriores hasta que se  llegará  a  una</w:t>
        <w:br/>
        <w:t xml:space="preserve">      posible  condena  de  los  responsables,  sin  establecer   una   pena</w:t>
        <w:br/>
        <w:t xml:space="preserve">      alternativa o complementaria, en el caso que no haya una sanción.  Por</w:t>
        <w:br/>
        <w:t xml:space="preserve">      el contrario, con el debido respeto, entiendo que debería  haber  sido</w:t>
        <w:br/>
        <w:t xml:space="preserve">      establecido un monto a titulo indemnizatorio en el  caso  que  no  sea</w:t>
        <w:br/>
        <w:t xml:space="preserve">      posible la determinación de los culpables, lo  que  infelizmente  será</w:t>
        <w:br/>
        <w:t xml:space="preserve">      muy difícil, o quizás imposible. Asimismo, como la ley y la  sentencia</w:t>
        <w:br/>
        <w:t xml:space="preserve">      no pueden tener  palabras  o  comandos  vacíos  de  sentido,  hay  que</w:t>
        <w:br/>
        <w:t xml:space="preserve">      establecer una compensación, por lo menos.</w:t>
        <w:br/>
        <w:br/>
        <w:t xml:space="preserve">   7. Hay muchas razones para que los hechos del presente caso se queden  en</w:t>
        <w:br/>
        <w:t xml:space="preserve">      impunidad. Los hechos ocurrieron hace  casi  18  años,  en  1996,  sin</w:t>
        <w:br/>
        <w:t xml:space="preserve">      embargo permanecen en la etapa de investigación, posteriormente  deben</w:t>
        <w:br/>
        <w:t xml:space="preserve">      tramitarse en todas las instancias del poder judicial, quizás  durante</w:t>
        <w:br/>
        <w:t xml:space="preserve">      décadas. Es difícil imaginar cuando habrá una decisión definitiva, sin</w:t>
        <w:br/>
        <w:t xml:space="preserve">      embargo es fácil prever la pequeña oportunidad de  efectiva  punición,</w:t>
        <w:br/>
        <w:t xml:space="preserve">      ya sea por falta de pruebas, cada vez más  escasas  con  el  paso  del</w:t>
        <w:br/>
        <w:t xml:space="preserve">      tiempo, o por una posible prescripción.</w:t>
        <w:br/>
        <w:br/>
        <w:t xml:space="preserve">   8. Desde mi  punto  de  vista,  la  Corte  debería  establecer  un  monto</w:t>
        <w:br/>
        <w:t xml:space="preserve">      pecuniario para los  casos  que,  finalizada  la  etapa  judicial,  no</w:t>
        <w:br/>
        <w:t xml:space="preserve">      obtuvieron condena, generando impunidad y sentimientos  de  injusticia</w:t>
        <w:br/>
        <w:t xml:space="preserve">      para las víctimas. Aunque no sea posible reemplazar el dolor y la  sed</w:t>
        <w:br/>
        <w:t xml:space="preserve">      de justicia, mi propuesta era establecer en este y en casos similares,</w:t>
        <w:br/>
        <w:t xml:space="preserve">      una cantidad entre $ 50,000.00 y $ 150,000.00 por compensación en caso</w:t>
        <w:br/>
        <w:t xml:space="preserve">      de no haber ninguna condena.</w:t>
        <w:br/>
        <w:br/>
        <w:t xml:space="preserve">   9. Si la ley no debe ajustarse a palabras sin sentido, bajo pena  de  ser</w:t>
        <w:br/>
        <w:t xml:space="preserve">      un simple pedazo de papel, mucho menos es aceptable  en  la  sentencia</w:t>
        <w:br/>
        <w:t xml:space="preserve">      judicial determinaciones inocuas,  bajo  pena  de  ser  meramente  una</w:t>
        <w:br/>
        <w:t xml:space="preserve">      promesa vacía.</w:t>
        <w:br/>
        <w:br/>
        <w:br/>
        <w:br/>
        <w:br/>
        <w:br/>
        <w:br/>
        <w:br/>
        <w:br/>
        <w:br/>
        <w:t xml:space="preserve">                                             Roberto F. Caldas</w:t>
        <w:br/>
        <w:t xml:space="preserve">                                                        Juez</w:t>
        <w:br/>
        <w:br/>
        <w:br/>
        <w:br/>
        <w:br/>
        <w:t>Pablo Saavedra Alessandri</w:t>
        <w:br/>
        <w:t xml:space="preserve">     Secretario</w:t>
        <w:br/>
        <w:br/>
        <w:br/>
        <w:br/>
        <w:br/>
        <w:t>-----------------------</w:t>
        <w:br/>
        <w:t>(    Los jueces Diego García-Sayán y Alberto Pérez Pérez,  se  excusaron  de</w:t>
        <w:br/>
        <w:t>conocer  de  la  presente  Sentencia  de  Excepciones  Preliminares,  Fondo,</w:t>
        <w:br/>
        <w:t>Reparaciones y Costas, debido, tanto  a  una  excusa  presentada,  como  por</w:t>
        <w:br/>
        <w:t>motivos de fuerza mayor, respectivamente.</w:t>
        <w:br/>
        <w:t>[1]  En dicho informe, la Comisión Interamericana declaró admisible la</w:t>
        <w:br/>
        <w:t>petición en relación con la presunta violación de los artículos 4, 5, 7,</w:t>
        <w:br/>
        <w:t>19, 8 y 25 en conexión con el artículo 1.1 de la Convención Americana. Cfr.</w:t>
        <w:br/>
        <w:t>Informe de Admisibilidad No. 23/07, Eduardo José Landaeta Mejías Vs.</w:t>
        <w:br/>
        <w:t>Venezuela, de 9 de marzo de 2007 (expediente de trámite ante la Comisión,</w:t>
        <w:br/>
        <w:t>folio 1937).</w:t>
        <w:br/>
        <w:t>[2]  En dicho informe, la Comisión Interamericana declaró admisible la</w:t>
        <w:br/>
        <w:t>petición en relación con la presunta violación de los artículos 4, 5, 8 y</w:t>
        <w:br/>
        <w:t>25, en conexión con el artículo 1.1 de la Convención Americana, y resolvió</w:t>
        <w:br/>
        <w:t>acumular la petición al caso de Eduardo Landaeta. Cfr. Informe de</w:t>
        <w:br/>
        <w:t>Admisibilidad No. 22/09, Igmar Alexander Landaeta Mejías Vs. Venezuela,  de</w:t>
        <w:br/>
        <w:t>20 de marzo de 2009 (expediente de trámite ante la Comisión, folio 2314).</w:t>
        <w:br/>
        <w:t>[3]  Cfr. Informe de Fondo No. 58/12. Caso 12.606. Hermanos Landaeta Mejías</w:t>
        <w:br/>
        <w:t>Vs. Venezuela, de 21 de marzo de 2012 (expediente de fondo, folio 6).</w:t>
        <w:br/>
        <w:t>[4]  La Comisión Interamericana consideró como víctima a la hija de Igmar</w:t>
        <w:br/>
        <w:t>Alexander Landaeta Mejías y la llamó Johanyelis Alejandra Parra. A los</w:t>
        <w:br/>
        <w:t>efectos de la presente Sentencia, la Corte se referirá a la misma como</w:t>
        <w:br/>
        <w:t>Johanyelis Alejandra Landaeta Parra o Joyanyelis Landaeta Parra.</w:t>
        <w:br/>
        <w:t>[5]  La Comisión designó al Comisionado Felipe González como su delegado.</w:t>
        <w:br/>
        <w:t>Asimismo, Elizabeth Abi-Mershed, Secretaria Ejecutiva Adjunta, y Silvia</w:t>
        <w:br/>
        <w:t>Serrano Guzmán, abogada de la Secretaría Ejecutiva, fueron designadas como</w:t>
        <w:br/>
        <w:t>asesoras legales.</w:t>
        <w:br/>
        <w:br/>
        <w:t>[6]  Cfr. Caso Hermanos Landaeta Mejías y otros Vs. Venezuela. Resolución</w:t>
        <w:br/>
        <w:t>del Presidente de la Corte Interamericana de 12 de febrero de 2013.</w:t>
        <w:br/>
        <w:t>Disponible en: http://www.corteidh.or.cr/docs/asuntos/landaeta_12_02_13.pdf</w:t>
        <w:br/>
        <w:t>(expediente de fondo, folio 482).</w:t>
        <w:br/>
        <w:t>[7]  Cfr. Caso Hermanos Landaeta Mejías y otros Vs. Venezuela. Resolución</w:t>
        <w:br/>
        <w:t>del Presidente de la Corte Interamericana de 13 de febrero de 2013.</w:t>
        <w:br/>
        <w:t>Disponible en http://www.corteidh.or.cr/docs/asuntos/Mej%C3%ADas_fv_13.pdf</w:t>
        <w:br/>
        <w:t>(expediente de fondo, folio 459).</w:t>
        <w:br/>
        <w:t>[8]  Cfr. Caso Hermanos Landaeta Mejías y otros Vs. Venezuela. Resolución</w:t>
        <w:br/>
        <w:t>del Presidente de la Corte Interamericana de 26 de diciembre de 2013.</w:t>
        <w:br/>
        <w:t>Disponible en: http://www.corteidh.or.cr/docs/asuntos/landaeta_26_12_13.pdf</w:t>
        <w:br/>
        <w:t>(expediente de fondo, folio 620).</w:t>
        <w:br/>
        <w:t>[9]      A esta audiencia comparecieron: a) por la Comisión Interamericana,</w:t>
        <w:br/>
        <w:t>Rosa María Ortiz, Elizabeth Abi-Mershed, Silvia Serrano Guzmán y Jorge Meza</w:t>
        <w:br/>
        <w:t>Flores; b) por los representantes de las presuntas víctimas, José Gregorio</w:t>
        <w:br/>
        <w:t>Guarenas, Luis Manuel Aguilera, Francisco Quintana y Charles Abbott, y c)</w:t>
        <w:br/>
        <w:t>por el Estado de Venezuela, Germán Saltrón Negretti, María Alejandra Diaz</w:t>
        <w:br/>
        <w:t>Marín y Norevy Cortez.</w:t>
        <w:br/>
        <w:t>[10]     El artículo 78.2 de la Convención establece que ”[d]icha denuncia</w:t>
        <w:br/>
        <w:t>no tendrá por efecto desligar al Estado parte interesado de las</w:t>
        <w:br/>
        <w:t>obligaciones contenidas en esta Convención en lo que concierne a todo hecho</w:t>
        <w:br/>
        <w:t>que, pudiendo constituir una violación de esas obligaciones, haya sido</w:t>
        <w:br/>
        <w:t>cumplido por él anteriormente a la fecha en la cual la denuncia produce</w:t>
        <w:br/>
        <w:t>efecto”.</w:t>
        <w:br/>
        <w:t>[11] Cfr. Caso Velásquez Rodríguez Vs. Honduras.  Excepciones  Preliminares.</w:t>
        <w:br/>
        <w:t>Sentencia de 26 de junio de 1987. Serie C No. 1, párr.  85,  y  Caso  Brewer</w:t>
        <w:br/>
        <w:t>Carías Vs. Venezuela. Excepciones Preliminares. Sentencia de 26 de  mayo  de</w:t>
        <w:br/>
        <w:t>2014. Serie C No. 278, párr. 83.</w:t>
        <w:br/>
        <w:t>[12] Cfr. Caso Velásquez Rodríguez Vs. Honduras. Fondo. Sentencia de  29  de</w:t>
        <w:br/>
        <w:t>julio de 1988. Serie C No. 4, párr. 63, y Caso Brewer Carías,  supra,  párr.</w:t>
        <w:br/>
        <w:t>83.</w:t>
        <w:br/>
        <w:t>[13]     Cfr. Caso Velásquez  Rodríguez.  Excepciones  Preliminares,  supra,</w:t>
        <w:br/>
        <w:t>párr. 88, y Caso Brewer Carías, supra, párr. 77.</w:t>
        <w:br/>
        <w:t>[14] Cfr. Caso Velásquez Rodríguez. Excepciones Preliminares, supra,  párrs.</w:t>
        <w:br/>
        <w:t>88 y 89, y Caso Brewer Carías, supra, párr. 77.</w:t>
        <w:br/>
        <w:t>[15]     Cfr. Caso Reverón Trujillo  Vs.  Venezuela.  Excepción  Preliminar,</w:t>
        <w:br/>
        <w:t>Fondo, Reparaciones y Costas. Sentencia de 30 de junio de 2009. Serie C  No.</w:t>
        <w:br/>
        <w:t>197, párr. 22, y Caso Brewer Carías, supra, párr. 84.</w:t>
        <w:br/>
        <w:t>[16]     Cfr. Caso Mémoli Vs. Argentina. Excepciones Preliminares, Fondo,</w:t>
        <w:br/>
        <w:t>Reparaciones y Costas. Sentencia de 22 de agosto de 2013. Serie C No. 265,</w:t>
        <w:br/>
        <w:t>párr. 47, y Caso Brewer Carías, supra, párr. 37.</w:t>
        <w:br/>
        <w:t>[17]     Cfr. Caso Velásquez Rodríguez.  Fondo,  supra,  párr.  61,  y  Caso</w:t>
        <w:br/>
        <w:t>Brewer Carías, supra, párr. 83.</w:t>
        <w:br/>
        <w:t>[18]     Cfr. Caso Velásquez Rodríguez. Fondo, supra,  párrs.  88  y  91,  y</w:t>
        <w:br/>
        <w:t>Caso Brewer Carías, supra, párr. 84.</w:t>
        <w:br/>
        <w:t>[19]     Cfr. Caso Reverón Trujillo, supra, párr. 23, y Caso Brewer  Carías,</w:t>
        <w:br/>
        <w:t>supra, párr. 84.</w:t>
        <w:br/>
        <w:t>[20]     Cfr. Petición inicial presentada ante la Comisión el 24 de abril</w:t>
        <w:br/>
        <w:t>de 2006 (expediente de trámite ante la Comisión, folios 1949 a 1997).</w:t>
        <w:br/>
        <w:t>[21]     Cfr. Comunicación de la Comisión Interamericana de 26 de julio de</w:t>
        <w:br/>
        <w:t>2006 (expediente de trámite ante la Comisión, folio 1945).</w:t>
        <w:br/>
        <w:t>[22]     Cfr. Observaciones sobre el Fondo presentada por el Estado</w:t>
        <w:br/>
        <w:t>venezolano de 12 de marzo de 2008 (expediente de trámite ante la Comisión,</w:t>
        <w:br/>
        <w:t>folios 1832 a 1835).</w:t>
        <w:br/>
        <w:t>[23]     Cfr. Observaciones sobre el Fondo presentada por el Estado</w:t>
        <w:br/>
        <w:t>venezolano de 25 de noviembre de 2009 (expediente de trámite ante la</w:t>
        <w:br/>
        <w:t>Comisión, folios 2213 a 2231).</w:t>
        <w:br/>
        <w:t>[24]     Cfr. Petición inicial presentada ante la Comisión el 20 de</w:t>
        <w:br/>
        <w:t>septiembre de 2004 (expediente de trámite ante la Comisión, folio 2574).</w:t>
        <w:br/>
        <w:t>[25]     Cfr. Comunicación de la Comisión Interamericana de 1 de diciembre</w:t>
        <w:br/>
        <w:t>de 2004 (expediente de trámite ante la Comisión, folio 2568). En el Informe</w:t>
        <w:br/>
        <w:t>de Admisibilidad No. 22/09 la Comisión señaló que la petición fue</w:t>
        <w:br/>
        <w:t>trasladada al Estado el 1 de diciembre de 2004 (expediente de trámite ante</w:t>
        <w:br/>
        <w:t>la Comisión, folio 2305).</w:t>
        <w:br/>
        <w:t>[26]     Cfr. Observaciones del Estado a la Petición No. 908-04, Igmar</w:t>
        <w:br/>
        <w:t>Alexander Landaeta Mejías (expediente de trámite ante la Comisión, folios</w:t>
        <w:br/>
        <w:t>2544 a 2555).</w:t>
        <w:br/>
        <w:t>[27]     El artículo 460 del Código Orgánico Procesal Penal establece que</w:t>
        <w:br/>
        <w:t>“el recurso de casación podrá fundarse en violación de la ley, por falta de</w:t>
        <w:br/>
        <w:t>aplicación, por indebida aplicación, o por errónea interpretación. Cuando</w:t>
        <w:br/>
        <w:t>el precepto legal que se invoque como violado constituya un defecto del</w:t>
        <w:br/>
        <w:t>procedimiento, el recurso sólo será admisible si el interesado ha reclamado</w:t>
        <w:br/>
        <w:t>oportunamente su subsanación, salvo en los casos de infracciones a</w:t>
        <w:br/>
        <w:t>garantías constitucionales o de las producidas después de la clausura del</w:t>
        <w:br/>
        <w:t>debate”.</w:t>
        <w:br/>
        <w:t>[28]     Cfr. Informe de Admisibilidad No. 22/09. Petición 908/04, Igmar</w:t>
        <w:br/>
        <w:t>Alexander Landaeta Mejías, Venezuela, 20 de marzo de 2009, párrs. 44 a 53</w:t>
        <w:br/>
        <w:t>(expediente de trámite ante la Comisión, folios 2310 a 2312).</w:t>
        <w:br/>
        <w:t>[29]     Informe de Admisibilidad No. 22/09. Petición 908/04, Igmar</w:t>
        <w:br/>
        <w:t>Alexander Landaeta Mejías, Venezuela, 20 de marzo de 2009, párr. 44</w:t>
        <w:br/>
        <w:t>(expediente de trámite ante la Comisión, folio 2310).</w:t>
        <w:br/>
        <w:t>[30]     La Comisión señaló en  su  Informe  de  Admisibilidad  respecto  de</w:t>
        <w:br/>
        <w:t>Igmar Landaeta que “46. El recurso extraordinario  de  casación,  mencionado</w:t>
        <w:br/>
        <w:t>por el Estado en su excepción  de  falta  de  agotamiento  de  los  recursos</w:t>
        <w:br/>
        <w:t>internos, tal como está regulado en  la  legislación  venezolana,  tiene  el</w:t>
        <w:br/>
        <w:t>objeto de impugnar violaciones de la ley por parte de los jueces  por  falta</w:t>
        <w:br/>
        <w:t>de aplicación, indebida aplicación o interpretación errónea  […].   47.  […]</w:t>
        <w:br/>
        <w:t>Asimismo, la Comisión  ha  indicado  que  cuando  los  peticionarios  alegan</w:t>
        <w:br/>
        <w:t>irregularidades a lo largo de distintas etapas del proceso, en principio  no</w:t>
        <w:br/>
        <w:t>deben agotar un recurso extraordinario dado que no  es  el  objeto  de  esos</w:t>
        <w:br/>
        <w:t>recursos corregir supuestas irregularidades en las etapas  de  investigación</w:t>
        <w:br/>
        <w:t>o  formulación  de  cargos  en  un  proceso  penal.   48.  Como  se   indicó</w:t>
        <w:br/>
        <w:t>anteriormente, los peticionarios alegaron una  serie  de  irregularidades  y</w:t>
        <w:br/>
        <w:t>omisiones que se habrían presentado en la fase de investigación del  proceso</w:t>
        <w:br/>
        <w:t>penal.  En particular, los peticionarios presentaron alegatos  tendientes  a</w:t>
        <w:br/>
        <w:t>desvirtuar  las  líneas  de  investigación  seguidas  por  las   autoridades</w:t>
        <w:br/>
        <w:t>respectivas  las  cuales,  según  alegaron,  no   estuvieron   dirigidas   a</w:t>
        <w:br/>
        <w:t>esclarecer los hechos de manera integral,  tomando  en  consideración  todas</w:t>
        <w:br/>
        <w:t>las posibilidades de su ocurrencia.  A título de ejemplo, la  Comisión  nota</w:t>
        <w:br/>
        <w:t>que no se llevó a  cabo  una  línea  de  investigación  para  determinar  la</w:t>
        <w:br/>
        <w:t>posible relación entre la muerte de Igmar Alexander Landaeta con  la  de  su</w:t>
        <w:br/>
        <w:t>hermano Eduardo José, asesinado semanas después, supuestamente por  miembros</w:t>
        <w:br/>
        <w:t>de la policía del estado Aragua, al igual que el primero.  En  tal  sentido,</w:t>
        <w:br/>
        <w:t>la Comisión considera  que  el  recurso  de  casación  no  era  idóneo  para</w:t>
        <w:br/>
        <w:t>impugnar las irregularidades alegadas por los peticionarios”.  Cfr.  Informe</w:t>
        <w:br/>
        <w:t>de Admisibilidad  No.  22/09.  Petición  908/04,  Igmar  Alexander  Landaeta</w:t>
        <w:br/>
        <w:t>Mejías, Venezuela, 20 de marzo de 2009,  párr.  44  (expediente  de  trámite</w:t>
        <w:br/>
        <w:t>ante la Comisión, folio 2311).</w:t>
        <w:br/>
        <w:t>[31]     Cfr. Sentencia de la Sala Accidental de la Corte de Apelaciones</w:t>
        <w:br/>
        <w:t>del Circuito Judicial Penal del estado Aragua de 10 de noviembre de 2003</w:t>
        <w:br/>
        <w:t>(anexos a la contestación, folios 9830 a 9842).</w:t>
        <w:br/>
        <w:t>[32]     El artículo 470 del Código Orgánico Procesal Penal establece que</w:t>
        <w:br/>
        <w:t>“[l]a revisión procederá contra la sentencia firme, en todo tiempo y</w:t>
        <w:br/>
        <w:t>únicamente a favor del imputado, en los casos siguientes: 1º. Cuando en</w:t>
        <w:br/>
        <w:t>virtud de sentencias contradictorias estén sufriendo condena dos o más</w:t>
        <w:br/>
        <w:t>personas por un mismo delito, que no pudo ser cometido más que por una</w:t>
        <w:br/>
        <w:t>sola; 2º. Cuando la sentencia dio por probado el homicidio de una persona</w:t>
        <w:br/>
        <w:t>cuya existencia posterior a la época de su presunta muerte resulte</w:t>
        <w:br/>
        <w:t>demostrada plenamente; 3º. Cuando la prueba en que se basó la condena</w:t>
        <w:br/>
        <w:t>resulta falsa; 4º. Cuando con posterioridad a la sentencia condenatoria,</w:t>
        <w:br/>
        <w:t>ocurra o se descubra algún hecho o aparezca algún documento desconocido</w:t>
        <w:br/>
        <w:t>durante el proceso, que sean de tal naturaleza que hagan evidente que el</w:t>
        <w:br/>
        <w:t>hecho no existió o que el imputado no lo cometió; 5º. Cuando la sentencia</w:t>
        <w:br/>
        <w:t>condenatoria fue pronunciada a consecuencia de prevaricación o corrupción</w:t>
        <w:br/>
        <w:t>de uno o más jueces que la hayan dictado, cuya existencia sea declarada por</w:t>
        <w:br/>
        <w:t>sentencia firme, y 6º. Cuando se promulgue una ley penal que quite al hecho</w:t>
        <w:br/>
        <w:t>el carácter de punible o disminuya la pena establecida.</w:t>
        <w:br/>
        <w:t>[33]     Cfr. Caso Velásquez  Rodríguez.  Excepciones  Preliminares,  supra,</w:t>
        <w:br/>
        <w:t>párrs. 88 y 91, y Caso Brewer Carías, supra, párr. 84.</w:t>
        <w:br/>
        <w:t>[34]     El Estado señaló los artículos correspondientes al Recurso de</w:t>
        <w:br/>
        <w:t>Casación según lo establecido por las modificatorias del Código Orgánico</w:t>
        <w:br/>
        <w:t>Procesal Penal publicadas en la Gaceta Oficial Extraordinaria No. 6.078 el</w:t>
        <w:br/>
        <w:t>15 de julio de 2012. Estos artículos son del 451 al 460 y el artículo 462</w:t>
        <w:br/>
        <w:t>(expediente de fondo, folios 1046 a 1047).</w:t>
        <w:br/>
        <w:t>[35]     El Estado señaló los artículos correspondientes al Recurso de</w:t>
        <w:br/>
        <w:t>Revisión según lo establecido por las modificatorias del Código Orgánico</w:t>
        <w:br/>
        <w:t>Procesal Penal publicadas en la Gaceta Oficial Extraordinaria No. 6.078 el</w:t>
        <w:br/>
        <w:t>15 de julio de 2012. Estos artículos son del 462 al 469  (expediente de</w:t>
        <w:br/>
        <w:t>fondo, folio 1047).</w:t>
        <w:br/>
        <w:t>[36]     Cfr. Caso de la “Panel  Blanca”  (Paniagua  Morales  y  otros)  Vs.</w:t>
        <w:br/>
        <w:t>Guatemala. Fondo. Sentencia de 8 de marzo de 1998. Serie C  No.  37,  párrs.</w:t>
        <w:br/>
        <w:t>69 a 76, y Caso Norín Catrimán y otros  (Dirigentes,  miembros  y  activista</w:t>
        <w:br/>
        <w:t>del Pueblo Indígena  Mapuche)  Vs.  Chile.  Fondo,  Reparaciones  y  Costas.</w:t>
        <w:br/>
        <w:t>Sentencia de 29 de mayo de 2014. Serie C No. 279, párr. 49.</w:t>
        <w:br/>
        <w:t>[37]     Cfr. Caso Lori Berenson Mejía Vs. Perú. Fondo, Reparaciones y</w:t>
        <w:br/>
        <w:t>Costas. Sentencia de 25 de noviembre de 2004. Serie C No. 119, párr. 64 y</w:t>
        <w:br/>
        <w:t>Caso Gutiérrez y Familia Vs. Argentina. Fondo, Reparaciones y Costas.</w:t>
        <w:br/>
        <w:t>Sentencia de 25 de noviembre de 2013. Serie C No. 271, párr. 79.</w:t>
        <w:br/>
        <w:t>[38]     El 19 de enero de 2013 el Estado remitió su escrito de</w:t>
        <w:br/>
        <w:t>contestación por equivocación al correo electrónico de la Comisión.</w:t>
        <w:br/>
        <w:t>Posteriormente, el 28 de enero del mismo año el Estado reenvió su escrito</w:t>
        <w:br/>
        <w:t>de contestación al correo electrónico de la Corte. Al respecto, la Corte</w:t>
        <w:br/>
        <w:t>observa que el plazo para la presentación del escrito de contestación del</w:t>
        <w:br/>
        <w:t>Estado vencía el 22 de enero de 2014, no obstante, tras haber  demostrado</w:t>
        <w:br/>
        <w:t>la comisión de un error involuntario relacionado con la dirección de correo</w:t>
        <w:br/>
        <w:t>electrónico a la cual fue dirigido el escrito, la Corte considera que la</w:t>
        <w:br/>
        <w:t>situación expuesta no afecta la presentación oportuna del escrito</w:t>
        <w:br/>
        <w:t>requerido.</w:t>
        <w:br/>
        <w:t>[39]     Cfr. Caso Velásquez Rodríguez. Fondo, supra, párr. 140, y Caso</w:t>
        <w:br/>
        <w:t>Norín Catrimán y otros (Dirigentes, miembros y activista del Pueblo</w:t>
        <w:br/>
        <w:t>Indígena Mapuche), supra, párr. 54.</w:t>
        <w:br/>
        <w:t>[40]     La Corte verifica que la Comisión remitió 20 notas de prensa</w:t>
        <w:br/>
        <w:t>(anexos al informe de fondo, folios 9, 22, 24, 26, 28, 29, 30, 32, 33, 34,</w:t>
        <w:br/>
        <w:t>35, 1015, 1018, 1019, 1020, 1022, 1024, 1025, 1027, 1028 y 1029).</w:t>
        <w:br/>
        <w:t>[41]     La Corte observa que los representantes remitieron siete notas de</w:t>
        <w:br/>
        <w:t>prensa (anexos al ESAP, folios 7013 - 7017).</w:t>
        <w:br/>
        <w:t>[42] Cfr. Caso Velásquez Rodríguez. Fondo, supra, párr. 146, y Caso Norín</w:t>
        <w:br/>
        <w:t>Catrimán y otros (Dirigentes, miembros y activista del Pueblo Indígena</w:t>
        <w:br/>
        <w:t>Mapuche), supra, párr. 58.</w:t>
        <w:br/>
        <w:t>[43]     Al respecto, el Estado  no  remitió  las  fotografías  de  carácter</w:t>
        <w:br/>
        <w:t>general y en detalle tomadas durante la inspección ocular  No.  1581  y  No.</w:t>
        <w:br/>
        <w:t>1582, en relación con el caso Igmar Landaeta. Respecto  de  las  fotografías</w:t>
        <w:br/>
        <w:t>solicitadas  que   sustentan   las   autopsias   No.872-96   y   No.1018-96,</w:t>
        <w:br/>
        <w:t>correspondientes a Igmar Landaeta y a Eduardo Landaeta, respectivamente,  el</w:t>
        <w:br/>
        <w:t>Estado señaló que durante la época de la realización de dichas autopsias  no</w:t>
        <w:br/>
        <w:t>se llevaban a cabo fijaciones fotográficas  con  el  fin  de  sustentar  los</w:t>
        <w:br/>
        <w:t>resultados de las mismas  (expediente de fondo, folios 1249 y 1279).</w:t>
        <w:br/>
        <w:t>[44]     Cfr. Caso Durand y Ugarte Vs. Perú. Fondo. Sentencia de 16 de</w:t>
        <w:br/>
        <w:t>agosto de 2000. Serie C No. 68, párr. 51, y Caso Yvon Neptune Vs. Haití.</w:t>
        <w:br/>
        <w:t>Fondo, Reparaciones y Costas. Sentencia de 6 de mayo de 2008. Serie C No.</w:t>
        <w:br/>
        <w:t>180, párr. 23.</w:t>
        <w:br/>
        <w:t>[45]     Cfr. Caso Loayza Tamayo Vs. Perú. Fondo. Sentencia de 17 de</w:t>
        <w:br/>
        <w:t>septiembre de 1997. Serie C No. 33, párr. 43, y Caso Norín Catrimán y otros</w:t>
        <w:br/>
        <w:t>(Dirigentes, miembros y activista del Pueblo Indígena Mapuche), supra,</w:t>
        <w:br/>
        <w:t>párr. 70.</w:t>
        <w:br/>
        <w:t>[46]     Cfr. Caso Apitz Barbera y otros (“Corte Primera de lo Contencioso</w:t>
        <w:br/>
        <w:t>Administrativo”) Vs. Venezuela. Excepción Preliminar, Fondo, Reparaciones y</w:t>
        <w:br/>
        <w:t>Costas. Sentencia de 5 de agosto de 2008. Serie C No. 182, párr. 14; Caso</w:t>
        <w:br/>
        <w:t>Uzcátegui y otros Vs. Venezuela. Fondo y Reparaciones. Sentencia de 3 de</w:t>
        <w:br/>
        <w:t>septiembre de 2012 Serie C No. 249, párr. 30, y Caso Castillo González y</w:t>
        <w:br/>
        <w:t>otros Vs. Venezuela. Fondo. Sentencia de 27 de noviembre de 2012. Serie C</w:t>
        <w:br/>
        <w:t>No. 256, párr. 31.</w:t>
        <w:br/>
        <w:t>[47]     Al respecto, la Comisión se fundamentó en las siguientes fuentes</w:t>
        <w:br/>
        <w:t>1) Informe de la CIDH sobre la situación de derechos Humanos en Venezuela</w:t>
        <w:br/>
        <w:t>(2003); 2) Informe de la CIDH sobre Democracia y Derechos Humanos en</w:t>
        <w:br/>
        <w:t>Venezuela (2009); 3) Informe del Relator Especial de Naciones Unidas sobre</w:t>
        <w:br/>
        <w:t>las ejecuciones extrajudiciales, sumarias o arbitrarias (2000); 4)</w:t>
        <w:br/>
        <w:t>Observaciones Finales del Comité de Derechos Humanos sobre Venezuela</w:t>
        <w:br/>
        <w:t>(2001); 5) Informe de la Organización No Gubernamental (en adelante “ONG”)</w:t>
        <w:br/>
        <w:t>Human Rights Watch (2010); 6) Informes de la ONG Amnistía Internacional</w:t>
        <w:br/>
        <w:t>(2000 y 2008); 7) Informe Anual de la Defensoría del Pueblo (2001); 8)</w:t>
        <w:br/>
        <w:t>Informe Anual del Fiscal General de la República (2005); 9) Informe de la</w:t>
        <w:br/>
        <w:t>ONG Programa Venezolano de Educación-Acción en Derechos Humanos, PROVEA</w:t>
        <w:br/>
        <w:t>(1996, 1997, 2007); 10) Balance de la Situación de los Derechos Humanos en</w:t>
        <w:br/>
        <w:t>el estado de Aragua entre julio de 1996 y marzo de 2003 de la Comisión de</w:t>
        <w:br/>
        <w:t>Derechos Humanos, Justicia y Paz del estado de Aragua.</w:t>
        <w:br/>
        <w:t>[48]     Al respecto, además de las fuentes señaladas por la Comisión, los</w:t>
        <w:br/>
        <w:t>representantes añadieron las siguientes fuentes: 1) Informes del Relator</w:t>
        <w:br/>
        <w:t>Especial de Naciones Unidas sobre las ejecuciones extrajudiciales, sumarias</w:t>
        <w:br/>
        <w:t>o arbitrarias (1998, 1999, 2001 y 2003); 2) Informes de la Defensoría del</w:t>
        <w:br/>
        <w:t>Pueblo (2002 y 2006); 3) Informes Anuales del Fiscal General de la</w:t>
        <w:br/>
        <w:t>República (2000 y 2007); 4) Estudios: Características de la policía</w:t>
        <w:br/>
        <w:t>venezolana de la Comisión Nacional para la Reforma Policial (2006); 5)</w:t>
        <w:br/>
        <w:t>Revista del Ministerio Público (2009); 6) Informe de la ONG Programa</w:t>
        <w:br/>
        <w:t>Venezolano de Educación-Acción en Derechos Humanos, PROVEA (1994, 1995,</w:t>
        <w:br/>
        <w:t>2002, 2008, 2009, 2010), y 7)Informes de la ONG Comité de Familiares de las</w:t>
        <w:br/>
        <w:t>Víctimas de los Sucesos de febrero y marzo de 1989, COFAVIC (2005).</w:t>
        <w:br/>
        <w:t>[49]     Caso Familia Barrios Vs. Venezuela. Fondo, Reparaciones y Costas.</w:t>
        <w:br/>
        <w:t>Sentencia de 24 de noviembre de 2011. Serie C No. 237, párr. 44.</w:t>
        <w:br/>
        <w:t>[50]     Caso Uzcátegui y otros, supra, párr. 35.</w:t>
        <w:br/>
        <w:t>[51]     Cfr. Organización de Naciones Unidas (ONU),  Comisión  de  Derechos</w:t>
        <w:br/>
        <w:t>Humanos. Informe del Relator Especial, Sr. Bacre Waly Ndiaye, presentado  en</w:t>
        <w:br/>
        <w:t>cumplimiento de la resolución 1993/71 de la Comisión  de  Derechos  Humanos,</w:t>
        <w:br/>
        <w:t>de 7 de diciembre de 1993. E/CN.4/1994/7. Disponible en  http://daccess-dds-</w:t>
        <w:br/>
        <w:t>ny.un.org/doc/UNDOC/GEN/G93/858/12/PDF/G9385812.pdf?OpenElement, párr. 638.</w:t>
        <w:br/>
        <w:t>[52]     Cfr. ONU, Consejo Económico y Social. Informe de la Relatora</w:t>
        <w:br/>
        <w:t>Especial, Sra. Asma Jahangir, presentado en cumplimiento de la resolución</w:t>
        <w:br/>
        <w:t>1998/68 de la Comisión de Derechos Humanos, Adición, Situación por países,</w:t>
        <w:br/>
        <w:t>de 6 de enero de 1999. E/CN.4/1999/39/Add.1. Disponible en http://daccess-</w:t>
        <w:br/>
        <w:t>dds-ny.un.org/doc/UNDOC/GEN/G99/100/29/PDF/G9910029.pdf?OpenElement, párr.</w:t>
        <w:br/>
        <w:t>258.</w:t>
        <w:br/>
        <w:t>[53]     Cfr. ONU, Comité de Derechos Humanos. Observaciones Finales del</w:t>
        <w:br/>
        <w:t>Comité de Derechos Humanos: Venezuela. 4/26/2001, de 26 de abril de 2001.</w:t>
        <w:br/>
        <w:t>CCPR/CO/71/VEN. Disponible en www.acnur.org/biblioteca/pdf/1373.pdf?view=1,</w:t>
        <w:br/>
        <w:t>párr. 8.</w:t>
        <w:br/>
        <w:t>[54]     Cfr. Comisión Interamericana de Derechos Humanos. Informe sobre la</w:t>
        <w:br/>
        <w:t>Situación de los derechos humanos en Venezuela, de 24 de octubre de 2003.</w:t>
        <w:br/>
        <w:t>OEA/Ser.L/V/II.118. Disponible en:</w:t>
        <w:br/>
        <w:t>http://www.cidh.org/countryrep/venezuela2003sp/cap.3.htm#cuerpos, párr.</w:t>
        <w:br/>
        <w:t>298, y http://www.cidh.org/countryrep/venezuela2003sp/cap.4.htm#Marco,</w:t>
        <w:br/>
        <w:t>párr. 333.</w:t>
        <w:br/>
        <w:t>[55]     De acuerdo con el estudio de Comité de Familiares de las Víctimas</w:t>
        <w:br/>
        <w:t>(COFAVIC) sobre las ejecuciones denunciadas entre 2000 y 2002 (los llamados</w:t>
        <w:br/>
        <w:t>“grupos de exterminio”), en la mayoría de los casos los responsables o</w:t>
        <w:br/>
        <w:t>sospechosos pertenecían a algún grupo comando de la policía. Cfr. Comisión</w:t>
        <w:br/>
        <w:t>Nacional para la Reforma Policial (CONAREPOL). Características de la</w:t>
        <w:br/>
        <w:t>Policía Venezolana (anexos al ESAP folios 6201, 6212, 6214).</w:t>
        <w:br/>
        <w:t>[56]     Defensoría del Pueblo de Venezuela, Informe Anual 2001 (anexos al</w:t>
        <w:br/>
        <w:t>ESAP, folio 3201).</w:t>
        <w:br/>
        <w:t>[57]     Cfr. Informe Anual del Fiscal de la República de 2007 (anexos al</w:t>
        <w:br/>
        <w:t>ESAP, folio 6512).</w:t>
        <w:br/>
        <w:t>[58]     Cfr. Declaración del perito Calixto Ávila de 29 de enero de 2014</w:t>
        <w:br/>
        <w:t>(expediente de fondo, folio 891).</w:t>
        <w:br/>
        <w:t>[59]     Cfr. Informe Anual de PROVEA de octubre de 1994 a septiembre de</w:t>
        <w:br/>
        <w:t>1996 (anexos al ESAP, folios 5938 y 6014).</w:t>
        <w:br/>
        <w:t>[60]     En adelante la Corte se referirá a las personas procesadas y/o</w:t>
        <w:br/>
        <w:t>involucradas como presuntos responsables de la muerte de Igmar Landaeta y</w:t>
        <w:br/>
        <w:t>de la detención y muerte de Eduardo Landaeta a través de la utilización de</w:t>
        <w:br/>
        <w:t>sus iniciales, a efectos de proteger su identidad. De igual manera, la</w:t>
        <w:br/>
        <w:t>Corte no ha podido identificar la identidad de AAC, pero de la prueba</w:t>
        <w:br/>
        <w:t>aportada pareciera haberse cometido un error en cuanto al nombre, quien en</w:t>
        <w:br/>
        <w:t>realidad hace referencia a AJCG, el cual fue procesado penalmente por la</w:t>
        <w:br/>
        <w:t>muerte de Igmar Landaeta y declarado inocente por la comisión de dicho</w:t>
        <w:br/>
        <w:t>delito.</w:t>
        <w:br/>
        <w:t>[61]     Cfr. Nota publicada en el diario “El Periódico” de 19 de noviembre</w:t>
        <w:br/>
        <w:t>de 1996, titulada “Suplico de rodillas” (anexos al informe de fondo, folio</w:t>
        <w:br/>
        <w:t>9).</w:t>
        <w:br/>
        <w:t>[62]     Cfr. Declaración de María Magdalena Mejías de 22 de abril de 1997</w:t>
        <w:br/>
        <w:t>(anexos a la contestación, folio 9283).</w:t>
        <w:br/>
        <w:t>[63]     Cfr. Declaración de María Magdalena Mejías de 20 de noviembre de</w:t>
        <w:br/>
        <w:t>1996 (anexos a la contestación, folio 9214). Adicionalmente, la Corte</w:t>
        <w:br/>
        <w:t>observa que el agente policial CJZM denunció ante la Fiscalía a María</w:t>
        <w:br/>
        <w:t>Magdalena Mejías y Eduardo Landaeta en virtud de presuntas amenazas de</w:t>
        <w:br/>
        <w:t>muerte recibidas en su contra después del fallecimiento de Igmar Landaeta.</w:t>
        <w:br/>
        <w:t>Cfr. Declaraciones de CJZM de 19 de noviembre de 1996 y 18 de abril de 1997</w:t>
        <w:br/>
        <w:t>(anexos a la contestación, folios 9184 y 9280).</w:t>
        <w:br/>
        <w:t>[64]     Cfr. Declaración jurada de María Magdalena Mejías de 23 de enero</w:t>
        <w:br/>
        <w:t>de 2014 (expediente de fondo, folio 773).</w:t>
        <w:br/>
        <w:t>[65]     La presente versión fue elaborada mediante las declaraciones de</w:t>
        <w:br/>
        <w:t>las siguientes personas: Yaiskel Elizabeth Garrido Rodríguez; Francisca</w:t>
        <w:br/>
        <w:t>Acosta Jaspe; Adeisa de la Trinidad Moffi García; Vicmar Loydinet</w:t>
        <w:br/>
        <w:t>Colmenares Acosta; José Francisco Hernández Ramírez; Jesús Chávez Cristin y</w:t>
        <w:br/>
        <w:t>Velmar Quintero.</w:t>
        <w:br/>
        <w:t>[66]     Cfr. Declaración de Yaiskel Elizabeth Garrido Rodríguez de 17 de</w:t>
        <w:br/>
        <w:t>noviembre de 1996 (anexos a la contestación, folio 9118); declaración de</w:t>
        <w:br/>
        <w:t>Francisca Acosta Jaspe de 18 de noviembre de 1996 (anexos a la</w:t>
        <w:br/>
        <w:t>contestación, folio 9129); declaración de Adeisa de la Trinidad Moffi</w:t>
        <w:br/>
        <w:t>García de 18 de noviembre de 1996 (anexos a la contestación, folio 9135);</w:t>
        <w:br/>
        <w:t>declaración de Vicmar Loydinet Colmenares Acosta de 18 de noviembre de 1996</w:t>
        <w:br/>
        <w:t>(anexos a la contestación, folio 9141), y declaración de José Francisco</w:t>
        <w:br/>
        <w:t>Hernández Ramírez de 18 de noviembre de 1996 (anexos a la contestación,</w:t>
        <w:br/>
        <w:t>folio 9148).</w:t>
        <w:br/>
        <w:t>[67]     Cfr. Declaración de Yaiskel Elizabeth Garrido Rodríguez de 24 de</w:t>
        <w:br/>
        <w:t>abril de 1997  (anexos a la contestación, folio 9307); declaración de</w:t>
        <w:br/>
        <w:t>Francisca Acosta Jaspe de 18 de noviembre de 1996 (anexos a la</w:t>
        <w:br/>
        <w:t>contestación, folio 9129), y declaración de Jesús Chávez Cristin de 11 de</w:t>
        <w:br/>
        <w:t>septiembre de 1997 (anexos a la contestación, folio 9337).</w:t>
        <w:br/>
        <w:t>[68]     Cfr. Declaraciones de Adeisa de la Trinidad Moffi García de 18 de</w:t>
        <w:br/>
        <w:t>noviembre de 1996 y 24 de abril de 1997 (anexos a la contestación, folios</w:t>
        <w:br/>
        <w:t>9135 y 9311) y declaración de Vicmar Loydinet Comenares Acosta de 18 de</w:t>
        <w:br/>
        <w:t>noviembre de 1996 (anexos a la contestación, folio 9141).</w:t>
        <w:br/>
        <w:t>[69]     Cfr. Declaraciones de Yaiskel Elizabeth Garrido Rodríguez de 17 de</w:t>
        <w:br/>
        <w:t>noviembre de 1996 y 24 de abril de 1997  (anexos a la contestación, folios</w:t>
        <w:br/>
        <w:t>9118 y 9307), y declaraciones de Adeisa de la Trinidad Moffi García de 18</w:t>
        <w:br/>
        <w:t>de noviembre de 1996 y 24 de abril de 1997 (anexos a la contestación,</w:t>
        <w:br/>
        <w:t>folios 9135 y 9311).</w:t>
        <w:br/>
        <w:t>[70]     Cfr. Declaración de Adeisa de la Trinidad Moffi García de 18 de</w:t>
        <w:br/>
        <w:t>noviembre de 1996 (anexos a la contestación, folio 9135).</w:t>
        <w:br/>
        <w:t>[71]     Cfr. Declaraciones de Francisca Acosta Jaspe de 18 de noviembre de</w:t>
        <w:br/>
        <w:t>1996 y 23 de abril de 1997 (anexos a la contestación, folios 9128 y 9297);</w:t>
        <w:br/>
        <w:t>declaración de Adeisa de la Trinidad Moffi García de 18 de noviembre de</w:t>
        <w:br/>
        <w:t>1996 (anexos a la contestación, folio 9136), y declaración de José</w:t>
        <w:br/>
        <w:t>Francisco Hernández Ramírez de 18 de noviembre de 1996 (anexos a la</w:t>
        <w:br/>
        <w:t>contestación, folio 9148).</w:t>
        <w:br/>
        <w:t>[72]     Cfr. Declaraciones de Francisca Acosta Jaspe de 18 de noviembre de</w:t>
        <w:br/>
        <w:t>1996 y 23 de abril de 1997 (anexos a la contestación, folios 9128, 9129 y</w:t>
        <w:br/>
        <w:t>9297); declaración de Adeisa de la Trinidad Moffi García de 18 de noviembre</w:t>
        <w:br/>
        <w:t>de 1996 (anexos a la contestación, folio 9135), declaración de Jesús Chávez</w:t>
        <w:br/>
        <w:t>Cristin de 11 de septiembre de 1997 (anexos a la contestación, folio 9336),</w:t>
        <w:br/>
        <w:t>y declaraciones de Vicmar Loydinet Colmenares Acosta de 18 de noviembre de</w:t>
        <w:br/>
        <w:t>1996 y 23 de abril de 1997 (anexos a la contestación, folios 9141, 9142 y</w:t>
        <w:br/>
        <w:t>9300).</w:t>
        <w:br/>
        <w:t>[73]     Cfr. Declaraciones de Adeisa de la Trinidad Moffi García de 18 de</w:t>
        <w:br/>
        <w:t>noviembre de 1996 y 24 de abril de 1997 (anexos a la contestación, folios</w:t>
        <w:br/>
        <w:t>9135, 9311 y 9312).</w:t>
        <w:br/>
        <w:t>[74]     Cfr. Declaración de Yaiskel Elizabeth Garrido Rodríguez de 17 de</w:t>
        <w:br/>
        <w:t>noviembre de 1996 (anexos a la contestación, folio 9119); declaración de</w:t>
        <w:br/>
        <w:t>Francisca Acosta Jaspe de 18 de noviembre de 1996 (anexos a la</w:t>
        <w:br/>
        <w:t>contestación, folio 9128); declaración de Adeisa de la Trinidad Moffi</w:t>
        <w:br/>
        <w:t>García de 18 de noviembre de 1996 (anexos a la contestación, folio 9135);</w:t>
        <w:br/>
        <w:t>declaración de Vicmar Loydinet Colmenares Acosta de 18 de noviembre de 1996</w:t>
        <w:br/>
        <w:t>(anexos a la contestación, folio 9141), y declaración de Jesús Chávez</w:t>
        <w:br/>
        <w:t>Cristin (anexos a la contestación, folio 9336).</w:t>
        <w:br/>
        <w:t>[75]     Cfr. Declaraciones de Yaiskel Elizabeth Garrido Rodríguez de 17 de</w:t>
        <w:br/>
        <w:t>noviembre de 1996 y 24 de abril de 1997 (anexos a la contestación, folios</w:t>
        <w:br/>
        <w:t>9118, 9119 y 9307); declaraciones de Francisca Acosta Jaspe de 18 de</w:t>
        <w:br/>
        <w:t>noviembre de 1996 y 23 de abril de 1997 (anexos a la contestación, folios</w:t>
        <w:br/>
        <w:t>9129 y 9296); declaraciones de Adeisa de la Trinidad Moffi García de 18 de</w:t>
        <w:br/>
        <w:t>noviembre de 1996 y 24 de abril de 1997  (anexos a la contestación, folios</w:t>
        <w:br/>
        <w:t>9136 y 9312); declaraciones de Vicmar Loydinet Colmenares Acosta de 18 de</w:t>
        <w:br/>
        <w:t>noviembre de 1996 y 23 de abril de 1997 (anexos a la contestación, folios</w:t>
        <w:br/>
        <w:t>9142 y 9301); declaración de José Francisco Hernández Ramírez de 18 de</w:t>
        <w:br/>
        <w:t>noviembre de 1996 (anexos a la contestación, folio 9149), y declaración de</w:t>
        <w:br/>
        <w:t>Jesús Chávez Cristin de 11 de septiembre de 1997 (anexos a la contestación,</w:t>
        <w:br/>
        <w:t>folio 9337).</w:t>
        <w:br/>
        <w:t>[76]     Cfr. Acta policial  por medio de la cual el agente Idelgar  Farrera</w:t>
        <w:br/>
        <w:t>hace constar la declaración del médico Velmar Quintero de  17  de  noviembre</w:t>
        <w:br/>
        <w:t>de 1996 (anexos a la contestación, folio 9111).</w:t>
        <w:br/>
        <w:t>[77]     La presente versión fue elaborada mediante las declaraciones de</w:t>
        <w:br/>
        <w:t>las siguientes personas: GACF; AJCG; July Esther Zacarías de Villanueva, y</w:t>
        <w:br/>
        <w:t>José Gregorio del Rosso Dona.</w:t>
        <w:br/>
        <w:t>[78]     Cfr. Declaraciones del agente GACF de 17 y 21 de noviembre de</w:t>
        <w:br/>
        <w:t>1996, 21 de noviembre de 1996, 22 de abril de 1997 y 18 de marzo de 1998</w:t>
        <w:br/>
        <w:t>(anexos a la contestación, folio 9169, 9217, 9286 a 9289, y 9436); acta de</w:t>
        <w:br/>
        <w:t>remisión de 18 de noviembre de 1996 (anexos a la contestación, folio 9171);</w:t>
        <w:br/>
        <w:t>declaración de July Esther Zacarías de Villanueva de 19 de noviembre de</w:t>
        <w:br/>
        <w:t>1996 (anexos a la contestación, folio 9180); declaración de José Gregorio</w:t>
        <w:br/>
        <w:t>del Rosso Dona de 21 de noviembre de 1996 (anexos a la contestación, folios</w:t>
        <w:br/>
        <w:t>9222 y 9223);  declaraciones del agente AJCG de 21 de noviembre de 1996,</w:t>
        <w:br/>
        <w:t>23 de abril de 1997  y 23 de marzo de 1998 (anexos a la contestación, folio</w:t>
        <w:br/>
        <w:t>9225, 9302 y 9303 y 9446).</w:t>
        <w:br/>
        <w:t>[79]     La Corte observa que el agente GACF manifestó que brindaron</w:t>
        <w:br/>
        <w:t>primeros auxilios a Igmar Landaeta. Cfr. Declaración del agente GACF de 17</w:t>
        <w:br/>
        <w:t>de noviembre de 1996 (anexos a la contestación, folio 9169).</w:t>
        <w:br/>
        <w:t>[80]     Cfr. Declaraciones del agente GACF de 17 y 21 de noviembre de 1996</w:t>
        <w:br/>
        <w:t>y 22 de abril de 1997 (anexos a la contestación, folios 9169 y 9170, 9217 y</w:t>
        <w:br/>
        <w:t>9288); declaración de José Gregorio del Rosso Dona de 21 de noviembre de</w:t>
        <w:br/>
        <w:t>1996 (anexos a la contestación, folio 9223) y declaración del agente AJCG</w:t>
        <w:br/>
        <w:t>de 21 de noviembre de 1996 (anexos a la contestación, folio 9225).</w:t>
        <w:br/>
        <w:t>[81]     Cfr. Declaración del agente GACF de 17 de noviembre de 1996 y 22</w:t>
        <w:br/>
        <w:t>de abril de 1997 (anexos a la contestación, folio 9170 y 9289); acta de</w:t>
        <w:br/>
        <w:t>novedades policiales de 17 de noviembre de 1996 (anexos a la contestación,</w:t>
        <w:br/>
        <w:t>folio 9205); acta de remisión de 18 de noviembre de 1996 (anexos a la</w:t>
        <w:br/>
        <w:t>contestación, folio 9171), y declaración del agente AJCG de 21 de noviembre</w:t>
        <w:br/>
        <w:t>de 1996 (anexos a la contestación, folio 9225).</w:t>
        <w:br/>
        <w:t>[82]     Cfr. Acta policial de 29 de diciembre de 1996 (anexos a la</w:t>
        <w:br/>
        <w:t>contestación, folio 7117).</w:t>
        <w:br/>
        <w:t>[83]     Cfr. Acta Policial de remisión de un ciudadano de diciembre de</w:t>
        <w:br/>
        <w:t>1996 (anexos a la contestación, folio 7111), y acta policial de 30 de</w:t>
        <w:br/>
        <w:t>diciembre de 1996 (anexos a la contestación, folio 7112).</w:t>
        <w:br/>
        <w:t>[84]     Cfr. Declaración de Ignacio Landaeta de 13 de febrero de 2004</w:t>
        <w:br/>
        <w:t>(anexos a la contestación, folios 7378), y declaración de María Magdalena</w:t>
        <w:br/>
        <w:t>Mejías de 16 de febrero de 2004 (anexos a la contestación, folios 7382).</w:t>
        <w:br/>
        <w:t>[85]     Cfr. Declaración de Ignacio Landaeta de 13 de febrero de 2004</w:t>
        <w:br/>
        <w:t>(anexos a la contestación, folios 7378 y 7379), y declaración de María</w:t>
        <w:br/>
        <w:t>Magdalena Mejías de 16 de febrero de 2004 (anexos a la contestación, folios</w:t>
        <w:br/>
        <w:t>7382 y 7383).</w:t>
        <w:br/>
        <w:t>[86]     Cfr. Acta Policial de remisión de un ciudadano de 30 de diciembre</w:t>
        <w:br/>
        <w:t>de 1996 (anexos a la contestación, folio 7111), y acta policial de 30 de</w:t>
        <w:br/>
        <w:t>diciembre de 1996 (anexos a la contestación, folio 7112).</w:t>
        <w:br/>
        <w:t>[87]     Cfr. Declaración de Ignacio Landaeta de 13 de febrero de 2004</w:t>
        <w:br/>
        <w:t>(anexos a la contestación, folios 7378 y 7379), y declaración de Ignacio</w:t>
        <w:br/>
        <w:t>Landaeta rendida durante la audiencia pública ante la Corte Interamericana</w:t>
        <w:br/>
        <w:t>el 6 de febrero de 2014.</w:t>
        <w:br/>
        <w:t>[88]     Cfr. Acta Policial de 30 de diciembre de 1996 (anexos a la</w:t>
        <w:br/>
        <w:t>contestación, folio 7113) y declaración de María Magdalena Mejías de 16 de</w:t>
        <w:br/>
        <w:t>febrero de 2004 (anexos a la contestación, folio 7383).</w:t>
        <w:br/>
        <w:t>[89]     Cfr. Declaración de Ignacio Landaeta de 13 de febrero de 2004</w:t>
        <w:br/>
        <w:t>(anexos a la contestación, folios 7378 y 7379), y declaración de Ignacio</w:t>
        <w:br/>
        <w:t>Landaeta rendida durante la audiencia pública ante la Corte Interamericana</w:t>
        <w:br/>
        <w:t>el 6 de febrero de 2014.</w:t>
        <w:br/>
        <w:t>[90]     Cfr. Transcripción de novedades de 31 de diciembre de 1996 (anexos</w:t>
        <w:br/>
        <w:t>a la contestación, folio 7105); informe de la Estación Central de 6 de</w:t>
        <w:br/>
        <w:t>enero de 1997 (anexos a la contestación, folio 7314); acta policial de 31</w:t>
        <w:br/>
        <w:t>de diciembre de 1996 (anexos a la contestación, folios 7109 y 7110), y</w:t>
        <w:br/>
        <w:t>declaraciones de CARA de 31 de diciembre de 1996 y 13 de agosto de 1997</w:t>
        <w:br/>
        <w:t>(anexos a la contestación, folios 7149 y 7216).</w:t>
        <w:br/>
        <w:t>[91]     Cfr. Transcripción de novedades de 31 de diciembre de 1996 (anexos</w:t>
        <w:br/>
        <w:t>a la contestación, folio 7105); informe de la Estación Central de 6 de</w:t>
        <w:br/>
        <w:t>enero de 1997 (anexos a la contestación, folio 7314); acta policial de 31</w:t>
        <w:br/>
        <w:t>de diciembre de 1996 (anexos a la contestación, folios 7109 y 7110);</w:t>
        <w:br/>
        <w:t>declaraciones de CARA de 31 de diciembre de 1996 y 13 de agosto de 1997</w:t>
        <w:br/>
        <w:t>(anexos a la contestación, folios 7149, 7150 y 7216); declaraciones de CARM</w:t>
        <w:br/>
        <w:t>de 31 de diciembre de 1996, 8 de julio de 1997 y 29 de septiembre de 1998</w:t>
        <w:br/>
        <w:t>(anexos a la contestación, folios 7151 y 7152, 7200 y 7305); declaraciones</w:t>
        <w:br/>
        <w:t>de FABP de 6 de enero de 1997, 22 de julio de 1998  y  28 de septiembre de</w:t>
        <w:br/>
        <w:t>1998 (anexos a la contestación, folio 7172, 7232, 7233 y 7303);</w:t>
        <w:br/>
        <w:t>declaraciones de Yuribet del Valle Rujano Castro de 19 de agosto de 1997,</w:t>
        <w:br/>
        <w:t>20 de abril de 1999, y 16 de enero de 2004   (anexos a la contestación,</w:t>
        <w:br/>
        <w:t>7218, 7336 y 8061 - 8065), y declaración de Virginia Hernández de Duarte de</w:t>
        <w:br/>
        <w:t>20 de abril de 1999 (anexos a la contestación, folio 7338).</w:t>
        <w:br/>
        <w:t>[92]     Cfr. Entrevista de Yasmira Thais Díaz Guerra de 30 de marzo de</w:t>
        <w:br/>
        <w:t>2004 (anexos a la contestación, folio 7507).</w:t>
        <w:br/>
        <w:t>[93]     Cfr. Transcripción de novedades de 17 de noviembre de 1996 (anexos</w:t>
        <w:br/>
        <w:t>a la contestación, folio 9100).</w:t>
        <w:br/>
        <w:t>[94]     Cfr. Declaración del agente Mohamed Roger de 17 de noviembre de</w:t>
        <w:br/>
        <w:t>1996 (anexos a la contestación, folio 9109).</w:t>
        <w:br/>
        <w:t>[95]     Cfr. Transcripción de novedades de 17 de noviembre de 1996  (anexos</w:t>
        <w:br/>
        <w:t>a la contestación, folio 9100); declaración del agente Mohamed Roger  de  17</w:t>
        <w:br/>
        <w:t>de noviembre de 1996 (anexos a la contestación, folio 9109),  y  declaración</w:t>
        <w:br/>
        <w:t>del agente Idelgar  Farrera  de  17  de  noviembre  de  1996  (anexos  a  la</w:t>
        <w:br/>
        <w:t>contestación, folios 9111 y 9112).</w:t>
        <w:br/>
        <w:t>[96]     Cfr. Declaración del agente Mohamed Roger de 17 de noviembre de</w:t>
        <w:br/>
        <w:t>1996 (anexos a la contestación, folio 9109), e inspección ocular de 16 de</w:t>
        <w:br/>
        <w:t>noviembre de 1996 (anexos a la contestación, folios 9121 y 9122).</w:t>
        <w:br/>
        <w:t>[97]     Cfr. Acta policial de 18 de noviembre de 1996  (anexos a la</w:t>
        <w:br/>
        <w:t>contestación, folios 9132 y 9133); acta policial de 18 de noviembre de 1998</w:t>
        <w:br/>
        <w:t>(anexos a la contestación, folio 9145); planilla de remisión de 18 de</w:t>
        <w:br/>
        <w:t>noviembre de 1996 (anexos a la contestación, folio 9134), y planilla de</w:t>
        <w:br/>
        <w:t>remisión No. 254-96 de 18 de noviembre de 1996 (anexos a la contestación,</w:t>
        <w:br/>
        <w:t>folio 9147).</w:t>
        <w:br/>
        <w:t>[98]     De acuerdo a la autopsia, Igmar Landaeta recibió dos disparos, los</w:t>
        <w:br/>
        <w:t>cuales tuvieron trayectorias distintas: i) el primero con “orificio de</w:t>
        <w:br/>
        <w:t>entrada [localizado en] 9no espacio intercostal izquierdo posterior con</w:t>
        <w:br/>
        <w:t>proyección de línea escapular interna [y con] orificio de salida [situado</w:t>
        <w:br/>
        <w:t>en] 6to espacio intercostal paraesternal derecho [, tuvo un t]rayecto de</w:t>
        <w:br/>
        <w:t>atrás hacia adelante, de abajo hacia arriba, de izquierda a derecha, y ii)</w:t>
        <w:br/>
        <w:t>el segundo con “orificio de entrada [en] puente nasal, con halo de</w:t>
        <w:br/>
        <w:t>contusión a su alrededor y orificio de salida [con afectación en la] región</w:t>
        <w:br/>
        <w:t>occipital parietal derecha, irregular, anfractuoso, [tuvo un t]rayecto de</w:t>
        <w:br/>
        <w:t>adelante hacia atrás, de izquierda a derecha, de arriba hacia abajo”. Cfr.</w:t>
        <w:br/>
        <w:t>Autopsia al cadáver de Igmar Landaeta de 18 de noviembre de 1996 (anexos a</w:t>
        <w:br/>
        <w:t>la contestación, folio 9210).</w:t>
        <w:br/>
        <w:t>[99]     Cfr. Análisis de traza de disparos de 19 de noviembre de 1996</w:t>
        <w:br/>
        <w:t>(anexos a la contestación, folio 9322).</w:t>
        <w:br/>
        <w:t>[100]    Cfr. Memorándum de remisión de prueba de 20 de noviembre de 1996,</w:t>
        <w:br/>
        <w:t>a efectos de realizar experticia legal (anexos a la contestación, folio</w:t>
        <w:br/>
        <w:t>9208).</w:t>
        <w:br/>
        <w:t>[101]    Cfr. Experticia de reconocimiento legal y comparación de  balística</w:t>
        <w:br/>
        <w:t>de 5 de diciembre de 1996 (anexos a la contestación, folios 9257 y 9258).</w:t>
        <w:br/>
        <w:t>[102]    Cfr. Acusación del Ministerio Público de 24 de febrero de 1997</w:t>
        <w:br/>
        <w:t>(anexos a la contestación, folios 9260 – 9263).</w:t>
        <w:br/>
        <w:t>[103]    Cfr. Oficios de traslado de expediente de 17 de septiembre de 1997</w:t>
        <w:br/>
        <w:t>(anexos a la contestación, folios 9362 a 9364).</w:t>
        <w:br/>
        <w:t>[104]    Cfr. Escrito de acusación de 23 septiembre de 1997 interpuesto por</w:t>
        <w:br/>
        <w:t>la representante legal de Ignacio Landaeta Muñoz (anexos a la contestación,</w:t>
        <w:br/>
        <w:t>folios 9407 a 9410).</w:t>
        <w:br/>
        <w:t>[105]    Cfr. Auto del Juzgado Sexto de Primera Instancia de 10 de octubre</w:t>
        <w:br/>
        <w:t>de 1997 (anexos a la contestación, folio 9367).</w:t>
        <w:br/>
        <w:t>[106]    De acuerdo con el Juzgado Superior Tercero, la  forma  en  que  los</w:t>
        <w:br/>
        <w:t>agentes policiales actuaron al momento de trasladar a Igmar Landaeta  Mejías</w:t>
        <w:br/>
        <w:t>al Centro Ambulatorio “no [fue] acorde con los reglamentos y  funciones  que</w:t>
        <w:br/>
        <w:t>debería tener cualquier funcionario policial […] toda vez que al  suscitarse</w:t>
        <w:br/>
        <w:t>un incidente donde pierde la vida un  ser  humano,  todo  agente  del  orden</w:t>
        <w:br/>
        <w:t>público debe esperar bien sea en el sitio del suceso o en este caso,  en  el</w:t>
        <w:br/>
        <w:t>lugar donde fue dejado el hoy occiso, por la presencia del  Órgano  Auxiliar</w:t>
        <w:br/>
        <w:t>de los Tribunales de la  República  de  Venezuela,  como  lo  es  el  Cuerpo</w:t>
        <w:br/>
        <w:t>Técnico  de  Policía  Judicial,  para  dar  inicio  como  se  dijo   a   las</w:t>
        <w:br/>
        <w:t>investigaciones que determinen con exactitud, la forma como se  ocurren  los</w:t>
        <w:br/>
        <w:t>hechos”.  Además,  el  Juzgado  consideró  que  de   algunas   declaraciones</w:t>
        <w:br/>
        <w:t>testimoniales  “se  desprend[ieron]  severos  indicios  de  culpabilidad   y</w:t>
        <w:br/>
        <w:t>responsabilidad penal”  en  contra  de  los  imputados.  Adicionalmente,  el</w:t>
        <w:br/>
        <w:t>Juzgado  consideró  que  del  protocolo  de  autopsia  y  el   levantamiento</w:t>
        <w:br/>
        <w:t>planimétrico se entendió que el disparo recibido en la punta nasal de  Igmar</w:t>
        <w:br/>
        <w:t>Landaeta Mejías se realizó desde una distancia muy  cercana  a  la  víctima.</w:t>
        <w:br/>
        <w:t>Cfr. Resolución del Juzgado Superior Tercero en lo Penal de 11 de  noviembre</w:t>
        <w:br/>
        <w:t>de 1997 (anexos a la contestación, folios 9370, 9379, 9381, 9385 a 9387).</w:t>
        <w:br/>
        <w:t>[107]    Cfr. Boletas de encarcelación de 15 de enero de 1998 (anexos a la</w:t>
        <w:br/>
        <w:t>contestación, folios 9399 y 9402).</w:t>
        <w:br/>
        <w:t>[108]    Al respecto, la Fiscalía estimó que el delito cometido era de tipo</w:t>
        <w:br/>
        <w:t>preterintencional, y arribó a dicha conclusión tras considerar que “quedó</w:t>
        <w:br/>
        <w:t>evidenciado plenamente que los imputados de autos no tuvieron intención de</w:t>
        <w:br/>
        <w:t>causar la muerte de [Igmar Landaeta] pero s[í] por el contrario, al hacer</w:t>
        <w:br/>
        <w:t>uso de sus armas de reglamento pretendían la aprehensión de los sujetos o</w:t>
        <w:br/>
        <w:t>repeler el ataque del cual fueron presuntamente objeto, o su intención</w:t>
        <w:br/>
        <w:t>estaba destinada a lesionar al sujeto que los agredió ilegítimamente dada</w:t>
        <w:br/>
        <w:t>la función que le es encomendada (ambos) en razón de sus funciones pero</w:t>
        <w:br/>
        <w:t>nunca pri[m]ó la intención dolosa de causar la muerte”. Cfr. Escrito de</w:t>
        <w:br/>
        <w:t>formulación de cargos del Ministerio Público de 21 de mayo de 1998 (anexos</w:t>
        <w:br/>
        <w:t>a la contestación, folio 9488).</w:t>
        <w:br/>
        <w:t>[109]    Cfr. Escrito de contestación de cargos y solicitud de libertad</w:t>
        <w:br/>
        <w:t>provisional (anexos a la contestación, folios 9494 y 9495), y boletas de</w:t>
        <w:br/>
        <w:t>excarcelación de 26 de mayo de 1998 (anexos a la contestación, folios 9515</w:t>
        <w:br/>
        <w:t>y 9516).</w:t>
        <w:br/>
        <w:t>[110]    Cfr. Auto del Juzgado Sexto de Primera Instancia en lo Penal de 21</w:t>
        <w:br/>
        <w:t>de julio de 1998 (anexos a la contestación, folio 9537). Asimismo, la Corte</w:t>
        <w:br/>
        <w:t>observa que durante la tramitación del proceso se recibieron un total de 41</w:t>
        <w:br/>
        <w:t>declaraciones de testigos e imputados. Cfr. Declaraciones recibidas durante</w:t>
        <w:br/>
        <w:t>la investigación de la causa respecto de Igmar Landaeta Landaeta (anexos a</w:t>
        <w:br/>
        <w:t>la contestación, folios 9109, 9111, 9118, 9128, 9135, 9138, 9141, 9148,</w:t>
        <w:br/>
        <w:t>9154, 9169, 9179, 9183, 9212, 9217, 9222, 9225, 9236, 9279, 9282, 9286,</w:t>
        <w:br/>
        <w:t>9292, 9296, 9300, 9302, 9307, 9311,  9315, 9328, 9330, 9332, 9435, 9445,</w:t>
        <w:br/>
        <w:t>9551, 9553, 9555, 9558, 9561, 9564, 9567, 9570 y 9573).</w:t>
        <w:br/>
        <w:t>[111]    Cfr. Escrito de Ignacio Landaeta Muñoz de 26 de septiembre de 1998</w:t>
        <w:br/>
        <w:t>(anexos a la contestación, folios 9576 y 9579).</w:t>
        <w:br/>
        <w:t>[112]    De acuerdo con el Juzgado Segundo, una vez que Igmar Landaeta se</w:t>
        <w:br/>
        <w:t>encontraba en el suelo producto del primer impacto de bala, el hoy occiso</w:t>
        <w:br/>
        <w:t>fue objeto de un segundo impacto que le causó la muerte, el cual era</w:t>
        <w:br/>
        <w:t>innecesario ya que con el primer disparo se le imposibilitó mantener el</w:t>
        <w:br/>
        <w:t>enfrentamiento con la comisión policial. En este sentido, el Juzgado</w:t>
        <w:br/>
        <w:t>Segundo consideró que el último disparo fue realizado por el agente GACF, a</w:t>
        <w:br/>
        <w:t>una distancia de poco más de 60 centímetros, apreciando que el ciudadano</w:t>
        <w:br/>
        <w:t>AJCG era quien se encontraba conduciendo el vehículo que servía de</w:t>
        <w:br/>
        <w:t>transporte a la comisión policial Cfr. Sentencia de Primera Instancia del</w:t>
        <w:br/>
        <w:t>Juzgado Segundo del Régimen Procesal Transitorio Circunscripción Judicial</w:t>
        <w:br/>
        <w:t>del estado de Aragua de 13 de octubre de 2000 (anexos a la contestación,</w:t>
        <w:br/>
        <w:t>folio 9604 a 9609). La Corte observa que el delito por el cual fue</w:t>
        <w:br/>
        <w:t>condenado en primera instancia el imputado GACF es distinto del delito por</w:t>
        <w:br/>
        <w:t>el cual fue acusado por la Fiscalía, a saber, homicidio preterintencional</w:t>
        <w:br/>
        <w:t>(supra párr. 82).</w:t>
        <w:br/>
        <w:t>[113]    Cfr. Escrito de apelación interpuesto por la defensa el 7 de</w:t>
        <w:br/>
        <w:t>noviembre de 2000 (anexos a la contestación, folio 9632) y sentencia de la</w:t>
        <w:br/>
        <w:t>Corte de Apelaciones de 25 de abril de 2002 (anexos a la contestación,</w:t>
        <w:br/>
        <w:t>folio 9659 y 9677).</w:t>
        <w:br/>
        <w:t>[114]    Cfr. Recurso de casación interpuesto por la defensa el 5 de junio</w:t>
        <w:br/>
        <w:t>de 2002 (anexos a la contestación, folios 9694 y 9700).</w:t>
        <w:br/>
        <w:t>[115]    Al respecto, la Sala de Casación consideró que “[e]l recurso de</w:t>
        <w:br/>
        <w:t>apelación ejercido contra una decisión dictada bajo la vigencia del Régimen</w:t>
        <w:br/>
        <w:t>Procesal Transitorio […] implica un nuevo estudio sobre los hechos objeto</w:t>
        <w:br/>
        <w:t>del proceso. Ello significa que debe examinarse el material probatorio</w:t>
        <w:br/>
        <w:t>analizado por el tribunal de primera instancia y valorar las pruebas de</w:t>
        <w:br/>
        <w:t>acuerdo con el sistema tarifado que establecía el [Código de Enjuiciamiento</w:t>
        <w:br/>
        <w:t>Criminal]”. Cfr. Sentencia del Tribunal Supremo de Justicia, en Sala de</w:t>
        <w:br/>
        <w:t>Casación Penal de 29 de noviembre de 2002 (anexos a la contestación, folios</w:t>
        <w:br/>
        <w:t>9732, 9737 y 9739).</w:t>
        <w:br/>
        <w:t>[116]    En este sentido, la Corte de Apelaciones estimó que entre otras</w:t>
        <w:br/>
        <w:t>cosas que el halo de contusión que dejó el segundo disparo de ninguna</w:t>
        <w:br/>
        <w:t>manera indica que el mismo se haya producido a corta distancia, es decir,</w:t>
        <w:br/>
        <w:t>próximo a contacto, en cuyo caso hubiese dejado halo de quemadura y las</w:t>
        <w:br/>
        <w:t>declaraciones de testigos corroboran las declaraciones de los funcionarios</w:t>
        <w:br/>
        <w:t>policiales, entendiendo que los hechos se enmarcan dentro de un contexto de</w:t>
        <w:br/>
        <w:t>ejercicio legítimo de la fuerza por parte de la autoridad tras utilizar la</w:t>
        <w:br/>
        <w:t>legítima defensa como único medio para someter al agresor armado a fin de</w:t>
        <w:br/>
        <w:t>que no continuara cometiendo los actos de agresión con uso de arma de fuego</w:t>
        <w:br/>
        <w:t>en contra de la comisión policial Cfr. Sentencia de la Sala Accidental de</w:t>
        <w:br/>
        <w:t>la Corte de Apelaciones del Circuito Judicial Penal del estado de Aragua de</w:t>
        <w:br/>
        <w:t>10 de noviembre de 2003 (anexos a la contestación, folios 9838 y 9841).</w:t>
        <w:br/>
        <w:t>[117]    En este sentido, consideró que, entre otros, existen</w:t>
        <w:br/>
        <w:t>incongruencias en las declaraciones de los funcionarios policiales y los</w:t>
        <w:br/>
        <w:t>testigos que respaldaron su versión, por lo cual deben ser desechadas. Cfr.</w:t>
        <w:br/>
        <w:t>Sentencia de la Sala Accidental de la Corte de Apelaciones del Circuito</w:t>
        <w:br/>
        <w:t>Judicial Penal del estado de Aragua de 10 de noviembre de 2003 (anexos a la</w:t>
        <w:br/>
        <w:t>contestación, folio 9850, 9855 y 9856).</w:t>
        <w:br/>
        <w:t>[118]    Cfr. Actas de notificación de 10 de noviembre de 2003 (anexos a la</w:t>
        <w:br/>
        <w:t>contestación, folios 9864, 9868 y 9869).</w:t>
        <w:br/>
        <w:t>[119]    Cfr. Solicitudes de apertura de averiguación administrativa contra</w:t>
        <w:br/>
        <w:t>los jueces Attaway Marcano y Alejandro Perillo de 5 de diciembre de 2003</w:t>
        <w:br/>
        <w:t>(expediente de trámite ante la Comisión, folios 1392 a 1397).</w:t>
        <w:br/>
        <w:t>[120]    Cfr. Acta de remisión de la causa al Archivo Judicial Central de</w:t>
        <w:br/>
        <w:t>22 de abril de 2004 (anexos a la contestación, folio 9878).</w:t>
        <w:br/>
        <w:t>[121]    Cfr. Oficio de la Seccional de Mariño de 31 de diciembre de 1996</w:t>
        <w:br/>
        <w:t>(anexos a la contestación, folio 7108), y acta policial de 31 de diciembre</w:t>
        <w:br/>
        <w:t>de 1996 (anexos a la contestación, folios 7109 y 7110).</w:t>
        <w:br/>
        <w:t>[122]    Cfr. Inspección ocular del lugar de los hechos de 31 de diciembre</w:t>
        <w:br/>
        <w:t>de 1996 (anexos a la contestación, folios 7119 y 7137); inspección ocular</w:t>
        <w:br/>
        <w:t>del cadáver de Eduardo Landaeta de 31 de diciembre de 1996 (anexos a la</w:t>
        <w:br/>
        <w:t>contestación, folio 7144); inspección ocular del cadáver de Eduardo</w:t>
        <w:br/>
        <w:t>Landaeta de 31 de diciembre de 1996 (anexos a la contestación, folio 7147);</w:t>
        <w:br/>
        <w:t>planilla de remisión de 31 de diciembre de 1996 (anexos a la contestación,</w:t>
        <w:br/>
        <w:t>folio 7146), y acta de autopsia de 31 de diciembre de 1996 (anexos a la</w:t>
        <w:br/>
        <w:t>contestación, folios 7207 a 7210), y acta policial de 31 de diciembre de</w:t>
        <w:br/>
        <w:t>1996 (anexos a la contestación, folio 7141).</w:t>
        <w:br/>
        <w:t>[123]    Cfr. Análisis de traza de disparos de 24 de enero de 1997 (anexos</w:t>
        <w:br/>
        <w:t>a la contestación, folios 7183 y 7184).</w:t>
        <w:br/>
        <w:t>[124]    Cfr. Oficio de la Comandancia General de Policía de 7 de enero de</w:t>
        <w:br/>
        <w:t>1997 (anexos a la contestación, folio 7444), y constancia de fecha</w:t>
        <w:br/>
        <w:t>desconocida de la Sala de Instrucción de la Insectoría General de Policía</w:t>
        <w:br/>
        <w:t>(anexos a la contestación, folio 7417).</w:t>
        <w:br/>
        <w:t>[125]    Cfr. Informe de experticia de reconocimiento legal y hematológica</w:t>
        <w:br/>
        <w:t>de 28 de enero de 1997 (anexos a la contestación, folios 7185 y 7186);</w:t>
        <w:br/>
        <w:t>informe de experticia de reconocimiento legal y hematológica de 10 de marzo</w:t>
        <w:br/>
        <w:t>de 1997 (anexos a la contestación, folios 7187 y 7188); informe de</w:t>
        <w:br/>
        <w:t>experticia de reconocimiento legal y hematológica de 10 de marzo de 1997</w:t>
        <w:br/>
        <w:t>(anexos a la contestación, folios 7189 a 7191); informe de experticia de</w:t>
        <w:br/>
        <w:t>reconocimiento legal y hematológica de 22 de julio de 1997 (anexos a la</w:t>
        <w:br/>
        <w:t>contestación, folios 7211 y 7212), e informe de experticia de</w:t>
        <w:br/>
        <w:t>reconocimiento legal y hematológica de 22 de octubre de 1997 (anexos a la</w:t>
        <w:br/>
        <w:t>contestación, folio 7225 y 7526).</w:t>
        <w:br/>
        <w:t>[126]    Cfr. Informe de experticia de reconocimiento legal de 22 de julio</w:t>
        <w:br/>
        <w:t>de 1998 (anexos a la contestación, folios 7229 y 7230). El material objeto</w:t>
        <w:br/>
        <w:t>de dicho reconocimiento legal lo constituyeron: cinco proyectiles; nueve</w:t>
        <w:br/>
        <w:t>conchas del calibre 7,65 mm, las cuales forman parte del cuerpo de una</w:t>
        <w:br/>
        <w:t>bala; un par de esposas comúnmente utilizadas en labores policiales, así</w:t>
        <w:br/>
        <w:t>como también en fuerzas armadas; dos anillos de uso femenino, y un par de</w:t>
        <w:br/>
        <w:t>chancletas.</w:t>
        <w:br/>
        <w:t>[127]    Cfr. Informe de autopsia de 10 de julio de 1997 (anexos a la</w:t>
        <w:br/>
        <w:t>contestación, folios 7209 y 7210).</w:t>
        <w:br/>
        <w:t>[128]    Cfr. Escrito de la Comisión de Derechos Humanos de Justicia y Paz</w:t>
        <w:br/>
        <w:t>del estado de Aragua de 27 de agosto de 1997 (anexos a la contestación,</w:t>
        <w:br/>
        <w:t>folio 7083); escrito de la Fiscalía Novena de 25 de marzo de 1998 (anexos a</w:t>
        <w:br/>
        <w:t>la contestación, folio 7082), y auto de Juzgado de los Municipios de</w:t>
        <w:br/>
        <w:t>Santiago Mariño y Libertador de 14 de mayo de 1998 (anexos a la</w:t>
        <w:br/>
        <w:t>contestación, folio 7086).</w:t>
        <w:br/>
        <w:t>[129]    Cfr. Denuncia formal del Ministerio Público de 8 de febrero de</w:t>
        <w:br/>
        <w:t>1999 (anexos a la contestación, folio 7097 y 7098).</w:t>
        <w:br/>
        <w:t>[130]    Cfr. Oficio del Juzgado Segundo de 7 de enero de 2000 (anexos a la</w:t>
        <w:br/>
        <w:t>contestación, folio 7341), y oficio de la Fiscalía de 30 de octubre de 2003</w:t>
        <w:br/>
        <w:t>(anexos a la contestación, folio 7347).</w:t>
        <w:br/>
        <w:t>[131]    Cfr. Declaración de Yuribet del Valle Rujano Castro 16 de enero de</w:t>
        <w:br/>
        <w:t>2004 (anexos a la contestación, folio 7362); declaración de Ignacio</w:t>
        <w:br/>
        <w:t>Landaeta de 13 de febrero de 2004 (anexos a la contestación de 13 de</w:t>
        <w:br/>
        <w:t>febrero de 2004, folios 7378 a 7381); declaración de María Magdalena Mejías</w:t>
        <w:br/>
        <w:t>de 16 de febrero de 2004 (anexos a la contestación, folio 7382);</w:t>
        <w:br/>
        <w:t>declaración de Yasmira Thais Díaz Guerra de 30 de marzo de 2004 (anexos a</w:t>
        <w:br/>
        <w:t>la contestación, folio 7507); declaración a AJCG de 17 de abril de 2004</w:t>
        <w:br/>
        <w:t>(anexos a la contestación, folio 7511); declaración de Francisco Alberto</w:t>
        <w:br/>
        <w:t>Castillo Matute de 14 de mayo de 2004 (anexos a la contestación, folio</w:t>
        <w:br/>
        <w:t>7528); declaración de Hector Eduardo Padilla Gorrin de 22 de junio de 2004</w:t>
        <w:br/>
        <w:t>(anexos a la contestación, folio 7574); acta de inspección técnica policial</w:t>
        <w:br/>
        <w:t>de 16 de abril de 2004 (anexos a la contestación, folio 7531); oficio de la</w:t>
        <w:br/>
        <w:t>Sub-Delegación de Mariño de 16 de abril de 2004 (anexos a la contestación,</w:t>
        <w:br/>
        <w:t>folio 7410), y Oficio del Centro Médico Maracay de 28 de mayo de 2004</w:t>
        <w:br/>
        <w:t>(anexos a la contestación, folio 7413).</w:t>
        <w:br/>
        <w:t>[132]    Cfr. Solicitud de sobreseimiento de la Fiscalía de 17 de julio de</w:t>
        <w:br/>
        <w:t>2004 (anexos a la contestación, folios 7582 y 7622 y 7623).</w:t>
        <w:br/>
        <w:t>[133]    Entre otros; 1) reconstrucción de los hechos; 2) motivos por los</w:t>
        <w:br/>
        <w:t>cuales el cuerpo de Eduardo Landaeta presentaba  desprendimiento parcial de</w:t>
        <w:br/>
        <w:t>piel de glúteo derecho con igual características en ambos codos, marcas</w:t>
        <w:br/>
        <w:t>circulares en las muñecas de ambas manos y esquimosis en el labio inferior;</w:t>
        <w:br/>
        <w:t>3) experticia balística de las tres balas extraídas del cuerpo de Eduardo</w:t>
        <w:br/>
        <w:t>Landaeta, y 4) determinar si realmente el vehículo donde trasladaban a</w:t>
        <w:br/>
        <w:t>Eduardo Landaeta presentó perforaciones de bala en el asiento trasero o en</w:t>
        <w:br/>
        <w:t>la parte interna de las puertas traseras. Cfr. Escrito de observaciones a</w:t>
        <w:br/>
        <w:t>la solicitud de sobreseimiento de 25 de agosto de 2004 (anexos a la</w:t>
        <w:br/>
        <w:t>contestación, folios 7679 a 7688).</w:t>
        <w:br/>
        <w:t>[134]    Cfr. Resolución del Tribunal de Primera Instancia de 9 de</w:t>
        <w:br/>
        <w:t>noviembre de 2004 (anexos a la contestación, folios 7706 y 7707).</w:t>
        <w:br/>
        <w:t>[135]    Cfr. Decisión de la Fiscalía Superior del estado de Aragua de 13</w:t>
        <w:br/>
        <w:t>de julio de 2005 (anexos a la contestación, folios 7758 y 7786).</w:t>
        <w:br/>
        <w:t>[136]    Cfr. Oficio de la Fiscalía de 21 de noviembre de 2005 (anexos a la</w:t>
        <w:br/>
        <w:t>contestación, folio 7805); Oficio de la Fiscalía de 21 de noviembre de 2005</w:t>
        <w:br/>
        <w:t>(anexos a la contestación, folio 7807); Oficio de la Fiscalía de 29 de</w:t>
        <w:br/>
        <w:t>abril de 2006 (anexos a la contestación, folio 7825), y Oficio de la</w:t>
        <w:br/>
        <w:t>Fiscalía de 29 de abril de 2006 (anexos a la contestación, folio 7826).</w:t>
        <w:br/>
        <w:t>[137]    Cfr. Solicitud de exhumación de 3 de julio de 2006 (anexos a la</w:t>
        <w:br/>
        <w:t>contestación, folio 7861 y 7832); acta de exhumación de 9 de agosto de 2006</w:t>
        <w:br/>
        <w:t>(anexos a la contestación, folio 7877); declaración de Jesús Delfín</w:t>
        <w:br/>
        <w:t>Martínez de 12 de diciembre de 2006 (anexos a la contestación, folio 7926),</w:t>
        <w:br/>
        <w:t>y escrito de Ignacio Landaeta de 1 de noviembre de 2006 (anexos a la</w:t>
        <w:br/>
        <w:t>contestación, folio 7921), oficio de la Fiscalía de 2 de noviembre de 2006</w:t>
        <w:br/>
        <w:t>(anexos a la contestación, folio 7923), e informe de 17 de mayo de 2007</w:t>
        <w:br/>
        <w:t>(anexos a la contestación, folio 7974 y 7975).</w:t>
        <w:br/>
        <w:t>[138]    Cfr. Oficio 05FT-0188-08 de 18 de abril de 2005 (anexos a la</w:t>
        <w:br/>
        <w:t>contestación, folio 8017 y 8020), y acta de reconstrucción de hechos de 4</w:t>
        <w:br/>
        <w:t>de junio de 2008 (anexos a la contestación, folio 8061).</w:t>
        <w:br/>
        <w:t>[139]    Cfr. Acusación de la Fiscalía de 15 de diciembre de 2008 (anexos a</w:t>
        <w:br/>
        <w:t>la contestación, folios 8097 y 8128).</w:t>
        <w:br/>
        <w:t>[140]    Cfr. Auto de 4 de mayo de 2009 (anexos a la contestación, folio</w:t>
        <w:br/>
        <w:t>8206).</w:t>
        <w:br/>
        <w:t>[141]    Cfr. Constancia de 10 de noviembre de 2009 donde se indica que no</w:t>
        <w:br/>
        <w:t>se realizó la audiencia porque no hubo despacho (anexos a la contestación,</w:t>
        <w:br/>
        <w:t>folio 8234); constancia de 14 de diciembre de 2009 donde se indica que no</w:t>
        <w:br/>
        <w:t>se realizó la audiencia por la incomparecencia del Fiscal (anexos a la</w:t>
        <w:br/>
        <w:t>contestación, folio 8247); constancia de 8 de febrero de 2010 donde se fijó</w:t>
        <w:br/>
        <w:t>nueva fecha para el 17 de marzo de 2010 (anexos a la contestación, folio</w:t>
        <w:br/>
        <w:t>8262); constancia de 19 de marzo de 2010 donde se indica que no se realizó</w:t>
        <w:br/>
        <w:t>la audiencia porque no hubo despacho (anexos a la contestación, folio</w:t>
        <w:br/>
        <w:t>8273); constancia de 29 de marzo de 2010 donde se indica que no se realizó</w:t>
        <w:br/>
        <w:t>la audiencia porque el Tribunal se encontraba realizando otros actos de</w:t>
        <w:br/>
        <w:t>continuación de Juicios (anexos a la contestación, folio 8275); constancia</w:t>
        <w:br/>
        <w:t>de 17 de junio de 2010 donde se indica que no se realizó la audiencia</w:t>
        <w:br/>
        <w:t>porque no hubo despacho (anexos a la contestación, folio 8298); constancia</w:t>
        <w:br/>
        <w:t>de 16 de julio de 2010 donde se indica que no se realizó la audiencia</w:t>
        <w:br/>
        <w:t>porque no comparecieron los acusados (anexos a la contestación, folio</w:t>
        <w:br/>
        <w:t>8314); constancia de 24 de septiembre de 2010 donde se indica que no se</w:t>
        <w:br/>
        <w:t>realizó la audiencia porque la defensa manifestó estar indispuesta por</w:t>
        <w:br/>
        <w:t>motivos de salud (anexos a la contestación, folio 8332); constancia de 24</w:t>
        <w:br/>
        <w:t>de septiembre de 2010 donde se indica que no se realizó la audiencia debido</w:t>
        <w:br/>
        <w:t>a la cantidad de continuaciones de juicios a celebrarse ese día (anexos a</w:t>
        <w:br/>
        <w:t>la contestación, folio 8347); constancia de 15 de noviembre de 2010 donde</w:t>
        <w:br/>
        <w:t>se indica que no se realizó la audiencia porque no compareció la defensa de</w:t>
        <w:br/>
        <w:t>los acusados (anexos a la contestación, folio 8363), y constancia de 9 de</w:t>
        <w:br/>
        <w:t>diciembre de 2010 donde se indica que no se realizó la audiencia porque no</w:t>
        <w:br/>
        <w:t>compareció la defensa de los acusados (anexos a la contestación, folio</w:t>
        <w:br/>
        <w:t>8371).</w:t>
        <w:br/>
        <w:t>[142]    Cfr. Acta del Tribunal de Primera Instancia de apertura del debate</w:t>
        <w:br/>
        <w:t>oral y público de 31 de enero de 2011 (anexos a la contestación, folio</w:t>
        <w:br/>
        <w:t>8398).</w:t>
        <w:br/>
        <w:t>[143]     Cfr. Actas de debate oral y público de 31 de enero;  10  y  21  de</w:t>
        <w:br/>
        <w:t>febrero; 10 y 25 de marzo; 7 y 26 de abril; 3,  17  y  31  de  mayo;  16  de</w:t>
        <w:br/>
        <w:t>junio; 8 y 25 de julio; 4 de agosto;  27 de septiembre; 4 y 17  de  octubre;</w:t>
        <w:br/>
        <w:t>1, 15 y 28 de noviembre, y 9, 12, 15 y 16 de diciembre de 2011 (anexos a  la</w:t>
        <w:br/>
        <w:t>contestación, folios 8398, 8411, 8423, 8453, 8475, 8506, 8565,  8600,  8649,</w:t>
        <w:br/>
        <w:t>8700, 8730, 8740, 8752, 8772, 8796, 8809,  8821,  8855,  8860,  8871,  8881,</w:t>
        <w:br/>
        <w:t>8888, 8896 y 8911).</w:t>
        <w:br/>
        <w:t>[144]    Cfr. Sentencia del Tribunal de Primera Instancia de 16 de</w:t>
        <w:br/>
        <w:t>diciembre de 2011 (anexos a la contestación, folios 8973 y 8974), y Recurso</w:t>
        <w:br/>
        <w:t>de apelación interpuesto por la Fiscalía el 16 de marzo de 2012 (anexos a</w:t>
        <w:br/>
        <w:t>la contestación, folios 9042 a 9047).</w:t>
        <w:br/>
        <w:t>[145]    Cfr. Sentencia de la Corte de Apelaciones de 30 de octubre de 2012</w:t>
        <w:br/>
        <w:t>(expediente de fondo, folios 927, 930 y 931).</w:t>
        <w:br/>
        <w:t>[146]    Cfr. Escrito de Ignacio Landaeta de 28 de febrero de 2013</w:t>
        <w:br/>
        <w:t>(expediente de fondo, folio 937), y Oficio IGT N° 1607-13 de 31 de mayo de</w:t>
        <w:br/>
        <w:t>2013 (expediente de fondo, folio 933).</w:t>
        <w:br/>
        <w:t>[147]    Cfr. Caso de los “Niños de la Calle” (Villagrán Morales y otros)</w:t>
        <w:br/>
        <w:t>Vs. Guatemala. Fondo. Sentencia de 19 de noviembre de 1999. Serie C No. 63,</w:t>
        <w:br/>
        <w:t>párr. 144, y Caso Luna López Vs. Honduras. Fondo, Reparaciones y Costas.</w:t>
        <w:br/>
        <w:t>Sentencia de 10 de octubre de 2013. Serie C No. 269, párr. 117.</w:t>
        <w:br/>
        <w:t>[148]    Cfr. Caso Velásquez Rodríguez. Excepciones Preliminares, supra,</w:t>
        <w:br/>
        <w:t>párr. 91, y Caso Gutiérrez y Familia supra, párr. 97.</w:t>
        <w:br/>
        <w:t>[149]     Cfr.  Caso  Montero  Aranguren  y  otros  (Retén  de  Catia)   Vs.</w:t>
        <w:br/>
        <w:t>Venezuela. Excepción Preliminar, Fondo, Reparaciones y Costas. Sentencia  de</w:t>
        <w:br/>
        <w:t>5 de julio de 2006. Serie C No. 150, párrs. 67 y ss., y Caso Nadege  Dorzema</w:t>
        <w:br/>
        <w:t>y otros Vs. República Dominicana. Fondo, Reparaciones  y  Costas.  Sentencia</w:t>
        <w:br/>
        <w:t>de 24 de octubre de 2012. Serie C No. 251, párr. 77.</w:t>
        <w:br/>
        <w:t>[150]    Cfr. ONU, Principios básicos sobre el empleo de la fuerza y de</w:t>
        <w:br/>
        <w:t>armas de fuego por los funcionarios encargados de cumplir la ley, adoptados</w:t>
        <w:br/>
        <w:t>por el Octavo Congreso de las Naciones Unidas sobre Prevención del Delito y</w:t>
        <w:br/>
        <w:t>Tratamiento del Delincuente, celebrado en La Habana, Cuba, del 27 de agosto</w:t>
        <w:br/>
        <w:t>al 7 de septiembre de 1990, y Código de conducta para funcionarios</w:t>
        <w:br/>
        <w:t>encargados de hacer cumplir la ley, aprobado por la Asamblea General de las</w:t>
        <w:br/>
        <w:t>Naciones Unidas en su Resolución 34/169, de 17 de diciembre de 1979.</w:t>
        <w:br/>
        <w:t>[151]    Cfr. Caso Nadege Dorzema y otros, supra, párr. 78.</w:t>
        <w:br/>
        <w:t>[152]    Cfr. Principios básicos sobre el empleo de la fuerza, supra,</w:t>
        <w:br/>
        <w:t>Principios No. 5, 6, 7, 11 inciso f), 22 y 23, y Código de conducta, supra,</w:t>
        <w:br/>
        <w:t xml:space="preserve"> artículos 1 a 8.</w:t>
        <w:br/>
        <w:t>[153]    Comunicación de Secretaría de 14 de febrero de 2014 (CDH-</w:t>
        <w:br/>
        <w:t>12.606/083) y Comunicación de Secretaría de 20 de mayo de 2014 (CDH-</w:t>
        <w:br/>
        <w:t>12.606/099) (expediente de fondo, folios 951 y 1225, respectivamente).</w:t>
        <w:br/>
        <w:t>[154]    Con base a lo señalado por el informe de la CONAREPOL (supra párr.</w:t>
        <w:br/>
        <w:t>51), tampoco se desprende la existencia de normativa interna en relación</w:t>
        <w:br/>
        <w:t>con el uso de la fuerza por agentes policiales durante el momento de los</w:t>
        <w:br/>
        <w:t>hechos. En este sentido, dicho informe señaló que “En el campo legislativo,</w:t>
        <w:br/>
        <w:t>los esfuerzos más destacados gira[ron] en torno a los intentos para</w:t>
        <w:br/>
        <w:t>modificar la estructura de la policía transformándola en un “Servicio</w:t>
        <w:br/>
        <w:t>Nacional de Policía” o crear una [P]olicía [N]acional, tema sobre el que</w:t>
        <w:br/>
        <w:t>incluso durante el desarrollo del proceso de diagnóstico, la Asamblea</w:t>
        <w:br/>
        <w:t>Nacional debatió. El debate no [era] nuevo, ya en 1974 el Ministerio de</w:t>
        <w:br/>
        <w:t>Interior de entonces preparó el “Proyecto de Ley Orgánica de Policía</w:t>
        <w:br/>
        <w:t>Nacional”; en 1976 se presentó otro proyecto denominado “Ley Orgánica de</w:t>
        <w:br/>
        <w:t>Servicios de Policía Nacional”; en 1987, la COPRE present[ó] al Congreso</w:t>
        <w:br/>
        <w:t>una “Ley Orgánica de Policía”, y en 1990 se present[ó] un nuevo proyecto de</w:t>
        <w:br/>
        <w:t>“Ley Orgánica de Policía Federal”. A la fecha, con un nuevo marco</w:t>
        <w:br/>
        <w:t>constitucional que contempla la creación de un cuerpo de policía nacional,</w:t>
        <w:br/>
        <w:t>las discusiones permanecen sin que se haya cristalizado ningún proyecto de</w:t>
        <w:br/>
        <w:t>ley de manera definitiva”. Es preciso indicar que en el año 2008 se aprobó</w:t>
        <w:br/>
        <w:t>la Ley Orgánica del Servicio de Policía y del Cuerpo de Policía Nacional</w:t>
        <w:br/>
        <w:t>Bolivariana, mediante la cual se establece el uso progresivo y diferenciado</w:t>
        <w:br/>
        <w:t>de la fuerza policial.</w:t>
        <w:br/>
        <w:t>[155]    Caso Montero Aranguren y otros (Retén de Catia), supra, párr. 66,</w:t>
        <w:br/>
        <w:t>y Caso Nadege Dorzema y otros, supra, párr. 80.</w:t>
        <w:br/>
        <w:t>[156]    Cfr. Caso Montero Aranguren y otros (Retén de Catia), supra, párr.</w:t>
        <w:br/>
        <w:t>75, y Caso Nadege Dorzema y otros, supra, párr. 80.</w:t>
        <w:br/>
        <w:t>[157]    Caso Nadege Dorzema y otros, supra, párr. 80, y Principios  básicos</w:t>
        <w:br/>
        <w:t>sobre el empleo de la fuerza, supra, Principio No. 2.</w:t>
        <w:br/>
        <w:t>[158]    Cfr. Caso  del  Caracazo  Vs.  Venezuela.  Reparaciones  y  Costas.</w:t>
        <w:br/>
        <w:t>Sentencia de 29 de agosto de 2002. Serie C No. 95, párr. 127, y Caso  Nadege</w:t>
        <w:br/>
        <w:t>Dorzema y otros, supra, párr. 81. Cfr. Tribunal Europeo de Derechos  Humanos</w:t>
        <w:br/>
        <w:t>(TEDH), Caso McCann y Otros v. Reino Unido [GS], No. 18984/91. Sentencia  de</w:t>
        <w:br/>
        <w:t>27 de septiembre de 1995, párr.  151,  y   Caso  Kakoulli  v.  Turquía,  No.</w:t>
        <w:br/>
        <w:t>38595/97. Sentencia de 22 de noviembre de 2005, párrs. 109 y 110.</w:t>
        <w:br/>
        <w:t>[159]    En el caso Myrna Mack Chang Vs. Guatemala la Corte concluyó que</w:t>
        <w:br/>
        <w:t>“[l]as medidas tendientes a controlar las labores de inteligencia deben ser</w:t>
        <w:br/>
        <w:t>especialmente rigurosas, puesto que, dadas las condiciones de reserva bajo</w:t>
        <w:br/>
        <w:t>las que se realizan esas actividades, pueden derivar hacia la comisión de</w:t>
        <w:br/>
        <w:t>violaciones de los derechos humanos. Estos organismos de inteligencia</w:t>
        <w:br/>
        <w:t>deben, inter alia: a) ser respetuosos, en todo momento de los derechos</w:t>
        <w:br/>
        <w:t>fundamentales de la personas, y b) estar sujetos al control de las</w:t>
        <w:br/>
        <w:t>autoridades civiles, incluyendo no solo las de la rama ejecutiva, sino</w:t>
        <w:br/>
        <w:t>también las de los otros poderes públicos, en lo pertinente”. Cfr. Caso</w:t>
        <w:br/>
        <w:t>Myrna Mack Chang Vs. Guatemala. Fondo, Reparaciones y Costas. Sentencia de</w:t>
        <w:br/>
        <w:t>25 de noviembre de 2003. Serie C No. 101, párr. 284.</w:t>
        <w:br/>
        <w:t>[160]    Cfr. Caso Castillo Petruzzi y otros Vs. Perú. Fondo, Reparaciones</w:t>
        <w:br/>
        <w:t>y Costas. Sentencia de 30 de mayo de 1999. Serie C No. 52, párr. 207, y</w:t>
        <w:br/>
        <w:t>Caso Norín Catrimán y otros (Dirigentes, miembros y activista del Pueblo</w:t>
        <w:br/>
        <w:t>Indígena Mapuche), supra, párr. 175.</w:t>
        <w:br/>
        <w:t>[161]    Cfr. Caso Velásquez Rodríguez. Fondo, supra, párr. 163, y Caso</w:t>
        <w:br/>
        <w:t>Furlan y Familiares Vs. Argentina. Excepciones Preliminares, Fondo,</w:t>
        <w:br/>
        <w:t>Reparaciones y Costas. Sentencia de 31 de agosto de 2012. Serie C No. 246,</w:t>
        <w:br/>
        <w:t>párr. 55.</w:t>
        <w:br/>
        <w:t>[162]    A manera de ejemplo en los siguientes casos, inter alia, se</w:t>
        <w:br/>
        <w:t>declaró la vulneración de derechos no invocados por las partes, en</w:t>
        <w:br/>
        <w:t>aplicación del principio iura novit curia: i) en el caso Velásquez</w:t>
        <w:br/>
        <w:t>Rodríguez Vs. Honduras se declaró violación del artículo 1.1 de la</w:t>
        <w:br/>
        <w:t>Convención; ii) en el caso Comunidad Indígena Sawhoyamaxa Vs. Paraguay se</w:t>
        <w:br/>
        <w:t>declaró la vulneración del artículo 3 de la Convención Americana; iii) en</w:t>
        <w:br/>
        <w:t>el caso de las Masacres de Ituango Vs. Colombia se declaró la violación del</w:t>
        <w:br/>
        <w:t>artículo 11.2 de la Convención; iv) en el caso Bueno Alves Vs. Argentina se</w:t>
        <w:br/>
        <w:t>declaró la vulneración del artículo 5.1 de la Convención Americana en</w:t>
        <w:br/>
        <w:t>perjuicio de los familiares del señor Bueno Alves; v) en el caso Kimel Vs.</w:t>
        <w:br/>
        <w:t>Argentina se declaró la violación del artículo 9 de la Convención</w:t>
        <w:br/>
        <w:t>Americana; vi) en el caso Heliodoro Portugal Vs. Panamá se declaró la</w:t>
        <w:br/>
        <w:t>vulneración del artículo I de la Convención sobre Desaparición Forzada, en</w:t>
        <w:br/>
        <w:t>relación con el artículo II de dicho instrumento; vii) en el caso Bayarri</w:t>
        <w:br/>
        <w:t>Vs. Argentina se declaró la violación de los artículos 1, 6 y 8 de la</w:t>
        <w:br/>
        <w:t>Convención Interamericana para Prevenir y Sancionar la Tortura; viii) en el</w:t>
        <w:br/>
        <w:t>caso Usón Ramírez Vs. Venezuela se declaró la violación del artículo 9 de</w:t>
        <w:br/>
        <w:t>la Convención Americana; ix) en el caso Vélez Loor Vs. Panamá se declaró la</w:t>
        <w:br/>
        <w:t>violación del artículo 9 de la Convención Americana, y x) en el caso Furlan</w:t>
        <w:br/>
        <w:t>y Familiares Vs. Argentina se declaró la violación del artículo 5 del mismo</w:t>
        <w:br/>
        <w:t>instrumento.</w:t>
        <w:br/>
        <w:t>[163]    Cfr. Caso Bueno Alves Vs. Argentina. Fondo, Reparaciones y Costas.</w:t>
        <w:br/>
        <w:t>Sentencia de 11 de mayo de 2007. Serie C No. 164, párr. 70, y Caso Furlán y</w:t>
        <w:br/>
        <w:t>Familiares, supra, párr. 55.</w:t>
        <w:br/>
        <w:t>[164]    Cfr. Caso Nadege Dorzema y otros, supra, párr. 82.</w:t>
        <w:br/>
        <w:t>[165]    Cfr. Caso Montero Aranguren y otros (Retén de Catia), supra,  párr.</w:t>
        <w:br/>
        <w:t>67, y Caso Nadege Dorzemay otros, supra, párr. 84.</w:t>
        <w:br/>
        <w:br/>
        <w:t>[166]    Caso Montero Aranguren y otros (Retén de Catia), supra,  párr.  69,</w:t>
        <w:br/>
        <w:t>y Caso Nadege Dorzema y otros, supra,  párr.  84.  Cfr.  Principios  básicos</w:t>
        <w:br/>
        <w:t>sobre el empleo de la fuerza, supra, Principio No. 9.</w:t>
        <w:br/>
        <w:br/>
        <w:t>[167]    Caso Montero Aranguren y otros (Retén de Catia), supra, párr. 80,</w:t>
        <w:br/>
        <w:t>y Caso Nadege Dorzema y otros, supra, párr. 89.</w:t>
        <w:br/>
        <w:t>[168]    Cfr. Caso Nadege Dorzema y otros, supra, párr. 85, y Principios</w:t>
        <w:br/>
        <w:t>básicos sobre el empleo de la fuerza, supra, Principios No. 1, 7, 8 y 11.</w:t>
        <w:br/>
        <w:t>[169]    Los artículos 282, 65 y 66 del Código Penal,  vigentes  al  momento</w:t>
        <w:br/>
        <w:t>de los hechos, disponían lo siguiente: “Artículo 282. Las personas a que  se</w:t>
        <w:br/>
        <w:t>refieren los artículos 280 y 281 no  podrán  hacer  uso  de  las  armas  que</w:t>
        <w:br/>
        <w:t>porten sino en caso de legítima defensa o de defensa del orden  público.  Si</w:t>
        <w:br/>
        <w:t>hicieren uso  indebido  de  dichas  armas,  quedarán  sujetas  a  las  penas</w:t>
        <w:br/>
        <w:t>impuestas por los artículos 278 y 279, según el caso, además  de  las  penas</w:t>
        <w:br/>
        <w:t>correspondientes  al  delito  en  que,   usando   dichas   armas,   hubieren</w:t>
        <w:br/>
        <w:t>incurrido”; “Artículo 65. No es punible: 1. El que obra en  cumplimiento  de</w:t>
        <w:br/>
        <w:t>un deber o en el ejercicio legítimo  de  un  derecho,  autoridad,  oficio  o</w:t>
        <w:br/>
        <w:t>cargo, sin traspasar los límites legales. […] 3. El que obra en  defensa  de</w:t>
        <w:br/>
        <w:t>su propia persona  o  derecho,  siempre  que  concurran  las  circunstancies</w:t>
        <w:br/>
        <w:t>siguientes: 1. Agresión ilegítima por parte del que resulta ofendido por  el</w:t>
        <w:br/>
        <w:t>hecho. 2. Necesidad del medio empleado para impedirla o repelerla. 3.  Falta</w:t>
        <w:br/>
        <w:t>de provocación suficiente de parte del que pretende haber obrado en  defensa</w:t>
        <w:br/>
        <w:t>propia”, y “Artículo 66. El que traspasare los límites impuestos por la  Ley</w:t>
        <w:br/>
        <w:t>en el caso del número 1º del artículo anterior, y por la autoridad  que  dio</w:t>
        <w:br/>
        <w:t>la orden en el caso del número 2º del mismo, y el que  se  excediere  en  la</w:t>
        <w:br/>
        <w:t>defensa, o en los  medios  empleados  para  salvarse  del  peligro  grave  e</w:t>
        <w:br/>
        <w:t>inminente, haciendo  más  de  lo  necesario,  será  castigado  con  la  pena</w:t>
        <w:br/>
        <w:t>correspondiente, disminuida desde uno a dos tercios. La pena  pecuniaria  se</w:t>
        <w:br/>
        <w:t>aplicará con disminución de la mitad”.</w:t>
        <w:br/>
        <w:t>[170]    Cfr. Caso Montero Aranguren y otros (Retén de Catia), supra,</w:t>
        <w:br/>
        <w:t>párrs. 67 a 68, y Caso Nadege Dorzema y otros, supra, párr. 85 ii). Cfr.</w:t>
        <w:br/>
        <w:t>Principios básicos sobre el empleo de la fuerza, supra, Principio No. 4.</w:t>
        <w:br/>
        <w:t>[171]    Caso Nadege Dorzema y otros, supra, párr.  85  ii),  y  TEDH,  Caso</w:t>
        <w:br/>
        <w:t>Kakoulli v. Turquía, supra, párr. 108.</w:t>
        <w:br/>
        <w:t>[172]    Cfr. Inter alia Caso Zambrano Vélez y otros Vs. Ecuador. Fondo,</w:t>
        <w:br/>
        <w:t>Reparaciones y Costas. Sentencia de 4 de julio de 2007. Serie C No. 166,</w:t>
        <w:br/>
        <w:t>párr. 85, y Caso Nadege Dorzema y otros, supra, párr. 85 iii). Cfr.</w:t>
        <w:br/>
        <w:t>Principios básicos sobre el empleo de la fuerza, supra, Principios No. 5 y</w:t>
        <w:br/>
        <w:t>9.</w:t>
        <w:br/>
        <w:t>[173]    Cfr. Caso Nadege Dorzema y otros, supra, párr. 85 iii), y</w:t>
        <w:br/>
        <w:t>Principios básicos sobre el empleo de la fuerza, supra,, Principios No. 2,</w:t>
        <w:br/>
        <w:t>4, 5 y 9.</w:t>
        <w:br/>
        <w:t>[174]    En los supuestos señalados en el Principio No. 9, se considera que</w:t>
        <w:br/>
        <w:t>los funcionarios encargados de hacer cumplir la ley deberán identificarse</w:t>
        <w:br/>
        <w:t>como tales y advertirán, con tiempo suficiente para que se tome en cuenta</w:t>
        <w:br/>
        <w:t>dicha advertencia, de manera clara su intención de hacer uso de armas de</w:t>
        <w:br/>
        <w:t>fuergo, siempre que ello no pusiera indebidamente en peligro a dichos, no</w:t>
        <w:br/>
        <w:t>creara un riesgo de muerte o daños graves a otras personas, o resultara</w:t>
        <w:br/>
        <w:t>evidentemente inadecuada o inútil dadas las circunstancias del caso. Cfr.</w:t>
        <w:br/>
        <w:t>Principios básicos sobre el empleo de la fuerza, supra,, Principio No. 9.</w:t>
        <w:br/>
        <w:t>[175]    Cfr. Declaraciones de los testigos Adeisa de la Trinidad Moffi</w:t>
        <w:br/>
        <w:t>Garcia, Vicmar Loydinet Colmenares Acosta,  Francisca Acosta Jaspe, Jesús</w:t>
        <w:br/>
        <w:t>Chávez Cristin (anexos a la contestación, folios 9135; 9141, 9142 y 9300;</w:t>
        <w:br/>
        <w:t>9128 y 9296; 9336, respectivamente).</w:t>
        <w:br/>
        <w:t>[176]    El perito José Pablo Baraybar señaló que “Cabe entonces</w:t>
        <w:br/>
        <w:t>preguntarse si es que una persona acostada en el piso, como es el caso ya</w:t>
        <w:br/>
        <w:t>demostrado de [Igmar Landaeta], pudo recibir un disparo "a distancia" en la</w:t>
        <w:br/>
        <w:t>cara de alguien que se encontraba en un plano superior a él, ya sea, por</w:t>
        <w:br/>
        <w:t>ejemplo, parado a su lado o por encima de él. La respuesta es claramente</w:t>
        <w:br/>
        <w:t>positiva, ya que la medida promedio entre el cañón de un arma corta</w:t>
        <w:br/>
        <w:t>empujada por la mano de una persona adulta con el brazo extendido, es mayor</w:t>
        <w:br/>
        <w:t>a 50 cm”. Cfr. Declaración del perito José Pablo Baraybar de 29 de enero de</w:t>
        <w:br/>
        <w:t>2014 (expediente de fondo, folio 834).</w:t>
        <w:br/>
        <w:t>[177]    Declaración del perito José Pablo Baraybar de 29 de enero de 2014</w:t>
        <w:br/>
        <w:t>(expediente de fondo, folios 832 a 833 y 843).</w:t>
        <w:br/>
        <w:t>[178]    Cfr. Sentencia de Primera Instancia del Juzgado Segundo del</w:t>
        <w:br/>
        <w:t>Régimen Procesal Transitorio Circunscripción Judicial del estado de Aragua</w:t>
        <w:br/>
        <w:t>de 13 de octubre de 2000 (anexos a la contestación, folio 9605).</w:t>
        <w:br/>
        <w:t>[179]    Cfr. Sentencia de la Corte de Apelaciones de 25 de abril de 2002</w:t>
        <w:br/>
        <w:t>(anexos a la contestación, folio 9673).</w:t>
        <w:br/>
        <w:t>[180]    La señora July Esther Zacarías de Villanueva era la hermana de</w:t>
        <w:br/>
        <w:t>Carlos Julio Zacarías Moreno y declaró a favor de la tesis del</w:t>
        <w:br/>
        <w:t>enfrentamiento de los agentes policiales. Cfr. Declaración de July Esther</w:t>
        <w:br/>
        <w:t>Zacarías de Villanueva de 19 de noviembre de 1996 (anexos a la</w:t>
        <w:br/>
        <w:t>contestación, folio 9180). Con base en declaraciones a nivel interno, se</w:t>
        <w:br/>
        <w:t>desprende que parecería que July Esther Zacarías de Villanueva conocía a</w:t>
        <w:br/>
        <w:t>los agentes policiales antes de los hechos y algunos testigos presenciales</w:t>
        <w:br/>
        <w:t>dicen haberla visto en el carro blanco durante la ocurrencia de los hechos.</w:t>
        <w:br/>
        <w:t>La señora July Zacarías negó dichas alegaciones (anexos a la contestación,</w:t>
        <w:br/>
        <w:t>folios 9181, 9212 y 9282).</w:t>
        <w:br/>
        <w:t>[181]    El señor José Gregorio del Rosso Dona declaró que supuestamente se</w:t>
        <w:br/>
        <w:t>encontraba en un carro marrón a 50 metros del lugar de los hechos y vio</w:t>
        <w:br/>
        <w:t>todo lo sucedido, se le preguntó si llegó a ver a alguna o algunas mujeres</w:t>
        <w:br/>
        <w:t>luego de que Igmar Landaeta cayó herido al suelo, a lo cual respondió que</w:t>
        <w:br/>
        <w:t>solamente vio a una señora que salió de su casa pero no se acercó al lugar</w:t>
        <w:br/>
        <w:t>de los hechos. Cfr. Declaración de José Gregorio del Rosso Dona de 19 de</w:t>
        <w:br/>
        <w:t>noviembre de 1996 (anexos a la contestación, folio 9224).</w:t>
        <w:br/>
        <w:t>[182]    Cfr. Caso Zambrano Vélez y otros, supra, párr. 110, y Caso Nadege</w:t>
        <w:br/>
        <w:t>Dorzema y otros, supra, párr. 89.</w:t>
        <w:br/>
        <w:t>[183]    Cfr. Caso Montero Aranguren y otros (Retén de Catia), supra, párr.</w:t>
        <w:br/>
        <w:t>68, y Caso Nadege Dorzemay otros, supra, párr. 92.</w:t>
        <w:br/>
        <w:t>[184]    Cfr. Caso Nadege Dorzema y otros, supra, párr. 100, y Principios</w:t>
        <w:br/>
        <w:t>básicos sobre el empleo de la fuerza, supra, Principio No. 5, incisos c) y</w:t>
        <w:br/>
        <w:t>d).</w:t>
        <w:br/>
        <w:t>[185]    Cfr. Caso Nadege Dorzema y otros, supra, párr. 100, y Principios</w:t>
        <w:br/>
        <w:t>básicos sobre el empleo de la fuerza, supra, Principio No. 6, 11 inciso f),</w:t>
        <w:br/>
        <w:t>y 22.</w:t>
        <w:br/>
        <w:t>[186]    Cfr. Caso Montero Aranguren y otros (Retén de Catia), supra,</w:t>
        <w:br/>
        <w:t>párrs. 79 a 83, y Caso Nadege Dorzema y otros, supra, párr. 100. Cfr.</w:t>
        <w:br/>
        <w:t>Principios básicos sobre el empleo de la fuerza, supra, Principios No. 6 y</w:t>
        <w:br/>
        <w:t>22.</w:t>
        <w:br/>
        <w:t>[187]    Cfr. Resolución del Juzgado Superior Tercero en lo Penal de  11  de</w:t>
        <w:br/>
        <w:t>noviembre de 1997 (anexos a la contestación, folio 9379).</w:t>
        <w:br/>
        <w:t>[188]    Cfr. Copia certificada del registro de defunción de Igmar Landaeta</w:t>
        <w:br/>
        <w:t>(anexos a la contestación, folio 9188), y Acta policial  por medio de la</w:t>
        <w:br/>
        <w:t>cual el agente Idelgar Farrera hace constar la declaración del médico</w:t>
        <w:br/>
        <w:t>Velmar Quintero de 17 de noviembre de 1996 (anexos a la contestación, folio</w:t>
        <w:br/>
        <w:t>9111).</w:t>
        <w:br/>
        <w:t>[189]    Cfr. Declaración del perito José Pablo Baraybar de 29 de enero de</w:t>
        <w:br/>
        <w:t>2014 (expediente de fondo, folio 833).</w:t>
        <w:br/>
        <w:t>[190]    Cfr. Caso Fernández Ortega y otros Vs. México. Excepciones</w:t>
        <w:br/>
        <w:t>Preliminares, Fondo, Reparaciones y Costas. Sentencia de 30 de agosto de</w:t>
        <w:br/>
        <w:t>2010. Serie C No. 215, párrs. 132, 150 y 202, y Caso Luna López, supra,</w:t>
        <w:br/>
        <w:t>párr. 140.</w:t>
        <w:br/>
        <w:t>[191]    La Corte ha establecido que el artículo 7 de la Convención tiene</w:t>
        <w:br/>
        <w:t>dos tipos de regulaciones diferenciadas entre sí: una general y otra</w:t>
        <w:br/>
        <w:t>específica. Por tanto, en lo concerniente a la obligación general, la Corte</w:t>
        <w:br/>
        <w:t>recuerda que “cualquier violación de los numerales 2 al 7 del artículo 7 de</w:t>
        <w:br/>
        <w:t>la Convención acarreará necesariamente la violación del artículo 7.1 de la</w:t>
        <w:br/>
        <w:t>misma”.   Caso Chaparro Álvarez y Lapo Íñiguez Vs. Ecuador. Excepciones</w:t>
        <w:br/>
        <w:t>Preliminares, Fondo, Reparaciones y Costas. Sentencia de 21 de noviembre de</w:t>
        <w:br/>
        <w:t>2007, Serie C No. 170, párr. 54, y Caso Norín Catrimán y otros (Dirigentes,</w:t>
        <w:br/>
        <w:t>miembros y activista del Pueblo Indígena Mapuche) Vs. Chile, supra, párr.</w:t>
        <w:br/>
        <w:t>308.</w:t>
        <w:br/>
        <w:t>[192]    Cfr. Caso del “Instituto de de Reeducación del Menor” Vs.</w:t>
        <w:br/>
        <w:t>Paraguay.  Excepciones Preliminares, Fondo, Reparaciones y Costas.</w:t>
        <w:br/>
        <w:t>Sentencia de 2 de septiembre de 2004. Serie C No. 112, párr. 268, y Caso</w:t>
        <w:br/>
        <w:t>Norín Catrimán y otros (Dirigentes, miembros y activista del Pueblo</w:t>
        <w:br/>
        <w:t>Indígena Mapuche), supra, párr. 310.</w:t>
        <w:br/>
        <w:t>[193]    Cfr. Caso “Instituto de Reeducación del Menor” Vs. Paraguay,</w:t>
        <w:br/>
        <w:t>supra, párr. 147, y Derechos y garantías de niñas y niños en el contexto de</w:t>
        <w:br/>
        <w:t>la migración y/o en necesidad de protección internacional. Opinión</w:t>
        <w:br/>
        <w:t>Consultiva OC-21/14 de 19 de agosto de 2014. Serie A No. 21, párr. 66.</w:t>
        <w:br/>
        <w:t>[194]    Cfr. Caso Chaparro Álvarez y Lapo Íñiguez Vs. Ecuador, supra,</w:t>
        <w:br/>
        <w:t>párr. 57, y Caso J. Vs. Perú, supra, párr. 126.</w:t>
        <w:br/>
        <w:t>[195]    El artículo 182 del Código de Enjuiciamiento Criminal, vigente al</w:t>
        <w:br/>
        <w:t>momento, disponía lo siguiente: “Siempre que resulte plenamente comprobado</w:t>
        <w:br/>
        <w:t>que se ha cometido un hecho punible que merezca pena corporal, sin estar</w:t>
        <w:br/>
        <w:t>evidentemente prescrita la acción penal correspondiente, y aparezcan</w:t>
        <w:br/>
        <w:t>fundados indicios de culpabilidad de una persona, el Tribunal instructor</w:t>
        <w:br/>
        <w:t>decretará la detención del indiciado, por su auto razonado contendrá: 1. El</w:t>
        <w:br/>
        <w:t>nombre y apellido del indiciado y cualesquiera otros datos que sirvan para</w:t>
        <w:br/>
        <w:t>su identificación. 2. Una relación suscita de los fundamentos de hecho y</w:t>
        <w:br/>
        <w:t>derecho del auto de detención y la calificación provisional del delito. El</w:t>
        <w:br/>
        <w:t>Tribunal instructor, si el procesado estuviere a su deposición, librará</w:t>
        <w:br/>
        <w:t>boleta de encarcelación que remitirá al funcionario que tenga a su cargo la</w:t>
        <w:br/>
        <w:t>dirección del establecimiento penal correspondiente. Dicha boleta</w:t>
        <w:br/>
        <w:t>contendrá: a) señalamiento del Tribunal que la expide; b) los datos de</w:t>
        <w:br/>
        <w:t>identidad del procesado; c) la calificación que se hubiere dado al delito</w:t>
        <w:br/>
        <w:t>en el auto de detención; d) la fecha de expedición y la firma del Juez y</w:t>
        <w:br/>
        <w:t>del Secretario. Cuando el procesado no estuviere detenido, se librará por</w:t>
        <w:br/>
        <w:t>el Tribunal orden de aprehensión a las autoridades de policía, con</w:t>
        <w:br/>
        <w:t>señalamiento de la identidad del indiciado y del lugar donde se encuentra,</w:t>
        <w:br/>
        <w:t>si se supiere. Si no se conociere se librará orden de requisitoria”.</w:t>
        <w:br/>
        <w:t>[196]    El artículo 183 del Código de Enjuiciamiento Criminal, vigente al</w:t>
        <w:br/>
        <w:t>momento, disponía lo siguiente: “A ninguna persona puede detenerse sin los</w:t>
        <w:br/>
        <w:t>requisitos establecidos en el artículo anterior, a menos que, siendo el</w:t>
        <w:br/>
        <w:t>delito de los que merecen pena corporal, sea dicha persona sorprendida</w:t>
        <w:br/>
        <w:t>infraganti. En este caso, cualquiera autoridad deberá, y cualquier</w:t>
        <w:br/>
        <w:t>particular podrá aprehender al sorprendido”.</w:t>
        <w:br/>
        <w:t>[197]    El artículo 184 del Código de Enjuiciamiento Criminal, vigente al</w:t>
        <w:br/>
        <w:t>momento, disponía lo siguiente: “Para los efectos del artículo precedente</w:t>
        <w:br/>
        <w:t>se tendrá como delito infraganti el que se comete actualmente o acaba de</w:t>
        <w:br/>
        <w:t>cometerse, también se tendrá como delito infraganti aquel por el cual se</w:t>
        <w:br/>
        <w:t>vea el culpable perseguido de la autoridad policial, de la persona</w:t>
        <w:br/>
        <w:t>agraviada o del clamor público, o en el que se le sorprenda, a poco de</w:t>
        <w:br/>
        <w:t>haberse cometido el hecho, en el mismo lugar o cerca del lugar donde se</w:t>
        <w:br/>
        <w:t>cometió, con armas, instrumentos u otros objetos que de alguna manera hagan</w:t>
        <w:br/>
        <w:t>presumir con fundamento que él es el delincuente”.</w:t>
        <w:br/>
        <w:t>[198]    Artículo 101 de la Ley Tutelar de Menores, publicada el martes 30</w:t>
        <w:br/>
        <w:t>de diciembre de 1980 en la Gaceta Oficial de la República de Venezuela</w:t>
        <w:br/>
        <w:t>(expediente de prueba para mejor resolver, folio 10559).</w:t>
        <w:br/>
        <w:t>[199]    Cfr. Caso “Instituto de Reeducación del Menor” Vs. Paraguay,supra,</w:t>
        <w:br/>
        <w:t>párr. 152, y Caso Mendoza y otros Vs. Argentina. Excepciones Preliminares,</w:t>
        <w:br/>
        <w:t>Fondo y Reparaciones. Sentencia de 14 de mayo de 2013 Serie C No. 260,</w:t>
        <w:br/>
        <w:t>párr. 188.</w:t>
        <w:br/>
        <w:t>[200]    En similar sentido, el Comité de Derechos del Niño  ha  establecido</w:t>
        <w:br/>
        <w:t>que “[l]os principios fundamentales relativos a  la  privación  de  libertad</w:t>
        <w:br/>
        <w:t>son los siguientes: a) la detención, el encarcelamiento o la prisión  de  un</w:t>
        <w:br/>
        <w:t>niño se llevará a cabo de conformidad con la ley y  se  utilizará  tan  sólo</w:t>
        <w:br/>
        <w:t>como medida de último recurso y durante el período más breve que proceda;  y</w:t>
        <w:br/>
        <w:t>b) ningún niño será privado de su libertad ilegal o  arbitrariamente”.  Cfr.</w:t>
        <w:br/>
        <w:t>ONU, Comité de Derechos del Niño. Observación General. No. 10, Los  derechos</w:t>
        <w:br/>
        <w:t>del niño en la justicia de menores, 25 de abril de 2007, párr. 79.</w:t>
        <w:br/>
        <w:t>[201]    Cfr. Informe pericial del Dr. Diego Camaño Viera, (expediente de</w:t>
        <w:br/>
        <w:t>fondo, folios 755 y 756), y Derechos y garantías de niñas y niños en el</w:t>
        <w:br/>
        <w:t>contexto de la migración y/o en necesidad de protección internacional.</w:t>
        <w:br/>
        <w:t>Opinión Consultiva OC-21/14, supra, párr. 159.</w:t>
        <w:br/>
        <w:t>[202]    Cfr. Caso Chaparro Álvarez y Lapo Íñiguez, supra, párr. 96, y Caso</w:t>
        <w:br/>
        <w:t>Norín Catrimán y otros (Dirigentes, miembros y activista del Pueblo</w:t>
        <w:br/>
        <w:t>Indígena Mapuche) Vs. Chile, supra, párr. 312.</w:t>
        <w:br/>
        <w:t>[203]    Cfr. Caso Juan Humberto Sánchez Vs. Honduras. Excepción</w:t>
        <w:br/>
        <w:t>Preliminar, Fondo, Reparaciones y Costas. Sentencia de 7 de junio de 2003.</w:t>
        <w:br/>
        <w:t>Serie C No. 99, párr. 82, y Caso J. Vs. Perú, supra, párr. 144.</w:t>
        <w:br/>
        <w:t>Adicionalmente, el derecho a ser informado de los motivos de la detención</w:t>
        <w:br/>
        <w:t>permite al detenido impugnar la legalidad de la misma, haciendo uso de los</w:t>
        <w:br/>
        <w:t>mecanismos legales que todo Estado debe ofrecer, en los términos del</w:t>
        <w:br/>
        <w:t>artículo 7.6 de la Convención. Cfr. Caso Chaparro Álvarez y Lapo Íñiguez,</w:t>
        <w:br/>
        <w:t>supra,  párr. 70, y Caso J. Vs. Perú, supra, párr. 144.</w:t>
        <w:br/>
        <w:t>[204]    En este sentido, el Comité de Derechos de los Niños, ha</w:t>
        <w:br/>
        <w:t>interpretado los términos de “ser informado sin demora y directamente de</w:t>
        <w:br/>
        <w:t>los cargos”, del artículo 40.2 de la CDN, en el sentido de “lo antes</w:t>
        <w:br/>
        <w:t>posible, es decir cuando el fiscal o el juez inicie las actuaciones</w:t>
        <w:br/>
        <w:t>judiciales contra el niño. ONU, Comité de Derechos del Niño. Observación</w:t>
        <w:br/>
        <w:t>General. No. 10, supra, párr. 47.</w:t>
        <w:br/>
        <w:t>[205]    ONU. Reglas Mínimas para la Administración de la Justicia de</w:t>
        <w:br/>
        <w:t>Menores (Reglas de Beijing). Adoptadas por la Asamblea General en su</w:t>
        <w:br/>
        <w:t>Resolución 40/33, de 28 de noviembre de 1985, Regla 10.1.</w:t>
        <w:br/>
        <w:t>[206]    Cfr. Caso Bulacio Vs. Argentina. Fondo, Reparaciones y Costas.</w:t>
        <w:br/>
        <w:t>Sentencia de 18 de Septiembre de 2003. Serie C No. 100, párr. 129, y Caso</w:t>
        <w:br/>
        <w:t>J. Vs. Perú, supra, párr. 143.</w:t>
        <w:br/>
        <w:t>[207]    Cfr. CIDH. Justicia juvenil y derechos humanos, OEA/Ser.L/V/II.</w:t>
        <w:br/>
        <w:t>Doc 78, adoptado el 13 de julio de 2011, párr. 253, y Caso Bulacio, supra,</w:t>
        <w:br/>
        <w:t>párr.132.</w:t>
        <w:br/>
        <w:t>[208]    Cabe notar que existe contradicción en la precisión de la hora en</w:t>
        <w:br/>
        <w:t>que la madre del menor consignó copia simple de cédula de identidad y del</w:t>
        <w:br/>
        <w:t>acta de nacimiento que indicaba la minoría de edad de Eduardo Landaeta. Por</w:t>
        <w:br/>
        <w:t>un lado el Estado señaló que esta información fue proporcionada el día 30</w:t>
        <w:br/>
        <w:t>de diciembre de 1996 a las 21:00 horas, mientras que los representantes</w:t>
        <w:br/>
        <w:t>afirman que ese mismo día, pero a las 19:30 horas.</w:t>
        <w:br/>
        <w:t>[209]    Cfr. Derechos y garantías de niñas y niños en el contexto de la</w:t>
        <w:br/>
        <w:t>migración y/o en necesidad de protección internacional. Opinión Consultiva</w:t>
        <w:br/>
        <w:t>OC-21/14, supra, párr. 88, y Alto Comisionado de las Naciones Unidas para</w:t>
        <w:br/>
        <w:t>los Refugiados (ACNUR), Comité Ejecutivo, Conclusión sobre los niños en</w:t>
        <w:br/>
        <w:t>situación de riesgo, UN Doc. 107 (LVIII)-2007, publicada el 5 de octubre de</w:t>
        <w:br/>
        <w:t>2007, párr. g).ix).</w:t>
        <w:br/>
        <w:t>[210]    Cfr. ONU, Comité de Derechos del Niño. Observación General Nº 6,</w:t>
        <w:br/>
        <w:t>Trato de los menores no acompañados y separados de su familia fuera de su</w:t>
        <w:br/>
        <w:t>país de origen, 1 de septiembre de 2005, párr. 31, y Comisión de Derechos</w:t>
        <w:br/>
        <w:t>Humanos del Distrito Federal, México. Recomendación 5/2004, párr. 4.4.4.</w:t>
        <w:br/>
        <w:t>[211]    ONU, Comité de Derechos del Niño. Observación General Nº 6, supra,</w:t>
        <w:br/>
        <w:t>párr. 31.</w:t>
        <w:br/>
        <w:t>[212]    El artículo 98 establece que  “Cualquier cuerpo policial que tenga</w:t>
        <w:br/>
        <w:t>noticia de que un menor se encuentre en algunas de las situaciones</w:t>
        <w:br/>
        <w:t>previstas en el Titulo I de este libro, procederá de inmediato a</w:t>
        <w:br/>
        <w:t>trasladarlo a un establecimiento del Instituto Nacional del menor y</w:t>
        <w:br/>
        <w:t>notificará del hecho al Juez y al procurador de menores”.</w:t>
        <w:br/>
        <w:t>[213]    Declaración de la perita Denotila Hernández de 28 de enero de 2014</w:t>
        <w:br/>
        <w:t>(expediente de fondo, folio 871).</w:t>
        <w:br/>
        <w:t>[214]    La Ley de Protección Integral de la Niñez y Adolescencia de</w:t>
        <w:br/>
        <w:t>Guatemala dispone un plazo de 6 horas para presentar al menor ante la</w:t>
        <w:br/>
        <w:t>autoridad competente. El Código de la Niñez y Adolescencia de Uruguay ha</w:t>
        <w:br/>
        <w:t>implementado en su legislación interna un plazo máximo de 12 horas para la</w:t>
        <w:br/>
        <w:t>permanencia de los niños en dependencias policiales y un plazo de máximo</w:t>
        <w:br/>
        <w:t>dos horas para que la autoridad policial comunique al juez la detención. De</w:t>
        <w:br/>
        <w:t>manera similar, el Código de la Niñez y la Adolescencia de Nicaragua señala</w:t>
        <w:br/>
        <w:t>que la policía debe remitir a la autoridad competente a los adolescentes</w:t>
        <w:br/>
        <w:t>detenidos en un plazo de 24 horas. Por su parte, México contempla en su Ley</w:t>
        <w:br/>
        <w:t>Federal de Justicia para Adolescentes el término de 24 horas para informar</w:t>
        <w:br/>
        <w:t>a un Juzgado Especializado para Adolescentes sobre medidas de privación de</w:t>
        <w:br/>
        <w:t>libertad a menores. Asimismo, en Ecuador el Código de la Niñez y</w:t>
        <w:br/>
        <w:t>Adolescencia establece que ningún adolescente podrá ser detenido sin</w:t>
        <w:br/>
        <w:t>fórmula de juicio por más de 24 horas. Este mismo plazo ha sido aplicado</w:t>
        <w:br/>
        <w:t>por otros países de la región, a saber: el Código de la Niñez y la</w:t>
        <w:br/>
        <w:t>Adolescencia de la República de Honduras; la Ley de Responsabilidad de los</w:t>
        <w:br/>
        <w:t>Adolescentes por Infracciones a la ley penal de la República de Chile; el</w:t>
        <w:br/>
        <w:t>Código del Niño, Niña y el Adolescente de la República de Bolivia.</w:t>
        <w:br/>
        <w:t>Asimismo, el Código para la Protección de los Derechos de los Niños, Niñas</w:t>
        <w:br/>
        <w:t>y Adolescentes de la República Dominicana establece un plazo de 36 horas,</w:t>
        <w:br/>
        <w:t>donde la policía nacional ordinaria y la policía especializada tienen un</w:t>
        <w:br/>
        <w:t>plazo de 12 horas para presentar al implicado ante el Ministerio Público,</w:t>
        <w:br/>
        <w:t>el cual tiene 24 horas para presentar al menor ante un Juez.</w:t>
        <w:br/>
        <w:t>[215]    ONU, Comité de Derechos  del  Niño.  Observación  General  No.  10,</w:t>
        <w:br/>
        <w:t>supra, párr. 83. Por su parte, el Tribunal Europeo de Derechos  Humanos,  en</w:t>
        <w:br/>
        <w:t>el caso Ipek and others v Turquía, retomó el estándar reomendado  el  Comité</w:t>
        <w:br/>
        <w:t>de Ministros de de Estados Miembros del Consejo de Europa de acuerdo con  el</w:t>
        <w:br/>
        <w:t>cual los menores no deben ser detenidos bajo custodia policial  por  más  de</w:t>
        <w:br/>
        <w:t>48 horas en total y para los delincuentes más jóvenes  deben  hacerse  todos</w:t>
        <w:br/>
        <w:t>los esfuerzos para reducir este tiempo aun  más.  Cfr.  TEDH,  Caso  Ipek  y</w:t>
        <w:br/>
        <w:t>otros v. Turquía, No. 17019/02 y 30070/02. Sentencia de 5 de marzo de  2009,</w:t>
        <w:br/>
        <w:t>párr. 18.</w:t>
        <w:br/>
        <w:t>[216]    Cfr. Caso Velásquez Rodríguez Vs. Honduras. Fondo, supra, párr.</w:t>
        <w:br/>
        <w:t>174, y Caso Masacres de El Mozote y lugares aledaños Vs. El Salvador.</w:t>
        <w:br/>
        <w:t>Fondo, Reparaciones y Costas. Sentencia de 25 de octubre de 2012 Serie C</w:t>
        <w:br/>
        <w:t>No. 252, párr. 144.</w:t>
        <w:br/>
        <w:t>[217]    Cfr. Caso Velásquez Rodríguez Vs. Honduras. Fondo, supra, párr.</w:t>
        <w:br/>
        <w:t>173, y Caso Masacre de Santo Domingo Vs. Colombia. Excepciones</w:t>
        <w:br/>
        <w:t>Preliminares, Fondo y Reparaciones. Sentencia de 30 de noviembre de 2012.</w:t>
        <w:br/>
        <w:t>Serie C No. 259, párr. 156.</w:t>
        <w:br/>
        <w:t>[218]    Cfr. Caso Velásquez Rodríguez. Excepciones Preliminares, supra,</w:t>
        <w:br/>
        <w:t>párr. 91, y Caso Gutiérrez y Familia supra, párr. 97.</w:t>
        <w:br/>
        <w:t>[219]    Cfr. Caso de la Masacre de Pueblo Bello Vs. Colombia. Sentencia de</w:t>
        <w:br/>
        <w:t>31 de enero de 2006. Serie C No. 140, párr. 120, y Caso de las Comunidades</w:t>
        <w:br/>
        <w:t>Afrodescendientes Desplazadas de la Cuenca del Río Cacarica (Operación</w:t>
        <w:br/>
        <w:t>Génesis) Vs. Colombia. Excepciones Preliminares, Fondo, Reparaciones y</w:t>
        <w:br/>
        <w:t>Costas. Sentencia de 20 de noviembre de 2013. Serie C No. 270, párr. 217.</w:t>
        <w:br/>
        <w:t>[220]    Cfr. Caso de los “Niños de la Calle” (Villagrán Morales y otros)</w:t>
        <w:br/>
        <w:t>Vs. Guatemala. Fondo, supra, párr. 145, y Caso Luna López Vs. Honduras,</w:t>
        <w:br/>
        <w:t>supra, párr. 117.</w:t>
        <w:br/>
        <w:t>[221]    Cfr. Caso “Instituto de Reeducación del Menor” Vs. Paraguay,</w:t>
        <w:br/>
        <w:t>supra, párr. 160.</w:t>
        <w:br/>
        <w:t>[222]    Cfr. Caso López Álvarez Vs. Honduras, supra, párrs. 104 a 106, y</w:t>
        <w:br/>
        <w:t>Caso Mendoza y otros Vs. Argentina, supra, párr. 202.</w:t>
        <w:br/>
        <w:t>[223]    Cfr. Caso Juan Humberto Sánchez Vs. Honduras, supra, párr. 111, y</w:t>
        <w:br/>
        <w:t>Caso Mendoza y otros Vs. Argentina, supra, párr. 203.</w:t>
        <w:br/>
        <w:t>[224]    Cfr. Caso de la Masacre de Pueblo Bello Vs. Colombua, supra, párr.</w:t>
        <w:br/>
        <w:t>123, y Caso Luna López Vs. Honduras, supra, párr. 123.</w:t>
        <w:br/>
        <w:t>[225]    En audiencia pública ante la Corte Ignacio Landaeta declaró: “Si</w:t>
        <w:br/>
        <w:t>recibimos amenazas, recibimos en la primera semana del mes de octubre del</w:t>
        <w:br/>
        <w:t>año 1996, fue allanada la casa donde vivían mis hijos sin ninguna orden</w:t>
        <w:br/>
        <w:t>judicial, luego en la tercera semana del mes de octubre del año 1996 unos</w:t>
        <w:br/>
        <w:t>funcionarios ingresaron por el techo de la casa, aprovechando que no había</w:t>
        <w:br/>
        <w:t>nadie allá y en ese momento llegó María Magdalena, la madre de mis hijos,</w:t>
        <w:br/>
        <w:t>cuando ellos venían saliendo, le preguntó que buscaban, que porque se había</w:t>
        <w:br/>
        <w:t>metido de esa forma, ellos buscaban a Eduardo y ella decía que para que, no</w:t>
        <w:br/>
        <w:t>le dieron ninguna repuesta sino que le dijeron que cuando lo localizaran lo</w:t>
        <w:br/>
        <w:t>iban a matar sino mataban a su hermano Igmar o sino iban a matar a los</w:t>
        <w:br/>
        <w:t>hermanos si ella quería que lo denunciara, esa fue la respuesta que le</w:t>
        <w:br/>
        <w:t>dieron los funcionarios a María”. Declaración de Ignacio Landaeta rendida</w:t>
        <w:br/>
        <w:t>durante la audiencia pública ante la Corte Interamericana  el 6 de febrero</w:t>
        <w:br/>
        <w:t>de 2014. Asimismo, en escrito interpuesto el 27 de agosto de 1997 por la</w:t>
        <w:br/>
        <w:t>Comisión de Derechos Humanos de Justicia y Paz del estado Aragua, ante la</w:t>
        <w:br/>
        <w:t>Fiscal Noveno del Ministerio Público, se denuncian los amenazas que recibió</w:t>
        <w:br/>
        <w:t>Maria Magdalena Mejías sobre su hijo Eduardo José. Cfr. Escrito de la</w:t>
        <w:br/>
        <w:t>Comisión de Derechos Humanos de Justicia y Paz del estado de Aragua de 27</w:t>
        <w:br/>
        <w:t>de agosto de 1997 (anexos a la contestación, folio 7083). En declaración de</w:t>
        <w:br/>
        <w:t>22 de abril 1997 se le pregunta a la señora María Magdalena si el</w:t>
        <w:br/>
        <w:t>funcionario CJZM mantenía acosado a Eduardo, a lo que responde con mayor</w:t>
        <w:br/>
        <w:t>detalle la forma en que se montó en el techo de su casa, golpearon la</w:t>
        <w:br/>
        <w:t>puerta, reventaron vidrios. Asimismo indica que AJCG se metió a la casa.</w:t>
        <w:br/>
        <w:t>Cfr. Declaración de María Magdalena Mejías de 22 de abril de 1997 (anexos a</w:t>
        <w:br/>
        <w:t xml:space="preserve">la contestación, folio 9283). </w:t>
        <w:br/>
        <w:t>[226]     Según nota de prensa del periódico “el Aragüeño” de 8 de enero de</w:t>
        <w:br/>
        <w:t>1998, se narra la implicación de agentes policiales en investigaciones por</w:t>
        <w:br/>
        <w:t>hechos delictivos registrados en esos días en el estado de Aragua, mismos</w:t>
        <w:br/>
        <w:t>que estaban vinculados con la muerte un mes atrás del hermano de Eduardo</w:t>
        <w:br/>
        <w:t>Landaeta.</w:t>
        <w:br/>
        <w:t>[227]    Cfr. Declaración de Ignacio Landaeta Muñoz de 13 de febrero de</w:t>
        <w:br/>
        <w:t>2004 (anexos a la contestación, folios 7378 y 7379), y declaración de María</w:t>
        <w:br/>
        <w:t>Magdalena Muñoz de 16 de febrero de 2004 (anexos a la contestación, folios</w:t>
        <w:br/>
        <w:t>7382 y 7383).  Cabe notar que en la denuncia de los hechos, la señora María</w:t>
        <w:br/>
        <w:t>Magdalena Mejías manifestó que el día 30 de diciembre de 1996, “como a las</w:t>
        <w:br/>
        <w:t>8 am […] en el comando policial, llegaron los funcionarios de la Policía</w:t>
        <w:br/>
        <w:t>Estatal [GACF y AJCG] solicitando que entregaran al menor para trasladarlo</w:t>
        <w:br/>
        <w:t>al Cuartel General (anexos a la contestación, folio 7083).</w:t>
        <w:br/>
        <w:br/>
        <w:t>[228]    Cfr. Averiguación sumaria sobre extravió de armas de fuego y</w:t>
        <w:br/>
        <w:t>homicidio de detenido (anexos a la contestación, folios 7332 y 7417).</w:t>
        <w:br/>
        <w:t>[229]    Dos de los agentes policiales coincidieron en que ambos salieron</w:t>
        <w:br/>
        <w:t>del vehículo al mismo tiempo (esto es, al momento en que fueron impactados</w:t>
        <w:br/>
        <w:t>por el otro vehículo). Otro agente mencionó que nunca se percato de lo que</w:t>
        <w:br/>
        <w:t>les sucedió a sus compañeros. Por otro lado, el agente FABP aseguró que</w:t>
        <w:br/>
        <w:t>“los vidrios de adelante del vehículo estaban abajo y los de atrás arriba”,</w:t>
        <w:br/>
        <w:t>en contraposición con el agente CARM, quien aseguró que “todos los vidrios</w:t>
        <w:br/>
        <w:t>estaban arriba porque veníamos con aire acondicionado” (anexos a la</w:t>
        <w:br/>
        <w:t>contestación, folios 8061 - 8065).</w:t>
        <w:br/>
        <w:t>[230]    Acusación de la Fiscalía de 15 de diciembre de 2008 (anexos a la</w:t>
        <w:br/>
        <w:t>contestación, folio 8128).</w:t>
        <w:br/>
        <w:t>[231]    Audiencia de Juicio Oral de 6 de abril de 2009 (anexos a la</w:t>
        <w:br/>
        <w:t>contestación, folios 8946 y 8947).</w:t>
        <w:br/>
        <w:t>[232]    Cfr. Caso “Instituto de Reeducación del Menor” Vs. Paraguay,</w:t>
        <w:br/>
        <w:t>supra, párr. 159, y Caso Mendoza y otros Vs. Argentina, supra, párr. 202.</w:t>
        <w:br/>
        <w:t>[233]    Cfr. Caso Juan Humberto Sánchez Vs. Honduras, supra, párr.  100,  y</w:t>
        <w:br/>
        <w:t>Caso Mendoza y otros Vs. Argentina, supra, párr. 203.</w:t>
        <w:br/>
        <w:t>[234]    Cfr. Caso Juan Humberto Sánchez Vs. Honduras, supra, párr.  111,  y</w:t>
        <w:br/>
        <w:t>Caso Mendoza y otros Vs. Argentine, supra, párr. 203.</w:t>
        <w:br/>
        <w:t>[235]    Cfr. Caso de los “Niños de la Calle” (Villagrán  Morales  y  otros)</w:t>
        <w:br/>
        <w:t>Vs. Guatemala. Fondo, supra, párrs. 95 y 17, y  Caso  Mendoza  y  otros  Vs.</w:t>
        <w:br/>
        <w:t>Argentina, supra, párr. 203.</w:t>
        <w:br/>
        <w:br/>
        <w:t>[236]    Cfr. ONU, Comité de Derechos Humanos, Caso Sathasivam y  Saraswathi</w:t>
        <w:br/>
        <w:t>Vs. Sri Lanka. Comunicación No. 1436/2005,  UN  Doc.  CCPR/C/93/D/1436/2005,</w:t>
        <w:br/>
        <w:t>de  8 de julio de 2008, párr. 6.2.</w:t>
        <w:br/>
        <w:br/>
        <w:t>[237]    Cfr. ONU, Comité de Derechos Humanos. Caso Irene Bleier Lewenhoff</w:t>
        <w:br/>
        <w:t>and Rosa Valiño de Bleier Vs. Uruguay. Comunicación No. 30/1978, UN Doc.</w:t>
        <w:br/>
        <w:t>CCPR/C/OP/1, de 29 de Marzo de 1982, párr. 13.3; Caso Albert Womah Mukong</w:t>
        <w:br/>
        <w:t>Vs. Camerún. Comunicación No. 458/1991, UN Doc. CCPR/C/51/D/458/1991, de 21</w:t>
        <w:br/>
        <w:t>de julio de 1994, párr. 9.2, y Caso Turdukan Zhumbaeva Vs. Kyrgyzstan.</w:t>
        <w:br/>
        <w:t>Comunicación Nº 1756/2008, UN Doc. CCPR/C/102/D/1756/2008, de 29 de julio</w:t>
        <w:br/>
        <w:t>de 2011, párr. 8.7.</w:t>
        <w:br/>
        <w:t>[238]    En este sentido, a fin de evitar situaciones que pongan en peligro</w:t>
        <w:br/>
        <w:t>a menores detenidos, la Corte estima pertinente tomar en consideración el</w:t>
        <w:br/>
        <w:t>numeral 21 de las “Reglas de las Naciones Unidas para la protección de los</w:t>
        <w:br/>
        <w:t>menores privados de libertad”, el cual establece que “en todos los lugares</w:t>
        <w:br/>
        <w:t>donde haya menores detenidos, deberá llevarse un registro completo y fiable</w:t>
        <w:br/>
        <w:t>de la siguiente información relativa a cada uno de los menores admitidos:</w:t>
        <w:br/>
        <w:t>a) datos relativos a la identidad del menor; b) las circunstancias del</w:t>
        <w:br/>
        <w:t>internamiento, así como sus motivos y la autoridad con que se ordenó; c) el</w:t>
        <w:br/>
        <w:t>día y hora del ingreso, el traslado y la liberación; d) detalles de la</w:t>
        <w:br/>
        <w:t>notificación de cada ingreso, traslado o liberación del menor a los padres</w:t>
        <w:br/>
        <w:t>o tutores a cuyo cargo estuviese en el momento de ser internado, y e)</w:t>
        <w:br/>
        <w:t>detalles acerca de los problemas de salud física y mental conocidos,</w:t>
        <w:br/>
        <w:t>incluido el uso indebido de drogas y de alcohol. Además la regla 22,</w:t>
        <w:br/>
        <w:t>establece que: “la información relativa al ingreso, lugar de internamiento,</w:t>
        <w:br/>
        <w:t>traslado y liberación deberá notificarse sin demora a los padres o tutores</w:t>
        <w:br/>
        <w:t>o al pariente más próximo del menor”. Cfr. ONU. Reglas para la protección</w:t>
        <w:br/>
        <w:t>de menores privados de libertad (Reglas de La Habana), adoptadas por la</w:t>
        <w:br/>
        <w:t>Asamblea General en su resolución 45/113, de 14 de diciembre de 1990. Por</w:t>
        <w:br/>
        <w:t>su parte, el art.40.1 de la Convención sobre los Derechos del Niño</w:t>
        <w:br/>
        <w:t>establece el derecho de todo niño de quien alegue haber infringido las</w:t>
        <w:br/>
        <w:t>leyes penales o a quien se acuse o declare culpable de haber infringido</w:t>
        <w:br/>
        <w:t>esas leyes, a ser tratado de manera acorde con el fomento de su sentido de</w:t>
        <w:br/>
        <w:t>la dignidad; así como el principio de inocencia (art.40.2lit.b.i), y el</w:t>
        <w:br/>
        <w:t>derecho a ser informado sin demora de los cargos en su contra (art.40.2</w:t>
        <w:br/>
        <w:t>lit.b.ii). Finalmente, cabe mencionar la Regla 10 de Beijing sobre Primer</w:t>
        <w:br/>
        <w:t>Contacto, en especial la 10.1, en cuanto dispone la obligación de notificar</w:t>
        <w:br/>
        <w:t>inmediatamente toda detención de un menor a sus padres o tutores, y la 10.3</w:t>
        <w:br/>
        <w:t>que regula el comportamiento que deben observarlos agentes de policía en</w:t>
        <w:br/>
        <w:t>los casos de delincuencia juvenil, que deben procurar "proteger la</w:t>
        <w:br/>
        <w:t>condición jurídica del menor, promover su bienestar y evitar que sufra</w:t>
        <w:br/>
        <w:t>daño".</w:t>
        <w:br/>
        <w:t>[239]    Cfr. ONU. Manual para la investigación y documentación eficaces de</w:t>
        <w:br/>
        <w:t>la tortura y otros tratos o penas crueles, inhumanos o degradantes (en</w:t>
        <w:br/>
        <w:t>adelante “Protocolo de Estambul”), párrs. 78 y 79.</w:t>
        <w:br/>
        <w:t>[240]    Cfr. Caso de los “Niños de la Calle” (Villagrán  Morales  y  otros)</w:t>
        <w:br/>
        <w:t>Vs. Guatemala. Fondo, supra, párr.  163,  y  Caso  Gudiel  Álvarez  y  otros</w:t>
        <w:br/>
        <w:t>(“Diario Militar”) Vs. Guatemala. Fondo Reparaciones y Costas. Sentencia  de</w:t>
        <w:br/>
        <w:t>20 noviembre de 2012. Serie C No. 253, párr. 204.</w:t>
        <w:br/>
        <w:t>[241]    La Comisión señaló que dicha sentencia no abordó temas centrales</w:t>
        <w:br/>
        <w:t>en los que se basó la autoridad judicial de primera y segunda instancia que</w:t>
        <w:br/>
        <w:t>condenaron a uno de los procesados, ya que no tomó en cuenta las</w:t>
        <w:br/>
        <w:t>contradicciones entre las declaraciones de los imputados y los elementos en</w:t>
        <w:br/>
        <w:t>los que se sustentó la falta de necesidad del segundo disparo, por lo que</w:t>
        <w:br/>
        <w:t>la motivación sobre el uso de la fuerza no fue satisfactoria.</w:t>
        <w:br/>
        <w:t>[242]    Entre las principales diligencias recogidas por el Estado en su</w:t>
        <w:br/>
        <w:t>escrito de contestación figuran diligencias de entrevistas a testigos, a</w:t>
        <w:br/>
        <w:t>los agentes policiales que realizaron el traslado, la autopsia, análisis de</w:t>
        <w:br/>
        <w:t>traza de disparos en los agentes policiales, inspecciones oculares del</w:t>
        <w:br/>
        <w:t>lugar de los hechos y del cadáver, reconocimientos médico legales y</w:t>
        <w:br/>
        <w:t>hematológicos, levantamiento planimétrico y trayectoria balística, y</w:t>
        <w:br/>
        <w:t>reconstrucción de los hechos.</w:t>
        <w:br/>
        <w:t>[243]    El Estado aclaró que la falta de identificación oficial del</w:t>
        <w:br/>
        <w:t>vehículo que trasladó a Eduardo Landaeta se basó en el hecho de que era una</w:t>
        <w:br/>
        <w:t>unidad de inteligencia policial, la que en la época funcionó de manera</w:t>
        <w:br/>
        <w:t>incógnita y en trabajos de combate estratégico del delito.</w:t>
        <w:br/>
        <w:t>[244]    Cfr. Caso Velásquez Rodríguez. Fondo, supra, párrs. 166 y 176, y</w:t>
        <w:br/>
        <w:t>Caso Veliz Franco y otros Vs. Guatemala. Excepciones Preliminares, Fondo,</w:t>
        <w:br/>
        <w:t>Reparaciones y Costas. Sentencia de 19 de mayo de 2014. Serie C No. 277,</w:t>
        <w:br/>
        <w:t>párr. 183.</w:t>
        <w:br/>
        <w:t>[245]    Cfr. Caso Velásquez Rodríguez. Excepciones Preliminares, supra,</w:t>
        <w:br/>
        <w:t>párr. 91, y Caso Gutiérrez y Familia supra, párr. 97.</w:t>
        <w:br/>
        <w:t>[246]    Cfr. Caso Caso Velásquez Rodríguez. Fondo, supra, párr. 177 y  Caso</w:t>
        <w:br/>
        <w:t>Veliz Franco y otros, supra, párr. 183.</w:t>
        <w:br/>
        <w:t>[247]    Cfr. Caso Myrna Mack Chang, supra, párr. 156, y Caso de las</w:t>
        <w:br/>
        <w:t>Comunidades Afrodescendientes Desplazadas de la Cuenca del Río Cacarica</w:t>
        <w:br/>
        <w:t>(Operación Génesis) Vs. Colombia. Excepciones Preliminares, Fondo,</w:t>
        <w:br/>
        <w:t>Reparaciones y Costas. Sentencia de 20 de noviembre de 2013. Serie C No.</w:t>
        <w:br/>
        <w:t>270, párr. 371.</w:t>
        <w:br/>
        <w:t>[248]    Cfr. Caso Velásquez Rodríguez. Fondo,  supra,  párr.  177,  y  Caso</w:t>
        <w:br/>
        <w:t>Veliz Franco y otros, supra, párr.183.</w:t>
        <w:br/>
        <w:t>[249]    Cfr. Caso de las Masacres de Ituango,  supra,  párr.  319,  y  Caso</w:t>
        <w:br/>
        <w:t>Veliz Franco y otros, supra, párr. 183.</w:t>
        <w:br/>
        <w:t>[250]    Cfr. Caso de las Hermanas Serrano Cruz Vs. El Salvador. Fondo,</w:t>
        <w:br/>
        <w:t>Reparaciones y Costas. Sentencia de 1 de marzo de 2005. Serie C No. 120,</w:t>
        <w:br/>
        <w:t>párr. 83, y Caso Gutiérrez y Familia, supra, párr. 98.</w:t>
        <w:br/>
        <w:t>[251]    Caso Velásquez Rodríguez, Fondo, supra, párr. 177, y Veliz Franco</w:t>
        <w:br/>
        <w:t>y otros, supra, párr. 183.</w:t>
        <w:br/>
        <w:t>[252]    Cfr. Caso Juan Humberto Sánchez, supra, párr. 110, y Caso Castillo</w:t>
        <w:br/>
        <w:t>González y otros, supra, párr. 122.</w:t>
        <w:br/>
        <w:t>[253]    Cfr. Caso Cantoral Huamaní y García Santa Cruz Vs. Perú. Excepción</w:t>
        <w:br/>
        <w:t>Preliminar, Fondo, Reparaciones y Costas. Sentencia de 10 de julio de 2007.</w:t>
        <w:br/>
        <w:t>Serie C No. 167, párr.133.</w:t>
        <w:br/>
        <w:t>[254]    Caso Myrna Mack Chang, supra, párr. 211, y Caso Luna López, supra,</w:t>
        <w:br/>
        <w:t>párr. 156.</w:t>
        <w:br/>
        <w:t>[255]    Cfr. Caso Bulacio, supra, párr. 114 y Caso Liakat Ali Alibux,</w:t>
        <w:br/>
        <w:t>supra, párr. 40.</w:t>
        <w:br/>
        <w:t>[256]    Cfr. Caso Bulacio, supra, párr. 115 y Caso Luna López, supra,</w:t>
        <w:br/>
        <w:t>párr. 170.</w:t>
        <w:br/>
        <w:t>[257]    La Corte no ha podido identificar la identidad de AAC, pero de la</w:t>
        <w:br/>
        <w:t>prueba aportada se deduce que se hace referencia a AJCG (supra nota al pie</w:t>
        <w:br/>
        <w:t>62).</w:t>
        <w:br/>
        <w:t>[258]    Cfr. Solicitud de apertura de averiguación de nudo de hecho (infra</w:t>
        <w:br/>
        <w:t>nota al pie 294) presentada por la Comisión de Derechos Humanos de Justicia</w:t>
        <w:br/>
        <w:t>y Paz del estado Aragua de 27 de agosto de 1997 (anexos a la contestación,</w:t>
        <w:br/>
        <w:t>folios 7083 a 7085).</w:t>
        <w:br/>
        <w:t>[259]    Cfr. Caso Familia Barrios, supra, párr. 253.</w:t>
        <w:br/>
        <w:t>[260]    Cfr. Caso González y otras (“Campo Algodonero”) Vs. México.</w:t>
        <w:br/>
        <w:t>Excepción Preliminar, Fondo, Reparaciones y Costas. Sentencia de 16 de</w:t>
        <w:br/>
        <w:t>noviembre de 2009. Serie C No. 205, párr. 368, e inter alia Caso Familia</w:t>
        <w:br/>
        <w:t>Barrios, supra, párr. 253.</w:t>
        <w:br/>
        <w:t>[261]    Cfr. Caso Familia Barrios, supra, párr. 254.</w:t>
        <w:br/>
        <w:t>[262]    Cfr. Caso Servellón García y otros Vs. Honduras. Fondo,</w:t>
        <w:br/>
        <w:t>Reparaciones y Costas. Sentencia de 21 de diciembre de 2006. Serie C No.</w:t>
        <w:br/>
        <w:t>152, párr. 120, y Caso Véliz Franco y otros, supra, párr. 191.</w:t>
        <w:br/>
        <w:t>[263]    Cfr. Caso Juan Humberto Sánchez, supra, párr. 127, y Caso Veliz</w:t>
        <w:br/>
        <w:t>Franco y otros, supra, párr. 191. Cfr. ONU, Manual sobre la Prevención e</w:t>
        <w:br/>
        <w:t>Investigación Efectiva de Ejecuciones Extrajudiciales, Arbitrarias y</w:t>
        <w:br/>
        <w:t>Sumarias de Naciones Unidas ( en adelante “Protocolo de Minnesota”),</w:t>
        <w:br/>
        <w:t>Doc.E/ST/CSDHA/.12 (1991).</w:t>
        <w:br/>
        <w:t>[264]    Cfr. Caso Juan Humberto Sánchez, supra, párr. 127 y  y Caso Veliz</w:t>
        <w:br/>
        <w:t>Franco y otros, supra, párr. 191. A efectos de un análisis simplificado del</w:t>
        <w:br/>
        <w:t>manejo de la escena del crimen Cfr. Comité Internacional de la Cruz Roja</w:t>
        <w:br/>
        <w:t>(CICR). Guidelines for Investigating Deaths in Custody. Annex III.</w:t>
        <w:br/>
        <w:t>Simplified Checklist for the Management of the Death Scene. Octubre 2013,</w:t>
        <w:br/>
        <w:t>pág. 13. Disponible en:</w:t>
        <w:br/>
        <w:t>http://www.icrc.org/eng/assets/files/publications/Icrc-002-4126.pdf.</w:t>
        <w:br/>
        <w:t>[265]    Cfr. Caso González y otras (“Campo Algodonero”), supra, párr. 301,</w:t>
        <w:br/>
        <w:t>y Caso Luna López, supra, párr. 164. Cfr. Protocolo de Minnesota, supra.</w:t>
        <w:br/>
        <w:t>[266]    Cfr.  Caso González y otras (“Campo Algodonero”), supra, párr.</w:t>
        <w:br/>
        <w:t>301, y Caso Veliz Franco y otros, supra, párr. 192.</w:t>
        <w:br/>
        <w:t>[267]    Cfr. Caso Servellón García y otros, supra, párr. 121, y Caso Veliz</w:t>
        <w:br/>
        <w:t>Franco y otros, supra, párr. 192.</w:t>
        <w:br/>
        <w:t>[268]    Cfr. Caso González y otras (“Campo Algodonero”), supra, párr. 301,</w:t>
        <w:br/>
        <w:t>citando Protocolo de Minnesota, y Caso Veliz Franco y otros, supra, párr.</w:t>
        <w:br/>
        <w:t>192.</w:t>
        <w:br/>
        <w:t>[269]    Cfr. Caso González y otras (“Campo Algodonero”), supra, párr. 301,</w:t>
        <w:br/>
        <w:t>citando Protocolo de Minnesota, y Caso Veliz Franco y otros, supra, párr.</w:t>
        <w:br/>
        <w:t>192.</w:t>
        <w:br/>
        <w:t>[270]    La investigación sumaria de acuerdo con el artículo 74 del Código</w:t>
        <w:br/>
        <w:t>de Enjuiciamiento Criminal establecía que “Todo funcionario de instrucción</w:t>
        <w:br/>
        <w:t>está en el deber de dictar sin pérdida de tiempo, auto de proceder a la</w:t>
        <w:br/>
        <w:t>averiguación sumaria, cuando, según las disposiciones del Capítulo I,</w:t>
        <w:br/>
        <w:t>Título II de este Código, de cualquier modo supiere que en su jurisdicción</w:t>
        <w:br/>
        <w:t>se ha cometido un hecho punible que no sea de los que solo pueden</w:t>
        <w:br/>
        <w:t>enjuiciarse por acción dependiente de la acusación o querella de la parte</w:t>
        <w:br/>
        <w:t>agraviada o a instancia del Ministerio Público”. El inicio de estas</w:t>
        <w:br/>
        <w:t>averiguaciones sumarias eran puestas en conocimiento del Juzgado y de la</w:t>
        <w:br/>
        <w:t>Fiscalía competente. Las autoridades policiales tenían el carácter de</w:t>
        <w:br/>
        <w:t>órganos de instrucción que actuaban por delegación de los jueces. Cfr.</w:t>
        <w:br/>
        <w:t>Declaración de la perito Magaly Mercedes Vásquez González de 28 de enero de</w:t>
        <w:br/>
        <w:t>2014 (expediente de fondo, folio 796).</w:t>
        <w:br/>
        <w:t>[271]    Cfr. Caso Juan Humberto Sánchez, supra, párr. 127, y Caso Veliz</w:t>
        <w:br/>
        <w:t>Franco y otros, supra, párr. 191.</w:t>
        <w:br/>
        <w:t>[272]    Cfr. Caso Juan Humberto Sánchez, supra, párr. 128, y Caso Veliz</w:t>
        <w:br/>
        <w:t>Franco y otros, supra, párr. 198. Cfr. Oficina de las Naciones Unidas</w:t>
        <w:br/>
        <w:t>contra la Droga y el Delito (UNODC), La escena del delito y las pruebas</w:t>
        <w:br/>
        <w:t>materiales. Sensibilización del personal no forense sobre su importancia.</w:t>
        <w:br/>
        <w:t>Nueva York, 2009, pág. 12. Disponible en:</w:t>
        <w:br/>
        <w:t>http://www.unodc.org/documents/scientific/Crime_scene_Ebook.Sp.pdf, y</w:t>
        <w:br/>
        <w:t>Protocolo de Minnesota, supra, págs. 57 a 60  y 96.</w:t>
        <w:br/>
        <w:t>[273]    Cfr. UNODC, La escena del delito y las pruebas materiales.</w:t>
        <w:br/>
        <w:t>Sensibilización del personal no forense sobre su importancia, supra, pág.</w:t>
        <w:br/>
        <w:t>14, y Protocolo de Minnesota, supra, págs. 57 a 60 y 96.</w:t>
        <w:br/>
        <w:t>[274]    Cfr. UNODC, La escena del delito y las pruebas materiales.</w:t>
        <w:br/>
        <w:t>Sensibilización del personal no forense sobre su importancia, supra, pág.</w:t>
        <w:br/>
        <w:t>15.</w:t>
        <w:br/>
        <w:t>[275]    Cfr. Acta de inspección ocular No. 1582 de 16 de noviembre de 1996</w:t>
        <w:br/>
        <w:t>(anexos a la contestación, folio 9122). En el acta sólo se indicó la</w:t>
        <w:br/>
        <w:t>recolección de un “trozo de algodón impregnado de una sustancia de color</w:t>
        <w:br/>
        <w:t>pardo rojizo”.</w:t>
        <w:br/>
        <w:t>[276]    Cfr. Protocolo de Minnesota, supra, pág. 58.</w:t>
        <w:br/>
        <w:t>[277]    Cartas de Secretaría de fechas 20 de mayo y 9 de junio de 2014</w:t>
        <w:br/>
        <w:t>(expediente de fondo, folios 1224 y 1249). El Estado señaló en su</w:t>
        <w:br/>
        <w:t>comunicación de 11 de junio de 2014, en relación con las fotografías de las</w:t>
        <w:br/>
        <w:t>inspecciones del lugar de los hechos y de los cadáveres, que el Código de</w:t>
        <w:br/>
        <w:t>Enjuiciamiento Criminal no establecía taxativamente la necesidad de la</w:t>
        <w:br/>
        <w:t>fijación fotográfica. Sin perjuicio de ello, en las respectivas actas de</w:t>
        <w:br/>
        <w:t>las inspecciones, se hace referencia a la existencia de dichas fotografías.</w:t>
        <w:br/>
        <w:br/>
        <w:t>[278]    El Protocolo de Minnesota establece en el apartado C.1, incisos b)</w:t>
        <w:br/>
        <w:t>y c) la necesidad de la toma de fotografías tanto del cadáver, como de la</w:t>
        <w:br/>
        <w:t>zona de los hechos y de la prueba recabada. Cfr. Caso Familia Barrios,</w:t>
        <w:br/>
        <w:t>supra, párr. 234.</w:t>
        <w:br/>
        <w:t>[279]    El documento que obra en el expediente de esta Corte no es el</w:t>
        <w:br/>
        <w:t>Protocolo de Autopsia en sí mismo, sino un documento de fecha 19 de</w:t>
        <w:br/>
        <w:t>noviembre de 1996, elaborado por dos médicos forenses que describe el</w:t>
        <w:br/>
        <w:t>resultado de la autopsia No.872-96 practicada el 18 de noviembre del mismo</w:t>
        <w:br/>
        <w:t>año. Cfr. Autopsia al cadáver de Igmar Landaeta de 18 de noviembre de 1996</w:t>
        <w:br/>
        <w:t>(anexos a la contestación, folio 9210).</w:t>
        <w:br/>
        <w:t>[280]    Respecto de la autopsia realizada, el perito José Pablo Baraybar</w:t>
        <w:br/>
        <w:t>concluyó que: a) “no existe un protocolo de necropsia como tal, [sino] un</w:t>
        <w:br/>
        <w:t>documento [muy sucinto] a manera de notificación, con los resultados de la</w:t>
        <w:br/>
        <w:t>autopsia […], que no cumple con los estándares requeridos para la</w:t>
        <w:br/>
        <w:t>investigación; b) no se [adjuntó o mencionó] fotografías que apoyen o</w:t>
        <w:br/>
        <w:t>corroboren las conclusiones [del] reporte; c)  no se [mencionó] la toma de</w:t>
        <w:br/>
        <w:t>rayos x o la existencia o no de proyectiles o fragmento de los mismos</w:t>
        <w:br/>
        <w:t>dentro de la víctima; d) [si bien se enumeraron las lesiones encontradas],</w:t>
        <w:br/>
        <w:t>no existe ningún tipo de registro fotográfico de las [mismas], ni se [hizo]</w:t>
        <w:br/>
        <w:t>referencia a las características de las lesiones como el color, el curso,</w:t>
        <w:br/>
        <w:t>la profundidad o la estructura de las lesiones, ni se [mencionó] si es que</w:t>
        <w:br/>
        <w:t>hubieron residuos de hollín, pólvora o quemadura, […] lo que permite</w:t>
        <w:br/>
        <w:t>determinar la cercanía aproximada del cañón al blanco, y e) [existió] una</w:t>
        <w:br/>
        <w:t>posible contradicción en relación con el orificio de entrada y de salida</w:t>
        <w:br/>
        <w:t>causada por una de las heridas de bala de la que fue víctima Igmar</w:t>
        <w:br/>
        <w:t>Landaeta, con base en lo señalado en la inspección ocular del cadáver y la</w:t>
        <w:br/>
        <w:t>autopsia”. Cfr. Declaración del perito José Pablo Baraybar de 29 de enero</w:t>
        <w:br/>
        <w:t>de 2014 (expediente de fondo, folios 823 a 829).</w:t>
        <w:br/>
        <w:t>[281]    Cfr. Caso Juan Humerto Sánchez, supra, párrs. 102 y 126 y Caso</w:t>
        <w:br/>
        <w:t>Veliz Franco y otros, supra, párr. 196 c). Cfr. Protocolo de Minnesota,</w:t>
        <w:br/>
        <w:t>supra. Al respecto, el Estado señaló que en la época de los hechos no se</w:t>
        <w:br/>
        <w:t>hacía fijación fotográfica del cadáver durante las autopsias, sino que se</w:t>
        <w:br/>
        <w:t>fijaba el cadáver de forma general, para dejar constancia de las lesiones</w:t>
        <w:br/>
        <w:t>presentes en el cuerpo del occiso y las características particulares del</w:t>
        <w:br/>
        <w:t>mismo. Cfr. Respuesta del Estado de 30 de mayo de 2014, en relación con la</w:t>
        <w:br/>
        <w:t>prueba para mejor resolver solicitada por la Corte mediante carta de</w:t>
        <w:br/>
        <w:t>Secretaría (expediente de fondo, folio 1247).</w:t>
        <w:br/>
        <w:t>[282]    En relación con las heridas por arma de fuego sufridas por Igmar</w:t>
        <w:br/>
        <w:t>Landaeta, el acta de inspección ocular del cadáver No. 1581 describió un</w:t>
        <w:br/>
        <w:t>“orificio de forma circular y borde regulares invertidos de tres milímetros</w:t>
        <w:br/>
        <w:t>de radio a nivel de la región anterior derecha del tórax, presenta un</w:t>
        <w:br/>
        <w:t>orificio de forma circular y bordes irregulares evertidos a nivel de la</w:t>
        <w:br/>
        <w:t>región escapular izquierda”. Por otro lado, el documento que hizo</w:t>
        <w:br/>
        <w:t>referencia a los resultados de la autopsia relató la existencia de un</w:t>
        <w:br/>
        <w:t>“orificio de entrada: 9no espacio intercostal izquierdo posterior con</w:t>
        <w:br/>
        <w:t>proyección de líneas escapular interna. Orificio de salida: 6to espacio</w:t>
        <w:br/>
        <w:t>intercostal paraesternal derecho. Trayecto: de atrás hacia adelante, de</w:t>
        <w:br/>
        <w:t>abajo hacia arriba, de izquierda a derecha”. De acuerdo con el peritaje de</w:t>
        <w:br/>
        <w:t>José Pablo Baraybar, “[dicha] contradicción pareciera ser grave,</w:t>
        <w:br/>
        <w:t>considerando que, si ambas lesiones por arma de fuego hubiesen sido</w:t>
        <w:br/>
        <w:t>infringidas en el mismo plano (p.e. anterior, con trayectoria de adelante</w:t>
        <w:br/>
        <w:t>hacia atrás) se tendría que asumir que la dirección del fuego hubiese sido</w:t>
        <w:br/>
        <w:t>contraria a la descrita en las declaraciones […]”. Cfr. Declaración del</w:t>
        <w:br/>
        <w:t>perito José Pablo Baraybar de 29 de enero de 2014 (expediente de fondo,</w:t>
        <w:br/>
        <w:t>folios 836 y 837); acta de inspección ocular No. 1581 de 17 de noviembre de</w:t>
        <w:br/>
        <w:t>1996 (anexos a la contestación, folio 9105), y autopsia al cadáver de Igmar</w:t>
        <w:br/>
        <w:t>Landaeta de 18 de noviembre de 1996 (anexos a la contestación, folio 9210).</w:t>
        <w:br/>
        <w:br/>
        <w:t>[283]    Cfr. Autopsia al cadáver de Igmar Landaeta de 18 de noviembre de</w:t>
        <w:br/>
        <w:t>1996 (anexos a la contestación, folio 9210).</w:t>
        <w:br/>
        <w:t>[284]    Conforme a lo establecido en el Protocolo de Minnesota, en</w:t>
        <w:br/>
        <w:t>relación con la investigación del lugar del crimen, deben anotarse los</w:t>
        <w:br/>
        <w:t>factores siguientes que sirvan para determinar la hora de la muerte: “i).</w:t>
        <w:br/>
        <w:t>temperatura del cuerpo (tibio, fresco, frío); ii) ubicación y grado de</w:t>
        <w:br/>
        <w:t>fijación de las livideces; iii) rigidez cadavérica, y iv) estado de</w:t>
        <w:br/>
        <w:t>descomposición”. No consta del expediente que estos factores hayan sido</w:t>
        <w:br/>
        <w:t>tomados en cuenta en la autopsia realizada, ya que no se estableció la hora</w:t>
        <w:br/>
        <w:t>de la muerte.</w:t>
        <w:br/>
        <w:t>[285]    Las formalidades básicas que debe cumplir la autopsia implican</w:t>
        <w:br/>
        <w:t>indicar la fecha, hora de inicio y finalización, así como el lugar donde se</w:t>
        <w:br/>
        <w:t>realiza y el nombre del funcionario que la ejecuta. Asimismo, se debe,</w:t>
        <w:br/>
        <w:t>inter alia, fotografiar adecuadamente el cuerpo; tomar radiografías del</w:t>
        <w:br/>
        <w:t>cadáver, de su bolsa o envoltorio y después de desvestirlo [si fuera el</w:t>
        <w:br/>
        <w:t>caso], documentar toda lesión. Cfr. Caso González y otras (“Campo</w:t>
        <w:br/>
        <w:t>Algodonero”), supra, párr. 310, y Caso  Veliz Franco y otros, supra, párr.</w:t>
        <w:br/>
        <w:t>194. Cfr. Protocolo de Minnesota, supra.</w:t>
        <w:br/>
        <w:t>[286]    Declaración del perito José Pablo Baraybar de 29 de enero de 2014</w:t>
        <w:br/>
        <w:t>(expediente de fondo, folio 836).</w:t>
        <w:br/>
        <w:t>[287]    Declaración del perito José Pablo Baraybar de 29 de enero de 2014</w:t>
        <w:br/>
        <w:t>(expediente de fondo, folio 843).</w:t>
        <w:br/>
        <w:t>[288]    Declaración del perito José Pablo Baraybar de 29 de enero de 2014</w:t>
        <w:br/>
        <w:t>(expediente de fondo, folio 835).</w:t>
        <w:br/>
        <w:t>[289]    Cfr. Garibaldi  Vs. Brasil. Fondo, Reparaciones y Costas.</w:t>
        <w:br/>
        <w:t>Sentencia de 23 de septiembre de 2009. Serie C No. 203, párr. 124 y Caso</w:t>
        <w:br/>
        <w:t>Veliz Franco y otros, supra, párr. 196 c).</w:t>
        <w:br/>
        <w:t>[290]    Cfr. CICR, Guidelines for Investigating Deaths in Custody, supra,</w:t>
        <w:br/>
        <w:t>pág. 13.</w:t>
        <w:br/>
        <w:t>[291]    Cfr. Caso Juan Humberto Sánchez, supra, párrs. 111 y 112 y Caso J.</w:t>
        <w:br/>
        <w:t>Vs. Perú. Excepción Preliminar, Fondo, Reparaciones y Costas. Sentencia de</w:t>
        <w:br/>
        <w:t>27 de noviembre de 2013. Serie C No. 275, párr. 330.</w:t>
        <w:br/>
        <w:t>[292]    Al respecto, el Código de Enjuiciamiento Criminal establecía en su</w:t>
        <w:br/>
        <w:t>artículo 126 que “De las armas o instrumentos con que se haya cometido el</w:t>
        <w:br/>
        <w:t>delito, si pueden ser habidos, debe hacerse un diseño y descripción que se</w:t>
        <w:br/>
        <w:t>agregarán al proceso, expresando siempre en las de fuego, su especie y su</w:t>
        <w:br/>
        <w:t>calibre. Cuando fuere necesario para el esclarecimiento del hecho, sus</w:t>
        <w:br/>
        <w:t>circunstancias y la culpabilidad de sus autores, se hará también y se</w:t>
        <w:br/>
        <w:t>agregará una descripción de la topografía del lugar donde se perpetró”.</w:t>
        <w:br/>
        <w:t>[293]    El Código de Enjuiciamiento Criminal  señalaba  específicamente  en</w:t>
        <w:br/>
        <w:t>su artículo 181 que “[…] Si los testigos u ofendidos  ignoran  el  nombre  y</w:t>
        <w:br/>
        <w:t>demás circunstancias que hagan conocer al indiciado,  podrá  practicarse  el</w:t>
        <w:br/>
        <w:t>reconocimiento de su persona en grupo  o  rueda  de  individuos,  entre  los</w:t>
        <w:br/>
        <w:t>cuales señalarán al que creen reo […]”. Inclusive el artículo 262 del  mismo</w:t>
        <w:br/>
        <w:t>cuerpo normativo recogía la posibilidad del careo  entre  testigos,  si  sus</w:t>
        <w:br/>
        <w:t>declaraciones fueran opuestas, como en el presente caso, estableciendo  que:</w:t>
        <w:br/>
        <w:t>“Los testigos cuyas declaraciones sean opuestas,  serán  careados  entre  sí</w:t>
        <w:br/>
        <w:t>cuando así lo pidiere  alguna  de  las  partes,  o  cuando  el  Tribunal  lo</w:t>
        <w:br/>
        <w:t>ordenare […]”.</w:t>
        <w:br/>
        <w:t>[294]    La averiguación de nudo de hecho se inició debido a que la</w:t>
        <w:br/>
        <w:t>Fiscalía Novena del Ministerio Público de la Circunscripción Judicial del</w:t>
        <w:br/>
        <w:t>estado de Aragua solicitó al Juez del Municipio Mariño se sirviera</w:t>
        <w:br/>
        <w:t>instruirla en virtud de la presunta participación de funcionarios públicos</w:t>
        <w:br/>
        <w:t>que habrían incurrido en la comisión de delitos en ejercicio de sus</w:t>
        <w:br/>
        <w:t>funciones o en razón de su cargo. Cfr. Declaración de la perito Magaly</w:t>
        <w:br/>
        <w:t>Mercedes Vásquez González de 28 de enero de 2014 (expediente de fondo,</w:t>
        <w:br/>
        <w:t>folio 809) y el artículo 374 del Código de Enjuiciamiento Criminal.</w:t>
        <w:br/>
        <w:t>[295]    Cfr. Sentencia de Primera Instancia del Juzgado Segundo del</w:t>
        <w:br/>
        <w:t>Régimen Procesal Transitorio Circunscripción Judicial del estado de Aragua</w:t>
        <w:br/>
        <w:t>de 13 de octubre de 2000 (anexos a la contestación, folios 9605 a 9607).</w:t>
        <w:br/>
        <w:t>[296]    En cuanto a las características de este segundo disparo, el</w:t>
        <w:br/>
        <w:t>Juzgado Segundo resaltó que la distancia debió haber sido un poco más de 60</w:t>
        <w:br/>
        <w:t>centímetros, ya que la herida sólo presentó halo de contusión y no</w:t>
        <w:br/>
        <w:t>incrustaciones de pólvora y quemaduras. Al respecto, el perito Baraybar</w:t>
        <w:br/>
        <w:t>concluyó que es perfectamente posible que Igmar Landaeta haya estado</w:t>
        <w:br/>
        <w:t>acostado en el suelo y haya recibido un disparo “a distancia” en la cara de</w:t>
        <w:br/>
        <w:t>alguien que se encontraba en un plano superior a él, ya que el promedio</w:t>
        <w:br/>
        <w:t>entre el cañón de un arma corta empujada por la mano de una persona adulta</w:t>
        <w:br/>
        <w:t>con el brazo extendido, es mayor a 50 centímetros. Cfr. Declaración del</w:t>
        <w:br/>
        <w:t>perito José Pablo Baraybar de 29 de enero de 2014 (expediente de fondo,</w:t>
        <w:br/>
        <w:t>folio 834).</w:t>
        <w:br/>
        <w:t>[297]    Cfr. Sentencia de Primera Instancia del Juzgado Segundo del</w:t>
        <w:br/>
        <w:t>Régimen Procesal Transitorio Circunscripción Judicial del estado de Aragua</w:t>
        <w:br/>
        <w:t>de 13 de octubre de 2000 (anexos a la contestación, folio 9602 y 9604).</w:t>
        <w:br/>
        <w:t>[298]    Cfr. Sentencia de la Corte de Apelaciones de 25 de abril de 2002</w:t>
        <w:br/>
        <w:t>(anexos a la contestación, folio 9673).</w:t>
        <w:br/>
        <w:t>[299]    Cfr. Sentencia del Tribunal Supremo de Justicia, en Sala de</w:t>
        <w:br/>
        <w:t>Casación Penal, de 29 de noviembre de 2002 (anexos a la contestación,</w:t>
        <w:br/>
        <w:t>folios 9735 y 9739).</w:t>
        <w:br/>
        <w:t>[300]    Cfr. Sentencia de la Sala Accidental de la Corte de Apelaciones</w:t>
        <w:br/>
        <w:t>del Circuito Judicial Penal del estado de Aragua de 10 de noviembre de 2003</w:t>
        <w:br/>
        <w:t>(anexos al informe de fondo, folio 1133).</w:t>
        <w:br/>
        <w:t>[301]    Dicha sentencia señaló que: “a los efectos de la no punibilidad</w:t>
        <w:br/>
        <w:t>del hecho se requiere, no solamente el ejercicio legítimo de la autoridad,</w:t>
        <w:br/>
        <w:t>como ya se dejó establecido, sino que este recurso extremo se haya</w:t>
        <w:br/>
        <w:t>utilizado en legítima defensa y como único medio para someter al agresor</w:t>
        <w:br/>
        <w:t>armado, a fin de que no continuara cometiendo los actos de agresión con uso</w:t>
        <w:br/>
        <w:t>de arma de fuego constitutivos de resistencia a la autoridad en contra de</w:t>
        <w:br/>
        <w:t>la comisión policial, circunstancia que aparece evidenciada […] por lo</w:t>
        <w:br/>
        <w:t>tanto se encuentra procedente la presente causal de exclusión de</w:t>
        <w:br/>
        <w:t>punibilidad [referida a la causal del artículo 65 (1) del Código Penal]”.</w:t>
        <w:br/>
        <w:t>Cfr. Sentencia de la Sala Accidental de la Corte de Apelaciones del</w:t>
        <w:br/>
        <w:t>Circuito Judicial Penal del estado de Aragua de 10 de noviembre de 2003</w:t>
        <w:br/>
        <w:t>(anexos a la contestación, folio 9841).</w:t>
        <w:br/>
        <w:t>[302]    Cfr. Sentencia de la Sala Accidental de la Corte de Apelaciones</w:t>
        <w:br/>
        <w:t>del Circuito Judicial Penal del estado de Aragua de 10 de noviembre de 2003</w:t>
        <w:br/>
        <w:t>(anexos al informe de fondo, folio 1134).</w:t>
        <w:br/>
        <w:t>[303]    Cabe señalar que la Magistrada Presidente de la Corte de</w:t>
        <w:br/>
        <w:t>Apelaciones Fabiola Colmenarez salvó su voto en el sentido que del caudal</w:t>
        <w:br/>
        <w:t>probatorio de la causa se concluyó categóricamente que “al ser medido el</w:t>
        <w:br/>
        <w:t>resultado de la acción, se pudo determinar una desproporción entre el mal</w:t>
        <w:br/>
        <w:t>causado por el agente (GCF) y su propósito de realizar el hecho punible,</w:t>
        <w:br/>
        <w:t>[por lo que] califica el hecho como homicidio intencional” y confirma la</w:t>
        <w:br/>
        <w:t>sentencia condenatoria dictada. Cfr. Voto Disidente de la Magistrada</w:t>
        <w:br/>
        <w:t>Presidente, Sentencia de la Sala Accidental de la Corte de Apelaciones del</w:t>
        <w:br/>
        <w:t>Circuito Judicial Penal del estado de Aragua de 10 de noviembre de 2003</w:t>
        <w:br/>
        <w:t>(anexos al informe de fondo, folio 1152  y 1155).</w:t>
        <w:br/>
        <w:t>[304]    Cfr. Caso Familia Barrios, supra, párr. 49, y Caso Zambrano Vélez,</w:t>
        <w:br/>
        <w:t>supra, párrs. 81, 83, 84, 86 y 88.</w:t>
        <w:br/>
        <w:t>[305]    ONU, Principios y directrices básicos sobre el derecho de las</w:t>
        <w:br/>
        <w:t>víctimas de violaciones manifiestas de las normas internacionales de</w:t>
        <w:br/>
        <w:t>derechos humanos y de violaciones graves del derecho internacional</w:t>
        <w:br/>
        <w:t>humanitario a interponer recursos y obtener reparaciones, adoptados por la</w:t>
        <w:br/>
        <w:t>Resolución 60/147, aprobada por la Asamblea General el 16 de diciembre de</w:t>
        <w:br/>
        <w:t>2005, artículo 3(b).</w:t>
        <w:br/>
        <w:t>[306]    Cfr. Caso Montero Aranguren y otros (Retén de Catia), supra, párr.</w:t>
        <w:br/>
        <w:t>82, y Caso Zambrano Vélez, supra, párr. 89. En similar sentido Cfr. TEDH,</w:t>
        <w:br/>
        <w:t>Caso Erdogan and Others v. Turkey, No. 19807/92. Sentencia de 25 de abril</w:t>
        <w:br/>
        <w:t>de 2006, párr. 68; Caso Makaratzis v. Greece [GS], No. 50385/99. Sentencia</w:t>
        <w:br/>
        <w:t>de 20 de diciembre de 2004, ,párr. 59, y Caso McCann y Otros v. Reino Unido</w:t>
        <w:br/>
        <w:t>[GS], No. 18984/91. Sentencia de 27 de septiembre de 1995, párr. 150.</w:t>
        <w:br/>
        <w:t>[307]    Cfr. Caso Hermanas Serrano Cruz, supra, párr. 166 y Caso Caso</w:t>
        <w:br/>
        <w:t>Masacres de El Mozote y lugares aledaños, supra, párr. 257.</w:t>
        <w:br/>
        <w:t>[308]    Cfr. Caso Velásquez Rodríguez. Fondo, supra, párr. 134 y Caso J.,</w:t>
        <w:br/>
        <w:t>supra, párr. 123.</w:t>
        <w:br/>
        <w:t>[309]    Cfr. Caso de los “Niños de la Calle” (Villagrán Morales y otros),</w:t>
        <w:br/>
        <w:t>supra, párr. 222 y Caso Familia Barrios, supra, párr. 181.</w:t>
        <w:br/>
        <w:t>[310]    Cfr. Sentencia de Primera Instancia del Juzgado Segundo del</w:t>
        <w:br/>
        <w:t>Régimen Procesal Transitorio Circunscripción Judicial del estado de Aragua</w:t>
        <w:br/>
        <w:t>de 13 de octubre de 2000 (anexos a la contestación, folio 9605).</w:t>
        <w:br/>
        <w:t>[311]    Cfr. Sentencia de la Corte de Apelaciones de 25 de abril de 2002</w:t>
        <w:br/>
        <w:t>(anexos a la contestación, folio 9673).</w:t>
        <w:br/>
        <w:t>[312]    Cfr. El artículo 65 del Código Penal de Venezuela establece que</w:t>
        <w:br/>
        <w:t>“no [será] punible: 1. El que obra en cumplimiento de un deber o en el</w:t>
        <w:br/>
        <w:t>ejercicio legítimo de un derecho, autoridad, oficio o cargo, sin traspasar</w:t>
        <w:br/>
        <w:t>los límites legales […] 3. El que obra en defensa de su propia persona o</w:t>
        <w:br/>
        <w:t>derecho, siempre que concurran las circunstancias siguientes: 1. Agresión</w:t>
        <w:br/>
        <w:t>ilegítima por parte del que resulta ofendido por el hecho. 2. Necesidad del</w:t>
        <w:br/>
        <w:t>medio empleado para impedirla o repelería. 3. Falta de provocación</w:t>
        <w:br/>
        <w:t>suficiente de parte del que pretende haber obrado en defensa propia”. El</w:t>
        <w:br/>
        <w:t>artículo 66 del mismo ordenamiento estipula que “el que traspasare los</w:t>
        <w:br/>
        <w:t>límites impuestos por la Ley en el caso del número 1.º del artículo</w:t>
        <w:br/>
        <w:t>anterior, y por la autoridad que dio la orden en el caso del número 2.º del</w:t>
        <w:br/>
        <w:t>mismo, y el que se excediere en la defensa, o en los medios empleados para</w:t>
        <w:br/>
        <w:t>salvarse del peligro grave e inminente, haciendo más de lo necesario, será</w:t>
        <w:br/>
        <w:t>castigado con la pena correspondiente, disminuida desde uno a dos tercios</w:t>
        <w:br/>
        <w:t>[..]”.</w:t>
        <w:br/>
        <w:t>[313]    En tal sentido, la Corte ha señalado que “la motivación es la</w:t>
        <w:br/>
        <w:t>justificación razonada que permite llegar a una conclusión”. En este</w:t>
        <w:br/>
        <w:t>sentido, “el deber de motivación es una de las `debidas garantías´</w:t>
        <w:br/>
        <w:t>incluidas en el artículo 8.1 de la Convención para salvaguardar el derecho</w:t>
        <w:br/>
        <w:t>a un debido proceso”. Cfr. Caso Chaparro Álvarez y Lapo Íñiguez, supra,</w:t>
        <w:br/>
        <w:t>párr. 107; Caso López Mendoza Vs. Venezuela. Fondo Reparaciones y Costas.</w:t>
        <w:br/>
        <w:t>Sentencia de 1 de septiembre de 2011. Serie C No. 233, párr. 141 y Caso</w:t>
        <w:br/>
        <w:t>Suárez Peralta Vs. Ecuador. Excepciones Preliminares, Fondo Reparaciones y</w:t>
        <w:br/>
        <w:t>Costas. Sentencia de 21 de mayo de 2013. Serie C No. 261, párr. 109.</w:t>
        <w:br/>
        <w:t>[314]    El concepto de plazo razonable contemplado en el artículo 8  de  la</w:t>
        <w:br/>
        <w:t>Convención Americana  está  íntimamente  ligado  con  el  recurso  efectivo,</w:t>
        <w:br/>
        <w:t>sencillo y rápido contemplado en su artículo 25. Cfr.  Caso  Baldeón  García</w:t>
        <w:br/>
        <w:t>Vs. Perú. Fondo, Reparaciones y Costas. Sentencia de 6  de  abril  de  2006.</w:t>
        <w:br/>
        <w:t>Serie C No. 147, párr.  155,  y  Caso  Luna  López,  supra,  párr.  188.  El</w:t>
        <w:br/>
        <w:t>Tribunal ha señalado que el derecho de acceso a la justicia no se agota  con</w:t>
        <w:br/>
        <w:t>el trámite de procesos internos, sino que  éste  debe  además  asegurar,  en</w:t>
        <w:br/>
        <w:t>tiempo razonable, el derecho de las presuntas víctimas o  sus  familiares  a</w:t>
        <w:br/>
        <w:t>que se haga todo lo necesario para conocer la verdad de lo sucedido  y  para</w:t>
        <w:br/>
        <w:t>que se  sancione  a  los  eventuales  responsables.  Cfr.  Caso  de  los  19</w:t>
        <w:br/>
        <w:t>Comerciantes Vs. Colombia. Excepción Preliminar. Sentencia de  12  de  junio</w:t>
        <w:br/>
        <w:t>de 2002. Serie C No. 93, párr. 188, y Caso Osorio Rivera  y  Familiares  Vs.</w:t>
        <w:br/>
        <w:t>Perú. Excepciones Preliminares, Fondo, Reparaciones y Costas.  Sentencia  de</w:t>
        <w:br/>
        <w:t>26 de noviembre de 2013. Serie C No. 274,  párr. 200. Asimismo, la Corte  ha</w:t>
        <w:br/>
        <w:t>sostenido que la razonabilidad del plazo debe apreciarse en relación con  la</w:t>
        <w:br/>
        <w:t>duración total del proceso, desde el  primer  acto  procesal  hasta  que  se</w:t>
        <w:br/>
        <w:t>dicte  sentencia  definitiva,  incluyendo  los  recursos  de  instancia  que</w:t>
        <w:br/>
        <w:t>pudieran eventualmente presentarse. Cfr. Caso  Suárez  Rosero  Vs.  Ecuador.</w:t>
        <w:br/>
        <w:t>Fondo. Sentencia de 12 de noviembre de 1997. Serie C No.  35,  párr.  71,  y</w:t>
        <w:br/>
        <w:t>Caso Veliz Franco y otros, supra, párr. 217.</w:t>
        <w:br/>
        <w:t>[315]    Cfr.  Caso  Genie  Lacayo  Vs.  Nicaragua.  Fondo,  Reparaciones  y</w:t>
        <w:br/>
        <w:t>Costas. Sentencia de 29 de enero de 1997. Serie C No. 30, párr. 77,  y  Caso</w:t>
        <w:br/>
        <w:t>Osorio Rivera y Familiares, supra, párr. 201.</w:t>
        <w:br/>
        <w:t>[316]     Cfr.  Caso  Valle  Jaramillo  y   otros   Vs.   Colombia.   Fondo,</w:t>
        <w:br/>
        <w:t>Reparaciones y Costas. Sentencia de 27 de noviembre  de 2008.  Serie  C  No.</w:t>
        <w:br/>
        <w:t>192, párr. 155, y Caso Osorio Rivera y Familiares, supra, párr. 201.</w:t>
        <w:br/>
        <w:t>[317]    Respecto a la complejidad del caso se observa que: a) el caso</w:t>
        <w:br/>
        <w:t>presentó sólo una víctima; b) el hecho ocurrió en un lugar público y con la</w:t>
        <w:br/>
        <w:t>presencia de testigos; c) las investigaciones y posibilidades de</w:t>
        <w:br/>
        <w:t>recolección de prueba fueron inmediatas, el mismo día en que ocurrieron los</w:t>
        <w:br/>
        <w:t>hechos; d) existieron dos acusados, quienes además reconocieron su</w:t>
        <w:br/>
        <w:t>intervención en los hechos, y e) las circunstancias de la muerte de Igmar</w:t>
        <w:br/>
        <w:t>Landaeta, al presentar versiones contradictorias, introducen ciertas</w:t>
        <w:br/>
        <w:t>características particularmente complejas.</w:t>
        <w:br/>
        <w:t>[318]    El artículo 293 del Código de Enjuiciamiento Criminal establecía</w:t>
        <w:br/>
        <w:t>que “[p]asado el acto de informes, la causa entrará en estado de</w:t>
        <w:br/>
        <w:t>sentencia”.</w:t>
        <w:br/>
        <w:t>[319]    Cfr. Caso Garibaldi, supra, párr. 138, y Caso Luna López, supra,</w:t>
        <w:br/>
        <w:t>párr. 195.</w:t>
        <w:br/>
        <w:t>[320]    Cfr. Caso Velásquez Rodríguez. Fondo, párr. 177, y Caso  Mendoza  y</w:t>
        <w:br/>
        <w:t>otros, supra, párr. 218.</w:t>
        <w:br/>
        <w:t>[321]    Cfr. Caso Servellón García y otros, supra, párr. 154 y Caso Veliz</w:t>
        <w:br/>
        <w:t>Franco y otros, supra, párr. 183.</w:t>
        <w:br/>
        <w:t>[322]    Cfr. Protocolo de Minnesota, supra. Es decir que las autoridades</w:t>
        <w:br/>
        <w:t>estatales que conducen una investigación a causa de una muerte violenta</w:t>
        <w:br/>
        <w:t>deben como mínimo: i) identificar a la víctima; ii) recuperar y preservar</w:t>
        <w:br/>
        <w:t>el material probatorio relacionado con la muerte, con el fin de ayudar en</w:t>
        <w:br/>
        <w:t>cualquier potencial investigación penal de los responsables; iii)</w:t>
        <w:br/>
        <w:t>identificar posibles testigos y obtener sus declaraciones en relación con</w:t>
        <w:br/>
        <w:t>la muerte que se investiga; iv) determinar la causa, forma, lugar y momento</w:t>
        <w:br/>
        <w:t>de la muerte, así como cualquier patrón o práctica que pueda haber causado</w:t>
        <w:br/>
        <w:t>la muerte, y v) distinguir entre muerte natural, muerte accidental,</w:t>
        <w:br/>
        <w:t>suicidio y homicidio. Cfr. Caso Juan Humberto Sánchez, supra, párr. 127 y</w:t>
        <w:br/>
        <w:t>Caso Veliz Franco y otros, supra, párr. 191. Cfr. CICR, Guidelines for</w:t>
        <w:br/>
        <w:t>Investigating Deaths in Custody, supra, pág. 13. En relación con la</w:t>
        <w:br/>
        <w:t>identificación de testigos y toma de declaraciones Cfr. Caso Garibaldi,</w:t>
        <w:br/>
        <w:t>supra, párr. 122.</w:t>
        <w:br/>
        <w:t>[323]    Cfr. Caso Velásquez Rodríguez. Fondo, supra, párr. 177, y Caso</w:t>
        <w:br/>
        <w:t>Veliz Franco y otros, supra, párr.183.</w:t>
        <w:br/>
        <w:t>[324]    Cfr. Caso Heliodoro Portugal Vs. Panamá. Excepciones Preliminares,</w:t>
        <w:br/>
        <w:t>Fondo, Reparaciones y Costas. Sentencia de 12 de agosto de 2008. Serie C</w:t>
        <w:br/>
        <w:t>No. 186, párr. 146 y Caso Veliz Franco y otros, supra, párr. 250. Cfr.</w:t>
        <w:br/>
        <w:t>CICR, Guidelines for Investigating Deaths in Custody, supra, págs. 13, 15 a</w:t>
        <w:br/>
        <w:t>17 y 25.</w:t>
        <w:br/>
        <w:t>[325]    Caso Velásquez Rodríguez. Fondo, supra, párr. 177, y Caso Veliz</w:t>
        <w:br/>
        <w:t>Franco y otros, supra, párr.183.</w:t>
        <w:br/>
        <w:t>[326]    Cfr. Protocolo de Estambul, supra, párr. 78(a), y CICR, Guidelines</w:t>
        <w:br/>
        <w:t>for Investigating Deaths in Custody, supra, pág. 13.</w:t>
        <w:br/>
        <w:t>[327]    Cfr. CICR, Guidelines for Investigating Deaths in Custody, supra,</w:t>
        <w:br/>
        <w:t>pág. 13, Caso Myrna Mack Chang, supra, párr. 166, y Caso Veliz Franco y</w:t>
        <w:br/>
        <w:t>otros, supra, párr. 191.</w:t>
        <w:br/>
        <w:t>[328]    CICR, Guidelines for Investigating Deaths in Custody, supra, págs.</w:t>
        <w:br/>
        <w:t>13, 15 a 17, Caso Garibaldi, supra, párr. 125, y Caso Nadege Dorzema y</w:t>
        <w:br/>
        <w:t>otros, supra, párr. 192.</w:t>
        <w:br/>
        <w:t>[329]    Cfr. CICR, Guidelines for Investigating Deaths in Custody, supra,</w:t>
        <w:br/>
        <w:t>pág. 18, Caso González y otras (“Campo Algodonero”), supra, párr. 310, y</w:t>
        <w:br/>
        <w:t>Caso Veliz Franco y otros, párr. 192.</w:t>
        <w:br/>
        <w:t>[330]    Cfr. CICR, Guidelines for Investigating Deaths in Custody, supra,</w:t>
        <w:br/>
        <w:t>págs. 18 y 19.</w:t>
        <w:br/>
        <w:t>[331]    Cfr. CICR, Guidelines for Investigating Deaths in Custody, supra,</w:t>
        <w:br/>
        <w:t>págs. 33 a 36.</w:t>
        <w:br/>
        <w:t>[332]    Cfr. Vargas Areco Vs. Paraguay. Fondo, Reparaciones y Costas.</w:t>
        <w:br/>
        <w:t>Sentencia de 26 de Septiembre de 2006. Serie C No. 155, párr. 87, y CICR,</w:t>
        <w:br/>
        <w:t>Guidelines for Investigating Deaths in Custody, supra, págs. 13 y 18 a 20.</w:t>
        <w:br/>
        <w:t>Asimismo, de acuerdo al Protocolo de Estambul la investigación de un caso</w:t>
        <w:br/>
        <w:t>de tortura requiere la evaluación general del conjunto de las lesiones y no</w:t>
        <w:br/>
        <w:t>la correlación de cada una de ellas con una forma particular de tortura.</w:t>
        <w:br/>
        <w:t>Cfr. Protocolo de Estambul, supra, párr. 188.</w:t>
        <w:br/>
        <w:t>[333]    Cfr. Experticia y avalúo de un vehículo de 5 de enero de 1997</w:t>
        <w:br/>
        <w:t>(anexos a la contestación del Estado, folio 7171).</w:t>
        <w:br/>
        <w:t>[334]    Cfr. Experticia de “activación especial” de vehículo de 10 de</w:t>
        <w:br/>
        <w:t>marzo de 1997 (anexos a la contestación del Estado, folios 7192 y 7193).</w:t>
        <w:br/>
        <w:t>[335]     Como  por  ejemplo,  la  toma  de  declaraciones  de  los  agentes</w:t>
        <w:br/>
        <w:t>policiales que participaron  en  el  traslado,  de  los  padres  de  Eduardo</w:t>
        <w:br/>
        <w:t>Landaeta y de dos testigos presenciales de los hechos; así como  experticias</w:t>
        <w:br/>
        <w:t>de reconocimiento legal y hematológico sobre la ropa  de  Eduardo  Landaeta,</w:t>
        <w:br/>
        <w:t>dos gazas con una sustancia  pardo  rojiza  y  algunos  de  los  proyectiles</w:t>
        <w:br/>
        <w:t>remitidos por el CTPJ, llevadas a cabo por el Laboratorio de  Criminalística</w:t>
        <w:br/>
        <w:t>del CTPJ entre 1997 y julio de 1998.</w:t>
        <w:br/>
        <w:t>[336]    Respecto de la autopsia realizada, el perito José Pablo Baraybar</w:t>
        <w:br/>
        <w:t>concluyó que: a) “no existe un protocolo de necropsia como tal, [sino] un</w:t>
        <w:br/>
        <w:t>documento [muy sucinto] a manera de notificación, con los resultados de la</w:t>
        <w:br/>
        <w:t>autopsia […], que no cumple con los estándares requeridos para la</w:t>
        <w:br/>
        <w:t>investigación; b) no se [adjuntó o mencionó] fotografías que apoyen o</w:t>
        <w:br/>
        <w:t>corroboren las conclusiones [del] reporte; c)  no se [mencionó] la toma de</w:t>
        <w:br/>
        <w:t>rayos x o a la existencia o no de proyectiles o fragmento de los mismos</w:t>
        <w:br/>
        <w:t>dentro de la víctima, y d) [si bien se enumeraron las lesiones</w:t>
        <w:br/>
        <w:t>encontradas], no existe ningún tipo de registro fotográfico de las</w:t>
        <w:br/>
        <w:t>[mismas], ni se [hizo] referencia a las características de las lesiones</w:t>
        <w:br/>
        <w:t>como el color, el curso, la profundidad o la estructura de las lesiones.</w:t>
        <w:br/>
        <w:t>Cfr. Declaración del perito José Pablo Baraybar de 29 de enero de 2014</w:t>
        <w:br/>
        <w:t>(expediente de fondo, folios 826 a 828). Al respecto, el Estado señaló que</w:t>
        <w:br/>
        <w:t>en la época de los hechos no se hacía fijación fotográfica del cadáver</w:t>
        <w:br/>
        <w:t>durante las autopsias, sino que se fijaba el cadáver de forma general, para</w:t>
        <w:br/>
        <w:t>dejar constancia de las lesiones presentes en el cuerpo del occiso y las</w:t>
        <w:br/>
        <w:t>características particulares del mismo. Cfr. Respuesta del Estado de 30 de</w:t>
        <w:br/>
        <w:t>mayo de 2014, en relación con la prueba para mejor resolver solicitada por</w:t>
        <w:br/>
        <w:t>la Corte mediante carta de Secretaría (expediente de fondo, folio 1247).</w:t>
        <w:br/>
        <w:t>[337]    Cfr. Pericia de reconocimiento emitida por Freddy Winderman y</w:t>
        <w:br/>
        <w:t>Elías Azuz el 22 de julio de 1998 (anexos a la contestación, folios 7229 a</w:t>
        <w:br/>
        <w:t>7230).</w:t>
        <w:br/>
        <w:t>[338]    Cfr. Acta de inspección técnica policial de 16 de abril de 2004</w:t>
        <w:br/>
        <w:t>(anexos a la contestación, folio 7531).</w:t>
        <w:br/>
        <w:t>[339]    La solicitud sobre si el armamento utilizado por los agentes</w:t>
        <w:br/>
        <w:t>policiales que trasladaron a Eduardo Landaeta era de calibre 7.65 mm fue</w:t>
        <w:br/>
        <w:t>respondida de manera negativa.</w:t>
        <w:br/>
        <w:t>[340]    Cfr. Auto emitido por la Fiscalía para el Régimen Procesal</w:t>
        <w:br/>
        <w:t>Transitorio del estado de Aragua de 30 de octubre de 2003 (anexos a la</w:t>
        <w:br/>
        <w:t>contestación, folios 7347 a 7348), y Oficio No. 05-FT-MCM-2109-06 emitido</w:t>
        <w:br/>
        <w:t>por la Fiscalía para el Régimen Procesal Transitorio del estado de Aragua</w:t>
        <w:br/>
        <w:t>de 29 de abril de 2006 (anexos a la contestación, folio 7825).</w:t>
        <w:br/>
        <w:t>[341]    Cfr. Auto emitido por la Fiscalía para el Régimen Procesal</w:t>
        <w:br/>
        <w:t>Transitorio del estado de Aragua de 30 de octubre de 2003 (anexos a la</w:t>
        <w:br/>
        <w:t>contestación, folios 7347 a 7348), y Oficio No. 05-FT-0188-08 emitido por</w:t>
        <w:br/>
        <w:t>la Fiscalía para el Régimen Procesal Transitorio del estado de Aragua de 18</w:t>
        <w:br/>
        <w:t>de abril de 2008 (anexos a la contestación, folios 8017 a 8021).</w:t>
        <w:br/>
        <w:t>[342]    Cfr. Solicitudes de ampliación del Protocolo de Autopsia al</w:t>
        <w:br/>
        <w:t>cadáver de Eduardo Landaeta de 22 y 25 de mayo de 2006 (anexos a la</w:t>
        <w:br/>
        <w:t>contestación, folios 7832 a 7833).</w:t>
        <w:br/>
        <w:t>[343]    Cfr. Acta de Exhumación del cadáver de Eduardo Landaeta de 28 de</w:t>
        <w:br/>
        <w:t>septiembre de 2006 (anexos a la contestación, folios 7910 a 7913).</w:t>
        <w:br/>
        <w:t>[344]    Declaración del perito José Pablo Baraybar de 29 de enero de 2014</w:t>
        <w:br/>
        <w:t>(expediente de fondo, folios 838 a 839 y 842).</w:t>
        <w:br/>
        <w:t>[345]    Cfr. Escrito presentado por Ignacio Landaeta solicitando la</w:t>
        <w:br/>
        <w:t>realización de diligencias judiciales s/f (expediente de anexos a la</w:t>
        <w:br/>
        <w:t>contestación, folio 7551).</w:t>
        <w:br/>
        <w:t>[346]    La Fiscalía solicitó la experticia hematológica de los tres</w:t>
        <w:br/>
        <w:t>proyectiles recuperados del cuerpo de Eduardo Landaeta en dos</w:t>
        <w:br/>
        <w:t>oportunidades, sin embargo, dichas solicitudes no fueron respondidas. Cfr.</w:t>
        <w:br/>
        <w:t>Oficio de la Fiscalía para el Régimen Procesal Transitorio de 23 de</w:t>
        <w:br/>
        <w:t>noviembre de 2005 (anexos a la contestación, folio 7809), y Oficio</w:t>
        <w:br/>
        <w:t>reiterativo de dicho pedido de 19 de junio de 2006 (anexos a la</w:t>
        <w:br/>
        <w:t>contestación, folio 7842).</w:t>
        <w:br/>
        <w:t>[347]    El Estado se limitó a señalar en su escrito de alegatos finales,</w:t>
        <w:br/>
        <w:t>ante la pregunta realizada por la Corte durante la audiencia del caso, que</w:t>
        <w:br/>
        <w:t>ello se estaba dilucidando en la actualidad, dentro del marco del proceso</w:t>
        <w:br/>
        <w:t>penal incoado por la muerte de Eduardo Landaeta, sin enviar prueba</w:t>
        <w:br/>
        <w:t>específica al respecto. Cfr. Escrito de alegatos finales del Estado</w:t>
        <w:br/>
        <w:t>(expediente de fondo, folio 1202).</w:t>
        <w:br/>
        <w:t>[348]    Cfr. Oficio No. 11 emitido por el Cuerpo de Seguridad y Orden</w:t>
        <w:br/>
        <w:t>Público de 6 de enero de 1997, en el que se deja constancia de la pérdida</w:t>
        <w:br/>
        <w:t>del armamento asignado a los agentes policiales que trasladaron a Eduardo</w:t>
        <w:br/>
        <w:t>Landaeta (anexos a la contestación, folio 7842), y Oficio No. 9700-064-ST-</w:t>
        <w:br/>
        <w:t>011430 emitido por el Cuerpo de Investigaciones Científicas, Penales y</w:t>
        <w:br/>
        <w:t>Criminales de 29 de junio de 2004, en donde se deja constancia que las</w:t>
        <w:br/>
        <w:t>armas aparecen solicitadas por el delito de hurto (anexos a la</w:t>
        <w:br/>
        <w:t>contestación, folio 7578).</w:t>
        <w:br/>
        <w:t>[349]    Cfr. Oficio No. 005 emitido por el Cuerpo de Seguridad y Orden</w:t>
        <w:br/>
        <w:t>Público de 1 de abril de 2004 (anexos a la contestación, folio 7405).</w:t>
        <w:br/>
        <w:t>[350]    Cfr. Oficio Nro. 05FTMCM-19121-05 emitido por la Fiscalía del</w:t>
        <w:br/>
        <w:t>Ministerio Público para el Régimen Procesal Transitorio el 21 de noviembre</w:t>
        <w:br/>
        <w:t>de 2005 (anexos a la contestación, folio 7807).</w:t>
        <w:br/>
        <w:t>[351]    Una muestra sobre el desconocimiento de los hechos del caso se</w:t>
        <w:br/>
        <w:t>presentó cuando la Fiscalía Transitoria envió una solicitud al Centro</w:t>
        <w:br/>
        <w:t>Médico Maracay el 7 de noviembre de 2005, solicitando información sobre la</w:t>
        <w:br/>
        <w:t>atención médica brindada por el doctor “FABP”, quien en realidad era uno de</w:t>
        <w:br/>
        <w:t>los imputados en el proceso penal seguido por la muerte de Eduardo</w:t>
        <w:br/>
        <w:t>Landaeta. Cfr. Oficio No. 05-FT-MCAL-18397-05 emitido por la Fiscalía del</w:t>
        <w:br/>
        <w:t>Ministerio Público para el Régimen Procesal Transitorio el 7 de noviembre</w:t>
        <w:br/>
        <w:t>de 2005 (anexos a la contestación, folio 7796).</w:t>
        <w:br/>
        <w:t>[352]    Cfr. Caso González y otras (“Campo Algodonero”), supra, párr. 301,</w:t>
        <w:br/>
        <w:t>y Caso Luna López, supra, párr. 164. Cfr. Protocolo de Minnesota, supra.</w:t>
        <w:br/>
        <w:t>[353]    En julio de 2004 la Fiscalía Transitoria solicitó el</w:t>
        <w:br/>
        <w:t>sobreseimiento de la causa con base en la falta de elementos de convicción</w:t>
        <w:br/>
        <w:t>suficientes a efectos de imputar a los tres agentes policiales la comisión</w:t>
        <w:br/>
        <w:t>del delito de homicidio calificado en virtud de la muerte de Eduardo</w:t>
        <w:br/>
        <w:t>Landaeta (supra párr.107).</w:t>
        <w:br/>
        <w:t>[354]    Cfr. Caso de la "Masacre de Mapiripán" Vs. Colombia. Sentencia de</w:t>
        <w:br/>
        <w:t>15 de septiembre de 2005. Serie C No. 134, párr. 228, y Caso Veliz Frnaco y</w:t>
        <w:br/>
        <w:t>otros, supra, párrs. 197 y 198.</w:t>
        <w:br/>
        <w:t>[355]    Cfr. Acusación de la Fiscalía de 15 de diciembre de 2008 (anexos a</w:t>
        <w:br/>
        <w:t>la contestación, folio 8128).</w:t>
        <w:br/>
        <w:t>[356]    Cfr. Solicitud de recusación del señor Ignacio Landaeta Muñoz de</w:t>
        <w:br/>
        <w:t>16 de diciembre de 2011 (anexos a la contestación, folios 8921 a 8922).</w:t>
        <w:br/>
        <w:t>[357]    El Tribunal constató la existencia de ciertas demoras por parte de</w:t>
        <w:br/>
        <w:t>la Fiscalía Novena, debido a que si bien el 27 de agosto de 1997 la</w:t>
        <w:br/>
        <w:t>Comisión de Derechos Humanos de Justicia y Paz del estado Aragua presentó</w:t>
        <w:br/>
        <w:t>una solicitud de “investigación de nudo de hecho” no fue hasta el 25 de</w:t>
        <w:br/>
        <w:t>marzo de 1998 cuando dicha solicitud se llevó a cabo ante el Juzgado de los</w:t>
        <w:br/>
        <w:t>Municipios de Mariño y Libertador, la cual inició el 14 de mayo de dicho</w:t>
        <w:br/>
        <w:t>año (supra párr. 103). Este último recibió el expediente de la Seccional</w:t>
        <w:br/>
        <w:t>Mariño el 13 de agosto de 1998, al haberse concluido las diligencias</w:t>
        <w:br/>
        <w:t>sumariales, y no fue hasta el 8 de febrero de 1999 que la Fiscalía Novena</w:t>
        <w:br/>
        <w:t>denunció formalmente a los agentes policiales por el delito de homicidio</w:t>
        <w:br/>
        <w:t>calificado y uso indebido de arma de fuego en perjuicio de Eduardo Landaeta</w:t>
        <w:br/>
        <w:t>(supra párr. 104).  No consta en el expediente que se haya realizado</w:t>
        <w:br/>
        <w:t>diligencias de importancia durante dicho periodo.</w:t>
        <w:br/>
        <w:t>[358]    El Juzgado de los Municipios de Mariño y Libertador, emitió en  dos</w:t>
        <w:br/>
        <w:t>oportunidades el mismo auto, ordenando  la  apertura  de  una  investigación</w:t>
        <w:br/>
        <w:t>sumaria, y citando al occiso Eduardo Landaeta  con  el  fin  de  brindar  su</w:t>
        <w:br/>
        <w:t>declaración.  Dichos   autos   ordenaron   recabar   las   declaraciones   y</w:t>
        <w:br/>
        <w:t>antecedentes penales y  correccionales  que  ya  se  habían  solicitado  con</w:t>
        <w:br/>
        <w:t>anterioridad. Cfr. Auto de citación para rendimiento de declaración  emitido</w:t>
        <w:br/>
        <w:t>por el Juzgado de los Municipios Santiago Mariño y Libertador del estado  de</w:t>
        <w:br/>
        <w:t>Aragua,de 13 de agosto de 1998 (anexos a la  contestación,  folio  7296),  y</w:t>
        <w:br/>
        <w:t>Auto de 2 de marzo de 1999 (anexos a la contestación, folio 7099).</w:t>
        <w:br/>
        <w:t>[359]    A pesar de las diversas citaciones emitidas con el fin de que</w:t>
        <w:br/>
        <w:t>ambos agentes policiales que realizaron la detención de Eduardo Landaeta se</w:t>
        <w:br/>
        <w:t>acercaran a declarar durante las investigaciones y el proceso penal, sólo</w:t>
        <w:br/>
        <w:t>uno de ellos declaró en una sola ocasión, respecto de la detención del</w:t>
        <w:br/>
        <w:t>menor de edad. Cfr. Declaración de José Guillermo Cortez Aguirre de 14 de</w:t>
        <w:br/>
        <w:t>febrero de 2007 (anexos a la contestación del Estado, folios 7955 a 7957).</w:t>
        <w:br/>
        <w:t>[360]    Cfr. Caso Ximenes Lopes Vs. Brasil. Sentencia de 4 de julio de</w:t>
        <w:br/>
        <w:t>2006. Serie C No. 149, párr. 147 y Caso García Cruz y Sánchez Silvestre Vs.</w:t>
        <w:br/>
        <w:t>México. Fondo, Reparaciones y Costas. Sentencia de 26 de noviembre de 2013.</w:t>
        <w:br/>
        <w:t>Serie C No. 273, párr. 55 y 69-71.</w:t>
        <w:br/>
        <w:t>[361]    Cfr. CICR, Guidelines For Investigating Deaths in Custody, pág.</w:t>
        <w:br/>
        <w:t>21, Caso Chaparro Álvarez y Lapo Íñiguez, supra, párr. 53 y Caso J., supra,</w:t>
        <w:br/>
        <w:t>párr. 152.</w:t>
        <w:br/>
        <w:t>[362]    Cfr. Escrito de solicitud de diligencias judiciales presentado por</w:t>
        <w:br/>
        <w:t>la representación legal del señor Ignacio Landaeta Muñozs/f  (anexos a la</w:t>
        <w:br/>
        <w:t>contestación, folio 7550).</w:t>
        <w:br/>
        <w:t>[363]    De la prueba aportada por el Estado, se constata que durante la</w:t>
        <w:br/>
        <w:t>toma de la declaración al señor Samuel Uzcátegui, este declaró ante la</w:t>
        <w:br/>
        <w:t>pregunta sobre las condiciones en las que se encontraba Eduardo Landaeta al</w:t>
        <w:br/>
        <w:t>momento de uno de los traslados, que el mismo se encontraba en perfectas</w:t>
        <w:br/>
        <w:t>condiciones. Sin embargo, esta pregunta fue de tipo general y aislada, mas</w:t>
        <w:br/>
        <w:t>no en el marco de investigaciones de los presuntos actos contra la</w:t>
        <w:br/>
        <w:t>integridad de Eduardo Landaeta bajo la custodia del Estado. Cfr.</w:t>
        <w:br/>
        <w:t>Declaración de Samuel Uzcátegui ante la Fiscalía para el Régimen Procesal</w:t>
        <w:br/>
        <w:t>Transitorio del Estado Aragua de 2 de octubre de 2006 (anexos a la</w:t>
        <w:br/>
        <w:t>contestación, folio 7914).</w:t>
        <w:br/>
        <w:t>[364]    Cfr. Declaración de Ignacio Landaeta Muñoz de 13 de febrero de</w:t>
        <w:br/>
        <w:t>2004 (anexos a la contestación, folios 7378 y 7379), y declaración de María</w:t>
        <w:br/>
        <w:t>Magdalena Mejías de 16 de febrero de 2004 (anexos a la contestación, folios</w:t>
        <w:br/>
        <w:t>7382 y 7383).</w:t>
        <w:br/>
        <w:t>[365]    Cfr. Caso Castillo Páez Vs. Perú. Fondo. Sentencia de 3 de</w:t>
        <w:br/>
        <w:t>noviembre de 1997. Serie C No. 34, Punto Resolutivo Cuarto, y Caso Veliz</w:t>
        <w:br/>
        <w:t>Franco y otros, supra, párr. 233.</w:t>
        <w:br/>
        <w:t>[366]    Cfr. Caso Blake Vs. Guatemala. Fondo. Sentencia de 24 de enero de</w:t>
        <w:br/>
        <w:t>1998. Serie C No. 36, párr. 114, y Caso Veliz Franco y otros, supra, párr.</w:t>
        <w:br/>
        <w:t>233.</w:t>
        <w:br/>
        <w:t>[367]    Cfr. Caso Blake, supra, párr. 114, y Caso Luna López, supra,  párr.</w:t>
        <w:br/>
        <w:t>201.</w:t>
        <w:br/>
        <w:t>[368]    Declaraciones rendidas ante fedatario público el 24 de enero de</w:t>
        <w:br/>
        <w:t>2014, por: María Magdalena Mejías (madre); Victoria Eneri y Leydis</w:t>
        <w:br/>
        <w:t>Rossimar, ambas de apellido Landaeta Galindo (hermanas), y Francy Yellut</w:t>
        <w:br/>
        <w:t>Parra Guzmán (compañera de vida de Igmar Alexander Landaeta Mejías)</w:t>
        <w:br/>
        <w:t>(expediente de fondo, folios 773 a 778; 779 a 783; 784; 788 a 794,</w:t>
        <w:br/>
        <w:t>respectivamente).</w:t>
        <w:br/>
        <w:t>[369]    Informe Pericial Psicológico practicado por la psicóloga Claudia</w:t>
        <w:br/>
        <w:t>Carrillo Ramírez en favor de: Ignacio Landaeta Mejías; María Magdalena</w:t>
        <w:br/>
        <w:t>Mejías; Victoria Eneri y Leydis Rossimar, ambas de apellido Landaeta</w:t>
        <w:br/>
        <w:t>Galindo; José Luis Tovar Mejías; Francy Yellut Parra Guzmán y Johanyelis</w:t>
        <w:br/>
        <w:t>Alejandra Landaeta Parra, rendido ante fedatario público el 29 de enero de</w:t>
        <w:br/>
        <w:t>2014 (expediente de fondo, folios 855 a 866).</w:t>
        <w:br/>
        <w:t>[370]    Informe Pericial Psicológico practicado por Claudia Carrillo</w:t>
        <w:br/>
        <w:t>Ramírez de 29 de enero de 2014, supra (expediente de fondo, folio 854).</w:t>
        <w:br/>
        <w:t>[371]    Cfr. Declaración rendida ante fedatario público por María</w:t>
        <w:br/>
        <w:t>Magdalena Mejías (madre) el 23 de enero de 2014 (expediente de fondo, folio</w:t>
        <w:br/>
        <w:t>773).</w:t>
        <w:br/>
        <w:t>[372]    Cfr. Declaraciones rendidas ante fedatario público el 23 de enero</w:t>
        <w:br/>
        <w:t>de 2014 por los familiares, supra (expediente de fondo, folios 773 a 778;</w:t>
        <w:br/>
        <w:t>779 a 783; 784, y 788 a 794,  respectivamente); declaración de Ignacio</w:t>
        <w:br/>
        <w:t>Landaeta Muñóz rendida durante la audiencia pública ante la Corte</w:t>
        <w:br/>
        <w:t>Interamericana el 6 de febrero de 2014  e Informe Pericial Psicológico</w:t>
        <w:br/>
        <w:t>practicado por Claudia Carrillo Ramírez de 29 de enero de 2014, supra</w:t>
        <w:br/>
        <w:t>(expediente de fondo, folios 855 y 860). Una de las hermanas, Victoria</w:t>
        <w:br/>
        <w:t>Eneri Landaeta Galindo, manifiestó que a pesar de su corta edad “tenía</w:t>
        <w:br/>
        <w:t>conciencia de que la muerte era irreversible”, sabía que no vería más a sus</w:t>
        <w:br/>
        <w:t>hermanos. Asimismo, tanto Victoria Eneri como Leydis Rossimar Landaeta</w:t>
        <w:br/>
        <w:t>Galindo manifiestan que la “distancia afectiva que tomó su papá desde los</w:t>
        <w:br/>
        <w:t>hechos” y la actitud que este adoptó al estar al “pendiente de los casos”</w:t>
        <w:br/>
        <w:t>ante los tribunales, las afectó profundamente. Cfr. Informe Pericial</w:t>
        <w:br/>
        <w:t>Psicológico practicado por Claudia Carrillo Ramírez de 29 de enero de 2014,</w:t>
        <w:br/>
        <w:t>supra (expediente de fondo, folio 858), y declaración rendida ante</w:t>
        <w:br/>
        <w:t>fedatario público por Leydis Rossimar Landaeta Galindo el 23 de enero de</w:t>
        <w:br/>
        <w:t>2014 (expediente de fondo, folio 784).</w:t>
        <w:br/>
        <w:t>[373]    Cfr. Informe Pericial Psicológico practicado por Claudia Carrillo</w:t>
        <w:br/>
        <w:t>Ramírez de 29 de enero de 2014, supra (expediente de fondo, folio 861).</w:t>
        <w:br/>
        <w:t>[374]     Informe Pericial Psicológico practicado por Claudia Carrillo</w:t>
        <w:br/>
        <w:t>Ramírez de 29 de enero de 2014, supra (expediente de fondo, folio 855).</w:t>
        <w:br/>
        <w:t>[375]     Declaración rendida ante fedatario público por María Magdalena</w:t>
        <w:br/>
        <w:t>Mejías el 23 de enero de 2014 (expediente de fondo, folio 776 y 777).</w:t>
        <w:br/>
        <w:t>[376]    Informe Pericial Psicológico practicado por Claudia Carrillo</w:t>
        <w:br/>
        <w:t>Ramírez de 29 de enero de 2014, supra (expediente de fondo, folio 861).</w:t>
        <w:br/>
        <w:t>[377]    Informe Pericial Psicológico practicado por Claudia Carrillo</w:t>
        <w:br/>
        <w:t>Ramírez de 29 de enero de 2014, supra (expediente de fondo, folio 858).</w:t>
        <w:br/>
        <w:t>[378]    Cfr. Declaración rendida ante fedatario público por Francy Yellut</w:t>
        <w:br/>
        <w:t>Parra Guzmán el 23 de enero de 2014 (expediente de fondo, folio 788).</w:t>
        <w:br/>
        <w:t>[379]     Declaración rendida ante fedatario público por Francy Yellut</w:t>
        <w:br/>
        <w:t>Parra Guzmán el 23 de enero de 2014 (expediente de fondo, folio 794).</w:t>
        <w:br/>
        <w:t>[380]    Los efectos de la muerte de Igmar Landaeta sobre la vida de su</w:t>
        <w:br/>
        <w:t>hija, que le generaron sentimientos de “ansiedad, tristeza, irritabilidad y</w:t>
        <w:br/>
        <w:t>temor” han sido declarados por su madre, Francy Yellut Parra Guzmán, y</w:t>
        <w:br/>
        <w:t>establecidos por la perita en su dictamen. Cfr. Informe Pericial</w:t>
        <w:br/>
        <w:t>Psicológico practicado por Claudia Carrillo Ramírez a favor de Johanyelis</w:t>
        <w:br/>
        <w:t>Alejandra Landaeta Parra el 29 de enero de 2014, supra (expediente de</w:t>
        <w:br/>
        <w:t>fondo, folio 861). Cfr. Inter alia, Caso Contreras y otros, supra, párr.</w:t>
        <w:br/>
        <w:t>122, y Caso Gudiel Álvarez y otros ("Diario Militar"), supra, párr. 287.</w:t>
        <w:br/>
        <w:t>[381]    Cfr. Caso Familia Barrios, supra,  párr. 310, y  Caso  Luna  López,</w:t>
        <w:br/>
        <w:t>supra, párr. 212.</w:t>
        <w:br/>
        <w:t>[382]    Informe Pericial Psicológico practicado por Claudia Carrillo</w:t>
        <w:br/>
        <w:t>Ramírez,de 29 de enero de 2014, supra (expediente de fondo, folio 861).</w:t>
        <w:br/>
        <w:t>[383]    Cfr. Informe Pericial Psicológico practicado por Claudia Carrillo</w:t>
        <w:br/>
        <w:t>Ramírez de 29 de enero de 2014, supra (expediente de fondo, folio 856).</w:t>
        <w:br/>
        <w:t>[384]    Cfr. Informe Pericial Psicológico practicado por Claudia Carrillo</w:t>
        <w:br/>
        <w:t>Ramírez de 29 de enero de 2014, supra (expediente de fondo, folio 855).</w:t>
        <w:br/>
        <w:t>[385]    El artículo 63.1 de la Convención dispone que “[c]uando decida que</w:t>
        <w:br/>
        <w:t>hubo violación de un derecho o libertad protegidos en [la] Convención, la</w:t>
        <w:br/>
        <w:t>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t>[386]    Cfr. Caso Velásquez Rodríguez. Reparaciones y Costas, supra, párr.</w:t>
        <w:br/>
        <w:t>25, y Caso Norín Catrimán y otros (Dirigentes, miembros y activista del</w:t>
        <w:br/>
        <w:t>Pueblo Indígena Mapuche), supra, párr. 412.</w:t>
        <w:br/>
        <w:t>[387]    Cfr. Caso Velásquez Rodríguez. Reparaciones y Costas, supra,</w:t>
        <w:br/>
        <w:t>párrs. 25 a 27, y Caso Norín Catrimán y otros (Dirigentes, miembros y</w:t>
        <w:br/>
        <w:t>activista del Pueblo Indígena Mapuche), supra, párr. 415.</w:t>
        <w:br/>
        <w:t>[388]    Cfr. Caso Ticona Estrada Vs. Bolivia. Fondo, Reparaciones y</w:t>
        <w:br/>
        <w:t>Costas. Sentencia de 27 de noviembre de 2008. Serie C No. 191, párr. 110, y</w:t>
        <w:br/>
        <w:t>Caso Norín Catrimán y otros (Dirigentes, miembros y activista del Pueblo</w:t>
        <w:br/>
        <w:t>Indígena Mapuche), supra, párr. 414.</w:t>
        <w:br/>
        <w:t>[389]    El artículo 78.2 de la Convención Americana , respecto de la</w:t>
        <w:br/>
        <w:t>denuncia de los Estados a la Convención, señala que “2. Dicha denuncia no</w:t>
        <w:br/>
        <w:t>tendrá por efecto desligar al Estado parte interesado de las obligaciones</w:t>
        <w:br/>
        <w:t>contenidas en esta Convención en lo que concierne a todo hecho que,</w:t>
        <w:br/>
        <w:t>pudiendo constituir una violación de esas obligaciones, haya sido cumplido</w:t>
        <w:br/>
        <w:t>por él anteriormente a la fecha en la cual la denuncia produce efecto”.</w:t>
        <w:br/>
        <w:t>[390]    Cfr. Caso De la Masacre de las Dos Erres Vs. Guatemala. Excepción</w:t>
        <w:br/>
        <w:t>Preliminar, Fondo, Reparaciones y Costas. Sentencia de 24 de noviembre de</w:t>
        <w:br/>
        <w:t>2009. Serie C No. 211, párr. 270, y Caso Norín Catrimán y otros</w:t>
        <w:br/>
        <w:t>(Dirigentes, miembros y activista del Pueblo Indígena Mapuche), supra,</w:t>
        <w:br/>
        <w:t>párr. 426.</w:t>
        <w:br/>
        <w:t>[391]    Cfr. Caso De la Masacre de las Dos Erres, supra, párr. 270, y  Caso</w:t>
        <w:br/>
        <w:t>Norín  Catrimán  y  otros  (Dirigentes,  miembros  y  activista  del  Pueblo</w:t>
        <w:br/>
        <w:t>Indígena Mapuche), supra, párr. 426.</w:t>
        <w:br/>
        <w:t>[392]    Cfr. Caso Cantoral Benavides Vs. Perú. Reparaciones y Costas.</w:t>
        <w:br/>
        <w:t>Sentencia de 3 de diciembre de 2001. Serie C No. 88, párr. 79, y Caso Norín</w:t>
        <w:br/>
        <w:t>Catrimán y otros (Dirigentes, miembros y activista del Pueblo Indígena</w:t>
        <w:br/>
        <w:t>Mapuche), supra,  párr. 428.</w:t>
        <w:br/>
        <w:t>[393]    Cfr. Caso Cantoral Benavides. Reparaciones y Costas, supra, párr.</w:t>
        <w:br/>
        <w:t>81, y Caso Veliz Franco y otros, supra, párr. 257.</w:t>
        <w:br/>
        <w:t>[394]    En este sentido, 1) en el Caso Del  Caracazo  la  Corte  ordenó  al</w:t>
        <w:br/>
        <w:t>Estado adoptar todas las  providencias  necesarias  tendientes  a  formar  y</w:t>
        <w:br/>
        <w:t>capacitar a todos los miembros de sus cuerpos armados y  de  sus  organismos</w:t>
        <w:br/>
        <w:t>de seguridad sobre los principios y normas de  protección  de  los  derechos</w:t>
        <w:br/>
        <w:t>humanos y sobre los límites a los que debe  estar  sometido,  aun  bajo  los</w:t>
        <w:br/>
        <w:t>estados de excepción, el uso de las armas  por  parte  de  los  funcionarios</w:t>
        <w:br/>
        <w:t>encargados de hacer cumplir la ley. Cfr. Caso Del Caracazo.  Reparaciones  y</w:t>
        <w:br/>
        <w:t>Costas, supra, punto resolutivo cuarto; 2) en el Caso  Montero  Aranguren  y</w:t>
        <w:br/>
        <w:t>otros (Reten de Catia) la  Corte  ordenó  al  Estado  entrenar  y  capacitar</w:t>
        <w:br/>
        <w:t>adecuadamente a los miembros de los cuerpos  de  seguridad  para  garantizar</w:t>
        <w:br/>
        <w:t>efectivamente el derecho a la vida, y evitar el uso desproporcionado  de  la</w:t>
        <w:br/>
        <w:t>fuerza. Cfr. Caso Montero Aranguren y otros (Retén de Catia),  supra,  punto</w:t>
        <w:br/>
        <w:t>resolutivo decimoprimero; 3) en el Caso Familia Barrios, la Corte ordenó  al</w:t>
        <w:br/>
        <w:t>Estado venezolano realizar cursos de capacitación  en  derechos  humanos  al</w:t>
        <w:br/>
        <w:t>personal policial del estado de Aragua. Cfr. Caso  Familia  Barrios,  supra,</w:t>
        <w:br/>
        <w:t>párr. 341, y 4) en el Caso Uzcátegui la Corte no estimó  procedente  ordenar</w:t>
        <w:br/>
        <w:t>una garantía de no repetición con fundamento  en  los  esfuerzos  realizados</w:t>
        <w:br/>
        <w:t>por el  Estado  relacionados  con  el  fortalecimiento  de  las  capacidades</w:t>
        <w:br/>
        <w:t>institucionales de los funcionarios de seguridad, acorde con los  principios</w:t>
        <w:br/>
        <w:t>y normas de protección de  los  derechos  humanos.  Cfr.  Caso  Uzcátegui  y</w:t>
        <w:br/>
        <w:t>otros, supra, párr. 265.  Asimismo,  la  Corte  ha  emitido  las  siguientes</w:t>
        <w:br/>
        <w:t>Resoluciones  de  Supervisión  de  Cumplimiento:  Caso  del   Caracazo   Vs.</w:t>
        <w:br/>
        <w:t>Venezuela. Supervisión de Cumplimiento de Sentencia. Resolución de la  Corte</w:t>
        <w:br/>
        <w:t>Interamericana de Derechos Humanos de 6 de julio de 2009, punto  declarativo</w:t>
        <w:br/>
        <w:t>2.d), y Caso Montero Aranguren y  otros  (Retén  de  Catia)  Vs.  Venezuela.</w:t>
        <w:br/>
        <w:t>Supervisión  de  Cumplimiento  de  Sentencia.   Resolución   de   la   Corte</w:t>
        <w:br/>
        <w:t>Interamericana de Derechos Humanos 30 de agosto de 2011,  punto  declarativo</w:t>
        <w:br/>
        <w:t>2.e). Respecto del Caso Familia Barrios, la Corte  aún  no  ha  emitido  una</w:t>
        <w:br/>
        <w:t>Resolución de Supervisión  de  Cumplimiento  de  las  medidas  ordenadas  al</w:t>
        <w:br/>
        <w:t>Estado en la Sentencia del caso.</w:t>
        <w:br/>
        <w:t>[395]    Cfr. Comisión Nacional para la Reforma Policial creada el 10 de</w:t>
        <w:br/>
        <w:t>abril de 2006 (expediente de prueba para mejor resolver, folio 13982).</w:t>
        <w:br/>
        <w:t>[396]    Cfr. Decreto No 5.895, con Rango, Valor y Fuerza de Ley Orgánica</w:t>
        <w:br/>
        <w:t>del Servicio de Policía y del Cuerpo de Policía Nacional. (expediente de</w:t>
        <w:br/>
        <w:t>prueba para mejor resolver, folio 10914).</w:t>
        <w:br/>
        <w:t>[397]    Cfr. Creación del Consejo de Policía (expediente de prueba para</w:t>
        <w:br/>
        <w:t>mejor resolver, folio 13943).</w:t>
        <w:br/>
        <w:t>[398]    Cfr. Creación de la Universidad Nacional Experimental de Seguridad</w:t>
        <w:br/>
        <w:t>(UNES) (expediente de prueba para mejor resolver, folio 13943).</w:t>
        <w:br/>
        <w:t>[399]    Cfr. Baquías 1 a la 10 (expediente de prueba para mejor resolver,</w:t>
        <w:br/>
        <w:t>folios 11434, 11510, 11682, 11758, 11834, 11934, 12058, 12134, 12210, y</w:t>
        <w:br/>
        <w:t>12286, respectivamente); Baquías 12, 14 a la 16 y 19 (expediente de prueba</w:t>
        <w:br/>
        <w:t>para mejor resolver, folios 12362, 12438, 12514, 12580, y 12704,</w:t>
        <w:br/>
        <w:t>respectivamente).</w:t>
        <w:br/>
        <w:t>[400]    El artículo 11 de la Ley del Estatuto de la Función Policial</w:t>
        <w:br/>
        <w:t>establece que “Los funcionarios y funcionarias policiales responderán</w:t>
        <w:br/>
        <w:t>penal, civil, administrativa y disciplinariamente por los hechos ilícitos,</w:t>
        <w:br/>
        <w:t>delitos, faltas e irregularidades administrativas cometidas en el ejercicio</w:t>
        <w:br/>
        <w:t>de sus funciones de conformidad con la ley, reglamentos y resoluciones”</w:t>
        <w:br/>
        <w:t>(expediente de prueba para mejor resolver, folio 10866).</w:t>
        <w:br/>
        <w:t>[401]    El artículo 75 de la Ley del Estatuto de la Función Policial</w:t>
        <w:br/>
        <w:t>establece que “Son instancias de control interno de la policía la Oficina</w:t>
        <w:br/>
        <w:t>de Control de Actuación Policial, la Oficina de Respuesta a las</w:t>
        <w:br/>
        <w:t>Desviaciones Policiales y el Consejo Disciplinario de Policía” (expediente</w:t>
        <w:br/>
        <w:t>de prueba para mejor resolver, folio 10886).</w:t>
        <w:br/>
        <w:t>[402]    El artículo 83 de la Ley del Estatuto de la Función Policial</w:t>
        <w:br/>
        <w:t>establece que “Las instancias de control externo de la policía, de</w:t>
        <w:br/>
        <w:t>conformidad con  lo previsto en el artículo 81 de la Ley Orgánica del</w:t>
        <w:br/>
        <w:t>Servicio de Policía y del Cuerpo de Policía Nacional Bolivariana, son los</w:t>
        <w:br/>
        <w:t>comités ciudadanos de control policial, los consejos comunales y cualquier</w:t>
        <w:br/>
        <w:t>organización de carácter comunitario debidamente estructurada que pueda</w:t>
        <w:br/>
        <w:t>contribuir a mejorar procesos, desempeño y productividad de la policía</w:t>
        <w:br/>
        <w:t>dentro del marco de las normas constitucionales y legales” (expediente de</w:t>
        <w:br/>
        <w:t>prueba para mejor resolver, folio 10888).</w:t>
        <w:br/>
        <w:t>[403]    El artículo 2 de la Ley Orgánica para la protección de Niñas,</w:t>
        <w:br/>
        <w:t>Niños y Adolescentes define al adolescente como toda persona con doce años</w:t>
        <w:br/>
        <w:t>o más y menos de dieciocho años de edad.</w:t>
        <w:br/>
        <w:t>[404]    El artículo 526 establece que “El Sistema Penal de Responsabilidad</w:t>
        <w:br/>
        <w:t>de Adolescentes es el conjunto de órganos  y entidades que se encargan del</w:t>
        <w:br/>
        <w:t>establecimiento de la responsabilidad del adolescente por los hechos</w:t>
        <w:br/>
        <w:t>punibles en los cuales incurra, así como de la aplicación y control de las</w:t>
        <w:br/>
        <w:t>sanciones correspondientes”. Asimismo, el artículo 527 establece que “El</w:t>
        <w:br/>
        <w:t>Sistema Penal de Responsabilidad de Adolescentes está integrado por: a) La</w:t>
        <w:br/>
        <w:t>Sección de Adolescentes del Tribunal Penal, b) La Sala de Casación Penal</w:t>
        <w:br/>
        <w:t>del Tribunal Supremo de Justicia, c) El Ministerio Público, d) El Servicio</w:t>
        <w:br/>
        <w:t>Autónomo de la Defensa Pública, e) La Policía de investigación, f) Los</w:t>
        <w:br/>
        <w:t>Programas y entidades de atención”.</w:t>
        <w:br/>
        <w:t>[405]    El artículo 528 establece que “El o la adolescente que incurra en</w:t>
        <w:br/>
        <w:t>la comisión de hechos punibles responde por el hecho en la medida de su</w:t>
        <w:br/>
        <w:t>culpabilidad, de forma diferenciada del adulto. La diferencia consiste en</w:t>
        <w:br/>
        <w:t>la jurisdicción especializada y en la sanción que se le impone”.</w:t>
        <w:br/>
        <w:t>[406]    El artículo 548 establece la excepcionalidad de la privación de</w:t>
        <w:br/>
        <w:t>libertad y señala que “Salvo la detención en flagrancia, la privación de</w:t>
        <w:br/>
        <w:t>libertad sólo procede por orden judicial, en los casos, bajo las</w:t>
        <w:br/>
        <w:t>condiciones y por los lapsos previstos en esta Ley. La prisión preventiva</w:t>
        <w:br/>
        <w:t>es revisable en cualquier tiempo a solicitud del o de la adolescente”.</w:t>
        <w:br/>
        <w:t>[407]    El artículo 557 se refiere a la detención en flagrancia y señala</w:t>
        <w:br/>
        <w:t>que “El o la adolescente detenido o detenida en flagrancia será conducido o</w:t>
        <w:br/>
        <w:t>conducida de inmediato ante el o la Fiscal del Ministerio Público quien,</w:t>
        <w:br/>
        <w:t>dentro de las veinticuatro horas siguientes lo presentará al Juez o Jueza</w:t>
        <w:br/>
        <w:t>de Control y le expondrá cómo se produjo la aprehensión. El juez o jueza</w:t>
        <w:br/>
        <w:t>resolverá, en la misma audiencia, si convoca directamente a juicio oral</w:t>
        <w:br/>
        <w:t>para dentro de los diez días siguientes. El o la Fiscal y, en su caso, el o</w:t>
        <w:br/>
        <w:t>la querellante, presentará la acusación directamente en la audiencia de</w:t>
        <w:br/>
        <w:t>juicio oral y se seguirá, en lo demás, las reglas del procedimiento</w:t>
        <w:br/>
        <w:t>ordinario. En la audiencia de presentación del detenido o detenida en</w:t>
        <w:br/>
        <w:t>flagrancia el juez o jueza resolverá la medida cautelar de comparecencia a</w:t>
        <w:br/>
        <w:t>juicio, pudiendo decretar la prisión preventiva, sólo en los casos en que</w:t>
        <w:br/>
        <w:t>proceda, conforme a los artículos siguientes”.</w:t>
        <w:br/>
        <w:t>[408]    El artículo 558 establece que “En el curso de una investigación el</w:t>
        <w:br/>
        <w:t>Juez o Jueza de Control, a solicitud del o de la Fiscal del Ministerio</w:t>
        <w:br/>
        <w:t>Público y, en su caso, del o de la querellante, podrá acordar la detención</w:t>
        <w:br/>
        <w:t>preventiva del o de la adolescente, hasta por noventa y seis horas, cuando</w:t>
        <w:br/>
        <w:t>éste no se encuentre civilmente identificado o identificada o se haga</w:t>
        <w:br/>
        <w:t>necesaria la confrontación de la identidad aportada, habiendo duda fundada.</w:t>
        <w:br/>
        <w:t>Esta medida sólo será acordada si no hay otra forma de asegurar que no se</w:t>
        <w:br/>
        <w:t>evadirá. Si se lograre antes la identificación plena se hará cesar la</w:t>
        <w:br/>
        <w:t>detención”.</w:t>
        <w:br/>
        <w:t>[409]    La metodología utilizada por los representantes para el cálculo</w:t>
        <w:br/>
        <w:t>del lucro cesante consistió en lo siguiente: Parte A. Lucro cesante de la</w:t>
        <w:br/>
        <w:t>víctima desde el año del homicidio hasta septiembre de 2012 (último mes con</w:t>
        <w:br/>
        <w:t>el que se cuenta con índice de inflación): a)  se toma el salario mínimo de</w:t>
        <w:br/>
        <w:t>Venezuela por año a partir del año del homicidio de la víctima; b) se</w:t>
        <w:br/>
        <w:t>convierte el salario mínimo a Bolívares Fuertes sobre datos del Banco</w:t>
        <w:br/>
        <w:t>Central de Venezuela; c) se ajusta por inflación el salario mínimo desde el</w:t>
        <w:br/>
        <w:t>año en que se toma (homicidio de la víctima) hasta diciembre 2010, y d) a</w:t>
        <w:br/>
        <w:t>septiembre de 2012 se convierten los salarios ajustados a dólares</w:t>
        <w:br/>
        <w:t>estadounidenses. Parte B. Lucro cesante de la víctima desde octubre de 2012</w:t>
        <w:br/>
        <w:t>en función de su expectativa de vida: a) se toma el salario mínimo en</w:t>
        <w:br/>
        <w:t>Venezuela para el año 2012, se anualiza y se multiplica por los años</w:t>
        <w:br/>
        <w:t>restantes según expectativa de vida de la víctima (anexos al ESAP, folio</w:t>
        <w:br/>
        <w:t>6677).</w:t>
        <w:br/>
        <w:t>[410]    La Corte determinó el lucro cesante multiplicando el salario</w:t>
        <w:br/>
        <w:t>mínimo que en 1996 ascendía a la suma de US$3.300 anuales, por los años</w:t>
        <w:br/>
        <w:t>correspondientes a la expectativa de vida en 1996 (71.8 años), y le restó</w:t>
        <w:br/>
        <w:t>la edad de la víctima al momento de su muerte). Cfr. Caso Bámaca Velásquez</w:t>
        <w:br/>
        <w:t>Vs. Guatemala. Reparaciones y Costas. Sentencia de 22 de febrero de 2002.</w:t>
        <w:br/>
        <w:t>Serie C No. 91, párr. 434 y Caso Luna López, supra, párr. 250.</w:t>
        <w:br/>
        <w:t>[411]    Cfr. Caso de los Hermanos Gómez Paquiyauri Vs. Perú. Fondo,</w:t>
        <w:br/>
        <w:t>Reparaciones y Costas. Sentencia de 8 de julio de 2004. Serie C No. 110,</w:t>
        <w:br/>
        <w:t>párr. 207 y Caso Veliz Franco y otros, supra, párr. 296.</w:t>
        <w:br/>
        <w:t>[412]    Cfr. Caso Chitay Nech y otros Vs. Guatemala. Excepciones</w:t>
        <w:br/>
        <w:t>Preliminares, Fondo, Reparaciones y Costas. Sentencia de 25 de mayo de</w:t>
        <w:br/>
        <w:t>2010. Serie C No. 212, párr. 271 y Caso Veliz Franco y otros, supra, párr.</w:t>
        <w:br/>
        <w:t>297.</w:t>
        <w:br/>
        <w:t>[413]    Cfr. Caso Neira Alegría y otros Vs. Perú. Reparaciones y Costas.</w:t>
        <w:br/>
        <w:t>Sentencia de 19 de septiembre de 1996. Serie C No. 29, párr. 56. y Caso</w:t>
        <w:br/>
        <w:t>Veliz Franco y otros, supra, párr. 300.</w:t>
        <w:br/>
        <w:t>[414]    Cfr. Caso Chaparro Álvarez y Lapo Íñiguez, supra, párr. 275 y Caso</w:t>
        <w:br/>
        <w:t>Norín Catrimán y otros (Dirigentes, miembros y activista del Pueblo</w:t>
        <w:br/>
        <w:t>Indígena Mapuche), supra, párr. 451.</w:t>
        <w:br/>
        <w:t>[415]    Cfr. Caso Chaparro Álvarez y Lapo Íñiguez, supra, párr. 277 y Caso</w:t>
        <w:br/>
        <w:t>Norín Catrimán y otros (Dirigentes, miembros y activista del Pueblo</w:t>
        <w:br/>
        <w:t>Indígena Mapuche), supra,  párr. 451.</w:t>
        <w:br/>
        <w:t>[416]    Cfr. Documentos de prueba aportados  por  CEJIL  (anexos  al  ESAP,</w:t>
        <w:br/>
        <w:t>folios 6702 a 6722 y 9920 a 9939).</w:t>
        <w:br/>
        <w:t>[417]    Cfr. Caso Ibsen Cárdenas e Ibsen Peña Vs. Bolivia. Fondo,</w:t>
        <w:br/>
        <w:t>Reparaciones y Costas. Sentencia de 1 de septiembre de 2010. Serie C No.</w:t>
        <w:br/>
        <w:t>217, párr. 291 y Caso Norín Catrimán y otros (Dirigentes, miembros y</w:t>
        <w:br/>
        <w:t>activista del Pueblo Indígena Mapuche), supra, párr. 454.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