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CASO DEFENSOR DE DERECHOS HUMANOS Y OTROS VS. GUATEMALA*</w:t>
        <w:br/>
        <w:br/>
        <w:t xml:space="preserve">                      SENTENCIA DE 28 DE AGOSTO DE 2014</w:t>
        <w:br/>
        <w:br/>
        <w:t xml:space="preserve">          (Excepciones Preliminares, Fondo, Reparaciones y Costas)</w:t>
        <w:br/>
        <w:br/>
        <w:br/>
        <w:br/>
        <w:t>En el caso Defensor de derechos humanos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jueces**:</w:t>
        <w:br/>
        <w:br/>
        <w:t>Humberto Antonio Sierra Porto, Presidente;</w:t>
        <w:br/>
        <w:t>Roberto F. Caldas, Vicepresidente;</w:t>
        <w:br/>
        <w:t xml:space="preserve">      Manuel E. Ventura Robles, Juez;</w:t>
        <w:br/>
        <w:t>Eduardo Vio Grossi, Juez, y</w:t>
        <w:br/>
        <w:t>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br/>
        <w:br/>
        <w:br/>
        <w:t>TABLA DE CONTENIDO</w:t>
        <w:br/>
        <w:br/>
        <w:t>I. INTRODUCCIÓN DE LA CAUSA Y OBJETO DE LA CONTROVERSIA 4</w:t>
        <w:br/>
        <w:br/>
        <w:t>II. PROCEDIMIENTO ANTE LA CORTE   6</w:t>
        <w:br/>
        <w:br/>
        <w:t>III. COMPETENCIA 7</w:t>
        <w:br/>
        <w:br/>
        <w:t>IV. EXCEPCIONES PRELIMINARES      7</w:t>
        <w:br/>
        <w:t>A) Excepción preliminar de falta de agotamiento de recursos internos    8</w:t>
        <w:br/>
        <w:t>B) Sobre la alegada vulneración del derecho de defensa del Estado  11</w:t>
        <w:br/>
        <w:br/>
        <w:t>V. CONSIDERACIONES PREVIAS  13</w:t>
        <w:br/>
        <w:t>A) Alegada falta de personería de las representantes    13</w:t>
        <w:br/>
        <w:t>B) El marco fáctico    15</w:t>
        <w:br/>
        <w:t>C) Determinación de presuntas víctimas 16</w:t>
        <w:br/>
        <w:br/>
        <w:t>VI. PRUEBA  17</w:t>
        <w:br/>
        <w:t>A) Prueba documental, testimonial y pericial 18</w:t>
        <w:br/>
        <w:t>B) Admisión de la prueba    18</w:t>
        <w:br/>
        <w:br/>
        <w:t>VII. HECHOS 22</w:t>
        <w:br/>
        <w:t>A) Contexto pertinente para el caso    23</w:t>
        <w:br/>
        <w:t>B) Vida y labores anteriores de A.A. y B.A.  28</w:t>
        <w:br/>
        <w:t>C) Los hechos del caso 31</w:t>
        <w:br/>
        <w:t>D) Las investigaciones 34</w:t>
        <w:br/>
        <w:br/>
        <w:t>VIII. FONDO 43</w:t>
        <w:br/>
        <w:br/>
        <w:t>VIII.1. DERECHOS A LA VIDA E INTEGRIDAD PERSONAL, EN RELACIÓN CON LA</w:t>
        <w:br/>
        <w:t>OBLIGACIÓN DE GARANTIZAR LOS DERECHOS  43</w:t>
        <w:br/>
        <w:t>A) Calidad de defensores de derechos humanos de A.A. y B.A.  43</w:t>
        <w:br/>
        <w:t>B) Derechos a la vida e integridad personal en relación con la obligación</w:t>
        <w:br/>
        <w:t>de garantizar los derechos  47</w:t>
        <w:br/>
        <w:br/>
        <w:t>VIII.2. DERECHO DE CIRCULACIÓN Y RESIDENCIA, EN RELACIÓN CON LA OBLIGACIÓN</w:t>
        <w:br/>
        <w:t>DE GARANTIZAR LOS DERECHOS  57</w:t>
        <w:br/>
        <w:t>A) Argumentos de la Comisión y de las partes 57</w:t>
        <w:br/>
        <w:t>B) Consideraciones de la Corte    58</w:t>
        <w:br/>
        <w:br/>
        <w:t>VIII.3.  DERECHO A LA PARTICIPACIÓN POLÍTICA, EN RELACIÓN CON LA OBLIGACIÓN</w:t>
        <w:br/>
        <w:t>DE GARANTIZAR LOS DERECHOS  63</w:t>
        <w:br/>
        <w:t>A) Argumentos de la Comisión y de las partes 63</w:t>
        <w:br/>
        <w:t>B) Consideraciones de la Corte    64</w:t>
        <w:br/>
        <w:br/>
        <w:t>VIII.4.  DERECHO A LAS GARANTÍAS JUDICIALES Y A LA PROTECCIÓN JUDICIAL, EN</w:t>
        <w:br/>
        <w:t>RELACIÓN CON LA OBLIGACIÓN DE RESPETAR Y GARANTIZAR LOS DERECHOS   66</w:t>
        <w:br/>
        <w:t>A) Argumentos de la Comisión y de las partes 66</w:t>
        <w:br/>
        <w:t>B) Consideraciones de Corte 67</w:t>
        <w:br/>
        <w:br/>
        <w:t>IX. REPARACIONES 81</w:t>
        <w:br/>
        <w:t>A) Parte Lesionada     81</w:t>
        <w:br/>
        <w:t>B) Obligación de investigar los hechos e identificar, juzgar y, en su caso,</w:t>
        <w:br/>
        <w:t>sancionar a los responsables      82</w:t>
        <w:br/>
        <w:t>C) Medidas de reparación integral: restitución, rehabilitación,</w:t>
        <w:br/>
        <w:t>satisfacción y garantías de   no repetición  83</w:t>
        <w:br/>
        <w:t>D) Indemnizaciones compensatorias por daño material e inmaterial   86</w:t>
        <w:br/>
        <w:t>E) Costas y gastos     88</w:t>
        <w:br/>
        <w:t>F) Otras medidas de reparación solicitadas   89</w:t>
        <w:br/>
        <w:t>G) Modalidad de cumplimiento de los pagos ordenados     90</w:t>
        <w:br/>
        <w:br/>
        <w:t>X. PUNTOS RESOLUTIVOS  90</w:t>
        <w:br/>
        <w:br/>
        <w:br/>
        <w:br/>
        <w:br/>
        <w:br/>
        <w:t>I</w:t>
        <w:br/>
        <w:t>INTRODUCCIÓN DE LA CAUSA Y OBJETO DE LA CONTROVERSIA</w:t>
        <w:br/>
        <w:br/>
        <w:t>El caso sometido a la Corte. – El 17 de julio de 2012, de conformidad con</w:t>
        <w:br/>
        <w:t>lo dispuesto en los artículos 51 y 61 de la Convención Americana y el</w:t>
        <w:br/>
        <w:t>artículo 35 del Reglamento de la Corte, la Comisión Interamericana de</w:t>
        <w:br/>
        <w:t>Derechos Humanos (en adelante “la Comisión Interamericana” o “la Comisión”)</w:t>
        <w:br/>
        <w:t>sometió a la jurisdicción de la Corte (en adelante “escrito de</w:t>
        <w:br/>
        <w:t>sometimiento”) el caso Defensor de derechos humanos y otros contra la</w:t>
        <w:br/>
        <w:t>República de Guatemala (en adelante el “Estado” o “Guatemala”). Según la</w:t>
        <w:br/>
        <w:t>Comisión, el presente caso se relaciona con la alegada “falta de prevención</w:t>
        <w:br/>
        <w:t>del asesinato del defensor de derechos humanos [A.A.], ocurrido el 20 de</w:t>
        <w:br/>
        <w:t>diciembre de 2004[, el cual] se encuentra en la impunidad como consecuencia</w:t>
        <w:br/>
        <w:t>de las irregularidades cometidas al inicio de la investigación y de la</w:t>
        <w:br/>
        <w:t>falta de diligencia para investigar las hipótesis relacionadas con el móvil</w:t>
        <w:br/>
        <w:t>del asesinato. Además, la investigación no se llevó a cabo en un plazo</w:t>
        <w:br/>
        <w:t>razonable y se vio comprometida por la falta de protección de personas que</w:t>
        <w:br/>
        <w:t>han participado activamente en el proceso”. La Comisión sostuvo que la</w:t>
        <w:br/>
        <w:t>situación de desprotección en que se encontró la familia dio lugar a su</w:t>
        <w:br/>
        <w:t>desplazamiento, en violación del derecho a la libertad de circulación y</w:t>
        <w:br/>
        <w:t>residencia. También alegó que Guatemala incumplió el deber de garantía de</w:t>
        <w:br/>
        <w:t>los derechos políticos, en virtud del cargo público que habría ocupado el</w:t>
        <w:br/>
        <w:t>señor A.A., y de la imposibilidad de su hija, B.A., de dar continuidad al</w:t>
        <w:br/>
        <w:t>ejercicio de estos derechos.</w:t>
        <w:br/>
        <w:br/>
        <w:t xml:space="preserve"> 1. Trámite ante  la  Comisión.  –  El  trámite  ante  la  Comisión  fue  el</w:t>
        <w:br/>
        <w:t xml:space="preserve">    siguiente:</w:t>
        <w:br/>
        <w:br/>
        <w:t xml:space="preserve">   a) Petición.- El 9 de diciembre de 2005 la Comisión recibió una petición</w:t>
        <w:br/>
        <w:t xml:space="preserve">      presentada por las señoras Claudia Samayoa y B.A.[1].</w:t>
        <w:br/>
        <w:br/>
        <w:t xml:space="preserve">   b) Informe de Admisibilidad. – El 8 de septiembre de 2010 la Comisión</w:t>
        <w:br/>
        <w:t xml:space="preserve">      aprobó el Informe de Admisibilidad No. 109/10 (en adelante “el Informe</w:t>
        <w:br/>
        <w:t xml:space="preserve">      de Admisibilidad”). En dicho informe, la Comisión declaró admisible la</w:t>
        <w:br/>
        <w:t xml:space="preserve">      petición “en cuanto se refiere a presuntas violaciones de los derechos</w:t>
        <w:br/>
        <w:t xml:space="preserve">      reconocidos en el artículo 4 de la Convención Americana en</w:t>
        <w:br/>
        <w:t xml:space="preserve">      concordancia con el artículo 1.1 de dicho tratado en cuanto al [señor</w:t>
        <w:br/>
        <w:t xml:space="preserve">      A.A.]. Asimismo, decid[ió] declarar el caso admisible sobre la</w:t>
        <w:br/>
        <w:t xml:space="preserve">      presunta violación de los derechos consagrados en los artículos 5.1,</w:t>
        <w:br/>
        <w:t xml:space="preserve">      8.1 y 25, en concordancia con el artículo 1.1 de dicho tratado</w:t>
        <w:br/>
        <w:t xml:space="preserve">      respecto de [B.A.] y sus familiares”.</w:t>
        <w:br/>
        <w:br/>
        <w:t xml:space="preserve">   c) Informe de Fondo. – El 21 de marzo de 2012 la Comisión aprobó, de</w:t>
        <w:br/>
        <w:t xml:space="preserve">      conformidad con el artículo 50 de la Convención, el Informe de Fondo</w:t>
        <w:br/>
        <w:t xml:space="preserve">      No. 56/12 (en adelante, “el Informe de Fondo”) en el cual llegó a una</w:t>
        <w:br/>
        <w:t xml:space="preserve">      serie de conclusiones y formuló varias recomendaciones al Estado.</w:t>
        <w:br/>
        <w:br/>
        <w:t xml:space="preserve">      i. Conclusiones. – La Comisión concluyó que el Estado era  responsable</w:t>
        <w:br/>
        <w:t xml:space="preserve">   de:</w:t>
        <w:br/>
        <w:br/>
        <w:t xml:space="preserve">       [1.] la violación  de  las  garantías  judiciales  y  la  protección</w:t>
        <w:br/>
        <w:t xml:space="preserve">       judicial consagradas en los artículos 8(1) y 25(1) de la  Convención</w:t>
        <w:br/>
        <w:t xml:space="preserve">       Americana, en conexión con el artículo 1(1) del  mismo  Tratado,  en</w:t>
        <w:br/>
        <w:t xml:space="preserve">       perjuicio de  [C.A.][;]  [D.A.];  [E.A.];  [B.A.];  [F.A.];  [G.A.];</w:t>
        <w:br/>
        <w:t xml:space="preserve">       [H.A.]; [I.A.] y sus hermanos;  [J.A.];  [K.A.];  [L.A.];  [M.A.]  y</w:t>
        <w:br/>
        <w:t xml:space="preserve">       [N.A.][;]</w:t>
        <w:br/>
        <w:br/>
        <w:br/>
        <w:t xml:space="preserve">       [2.] la violación del derecho a la vida consagrado  en  el  artículo</w:t>
        <w:br/>
        <w:t xml:space="preserve">       4(1) de la Convención Americana en conexión con el artículo 1(1) del</w:t>
        <w:br/>
        <w:t xml:space="preserve">       mismo Tratado en perjuicio de [A.A.] [;]</w:t>
        <w:br/>
        <w:br/>
        <w:br/>
        <w:t xml:space="preserve">       [3.] la violación del derecho de circulación y residencia consagrado</w:t>
        <w:br/>
        <w:t xml:space="preserve">       en el artículo 22 de la Convención  Americana  en  conexión  con  el</w:t>
        <w:br/>
        <w:t xml:space="preserve">       artículo 1(1) del mismo Tratado en perjuicio  de  [C.A.][;]  [E.A.];</w:t>
        <w:br/>
        <w:t xml:space="preserve">       [B.A.]; [F.A.]; [G.A.], [H.A.]; [J.A.];  [K.A.];  [L.A.];  [M.A.]  y</w:t>
        <w:br/>
        <w:t xml:space="preserve">       [N.A.][;]</w:t>
        <w:br/>
        <w:br/>
        <w:br/>
        <w:t xml:space="preserve">       [4.] la violación del derecho a la integridad personal consagrado en</w:t>
        <w:br/>
        <w:t xml:space="preserve">       el artículo 5(1) de la  Convención  Americana  en  conexión  con  el</w:t>
        <w:br/>
        <w:t xml:space="preserve">       artículo 1(1) del mismo Tratado en perjuicio de   [C.A.][;]  [D.A.];</w:t>
        <w:br/>
        <w:t xml:space="preserve">       [E.A.]; [B.A.]; [F.A.];  [G.A.],  [H.A.];  [I.A.]  y  sus  hermanos;</w:t>
        <w:br/>
        <w:t xml:space="preserve">       [J.A.]; [K.A.]; [L.A.]; [M.A.] y [N.A.][, y]</w:t>
        <w:br/>
        <w:br/>
        <w:br/>
        <w:t xml:space="preserve">       [5.] la violación del derecho a la participación política consagrado</w:t>
        <w:br/>
        <w:t xml:space="preserve">       en el artículo 23(1) de la Convención Americana en conexión  con  el</w:t>
        <w:br/>
        <w:t xml:space="preserve">       artículo 1(1) del mismo Tratado en perjuicio de [A.A.] y [B.A.].</w:t>
        <w:br/>
        <w:br/>
        <w:t xml:space="preserve">    i. Recomendaciones. – En consecuencia, la Comisión hizo al  Estado  una</w:t>
        <w:br/>
        <w:t xml:space="preserve">       serie de recomendaciones:</w:t>
        <w:br/>
        <w:br/>
        <w:t xml:space="preserve">       1. [r]eparar  integralmente  las  violaciones  de  derechos  humanos</w:t>
        <w:br/>
        <w:t xml:space="preserve">       declaradas en el [Informe de Fondo] tanto  en  el  aspecto  material</w:t>
        <w:br/>
        <w:t xml:space="preserve">       como moral[;]</w:t>
        <w:br/>
        <w:br/>
        <w:t xml:space="preserve">       2. [d]esarrollar y completar una investigación  judicial  imparcial,</w:t>
        <w:br/>
        <w:t xml:space="preserve">       completa y efectiva, de manera expedita, con el objeto de establecer</w:t>
        <w:br/>
        <w:t xml:space="preserve">       las circunstancias en que resultó muerto el [señor A.A.]; investigar</w:t>
        <w:br/>
        <w:t xml:space="preserve">       de manera exhaustiva las líneas lógicas de investigación en relación</w:t>
        <w:br/>
        <w:t xml:space="preserve">       al caso e identificar a todas las personas que participaron  en  los</w:t>
        <w:br/>
        <w:t xml:space="preserve">       diferentes niveles de decisión y ejecución, y aplicar las  sanciones</w:t>
        <w:br/>
        <w:t xml:space="preserve">       correspondientes[;]</w:t>
        <w:br/>
        <w:br/>
        <w:t xml:space="preserve">       3. [d]isponer las medidas administrativas, disciplinarias o  penales</w:t>
        <w:br/>
        <w:t xml:space="preserve">       correspondientes  frente  a  las  acciones  u   omisiones   de   los</w:t>
        <w:br/>
        <w:t xml:space="preserve">       funcionarios estatales que contribuyeron a la denegación de justicia</w:t>
        <w:br/>
        <w:t xml:space="preserve">       e impunidad en la que se encuentran los hechos del caso[;]</w:t>
        <w:br/>
        <w:br/>
        <w:t xml:space="preserve">       4.  [a]doptar  medidas  de  carácter  legislativo,  institucional  y</w:t>
        <w:br/>
        <w:t xml:space="preserve">       judicial orientadas  a  reducir  la  exposición  al  riesgo  de  las</w:t>
        <w:br/>
        <w:t xml:space="preserve">       defensoras y defensores de derechos humanos  que  se  encuentran  en</w:t>
        <w:br/>
        <w:t xml:space="preserve">       situación de riesgo. En ese sentido, el Estado debe:</w:t>
        <w:br/>
        <w:br/>
        <w:t xml:space="preserve">       4.1 [f]ortalecer la capacidad institucional para combatir el  patrón</w:t>
        <w:br/>
        <w:t xml:space="preserve">       de impunidad frente a casos de amenazas y muertes  de  defensoras  y</w:t>
        <w:br/>
        <w:t xml:space="preserve">       defensores, mediante la elaboración de protocolos  de  investigación</w:t>
        <w:br/>
        <w:t xml:space="preserve">       que[,] teniendo en cuenta los  riesgos  inherentes  a  la  labor  de</w:t>
        <w:br/>
        <w:t xml:space="preserve">       defensa de los derechos humanos[,] permitan un desarrollo exhaustivo</w:t>
        <w:br/>
        <w:t xml:space="preserve">       de la investigación bajo esta hipótesis[;]</w:t>
        <w:br/>
        <w:br/>
        <w:t xml:space="preserve">       4.2 [f]ortalecer los mecanismos para proteger eficazmente a personas</w:t>
        <w:br/>
        <w:t xml:space="preserve">       cuyas   declaraciones   tengan   un   impacto   relevante   en   las</w:t>
        <w:br/>
        <w:t xml:space="preserve">       investigaciones y que se encuentren en riesgo como resultado  de  su</w:t>
        <w:br/>
        <w:t xml:space="preserve">       vinculación a la misma[, y]</w:t>
        <w:br/>
        <w:br/>
        <w:t xml:space="preserve">       4.3  [d]esarrollar  medidas  adecuadas  y  expeditas  de   respuesta</w:t>
        <w:br/>
        <w:t xml:space="preserve">       institucional que  permitan  proteger  eficazmente  a  defensoras  y</w:t>
        <w:br/>
        <w:t xml:space="preserve">       defensores de derechos humanos en situaciones de riesgo.</w:t>
        <w:br/>
        <w:br/>
        <w:br/>
        <w:t xml:space="preserve">   d) Notificación al Estado. – El 17 de abril de 2012, la Comisión notificó</w:t>
        <w:br/>
        <w:t xml:space="preserve">   el Informe de Fondo al Estado y le otorgó un plazo de dos meses para</w:t>
        <w:br/>
        <w:t xml:space="preserve">   informar sobre el cumplimiento de las recomendaciones. El Estado de</w:t>
        <w:br/>
        <w:t xml:space="preserve">   Guatemala presentó un informe al respecto el 20 de junio de 2012.</w:t>
        <w:br/>
        <w:br/>
        <w:t xml:space="preserve">   e) Sometimiento a la Corte. – El 17 de julio de 2012 la Comisión</w:t>
        <w:br/>
        <w:t xml:space="preserve">   Interamericana sometió a la jurisdicción de la Corte la totalidad de los</w:t>
        <w:br/>
        <w:t xml:space="preserve">   hechos y violaciones de derechos humanos descritos en el Informe de Fondo</w:t>
        <w:br/>
        <w:t xml:space="preserve">   No. 56/12. La Comisión designó a la Comisionada Dinah Shelton como su</w:t>
        <w:br/>
        <w:t xml:space="preserve">   delegada ante la Corte. Asimismo, designó a Elizabeth Abi-Mershed,</w:t>
        <w:br/>
        <w:t xml:space="preserve">   Secretaria Ejecutiva Adjunta, y Silvia Serrano Guzmán, Isabel Madariaga y</w:t>
        <w:br/>
        <w:t xml:space="preserve">   Jorge Humberto Meza, abogadas y abogado de la Secretaria Ejecutiva de la</w:t>
        <w:br/>
        <w:t xml:space="preserve">   Comisión, como asesoras y asesor legales.</w:t>
        <w:br/>
        <w:br/>
        <w:t xml:space="preserve"> 2. Solicitudes de la Comisión Interamericana. – Con base en lo anterior, la</w:t>
        <w:br/>
        <w:t xml:space="preserve">    Comisión  solicitó  a  la   Corte   que   declare   la   responsabilidad</w:t>
        <w:br/>
        <w:t xml:space="preserve">    internacional del Estado por las  mismas  violaciones  señaladas  en  su</w:t>
        <w:br/>
        <w:t xml:space="preserve">    Informe de Fondo[2] (supra párr. 2.c).</w:t>
        <w:br/>
        <w:br/>
        <w:br/>
        <w:t>II</w:t>
        <w:br/>
        <w:t>PROCEDIMIENTO ANTE LA CORTE</w:t>
        <w:br/>
        <w:br/>
        <w:t xml:space="preserve"> 3. Notificación al Estado y a las representantes.  –  El  sometimiento  del</w:t>
        <w:br/>
        <w:t xml:space="preserve">    caso fue notificado al Estado y a las representantes  de  las  presuntas</w:t>
        <w:br/>
        <w:t xml:space="preserve">    víctimas mediante comunicación de la Secretaría de 5 de octubre de 2012.</w:t>
        <w:br/>
        <w:br/>
        <w:br/>
        <w:br/>
        <w:t xml:space="preserve"> 4. Escrito de solicitudes, argumentos y pruebas. – El  8  de  diciembre  de</w:t>
        <w:br/>
        <w:t xml:space="preserve">    2012 Claudia Virginia Samayoa Pineda y B.A. presentaron ante la Corte su</w:t>
        <w:br/>
        <w:t xml:space="preserve">    escrito de solicitudes, argumentos y pruebas (en  adelante  “escrito  de</w:t>
        <w:br/>
        <w:t xml:space="preserve">    solicitudes   y   argumentos”).    Las    representantes    coincidieron</w:t>
        <w:br/>
        <w:t xml:space="preserve">    sustancialmente con la argumentación de la  Comisión,  pero  presentaron</w:t>
        <w:br/>
        <w:t xml:space="preserve">    como presuntas víctimas a determinadas personas que no figuraban  en  el</w:t>
        <w:br/>
        <w:t xml:space="preserve">    Informe de Fondo (supra párrs. 2.c y 2.e e infra párr. 49).  Finalmente,</w:t>
        <w:br/>
        <w:t xml:space="preserve">    las  representantes  solicitaron  que  se  ordenara  al  Estado  adoptar</w:t>
        <w:br/>
        <w:t xml:space="preserve">    diversas medidas de reparación, así como el  reintegro  de  determinadas</w:t>
        <w:br/>
        <w:t xml:space="preserve">    costas y gastos.</w:t>
        <w:br/>
        <w:br/>
        <w:t xml:space="preserve"> 5. Escrito de contestación. – El 20 de mayo de 2013 el Estado  presentó  su</w:t>
        <w:br/>
        <w:t xml:space="preserve">    escrito de interposición de excepciones  preliminares,  contestación  al</w:t>
        <w:br/>
        <w:t xml:space="preserve">    sometimiento del caso  y  observaciones  al  escrito  de  solicitudes  y</w:t>
        <w:br/>
        <w:t xml:space="preserve">    argumentos (en adelante “escrito de contestación”). Sobre el  fondo  del</w:t>
        <w:br/>
        <w:t xml:space="preserve">    asunto, el Estado señaló que  no  es  responsable  por  ninguna  de  las</w:t>
        <w:br/>
        <w:t xml:space="preserve">    violaciones  alegadas.  Designó  como  Agente  al  señor  Rodrigo   José</w:t>
        <w:br/>
        <w:t xml:space="preserve">    Villagrán Sandoval  e  informó  de  la  designación  del  señor  Antonio</w:t>
        <w:br/>
        <w:t xml:space="preserve">    Arenales  Forno  como  nuevo  Presidente  de  la  Comisión  Presidencial</w:t>
        <w:br/>
        <w:t xml:space="preserve">    Coordinadora de la Política del Ejecutivo en Materia de Derechos Humanos</w:t>
        <w:br/>
        <w:t xml:space="preserve">    (COPREDEH).</w:t>
        <w:br/>
        <w:br/>
        <w:t xml:space="preserve"> 6. Observaciones a las excepciones preliminares. – Los  días  28  y  30  de</w:t>
        <w:br/>
        <w:t xml:space="preserve">    agosto  de  2013  las  representantes   y   la   Comisión   presentaron,</w:t>
        <w:br/>
        <w:t xml:space="preserve">    respectivamente,  sus  observaciones  a  las  excepciones   preliminares</w:t>
        <w:br/>
        <w:t xml:space="preserve">    presentadas.</w:t>
        <w:br/>
        <w:br/>
        <w:t xml:space="preserve"> 7. Audiencia pública. – Mediante Resolución de 20 de diciembre de  2013  el</w:t>
        <w:br/>
        <w:t xml:space="preserve">    Presidente convocó a una audiencia pública a la Comisión Interamericana,</w:t>
        <w:br/>
        <w:t xml:space="preserve">    a las representantes y al Estado, para recibir sus observaciones finales</w:t>
        <w:br/>
        <w:t xml:space="preserve">    orales y alegatos finales orales, respectivamente, sobre las excepciones</w:t>
        <w:br/>
        <w:t xml:space="preserve">    preliminares y eventuales, fondo, reparaciones y costas. Mediante  dicha</w:t>
        <w:br/>
        <w:t xml:space="preserve">    Resolución se ordenó recibir las declaraciones rendidas  ante  fedatario</w:t>
        <w:br/>
        <w:t xml:space="preserve">    público (afidávit) de una testigo propuesta por el Estado y de un perito</w:t>
        <w:br/>
        <w:t xml:space="preserve">    y  una   declarante   a   título   informativo,   propuestos   por   las</w:t>
        <w:br/>
        <w:t xml:space="preserve">    representantes. Las representantes y el Estado tuvieron  la  oportunidad</w:t>
        <w:br/>
        <w:t xml:space="preserve">    de formular preguntas y observaciones a los declarantes ofrecidos por la</w:t>
        <w:br/>
        <w:t xml:space="preserve">    contraparte. Adicionalmente, mediante la referida Resolución se  convocó</w:t>
        <w:br/>
        <w:t xml:space="preserve">    a declarar en la audiencia pública a una presunta víctima propuesta  por</w:t>
        <w:br/>
        <w:t xml:space="preserve">    las representantes, un testigo propuesto por el  Estado,  y  una  perita</w:t>
        <w:br/>
        <w:t xml:space="preserve">    propuesta por la Comisión. La audiencia pública fue celebrada  el  5  de</w:t>
        <w:br/>
        <w:t xml:space="preserve">    febrero de 2014, durante el 102º Período Ordinario  de  Sesiones  de  la</w:t>
        <w:br/>
        <w:t xml:space="preserve">    Corte, el cual tuvo lugar en su sede[3].</w:t>
        <w:br/>
        <w:br/>
        <w:t xml:space="preserve"> 8. Prueba para mejor resolver. – Mediante  nota  de  Secretaría  de  14  de</w:t>
        <w:br/>
        <w:t xml:space="preserve">    febrero de 2014 se solicitó a las partes y a la Comisión la presentación</w:t>
        <w:br/>
        <w:t xml:space="preserve">    de documentación como prueba para mejor resolver, la cual  fue  remitida</w:t>
        <w:br/>
        <w:t xml:space="preserve">    el 28 de febrero de 2014.</w:t>
        <w:br/>
        <w:br/>
        <w:t xml:space="preserve"> 9. Alegatos y observaciones finales escritos. – El 3 de marzo  de  2014  el</w:t>
        <w:br/>
        <w:t xml:space="preserve">    Estado remitió sus alegatos finales escritos. El 5 de marzo de 2014  las</w:t>
        <w:br/>
        <w:t xml:space="preserve">    representantes y la Comisión remitieron  sus  alegatos  y  observaciones</w:t>
        <w:br/>
        <w:t xml:space="preserve">    finales escritas, respectivamente. En dicha ocasión  las  representantes</w:t>
        <w:br/>
        <w:t xml:space="preserve">    presentaron nuevas alegaciones relativas a las excepciones  preliminares</w:t>
        <w:br/>
        <w:t xml:space="preserve">    presentadas por el Estado y a las reparaciones solicitadas en el escrito</w:t>
        <w:br/>
        <w:t xml:space="preserve">    de solicitudes y argumentos (supra párr.  5),  y  la  Comisión  presentó</w:t>
        <w:br/>
        <w:t xml:space="preserve">    nuevas alegaciones respecto de  la  calidad  de  defensora  de  derechos</w:t>
        <w:br/>
        <w:t xml:space="preserve">    humanos de B.A. Dichas nuevas alegaciones son extemporáneas  y,  por  lo</w:t>
        <w:br/>
        <w:t xml:space="preserve">    tanto,  no  serán  tomadas  en  cuenta.  Asimismo,  las   representantes</w:t>
        <w:br/>
        <w:t xml:space="preserve">    remitieron diversa documentación relativa, entre  otros,  a  los  gastos</w:t>
        <w:br/>
        <w:t xml:space="preserve">    incurridos luego  de  la  presentación  del  escrito  de  solicitudes  y</w:t>
        <w:br/>
        <w:t xml:space="preserve">    argumentos.</w:t>
        <w:br/>
        <w:br/>
        <w:t>10. Observaciones a la prueba para mejor resolver y los  anexos  adjuntos  a</w:t>
        <w:br/>
        <w:t xml:space="preserve">    los alegatos finales de las representantes. – El 21 y  26  de  marzo  de</w:t>
        <w:br/>
        <w:t xml:space="preserve">    2014  el  Estado  y  la  Comisión   remitieron,   respectivamente,   sus</w:t>
        <w:br/>
        <w:t xml:space="preserve">    observaciones a la prueba para mejor resolver y a los  anexos  remitidos</w:t>
        <w:br/>
        <w:t xml:space="preserve">    por las representantes con sus alegatos finales escritos. El 26 de marzo</w:t>
        <w:br/>
        <w:t xml:space="preserve">    de 2014 las representantes remitieron sus observaciones a la prueba para</w:t>
        <w:br/>
        <w:t xml:space="preserve">    mejor resolver presentada por el Estado.</w:t>
        <w:br/>
        <w:br/>
        <w:br/>
        <w:t>III</w:t>
        <w:br/>
        <w:br/>
        <w:br/>
        <w:t>COMPETENCIA</w:t>
        <w:br/>
        <w:br/>
        <w:t>La Corte Interamericana es competente, en los términos del artículo 62.3 de</w:t>
        <w:br/>
        <w:t>la Convención Americana, para conocer el presente caso, debido a que</w:t>
        <w:br/>
        <w:t>Guatemala es Estado Parte de la Convención Americana desde el 25 de mayo de</w:t>
        <w:br/>
        <w:t>1978 y reconoció la competencia contenciosa de la Corte el 9 de marzo de</w:t>
        <w:br/>
        <w:t>1987.</w:t>
        <w:br/>
        <w:br/>
        <w:br/>
        <w:t>IV</w:t>
        <w:br/>
        <w:br/>
        <w:br/>
        <w:t>EXCEPCIONES PRELIMINARES</w:t>
        <w:br/>
        <w:br/>
        <w:t>En su escrito de contestación, el Estado manifestó que interponía</w:t>
        <w:br/>
        <w:t>excepciones preliminares, contestaba el sometimiento del caso y formulaba</w:t>
        <w:br/>
        <w:t>observaciones al escrito de solicitudes y argumentos. En lo tocante a las</w:t>
        <w:br/>
        <w:t>excepciones preliminares y temas afines formuló cinco argumentos separados:</w:t>
        <w:br/>
        <w:br/>
        <w:br/>
        <w:t>a) Un “análisis preliminar de competencia”, al que no calificó expresamente</w:t>
        <w:br/>
        <w:t xml:space="preserve">   como excepción preliminar;</w:t>
        <w:br/>
        <w:br/>
        <w:t>b) “Excepción preliminar de falta de agotamiento de recursos internos”;</w:t>
        <w:br/>
        <w:br/>
        <w:t>c) “Excepción preliminar de incongruencia, contradicción e inconsistencia</w:t>
        <w:br/>
        <w:t xml:space="preserve">   de los hechos que configuran el marco fáctico establecido por la Comisión</w:t>
        <w:br/>
        <w:t xml:space="preserve">   […], respecto a los hechos argumentados en el escrito de solicitudes [y</w:t>
        <w:br/>
        <w:t xml:space="preserve">   argumentos…]”;</w:t>
        <w:br/>
        <w:br/>
        <w:t>d) “Excepción preliminar de extemporaneidad en la presentación del escrito</w:t>
        <w:br/>
        <w:t xml:space="preserve">   que contiene a.) ‘Aclaración del análisis de los anexos’ del escrito de</w:t>
        <w:br/>
        <w:t xml:space="preserve">   solicitudes, argumentos y pruebas presentadas por las peticionarias; y,</w:t>
        <w:br/>
        <w:t xml:space="preserve">   b.) Hojas de vida de los peritos propuestos por las peticionarias”;</w:t>
        <w:br/>
        <w:br/>
        <w:t>e) “Excepción preliminar de falta de personería de l[a]s representantes de</w:t>
        <w:br/>
        <w:t xml:space="preserve">   las presuntas víctimas en el presente caso” o “Excepción preliminar de</w:t>
        <w:br/>
        <w:t xml:space="preserve">   falta de personería o legitimación de las peticionarias para representar</w:t>
        <w:br/>
        <w:t xml:space="preserve">   a la totalidad de [las presuntas] víctimas”, y</w:t>
        <w:br/>
        <w:br/>
        <w:t>f) Alegación de vulneración de su derecho a la defensa: Sin interponer</w:t>
        <w:br/>
        <w:t xml:space="preserve">   propiamente una excepción preliminar ni indicar explícitamente que se</w:t>
        <w:br/>
        <w:t xml:space="preserve">   trataba de un alegato de dicha naturaleza, presentó argumentos sobre la</w:t>
        <w:br/>
        <w:t xml:space="preserve">   alegada vulneración de su derecho de defensa “porque no conoció desde el</w:t>
        <w:br/>
        <w:t xml:space="preserve">   inicio cuáles fueron los argumentos por los que supuestamente existen las</w:t>
        <w:br/>
        <w:t xml:space="preserve">   violaciones adicionales” contenidas en los artículos 22 y 23 de la</w:t>
        <w:br/>
        <w:t xml:space="preserve">   Convención.</w:t>
        <w:br/>
        <w:br/>
        <w:t>La Comisión, antes de responder de manera específica a cada uno de los</w:t>
        <w:br/>
        <w:t>argumentos del Estado (supra párr. 13), señaló que los argumentos estatales</w:t>
        <w:br/>
        <w:t>presentados bajo los literales c), d) y e) “no tienen el carácter de</w:t>
        <w:br/>
        <w:t>excepciones preliminares ni afectan la competencia de la Corte”. Las</w:t>
        <w:br/>
        <w:t>representantes no se pronunciaron sobre este punto.</w:t>
        <w:br/>
        <w:br/>
        <w:t>Atendiendo a la naturaleza de cada uno de los argumentos formulados por el</w:t>
        <w:br/>
        <w:t>Estado, la Corte los considerará en las partes pertinentes de la presente</w:t>
        <w:br/>
        <w:t>Sentencia. Consiguientemente, sólo considerará como excepciones</w:t>
        <w:br/>
        <w:t>preliminares a los que tienen o podrían tener el carácter de tales, es</w:t>
        <w:br/>
        <w:t>decir, de objeciones que tienen carácter previo y tienden a impedir el</w:t>
        <w:br/>
        <w:t>análisis del fondo de un asunto cuestionado, mediante la objeción de la</w:t>
        <w:br/>
        <w:t>admisibilidad de un caso o la competencia de la Corte para conocer de un</w:t>
        <w:br/>
        <w:t>determinado caso o de alguno de sus aspectos, ya sea en razón de la</w:t>
        <w:br/>
        <w:t>persona, materia, tiempo o lugar, siempre y cuando dichos planteamientos</w:t>
        <w:br/>
        <w:t>tengan el carácter de preliminares[4]. Si estos planteamientos no pudieran</w:t>
        <w:br/>
        <w:t>ser considerados sin entrar a analizar previamente el fondo de un caso, no</w:t>
        <w:br/>
        <w:t>pueden ser analizados mediante una excepción preliminar[5].</w:t>
        <w:br/>
        <w:br/>
        <w:t>11. Por ello, sólo  considerará  en  el  presente  capítulo  los  argumentos</w:t>
        <w:br/>
        <w:t xml:space="preserve">    indicados con los literales b) y f). Los argumentos  indicados  con  los</w:t>
        <w:br/>
        <w:t xml:space="preserve">    literales c) y e) serán analizados en el capítulo siguiente, relativo  a</w:t>
        <w:br/>
        <w:t xml:space="preserve">    las  consideraciones  previas.  Cabe  señalar,  en  particular,  que  la</w:t>
        <w:br/>
        <w:t xml:space="preserve">    alegación de  “incongruencia,  contradicción  e  inconsistencia  de  los</w:t>
        <w:br/>
        <w:t xml:space="preserve">    hechos” se refiere al marco fáctico del caso, cuyo análisis  corresponde</w:t>
        <w:br/>
        <w:t xml:space="preserve">    al fondo[6]. El argumento indicado con el literal d)  se  refiere  a  la</w:t>
        <w:br/>
        <w:t xml:space="preserve">    admisibilidad de determinadas pruebas, y por lo tanto  será  considerado</w:t>
        <w:br/>
        <w:t xml:space="preserve">    en el apartado correspondiente a  ese  tema  (infra  párrs.  61  y  64).</w:t>
        <w:br/>
        <w:t xml:space="preserve">    Finalmente, dado que en el argumento  indicado  con  el  literal  a)  no</w:t>
        <w:br/>
        <w:t xml:space="preserve">    existe un cuestionamiento claro  a  la  competencia  del  Tribunal  para</w:t>
        <w:br/>
        <w:t xml:space="preserve">    conocer del presente caso y que, en los términos que fue  planteado,  se</w:t>
        <w:br/>
        <w:t xml:space="preserve">    refiere a la supuesta falta  de  agotamiento  de  recursos  internos[7],</w:t>
        <w:br/>
        <w:t xml:space="preserve">    dicho alegato se encuentra subsumido en el  argumento  indicado  con  el</w:t>
        <w:br/>
        <w:t xml:space="preserve">    literal b), lo cual  será  resuelto  por  el  Tribunal  en  el  presente</w:t>
        <w:br/>
        <w:t xml:space="preserve">    capítulo.</w:t>
        <w:br/>
        <w:br/>
        <w:br/>
        <w:t xml:space="preserve">        Excepción preliminar de falta de agotamiento de recursos internos</w:t>
        <w:br/>
        <w:br/>
        <w:br/>
        <w:br/>
        <w:br/>
        <w:br/>
        <w:br/>
        <w:t xml:space="preserve">        A.1. Argumentos de las partes y de la Comisión</w:t>
        <w:br/>
        <w:br/>
        <w:t>El Estado sostuvo que, en el presente caso, el proceso penal aún se</w:t>
        <w:br/>
        <w:t>encontraría en la etapa de investigación, por lo que sería necesario que</w:t>
        <w:br/>
        <w:t>los peticionarios probaran que las excepciones contempladas en el artículo</w:t>
        <w:br/>
        <w:t>46.2 de la Convención son aplicables. Según el Estado, dichas excepciones</w:t>
        <w:br/>
        <w:t>no aplican en este caso. No se configura la excepción prevista en el</w:t>
        <w:br/>
        <w:t>artículo 46.2.a), porque – según sostiene – en el Estado existe una</w:t>
        <w:br/>
        <w:t>estructura jurídica de protección, de garantía, de juzgamiento y sanción.</w:t>
        <w:br/>
        <w:t>No se configura la excepción prevista en el artículo 46.2.b), ya que</w:t>
        <w:br/>
        <w:t>durante la sustanciación del proceso judicial y de la investigación, en</w:t>
        <w:br/>
        <w:t>ningún momento se negó el acceso a los familiares de A.A. para que pudiesen</w:t>
        <w:br/>
        <w:t>impulsar, coadyuvar, promover y ejercer el control de los actos de</w:t>
        <w:br/>
        <w:t>investigación. Tampoco se configura la excepción prevista en el artículo</w:t>
        <w:br/>
        <w:t>46.2.c), ya que en la investigación llevada en el orden interno se</w:t>
        <w:br/>
        <w:t>desarrollaron diversas diligencias a efectos de lograr el esclarecimiento</w:t>
        <w:br/>
        <w:t>de los hechos, aunque “el Estado no ha podido proceder al juzgamiento […]”.</w:t>
        <w:br/>
        <w:t>También señaló que, de existir un retardo injustificado en la tramitación</w:t>
        <w:br/>
        <w:t>de los procesos penales, las presuntas víctimas cuentan con una serie de</w:t>
        <w:br/>
        <w:t>derechos y controles incorporados en la normativa interna con los cuales</w:t>
        <w:br/>
        <w:t>“pueden impulsar el proceso de investigación y/o judicial, e impedir el</w:t>
        <w:br/>
        <w:t>retardo injustificado dentro de las causas penales”. Respecto a la</w:t>
        <w:br/>
        <w:t>normativa procesal penal, indicó que se incorporaron ciertas reformas</w:t>
        <w:br/>
        <w:t>destinadas a fortalecer el sistema de justicia y dotar a las víctimas de</w:t>
        <w:br/>
        <w:t>una serie de derechos y herramientas que los facultaba a dinamizar el</w:t>
        <w:br/>
        <w:t>proceso penal (entre ellas, los Decretos 18-2010 y 7-2011 del Congreso de</w:t>
        <w:br/>
        <w:t>la República).</w:t>
        <w:br/>
        <w:br/>
        <w:t>La Comisión sostuvo la improcedencia de la excepción planteada,</w:t>
        <w:br/>
        <w:t>argumentando, en primer lugar, que si bien el Estado la presentó en sus</w:t>
        <w:br/>
        <w:t>escritos iniciales, en un escrito posterior también presentado ante la</w:t>
        <w:br/>
        <w:t>Comisión, indicó que “a pesar de que no se han agotado aún los recursos</w:t>
        <w:br/>
        <w:t>internos del proceso jurídico, el Estado al reconocer que no han [sic]</w:t>
        <w:br/>
        <w:t>habido avances sustantivos[,] no puede oponerse a la petición de la familia</w:t>
        <w:br/>
        <w:t>[A]”. Según la Comisión, esto fue reiterado en cinco escritos ulteriores,</w:t>
        <w:br/>
        <w:t>en varios de los cuales se indicó que esta posición no afectaría su posible</w:t>
        <w:br/>
        <w:t>defensa en la etapa de fondo. En consecuencia, al planteamiento de esta</w:t>
        <w:br/>
        <w:t>excepción correspondería aplicarle las figuras de desistimiento tácito y</w:t>
        <w:br/>
        <w:t>estoppel. En segundo lugar, la Comisión explicó que, en su informe de</w:t>
        <w:br/>
        <w:t>admisibilidad 109/10 concluyó que era aplicable la excepción de retardo</w:t>
        <w:br/>
        <w:t>injustificado establecida en el artículo 46.2.c) de la Convención, tomando</w:t>
        <w:br/>
        <w:t>en cuenta una serie de indicios relacionados con la presunta falta de</w:t>
        <w:br/>
        <w:t>efectividad de los recursos internos. En tercer lugar, la Comisión sostuvo</w:t>
        <w:br/>
        <w:t>que la primera vez que el Estado presentó el argumento respecto de los</w:t>
        <w:br/>
        <w:t>recursos para "dinamizar" el proceso penal derivados del Decreto 51-92</w:t>
        <w:br/>
        <w:t>habría sido en su escrito de contestación ante la Corte, por lo que sería</w:t>
        <w:br/>
        <w:t>extemporáneo. Finalmente, consideró que con dicho argumento el Estado</w:t>
        <w:br/>
        <w:t>pretendería trasladar a las víctimas la carga de supervisar e impulsar el</w:t>
        <w:br/>
        <w:t>avance de las investigaciones del caso, lo cual sería contrario a la</w:t>
        <w:br/>
        <w:t>obligación estatal de investigar de manera oficiosa las muertes violentas.</w:t>
        <w:br/>
        <w:br/>
        <w:t>Las representantes resaltaron que, durante el trámite ante la Comisión, “el</w:t>
        <w:br/>
        <w:t>Estado no se opuso a la petición de la familia [A] respecto de la emisión</w:t>
        <w:br/>
        <w:t>de un informe de admisibilidad”. Además, solicitaron a la Corte que</w:t>
        <w:br/>
        <w:t>desechara esta excepción con base en tres grupos de argumentos. Por un</w:t>
        <w:br/>
        <w:t>lado, argumentaron que si bien existen recursos disponibles dentro de la</w:t>
        <w:br/>
        <w:t>jurisdicción interna, estos no resultaron efectivos ya que las</w:t>
        <w:br/>
        <w:t>investigaciones relacionadas con el presente caso no se llevaron a cabo con</w:t>
        <w:br/>
        <w:t>la debida diligencia ni dentro de un plazo razonable. Asimismo, basándose</w:t>
        <w:br/>
        <w:t>en la falta de especificidad del Estado respecto de los recursos internos</w:t>
        <w:br/>
        <w:t>que aparentemente no se habrían agotado, solicitaron que se rechace la</w:t>
        <w:br/>
        <w:t>excepción preliminar interpuesta, por extemporánea. Por otro lado, alegaron</w:t>
        <w:br/>
        <w:t>la existencia de un retardo injustificado por parte de los órganos</w:t>
        <w:br/>
        <w:t>jurisdiccionales guatemaltecos, el cual habría sido probado durante el</w:t>
        <w:br/>
        <w:t>trámite ante la Comisión. Sobre esta línea, se refirieron a la presunta</w:t>
        <w:br/>
        <w:t>falta de debida diligencia en la investigación, su falta de efectividad e</w:t>
        <w:br/>
        <w:t>imparcialidad y al incumplimiento del deber de investigar dentro de un</w:t>
        <w:br/>
        <w:t>plazo razonable. Finalmente, señalaron que los recursos contemplados en las</w:t>
        <w:br/>
        <w:t>reformas legislativas de los años 2010 y 2011, indicados por el Estado, no</w:t>
        <w:br/>
        <w:t>se encontraban a disposición de los familiares cuando ocurrieron los</w:t>
        <w:br/>
        <w:t>hechos.</w:t>
        <w:br/>
        <w:br/>
        <w:br/>
        <w:t xml:space="preserve">        A.2. Consideraciones de la Corte</w:t>
        <w:br/>
        <w:br/>
        <w:t>El artículo 46.1.a) de la Convención Americana dispone que para que una</w:t>
        <w:br/>
        <w:t>petición o comunicación de conformidad con los artículos 44 o 45 de la</w:t>
        <w:br/>
        <w:t>Convención sea admitida por la Comisión Interamericana, se requerirá que se</w:t>
        <w:br/>
        <w:t>hayan interpuesto y agotado los recursos de la jurisdicción interna, según</w:t>
        <w:br/>
        <w:t>los principios del Derecho Internacional generalmente reconocidos[8]. Pero</w:t>
        <w:br/>
        <w:t>ello está sujeto a condiciones sustanciales y formales. Sustancialmente,</w:t>
        <w:br/>
        <w:t>según ha determinado invariablemente la Corte en su jurisprudencia iniciada</w:t>
        <w:br/>
        <w:t>en el primer caso contencioso que tuvo ante sí, ello supone que no sólo</w:t>
        <w:br/>
        <w:t>deben existir formalmente esos recursos, sino también deben ser adecuados y</w:t>
        <w:br/>
        <w:t>efectivos, como resulta de las excepciones contempladas en el artículo 46.2</w:t>
        <w:br/>
        <w:t>de la Convención[9]. Formalmente, una objeción al ejercicio de la</w:t>
        <w:br/>
        <w:t>jurisdicción de la Corte, basada en la supuesta falta de agotamiento de los</w:t>
        <w:br/>
        <w:t>recursos internos debe ser presentada en el momento procesal oportuno[10],</w:t>
        <w:br/>
        <w:t>esto es, durante las primeras etapas del procedimiento de admisibilidad</w:t>
        <w:br/>
        <w:t>ante la Comisión[11], y se debe señalar con precisión los recursos que</w:t>
        <w:br/>
        <w:t>deben agotarse y su efectividad. Esta interpretación que ha dado la Corte</w:t>
        <w:br/>
        <w:t>al artículo 46.1.a) de la Convención por más de dos décadas está de</w:t>
        <w:br/>
        <w:t>conformidad con el Derecho Internacional[12], por lo cual se entiende que</w:t>
        <w:br/>
        <w:t>luego de dicho momento procesal oportuno opera el principio de preclusión</w:t>
        <w:br/>
        <w:t>procesal[13].</w:t>
        <w:br/>
        <w:br/>
        <w:t>En primer lugar, la Corte nota que, durante el trámite de admisibilidad</w:t>
        <w:br/>
        <w:t>ante la Comisión, el Estado sostuvo dos posturas argumentativas distintas</w:t>
        <w:br/>
        <w:t>respecto al agotamiento de los recursos internos. Por un lado, señaló en</w:t>
        <w:br/>
        <w:t>sus dos primeros escritos presentados ante la Comisión que “aún no han sido</w:t>
        <w:br/>
        <w:t>agotados los recursos de la jurisdicción interna, estando además pendiente</w:t>
        <w:br/>
        <w:t>de concluir la investigación del Ministerio Público”, por tanto, la</w:t>
        <w:br/>
        <w:t>petición planteada “dev[enía] en inadmisible”[14]. Por otro lado, Guatemala</w:t>
        <w:br/>
        <w:t>presentó un tercer escrito mediante el cual señaló que “[a] pesar que no se</w:t>
        <w:br/>
        <w:t>han agotado aún los recursos internos del proceso jurídico, el Estado al</w:t>
        <w:br/>
        <w:t>reconocer que no ha habido avances sustantivos, no puede oponerse a la</w:t>
        <w:br/>
        <w:t>petición de la familia [A]”[15]. Dicha postura no incluyó una manifestación</w:t>
        <w:br/>
        <w:t>de voluntad sobre una posible solución en los términos del artículo 49 de</w:t>
        <w:br/>
        <w:t>la Convención. Posteriormente, el Estado remitió cinco escritos en los</w:t>
        <w:br/>
        <w:t>cuales reiteró dicha posición[16] y, específicamente, en dos de ellos[17]</w:t>
        <w:br/>
        <w:t>indicó que:</w:t>
        <w:br/>
        <w:br/>
        <w:t xml:space="preserve">    En  virtud  de  que  el  presente  caso  se  encuentra   en   fase   de</w:t>
        <w:br/>
        <w:t xml:space="preserve">    admisibilidad, el Estado de Guatemala reitera la postura  vertida  […],</w:t>
        <w:br/>
        <w:t xml:space="preserve">    en el sentido de que, a pesar de que no se  han  agotado  los  recursos</w:t>
        <w:br/>
        <w:t xml:space="preserve">    internos del proceso penal, no se opone a la  petición  de  la  familia</w:t>
        <w:br/>
        <w:t xml:space="preserve">    [A], lo anterior sin perjuicio de la postura que en un  futuro  pudiera</w:t>
        <w:br/>
        <w:t xml:space="preserve">    adoptarse respecto al fondo de la petición.</w:t>
        <w:br/>
        <w:br/>
        <w:t>Al respecto, la Corte ha constatado que la referida petición inicial</w:t>
        <w:br/>
        <w:t>consistió en un relato de hechos que incluyó información acerca de las</w:t>
        <w:br/>
        <w:t>presuntas víctimas, la naturaleza u origen de la supuesta violación y los</w:t>
        <w:br/>
        <w:t>responsables de la misma, entre otros, y que en consecuencia, fue sobre</w:t>
        <w:br/>
        <w:t>esta integralidad de hechos que el Estado señaló que no se oponía a la</w:t>
        <w:br/>
        <w:t>petición. Por ende, aun cuando el Estado había interpuesto inicialmente</w:t>
        <w:br/>
        <w:t>esta excepción en el momento procesal oportuno y había sostenido que la</w:t>
        <w:br/>
        <w:t>petición devenía en inadmisible, luego cambió su posición durante el</w:t>
        <w:br/>
        <w:t>trámite de admisibilidad cuando manifestó que no se oponía a la petición de</w:t>
        <w:br/>
        <w:t>la familia A a pesar de no haberse agotado los recursos internos. En razón</w:t>
        <w:br/>
        <w:t>de ello, se configuró el desistimiento tácito de la excepción interpuesta</w:t>
        <w:br/>
        <w:t>por el Estado durante el trámite de admisibilidad ante la Comisión</w:t>
        <w:br/>
        <w:t>Interamericana.</w:t>
        <w:br/>
        <w:br/>
        <w:t>Cabe señalar que la Comisión Interamericana en su Informe de Admisibilidad</w:t>
        <w:br/>
        <w:t>tuvo en consideración que “[e]n el presente caso, el Estado sostiene que no</w:t>
        <w:br/>
        <w:t>obstante no se han agotado los recursos de la jurisdicción interna, señala</w:t>
        <w:br/>
        <w:t>que no se opone a la petición”. Aunado a ello, en su referido análisis de</w:t>
        <w:br/>
        <w:t>admisibilidad, la Comisión concluyó “que se ha[bía] verificado un retardo</w:t>
        <w:br/>
        <w:t>injustificado por parte de los órganos jurisdiccionales guatemaltecos</w:t>
        <w:br/>
        <w:t>respecto a los hechos denunciados” y, en consecuencia, aplicó la excepción</w:t>
        <w:br/>
        <w:t>al requisito de agotamiento de los recursos de la jurisdicción interna</w:t>
        <w:br/>
        <w:t>prevista en el artículo 46.2.c de la Convención Americana[18].</w:t>
        <w:br/>
        <w:br/>
        <w:t>En segundo lugar, durante el procedimiento ante esta Corte, nuevamente el</w:t>
        <w:br/>
        <w:t>Estado interpuso la excepción preliminar de falta de agotamiento de los</w:t>
        <w:br/>
        <w:t>recursos internos en términos del artículo 46 de la Convención Americana,</w:t>
        <w:br/>
        <w:t>“ya que en el presente caso, el proceso penal aún se encuentra en la etapa</w:t>
        <w:br/>
        <w:t>de investigación”. La Corte considera que en razón del referido</w:t>
        <w:br/>
        <w:t>desistimiento tácito de aquella objeción ante la Comisión, bajo el</w:t>
        <w:br/>
        <w:t>principio de estoppel[19], el Estado no puede variar su posición al</w:t>
        <w:br/>
        <w:t>argumentar ahora ante la Corte nuevamente la falta de agotamiento de</w:t>
        <w:br/>
        <w:t>recursos internos.</w:t>
        <w:br/>
        <w:br/>
        <w:t>Asimismo, la Corte destaca que el debate sobre la efectividad en la</w:t>
        <w:br/>
        <w:t>investigación penal de los hechos del presente caso implica una evaluación</w:t>
        <w:br/>
        <w:t>sobre las actuaciones del Estado en relación con sus obligaciones de</w:t>
        <w:br/>
        <w:t>garantizar los derechos reconocidos en la Convención Americana cuya</w:t>
        <w:br/>
        <w:t>violación se alega, lo cual es un asunto que se encuentra íntimamente</w:t>
        <w:br/>
        <w:t>relacionado con el fondo de la controversia[20]. A su vez, la Corte toma</w:t>
        <w:br/>
        <w:t>nota que, durante el tiempo en que el presente caso estuvo bajo el</w:t>
        <w:br/>
        <w:t>conocimiento de la Comisión, Guatemala incorporó reformas en su normativa</w:t>
        <w:br/>
        <w:t>procesal penal relacionadas con los supuestos controles incorporados para</w:t>
        <w:br/>
        <w:t>“dinamizar el proceso penal”. Sin embargo, dado que éstos son argumentos</w:t>
        <w:br/>
        <w:t>expuestos por primera vez ante la Corte y sobrevinientes a la presentación</w:t>
        <w:br/>
        <w:t>de la petición inicial ante la Comisión, así como de su decisión de</w:t>
        <w:br/>
        <w:t>admisibilidad (supra párrs. 2.a y 2.b), no corresponde emitir un</w:t>
        <w:br/>
        <w:t>pronunciamiento al respecto en el marco de la presente excepción</w:t>
        <w:br/>
        <w:t>preliminar. En consecuencia, la Corte desestima la excepción preliminar de</w:t>
        <w:br/>
        <w:t>falta de agotamiento de los recursos internos planteada por el Estado.</w:t>
        <w:br/>
        <w:br/>
        <w:br/>
        <w:t>Sobre la alegada vulneración del derecho de defensa del Estado</w:t>
        <w:br/>
        <w:br/>
        <w:br/>
        <w:br/>
        <w:t xml:space="preserve">        B.1. Argumentos de las partes y de la Comisión</w:t>
        <w:br/>
        <w:br/>
        <w:br/>
        <w:t>El Estado señaló que habría sido “sorprendente” hallar dentro del Informe</w:t>
        <w:br/>
        <w:t>de Fondo que la Comisión declarara una supuesta violación de los artículos</w:t>
        <w:br/>
        <w:t>22 y 23 de la Convención Americana, en conexión con el artículo 1.1 de la</w:t>
        <w:br/>
        <w:t>misma, “debido a que lo anterior vulnera el derecho de defensa del Estado,</w:t>
        <w:br/>
        <w:t>porque no conoció desde el inicio cuáles fueron los argumentos por los que</w:t>
        <w:br/>
        <w:t>supuestamente existen las violaciones adicionales”.</w:t>
        <w:br/>
        <w:br/>
        <w:t>La Comisión argumentó que la determinación inicial de las posibles</w:t>
        <w:br/>
        <w:t>violaciones que realiza en su Informe de Admisibilidad tiene por objeto</w:t>
        <w:br/>
        <w:t>verificar, desde una perspectiva prima facie, únicamente si la petición</w:t>
        <w:br/>
        <w:t>expone hechos que, de ser probados, caracterizan violaciones a la</w:t>
        <w:br/>
        <w:t>Convención Americana, y si la petición es “manifiestamente infundada” o si</w:t>
        <w:br/>
        <w:t>es “evidente su total improcedencia”. En este caso, la Comisión no se</w:t>
        <w:br/>
        <w:t>refirió prima facie a los artículos 22 y 23 de la Convención, sin embargo,</w:t>
        <w:br/>
        <w:t>sí indicó, como parte de las alegaciones que configuraban el objeto de</w:t>
        <w:br/>
        <w:t>petición, los hechos relacionados con los mismos. En la etapa de fondo y a</w:t>
        <w:br/>
        <w:t>partir del examen de las pruebas recibidas en contradictorio, se determinó</w:t>
        <w:br/>
        <w:t>el alcance y contenido específico de los hechos alegados en la petición</w:t>
        <w:br/>
        <w:t>inicial y referidos en el informe de admisibilidad. Es así que los hechos</w:t>
        <w:br/>
        <w:t>por los cuales se configuró la responsabilidad internacional del Estado y</w:t>
        <w:br/>
        <w:t>los respectivos argumentos de las peticionarias, estuvieron en conocimiento</w:t>
        <w:br/>
        <w:t>del Estado desde el momento que se le trasladó la petición inicial y</w:t>
        <w:br/>
        <w:t>durante la etapa de fondo, por lo que tuvo una amplia oportunidad de</w:t>
        <w:br/>
        <w:t>controvertirlos. Las representantes no presentaron alegaciones al respecto.</w:t>
        <w:br/>
        <w:br/>
        <w:br/>
        <w:br/>
        <w:br/>
        <w:br/>
        <w:t xml:space="preserve">        B.2. Consideraciones de la Corte</w:t>
        <w:br/>
        <w:br/>
        <w:t>Es jurisprudencia de la Corte que los derechos indicados en el Informe de</w:t>
        <w:br/>
        <w:t>Admisibilidad de la Comisión son el resultado de un examen preliminar de la</w:t>
        <w:br/>
        <w:t>petición que se encuentra en curso, por lo que no limitan la posibilidad de</w:t>
        <w:br/>
        <w:t>que en etapas posteriores del proceso puedan incluirse otros derechos o</w:t>
        <w:br/>
        <w:t>artículos que presuntamente hayan sido vulnerados, siempre y cuando se</w:t>
        <w:br/>
        <w:t>respete el derecho de defensa del Estado y se mantengan dentro del marco</w:t>
        <w:br/>
        <w:t>fáctico del caso bajo análisis[21]. Es así que sobre la base del principio</w:t>
        <w:br/>
        <w:t>del contradictorio, el debate de las cuestiones fácticas debe estar</w:t>
        <w:br/>
        <w:t>reflejado en el Informe de Fondo[22]. Al respecto, corresponde a la Corte</w:t>
        <w:br/>
        <w:t>decidir en cada caso acerca de la procedencia de alegatos relativos al</w:t>
        <w:br/>
        <w:t>marco fáctico en resguardo del equilibrio procesal de las partes[23].</w:t>
        <w:br/>
        <w:br/>
        <w:t>En el Informe de Admisibilidad de 8 de septiembre de 2010[24], la Comisión</w:t>
        <w:br/>
        <w:t>concluyó que tenía competencia para conocer el fondo del caso y que la</w:t>
        <w:br/>
        <w:t>petición era admisible, y decidió continuar con el análisis de fondo</w:t>
        <w:br/>
        <w:t>relativo a la supuesta violación del artículo 4, en cuanto al señor A.A., y</w:t>
        <w:br/>
        <w:t>los artículos 5.1, 8.1 y 25, respecto de B.A. y sus familiares, todos en</w:t>
        <w:br/>
        <w:t>concordancia con el artículo 1.1 de la Convención Americana. Por otro lado,</w:t>
        <w:br/>
        <w:t>la Comisión incluyó también en el Informe de Admisibilidad, en la sección</w:t>
        <w:br/>
        <w:t>denominada “III. Posición de las partes”, los argumentos presentados por</w:t>
        <w:br/>
        <w:t>las peticionarias, en los siguientes términos:</w:t>
        <w:br/>
        <w:br/>
        <w:t xml:space="preserve">    12. Alegan que las actividades iniciales de  la  investigación  arrojan</w:t>
        <w:br/>
        <w:t xml:space="preserve">    indicios de una acción planificada. Señalan que no hubo  robo,  por  lo</w:t>
        <w:br/>
        <w:t xml:space="preserve">    que el móvil del asesinato tenía que ver con las actividades del  señor</w:t>
        <w:br/>
        <w:t xml:space="preserve">    [A.A.] y de su hija. Manifiestan que hay un historial  de  amenazas  de</w:t>
        <w:br/>
        <w:t xml:space="preserve">    muerte y actos de intimidación contra [B.A.]. Afirman que a  pesar  que</w:t>
        <w:br/>
        <w:t xml:space="preserve">    se indicó desde un inicio a las autoridades  sobre  el  alto  grado  de</w:t>
        <w:br/>
        <w:t xml:space="preserve">    posibilidad de que se tratara de un asesinato político, las autoridades</w:t>
        <w:br/>
        <w:t xml:space="preserve">    nunca han tenido en cuenta ese dato, manifestando que se  trata  de  un</w:t>
        <w:br/>
        <w:t xml:space="preserve">    caso más de violencia común. […]</w:t>
        <w:br/>
        <w:br/>
        <w:t xml:space="preserve">    17. Según la petición, [A.A.] y su hija [B.A.]  han  sido  víctimas  de</w:t>
        <w:br/>
        <w:t xml:space="preserve">    reiteradas amenazas. […] Alegan que esta situación de  intimidación  ha</w:t>
        <w:br/>
        <w:t xml:space="preserve">    tenido como consecuencia que la familia [A] no haya regresado a vivir a</w:t>
        <w:br/>
        <w:t xml:space="preserve">    Santa Lucía Cotzumalguapa. La señora [B.A.] viaja diariamente  a  Santa</w:t>
        <w:br/>
        <w:t xml:space="preserve">    Lucía Cotzumalguapa para trabajar  en  la  Asociación  de  Mujeres  del</w:t>
        <w:br/>
        <w:t xml:space="preserve">    Movimiento  Social  y  el  ex  [A]lcalde  [Municipal  de  Santa   Lucía</w:t>
        <w:br/>
        <w:t xml:space="preserve">    Cotzumalguapa] le provee protección a través de su seguridad  personal.</w:t>
        <w:br/>
        <w:t xml:space="preserve">    Si bien reconocen que  la  Comisión  Presidencial  Coordinadora  de  la</w:t>
        <w:br/>
        <w:t xml:space="preserve">    Política del  Ejecutivo  en  materia  de  Derechos  Humanos  (COPREDEH)</w:t>
        <w:br/>
        <w:t xml:space="preserve">    ofreció en mayo de  2008  iniciar  un  proceso  de  solicitud  para  la</w:t>
        <w:br/>
        <w:t xml:space="preserve">    protección personal de la señora [B.A.], manifiestan que  se  considera</w:t>
        <w:br/>
        <w:t xml:space="preserve">    que ésta podría poner en mayor riesgo la vida de la  señora  [B.A.]  en</w:t>
        <w:br/>
        <w:t xml:space="preserve">    vista de que existen comunicaciones entre quienes amenazan a ella y  la</w:t>
        <w:br/>
        <w:t xml:space="preserve">    policía. […]</w:t>
        <w:br/>
        <w:br/>
        <w:t xml:space="preserve">    19. […] Igualmente, señalan que los actos de amenazas e  intimidaciones</w:t>
        <w:br/>
        <w:t xml:space="preserve">    posteriores al asesinato del señor [A.A.] contra  los  familiares,  los</w:t>
        <w:br/>
        <w:t xml:space="preserve">    obligó a dejar sus hogares en  Santa  Lucía  Cotzumalguapa  nueve  días</w:t>
        <w:br/>
        <w:t xml:space="preserve">    después del asesinato, sin que hasta la fecha hayan regresado  a  vivir</w:t>
        <w:br/>
        <w:t xml:space="preserve">    en la zona por temor. Indican que por la misma razón, las  amenazas  no</w:t>
        <w:br/>
        <w:t xml:space="preserve">    fueron denunciadas ante las autoridades. […] (Resaltado de la Corte)</w:t>
        <w:br/>
        <w:br/>
        <w:t>Tal como se desprende del Informe de Admisibilidad, es incuestionable que</w:t>
        <w:br/>
        <w:t>el Estado tuvo conocimiento de los hechos que sustentan la presunta</w:t>
        <w:br/>
        <w:t>violación de los artículos 22 y 23 de la Convención, en perjuicio de</w:t>
        <w:br/>
        <w:t>integrantes de la familia A, B.A. y A.A., en los primeros momentos del</w:t>
        <w:br/>
        <w:t>inicio del trámite ante la Comisión, por lo que habría podido expresar su</w:t>
        <w:br/>
        <w:t>posición, de haberlo considerado pertinente. En este sentido, la Corte</w:t>
        <w:br/>
        <w:t>considera que la decisión de la Comisión de incluir en sus consideraciones</w:t>
        <w:br/>
        <w:t>del Informe de Fondo las presuntas violaciones al derecho de circulación y</w:t>
        <w:br/>
        <w:t>residencia, así como a la participación política, contenidos en los</w:t>
        <w:br/>
        <w:t>artículos 22 y 23 de la Convención Americana, fundamentándose en el</w:t>
        <w:br/>
        <w:t>principio “iura novit curia” y tomando en cuenta que el Estado “conoció los</w:t>
        <w:br/>
        <w:t>hechos en los cuales se basó dicho alegato y tuvo la oportunidad de ofrecer</w:t>
        <w:br/>
        <w:t>sus observaciones al respecto”[25], no implicó una vulneración al derecho</w:t>
        <w:br/>
        <w:t>de defensa de Guatemala.</w:t>
        <w:br/>
        <w:br/>
        <w:t>En razón de lo anterior, la Corte desestima la objeción del Estado derivada</w:t>
        <w:br/>
        <w:t>de una supuesta vulneración de su derecho de defensa en el procedimiento</w:t>
        <w:br/>
        <w:t>ante la Comisión Interamericana.</w:t>
        <w:br/>
        <w:br/>
        <w:br/>
        <w:t>V</w:t>
        <w:br/>
        <w:t>CONSIDERACIONES PREVIAS</w:t>
        <w:br/>
        <w:br/>
        <w:t>En el presente Capítulo, la Corte realizará las determinaciones</w:t>
        <w:br/>
        <w:t>correspondientes a los argumentos del Estado sobre: a) la alegada “[f]alta</w:t>
        <w:br/>
        <w:t>de [p]ersonería de l[a]s [r]epresentantes de las [p]resuntas [v]íctimas en</w:t>
        <w:br/>
        <w:t>el [p]resente [c]aso”, y b) la alegada “incongruencia, contradicción e</w:t>
        <w:br/>
        <w:t>inconsistencia de los hechos que configuran el marco fáctico establecido</w:t>
        <w:br/>
        <w:t>por la Comisión […] respecto a los hechos argumentados en el escrito de</w:t>
        <w:br/>
        <w:t>solicitudes [y argumentos]”. Asimismo, la Corte se referirá a: c) la</w:t>
        <w:br/>
        <w:t>determinación de presuntas víctimas en el presente caso.</w:t>
        <w:br/>
        <w:br/>
        <w:br/>
        <w:t xml:space="preserve">        Alegada falta de personería de las representantes</w:t>
        <w:br/>
        <w:br/>
        <w:br/>
        <w:t xml:space="preserve">      A.1. Argumentos de las partes y de la Comisión</w:t>
        <w:br/>
        <w:br/>
        <w:t>El Estado argumentó que Claudia Virginia Samayoa Pineda y B.A. actuaron</w:t>
        <w:br/>
        <w:t>ante la Comisión y Corte en calidad de peticionarias y no de representantes</w:t>
        <w:br/>
        <w:t>de las presuntas víctimas. Esto debido a que, para ser representantes, se</w:t>
        <w:br/>
        <w:t>requiere acreditar dicha calidad. Adicionalmente, señaló que no constaba</w:t>
        <w:br/>
        <w:t>dentro del expediente que las presuntas víctimas hubiesen dado su</w:t>
        <w:br/>
        <w:t>consentimiento para someter el caso ante la Corte. De igual modo, alegó que</w:t>
        <w:br/>
        <w:t>no habría pronunciamientos legales ni escritos referidos a alguna clase de</w:t>
        <w:br/>
        <w:t>representación que pudiera haber concedido la familia a Claudia Samayoa y</w:t>
        <w:br/>
        <w:t>B.A. Por tanto, sostuvo que tanto la Comisión como la Corte faltaron a</w:t>
        <w:br/>
        <w:t>normas reglamentarias, la Comisión, porque previo al sometimiento del caso</w:t>
        <w:br/>
        <w:t>debió solicitar a las peticionarias que acreditasen la calidad de</w:t>
        <w:br/>
        <w:t>representantes de las presuntas víctimas, y la Corte, por haber examinado y</w:t>
        <w:br/>
        <w:t>haberle dado trámite al caso sin que las peticionarias acreditaran</w:t>
        <w:br/>
        <w:t>fehacientemente dicha calidad. Según el Estado, la omisión del requisito</w:t>
        <w:br/>
        <w:t>procesal referente a la debida acreditación legal impediría la admisión de</w:t>
        <w:br/>
        <w:t>la demanda presentada y el ejercicio de la reclamación intentada a través</w:t>
        <w:br/>
        <w:t>del escrito de solicitudes y argumentos.</w:t>
        <w:br/>
        <w:br/>
        <w:t>La Comisión consideró que la verificación sobre la existencia o no de</w:t>
        <w:br/>
        <w:t>representación debidamente acreditada no corresponde ser valorada por el</w:t>
        <w:br/>
        <w:t>Estado sino que es parte del análisis realizado por la Presidencia de la</w:t>
        <w:br/>
        <w:t>Corte de acuerdo al artículo 38 del Reglamento de la Corte, lo cual fue</w:t>
        <w:br/>
        <w:t>analizado como parte del “examen preliminar del sometimiento”.</w:t>
        <w:br/>
        <w:br/>
        <w:t>Las representantes explicaron que el 19 de septiembre de 2013 la Secretaría</w:t>
        <w:br/>
        <w:t>de la Corte les solicitó que confirmaran si efectivamente representarían a</w:t>
        <w:br/>
        <w:t>la totalidad de las presuntas víctimas, por tanto, el 26 de septiembre de</w:t>
        <w:br/>
        <w:t>2013 respondieron en sentido afirmativo. Aunado a lo anterior, señalaron</w:t>
        <w:br/>
        <w:t>que mediante escrito de 14 de mayo de 2012 los hijos e hijas de A.A., D.A.,</w:t>
        <w:br/>
        <w:t>E.A., B.A., F.A., G.A. y H.A., expresaron su anuencia para que la Comisión</w:t>
        <w:br/>
        <w:t>sometiera el caso a la Corte, y su conformidad con lo declarado por las</w:t>
        <w:br/>
        <w:t>peticionarias ante la Comisión y a la representación ejercida por B.A. y</w:t>
        <w:br/>
        <w:t>Claudia Virginia Samayoa. Destacaron también que en dicho escrito las</w:t>
        <w:br/>
        <w:t>presuntas víctimas habrían “delegado su representación” a B.A. y Claudia</w:t>
        <w:br/>
        <w:t>Samayoa, por tanto, dicho documento reúne las condiciones señaladas como</w:t>
        <w:br/>
        <w:t>indispensables para acreditar su representación. Así, sostuvieron que su</w:t>
        <w:br/>
        <w:t>representación “quedó suficientemente acreditada” a través de documentos</w:t>
        <w:br/>
        <w:t>proporcionados en el trámite ante esta Corte y ante la Comisión.</w:t>
        <w:br/>
        <w:br/>
        <w:br/>
        <w:t xml:space="preserve">      A.2. Consideraciones de la Corte</w:t>
        <w:br/>
        <w:br/>
        <w:t>Primeramente, la Corte recuerda que el acceso del individuo al sistema</w:t>
        <w:br/>
        <w:t>interamericano de protección de los derechos humanos no puede ser</w:t>
        <w:br/>
        <w:t>restringido con base en la exigencia de contar con representante legal[26],</w:t>
        <w:br/>
        <w:t>dado que si no se admitiera el sometimiento de un caso porque se carece de</w:t>
        <w:br/>
        <w:t>representación, se incurriría en una restricción indebida que privaría a la</w:t>
        <w:br/>
        <w:t>presunta víctima de la posibilidad de acceder a la justicia[27]. En efecto,</w:t>
        <w:br/>
        <w:t>la designación de representante legal en el proceso ante la Corte es un</w:t>
        <w:br/>
        <w:t>derecho de las presuntas víctimas y no una obligación de éstas[28]. En este</w:t>
        <w:br/>
        <w:t>sentido, el artículo 35 del Reglamento de la Corte indica que “de ser el</w:t>
        <w:br/>
        <w:t>caso” la Comisión debe remitir en el sometimiento los nombres, dirección,</w:t>
        <w:br/>
        <w:t>teléfono, correo electrónico y facsímile de los representantes de las</w:t>
        <w:br/>
        <w:t>presuntas víctimas debidamente acreditados. El artículo 37 del Reglamento</w:t>
        <w:br/>
        <w:t>dispone que “[e]n casos de presuntas víctimas sin representación legal</w:t>
        <w:br/>
        <w:t>debidamente acreditada, la Corte podrá designar un Defensor Interamericano</w:t>
        <w:br/>
        <w:t>de oficio que las represente durante la tramitación de caso”. Se contempla,</w:t>
        <w:br/>
        <w:t>pues, la posibilidad de que las presuntas víctimas o sus familiares no</w:t>
        <w:br/>
        <w:t>hubieren designado representantes, y que la omisión de estos datos no</w:t>
        <w:br/>
        <w:t>implica el rechazo del caso, sino la posibilidad que la Corte designe un</w:t>
        <w:br/>
        <w:t>Defensor Interamericano de oficio.</w:t>
        <w:br/>
        <w:br/>
        <w:t>Por otro lado, la Corte ha señalado que no es indispensable que los poderes</w:t>
        <w:br/>
        <w:t>otorgados por las presuntas víctimas para ser representadas en el proceso</w:t>
        <w:br/>
        <w:t>ante la Corte cumplan las mismas formalidades que regula el derecho interno</w:t>
        <w:br/>
        <w:t>del Estado demandado[29]. Además, ha indicado que la práctica constante de</w:t>
        <w:br/>
        <w:t>esta Corte con respecto a las reglas de representación ha sido flexible.</w:t>
        <w:br/>
        <w:t>Esta amplitud de criterio al aceptar los instrumentos constitutivos de la</w:t>
        <w:br/>
        <w:t>representación tiene, sin embargo, ciertos límites que están dados por el</w:t>
        <w:br/>
        <w:t>objeto útil de la representación misma. Primero, dichos instrumentos deben</w:t>
        <w:br/>
        <w:t>identificar de manera unívoca al poderdante y reflejar una manifestación de</w:t>
        <w:br/>
        <w:t>voluntad libre de vicios. Deben, además, individualizar con claridad al</w:t>
        <w:br/>
        <w:t>apoderado y, por último, deben señalar con precisión el objeto de la</w:t>
        <w:br/>
        <w:t>representación. Los instrumentos que cumplan con los requisitos mencionados</w:t>
        <w:br/>
        <w:t>son válidos y adquieren plena efectividad al ser presentados ante la</w:t>
        <w:br/>
        <w:t>Corte[30]. Desde esa perspectiva -llámese, poder, carta-poder, autorización</w:t>
        <w:br/>
        <w:t>o de cualquier otra forma- es suficiente para esta Corte, para efectos de</w:t>
        <w:br/>
        <w:t>legitimación, un documento mediante el cual los poderdantes expresen su</w:t>
        <w:br/>
        <w:t>voluntad de ser representados[31], en los términos indicados.</w:t>
        <w:br/>
        <w:br/>
        <w:t>La Corte ha verificado que, durante el trámite ante la Comisión</w:t>
        <w:br/>
        <w:t>Interamericana, Claudia Samayoa Pineda y B.A., hija de A.A. y presunta</w:t>
        <w:br/>
        <w:t>víctima, presentaron la petición inicial[32], y suscribieron de manera</w:t>
        <w:br/>
        <w:t>conjunta diversos escritos en su calidad de peticionarias[33]. Además,</w:t>
        <w:br/>
        <w:t>presentaron otros escritos de manera separada[34]. A su vez, D.A., E.A.,</w:t>
        <w:br/>
        <w:t>B.A., F.A., G.A. y H.A., hijos de A.A. y presuntas víctimas, suscribieron</w:t>
        <w:br/>
        <w:t>un escrito que fue presentado el 14 de mayo de 2012[35], en el cual</w:t>
        <w:br/>
        <w:t>expresaron a la Comisión:</w:t>
        <w:br/>
        <w:br/>
        <w:t xml:space="preserve">    Para terminar queremos apelar a su humanidad, para que por su medio  se</w:t>
        <w:br/>
        <w:t xml:space="preserve">    haga justicia y se traslade  el  caso  a  la  Corte  Interamericana  de</w:t>
        <w:br/>
        <w:t xml:space="preserve">    Derechos Humanos. Ratificamos  que  todo  lo  expresado  por  [B.A.]  y</w:t>
        <w:br/>
        <w:t xml:space="preserve">    Claudia Samayoa como peticionarias del caso reflejan nuestro  sentir  y</w:t>
        <w:br/>
        <w:t xml:space="preserve">    parecer. Por ello no queremos una solución amistosa sino un proceso  de</w:t>
        <w:br/>
        <w:t xml:space="preserve">    justicia.</w:t>
        <w:br/>
        <w:br/>
        <w:t>Posteriormente, en el procedimiento ante la Corte, la Comisión informó en</w:t>
        <w:br/>
        <w:t>su escrito de sometimiento del caso que B.A. y Claudia Samayoa habían</w:t>
        <w:br/>
        <w:t>actuado como peticionarias a lo largo del trámite. El 19 de septiembre de</w:t>
        <w:br/>
        <w:t>2012 se solicitó a dichas personas que confirmaran si efectivamente</w:t>
        <w:br/>
        <w:t>representaban a la totalidad de las presuntas víctimas. En respuesta, el 26</w:t>
        <w:br/>
        <w:t>de septiembre de 2012 Claudia Virginia Samayoa Pineda confirmó que</w:t>
        <w:br/>
        <w:t>representaba, junto con B.A., a la totalidad de las presuntas víctimas en</w:t>
        <w:br/>
        <w:t>el presente caso. Así, en cumplimiento de lo dispuesto en el artículo 39.1</w:t>
        <w:br/>
        <w:t>del Reglamento se notificó a las partes y a la Comisión el sometimiento del</w:t>
        <w:br/>
        <w:t>caso.</w:t>
        <w:br/>
        <w:br/>
        <w:t>Por otro lado, el 14 de febrero de 2014, siguiendo instrucciones del</w:t>
        <w:br/>
        <w:t>Presidente de la Corte, se solicitó a las representantes remitir, como</w:t>
        <w:br/>
        <w:t>prueba para mejor resolver, los poderes de representación emitidos por las</w:t>
        <w:br/>
        <w:t>presuntas víctimas en el presente caso. De este modo, el 28 de febrero de</w:t>
        <w:br/>
        <w:t>2014 las representantes remitieron un escrito firmado por “los hijos,</w:t>
        <w:br/>
        <w:t>hijas, nietos y nietas de [A.A.]”[36] el 24 de febrero de 2014 ante</w:t>
        <w:br/>
        <w:t>fedatario público, a través del cual manifestaron que:</w:t>
        <w:br/>
        <w:br/>
        <w:t xml:space="preserve">      [e]n [m]ayo de dos mil doce expresamos en un documento privado nuestra</w:t>
        <w:br/>
        <w:t xml:space="preserve">      conformidad con que el caso se trasladara a  la  Corte  Interamericana</w:t>
        <w:br/>
        <w:t xml:space="preserve">      […], y ratificamos todo lo expresado por  [B.A.]  y  Claudia  Virginia</w:t>
        <w:br/>
        <w:t xml:space="preserve">      Samayoa Pineda en nuestro  nombre  durante  el  procedimiento  seguido</w:t>
        <w:br/>
        <w:t xml:space="preserve">      hasta esa fecha, en el día y en el lugar de la fecha, las  [presuntas]</w:t>
        <w:br/>
        <w:t xml:space="preserve">      víctimas confirmamos que  [aquéllas]  han  actuado  en  representación</w:t>
        <w:br/>
        <w:t xml:space="preserve">      nuestra y con nuestro consentimiento; y que en todo momento hemos sido</w:t>
        <w:br/>
        <w:t xml:space="preserve">      informados  del  curso  del   procedimiento.   Así   mismo   otorgamos</w:t>
        <w:br/>
        <w:t xml:space="preserve">      expresamente mediante este  documento  a  [B.A.]  y  Claudia  Virginia</w:t>
        <w:br/>
        <w:t xml:space="preserve">      Samayoa Pineda, el poder para que nos representen  ante  el  [s]istema</w:t>
        <w:br/>
        <w:t xml:space="preserve">      [i]nteramericano  […],  incluso   después   de   que   se   dicte   la</w:t>
        <w:br/>
        <w:t xml:space="preserve">      correspondiente Sentencia.</w:t>
        <w:br/>
        <w:br/>
        <w:t>La Corte estima que el escrito de mayo de 2012 y el mandato asumido el 26</w:t>
        <w:br/>
        <w:t>de septiembre de 2012 son eficaces, y que se hicieron efectivos al ejercer,</w:t>
        <w:br/>
        <w:t>B.A. y Claudia Virginia Samayoa Pineda, la representación a nombre de la</w:t>
        <w:br/>
        <w:t>totalidad de las presuntas víctimas y participar en los diversos actos</w:t>
        <w:br/>
        <w:t>procesales ante la Corte (supra párrs. 5, 7, 8, 10 y 11). Sin perjuicio de</w:t>
        <w:br/>
        <w:t>lo anterior, la calidad de representantes de dichas personas fue confirmada</w:t>
        <w:br/>
        <w:t>a través del poder de representación remitido a la Corte el 28 de febrero</w:t>
        <w:br/>
        <w:t>de 2014 como prueba para mejor resolver. En consecuencia, la Corte no</w:t>
        <w:br/>
        <w:t>estima procedente la objeción del Estado.</w:t>
        <w:br/>
        <w:br/>
        <w:br/>
        <w:t>El marco fáctico</w:t>
        <w:br/>
        <w:br/>
        <w:br/>
        <w:t xml:space="preserve">      B.1. Argumentos de las partes y de la Comisión</w:t>
        <w:br/>
        <w:br/>
        <w:t>El Estado alegó que existen una serie de incongruencias, contradicciones e</w:t>
        <w:br/>
        <w:t>inconsistencias de los hechos que configuran el marco fáctico establecido</w:t>
        <w:br/>
        <w:t>en el Informe de Fondo No. 56/12 y los hechos presentados por las</w:t>
        <w:br/>
        <w:t>peticionarias en su escrito de solicitudes y argumentos. En consecuencia,</w:t>
        <w:br/>
        <w:t>solicitó a la Corte que declare inadmisible la acción intentada en su</w:t>
        <w:br/>
        <w:t>contra, y que en caso que no se resolviese con lugar la excepción</w:t>
        <w:br/>
        <w:t>planteada, se declare con lugar parcialmente, ya que el escrito de</w:t>
        <w:br/>
        <w:t>solicitudes y argumentos no cumpliría con los requisitos sine qua non</w:t>
        <w:br/>
        <w:t>establecidos en el artículo 40.2 del Reglamento de la Corte, por tanto, no</w:t>
        <w:br/>
        <w:t>debería ser admitido. A su vez, en sus alegatos finales escritos explicó</w:t>
        <w:br/>
        <w:t>que no pretendía que dichas alegadas contracciones, inconsistencias e</w:t>
        <w:br/>
        <w:t>incongruencias fueran valoradas de forma autónoma, es decir, una a una,</w:t>
        <w:br/>
        <w:t>sino cuyo objeto era evidenciar la falta de avenimiento y legitimidad en</w:t>
        <w:br/>
        <w:t>los argumentos presentados por las representantes.</w:t>
        <w:br/>
        <w:br/>
        <w:t>La Comisión indicó que las supuestas contradicciones, incongruencias o</w:t>
        <w:br/>
        <w:t>inconsistencias señaladas por el Estado no se verifican en ninguno de los</w:t>
        <w:br/>
        <w:t>extremos planteados, y que los hechos referidos por las representantes</w:t>
        <w:br/>
        <w:t>hacen parte del marco fáctico definido por la Comisión. Las representantes</w:t>
        <w:br/>
        <w:t>argumentaron que el relato de los hechos contenidos en el escrito de</w:t>
        <w:br/>
        <w:t>solicitudes y argumentos se encuadra dentro del marco fáctico fijado por la</w:t>
        <w:br/>
        <w:t>Comisión, y negaron la existencia de contradicciones en dicho relato. En</w:t>
        <w:br/>
        <w:t>particular, señalaron que cinco de las alegadas contradicciones explican o</w:t>
        <w:br/>
        <w:t>aclaran aspectos que ya estarían incluidos dentro del marco fáctico,</w:t>
        <w:br/>
        <w:t>mientras que las cuatro restantes se refieren a hechos que habrían quedado</w:t>
        <w:br/>
        <w:t>acreditados, la redacción de unos mismos hechos con distintas palabras y al</w:t>
        <w:br/>
        <w:t>cuestionamiento sobre su veracidad.</w:t>
        <w:br/>
        <w:br/>
        <w:br/>
        <w:t xml:space="preserve">      B.2. Consideraciones de la Corte</w:t>
        <w:br/>
        <w:br/>
        <w:t>La Corte recuerda que el marco fáctico del proceso ante la Corte se</w:t>
        <w:br/>
        <w:t>encuentra constituido por los hechos contenidos en el Informe de Fondo</w:t>
        <w:br/>
        <w:t>sometidos a su consideración. En consecuencia, no es admisible que las</w:t>
        <w:br/>
        <w:t>partes aleguen nuevos hechos distintos de los contenidos en dicho informe,</w:t>
        <w:br/>
        <w:t>sin perjuicio de exponer aquellos que permitan explicar, aclarar o</w:t>
        <w:br/>
        <w:t>desestimar los que hayan sido mencionados en el mismo y hayan sido</w:t>
        <w:br/>
        <w:t>sometidos a consideración de la Corte[37]. La excepción a este principio</w:t>
        <w:br/>
        <w:t>son los hechos que se califican como supervinientes, siempre que se</w:t>
        <w:br/>
        <w:t>encuentren ligados a los hechos del caso[38].</w:t>
        <w:br/>
        <w:br/>
        <w:t>El Estado presentó un total de nueve supuestos hechos que expuso de manera</w:t>
        <w:br/>
        <w:t>amplia y detallada, los cuales alegó no habrían sido referidos en el</w:t>
        <w:br/>
        <w:t>Informe de Fondo o no habrían sido argumentados ni detallados ante la</w:t>
        <w:br/>
        <w:t>Comisión, y serían contradictorios, incongruentes, inconsistentes o</w:t>
        <w:br/>
        <w:t>carentes de veracidad y consistencia fáctica respecto a lo planteado por la</w:t>
        <w:br/>
        <w:t>Comisión. La Corte constató que, más allá que los alegados hechos en efecto</w:t>
        <w:br/>
        <w:t>son parte del marco fáctico descrito por la Comisión en su Informe de</w:t>
        <w:br/>
        <w:t>Fondo[39], los argumentos presentados por el Estado se relacionan con una</w:t>
        <w:br/>
        <w:t>cuestión de valoración de la prueba y hechos probados. En tal virtud, la</w:t>
        <w:br/>
        <w:t>Corte determinará lo que corresponda al respecto en los capítulos</w:t>
        <w:br/>
        <w:t>correspondientes, teniendo en cuenta las observaciones de Guatemala. En</w:t>
        <w:br/>
        <w:t>razón de todo lo anterior, la Corte no estima procedente la objeción del</w:t>
        <w:br/>
        <w:t>Estado.</w:t>
        <w:br/>
        <w:br/>
        <w:br/>
        <w:t>Determinación de presuntas víctimas</w:t>
        <w:br/>
        <w:br/>
        <w:br/>
        <w:t xml:space="preserve">      C.1. Argumentos de las partes y de la Comisión</w:t>
        <w:br/>
        <w:br/>
        <w:t>12. De acuerdo a lo dispuesto en el  artículo  35.1  del  Reglamento  de  la</w:t>
        <w:br/>
        <w:t xml:space="preserve">    Corte, la Comisión consignó  en  su  escrito  de  sometimiento  que  las</w:t>
        <w:br/>
        <w:t xml:space="preserve">    presuntas víctimas de este caso eran A.A.; C.A.; D.A., E.A., B.A., F.A.,</w:t>
        <w:br/>
        <w:t xml:space="preserve">    G.A. y H.A.; “[I.A.] y sus hermanos”, sin identificar a dichos hermanos;</w:t>
        <w:br/>
        <w:t xml:space="preserve">    J.A., K.A., L.A., M.A. y N.A. Las  representantes  coincidieron  con  el</w:t>
        <w:br/>
        <w:t xml:space="preserve">    listado presentado por la Comisión y agregaron como  presuntas  víctimas</w:t>
        <w:br/>
        <w:t xml:space="preserve">    a: O.A., P.A., Q.A., R.A., S.A., T.A., U.A., V.A. y  W.A.  No  obstante,</w:t>
        <w:br/>
        <w:t xml:space="preserve">    con posterioridad a la audiencia  pública  informaron  que  H.A.  y  sus</w:t>
        <w:br/>
        <w:t xml:space="preserve">    hijos, T.A., U.A. y V.A. no desean “figurar como víctimas en el presente</w:t>
        <w:br/>
        <w:t xml:space="preserve">    caso […]”. El Estado  consideró  que  por  familiares  debía  entenderse</w:t>
        <w:br/>
        <w:t xml:space="preserve">    únicamente a la esposa y a los hijos que vivieron con el  señor  A.A.  o</w:t>
        <w:br/>
        <w:t xml:space="preserve">    cuya participación en la búsqueda  de  justicia  fuese  evidenciada  por</w:t>
        <w:br/>
        <w:t xml:space="preserve">    parte de las peticionarias y  la  Comisión.  En  cuanto  a  los  nietos,</w:t>
        <w:br/>
        <w:t xml:space="preserve">    manifestó que ni las representantes ni la Comisión  habrían  establecido</w:t>
        <w:br/>
        <w:t xml:space="preserve">    por qué motivos habría de considerárseles víctimas ni existiría  certeza</w:t>
        <w:br/>
        <w:t xml:space="preserve">    que estuviesen vivos al fallecer su abuelo. Además, señaló que  sólo  se</w:t>
        <w:br/>
        <w:t xml:space="preserve">    habría incluido en el escrito de solicitudes y argumentos una  lista  de</w:t>
        <w:br/>
        <w:t xml:space="preserve">    toda la descendencia de la presunta víctima y las supuestas afectaciones</w:t>
        <w:br/>
        <w:t xml:space="preserve">    emocionales que habrían podido sufrir,  sin  que  conste  que  ello  sea</w:t>
        <w:br/>
        <w:t xml:space="preserve">    directamente por la muerte de su abuelo ni que se haya  determinado  sus</w:t>
        <w:br/>
        <w:t xml:space="preserve">    condiciones emocionales por algún experto en la materia.</w:t>
        <w:br/>
        <w:br/>
        <w:br/>
        <w:t xml:space="preserve">      C.2. Consideraciones de la Corte</w:t>
        <w:br/>
        <w:br/>
        <w:t>La Corte recuerda que las presuntas víctimas deben estar señaladas en el</w:t>
        <w:br/>
        <w:t>Informe de Fondo de la Comisión, emitido según el artículo 50 de la</w:t>
        <w:br/>
        <w:t>Convención. El artículo 35.1 del Reglamento de la Corte dispone que el caso</w:t>
        <w:br/>
        <w:t>será sometido a la Corte mediante la presentación de dicho Informe, el cual</w:t>
        <w:br/>
        <w:t>deberá contener “la identificación de las presuntas víctimas”. De</w:t>
        <w:br/>
        <w:t>conformidad con dicha norma, corresponde a la Comisión y no a la Corte,</w:t>
        <w:br/>
        <w:t>identificar con precisión y en la debida oportunidad procesal a las</w:t>
        <w:br/>
        <w:t>presuntas víctimas en un caso ante la Corte[40]. La seguridad jurídica</w:t>
        <w:br/>
        <w:t>exige, como regla general, que todas las presuntas víctimas estén</w:t>
        <w:br/>
        <w:t>debidamente identificadas en el Informe de Fondo, no siendo posible añadir</w:t>
        <w:br/>
        <w:t>nuevas presuntas víctimas luego del mismo, salvo en la circunstancia</w:t>
        <w:br/>
        <w:t>excepcional contemplada en el artículo 35.2 del Reglamento de la Corte, la</w:t>
        <w:br/>
        <w:t>cual no aplica en el presente caso.</w:t>
        <w:br/>
        <w:br/>
        <w:t>En ese sentido, la Corte resalta que las representantes deben señalar a</w:t>
        <w:br/>
        <w:t>todas las presuntas víctimas durante el trámite ante la Comisión y evitar</w:t>
        <w:br/>
        <w:t>hacerlo con posterioridad a la emisión del Informe de Fondo al que se</w:t>
        <w:br/>
        <w:t>refiere el artículo 50 de la Convención. Esto, pues la Comisión al momento</w:t>
        <w:br/>
        <w:t>de emitir el referido informe debe contar con todos los elementos para la</w:t>
        <w:br/>
        <w:t>determinación de las cuestiones de hecho y de derecho del caso, inclusive a</w:t>
        <w:br/>
        <w:t>quienes debe considerarse como víctimas[41], lo que no ocurrió en el</w:t>
        <w:br/>
        <w:t>presente caso[42].</w:t>
        <w:br/>
        <w:br/>
        <w:t>En razón de lo anterior y en aplicación del artículo 35.1 de su Reglamento</w:t>
        <w:br/>
        <w:t>y de su jurisprudencia constante, la Corte declara que solamente</w:t>
        <w:br/>
        <w:t>considerará como presuntas víctimas y eventual beneficiarias de las</w:t>
        <w:br/>
        <w:t>reparaciones que correspondan, al señor A.A. y a su familia, las señoras y</w:t>
        <w:br/>
        <w:t>señores: C.A.; D.A., E.A., B.A., F.A. y G.A.; I.A., J.A., K.A., L.A., M.A.</w:t>
        <w:br/>
        <w:t>y N.A. (en adelante, “la familia A”), quienes fueron las personas</w:t>
        <w:br/>
        <w:t>identificadas como tales en el Informe de Fondo de la Comisión[43]. A su</w:t>
        <w:br/>
        <w:t>vez, si bien H.A. también fue identificada en el Informe de Fondo como</w:t>
        <w:br/>
        <w:t>presunta víctima, las representantes informaron que no desea “figurar como</w:t>
        <w:br/>
        <w:t>víctim[a] en el presente caso […]” (supra párr. 46). En razón de ello, la</w:t>
        <w:br/>
        <w:t>Corte no se pronunciará sobre las alegadas violaciones en su perjuicio.</w:t>
        <w:br/>
        <w:br/>
        <w:t>Por otro lado, la Corte observa que los demás argumentos presentados por el</w:t>
        <w:br/>
        <w:t>Estado (supra párr. 46) se relacionan con una cuestión de valoración de la</w:t>
        <w:br/>
        <w:t>prueba. Por ende, la Corte determinará lo que corresponda al respecto en</w:t>
        <w:br/>
        <w:t>los capítulos correspondientes, teniendo en cuenta las observaciones del</w:t>
        <w:br/>
        <w:t>Estado.</w:t>
        <w:br/>
        <w:br/>
        <w:br/>
        <w:t>VI</w:t>
        <w:br/>
        <w:t>PRUEBA</w:t>
        <w:br/>
        <w:br/>
        <w:t>Con base en lo establecido en los artículos 46, 47, 48, 50, 51, 57 y 58 del</w:t>
        <w:br/>
        <w:t>Reglamento, así como en su jurisprudencia respecto de la prueba y su</w:t>
        <w:br/>
        <w:t>apreciación[44], la Corte examinará y valorará los elementos probatorios</w:t>
        <w:br/>
        <w:t>documentales remitidos por las partes en diversas oportunidades procesales,</w:t>
        <w:br/>
        <w:t>las declaraciones, testimonios y dictámenes periciales rendidos mediante</w:t>
        <w:br/>
        <w:t>declaración jurada ante fedatario público (affidávit) y en la audiencia</w:t>
        <w:br/>
        <w:t>pública, así como las pruebas para mejor resolver solicitadas por la Corte.</w:t>
        <w:br/>
        <w:t>Para ello se atendrá a los principios de la sana crítica, dentro del marco</w:t>
        <w:br/>
        <w:t>normativo correspondiente[45].</w:t>
        <w:br/>
        <w:br/>
        <w:t>En cuanto a la recepción de la prueba, la Corte ha establecido que los</w:t>
        <w:br/>
        <w:t>procedimientos que se siguen ante ella no están sujetos a las mismas</w:t>
        <w:br/>
        <w:t>formalidades que las actuaciones judiciales internas, y que la</w:t>
        <w:br/>
        <w:t>incorporación de determinados elementos al acervo probatorio debe ser</w:t>
        <w:br/>
        <w:t>efectuada prestando particular atención a las circunstancias del caso</w:t>
        <w:br/>
        <w:t>concreto y teniendo presentes los límites que impone el respeto a la</w:t>
        <w:br/>
        <w:t>seguridad jurídica y al equilibrio procesal de las partes[46].</w:t>
        <w:br/>
        <w:br/>
        <w:br/>
        <w:t xml:space="preserve">        Prueba documental, testimonial y pericial</w:t>
        <w:br/>
        <w:br/>
        <w:br/>
        <w:t>13. La Corte recibió diversos documentos  presentados  como  prueba  por  la</w:t>
        <w:br/>
        <w:t xml:space="preserve">    Comisión y las partes, adjuntos a sus escritos principales (supra párrs.</w:t>
        <w:br/>
        <w:t xml:space="preserve">    1, 5 y 6). De igual forma, la Corte recibió de parte de  la  Comisión  y</w:t>
        <w:br/>
        <w:t xml:space="preserve">    las partes, documentos solicitados por la Corte como prueba  para  mejor</w:t>
        <w:br/>
        <w:t xml:space="preserve">    resolver (supra párr. 9). Además, la  Corte  recibió  las  declaraciones</w:t>
        <w:br/>
        <w:t xml:space="preserve">    rendidas ante fedatario público  (affidávit)  del  perito  Luis  Enrique</w:t>
        <w:br/>
        <w:t xml:space="preserve">    Eguren Fernández y de la declarante a  título  informativo  H.I.,  ambos</w:t>
        <w:br/>
        <w:t xml:space="preserve">    propuestos  por  las  representantes,  así  como  de  la  testigo  M.I.,</w:t>
        <w:br/>
        <w:t xml:space="preserve">    propuesta por el Estado. En cuanto a  la  prueba  rendida  en  audiencia</w:t>
        <w:br/>
        <w:t xml:space="preserve">    pública, la Corte escuchó las declaraciones de la señora B.A.,  presunta</w:t>
        <w:br/>
        <w:t xml:space="preserve">    víctima ofrecida por las representantes,  así  como  el  testimonio  del</w:t>
        <w:br/>
        <w:t xml:space="preserve">    señor E.M., ofrecido por el Estado, y el  dictamen  de  la  perita  Hina</w:t>
        <w:br/>
        <w:t xml:space="preserve">    Jilani, propuesta por la  Comisión[47].  Finalmente,  la  Corte  recibió</w:t>
        <w:br/>
        <w:t xml:space="preserve">    documentos presentados por las representantes, adjuntos a su escrito  de</w:t>
        <w:br/>
        <w:t xml:space="preserve">    alegatos finales escritos (supra párr. 10).</w:t>
        <w:br/>
        <w:br/>
        <w:br/>
        <w:t>Admisión de la prueba</w:t>
        <w:br/>
        <w:br/>
        <w:br/>
        <w:br/>
        <w:t xml:space="preserve">        B.1. Admisión de la prueba documental</w:t>
        <w:br/>
        <w:br/>
        <w:br/>
        <w:t>En el presente caso, como en otros, la Corte admite aquellos documentos</w:t>
        <w:br/>
        <w:t>presentados por las partes y la Comisión en la debida oportunidad procesal</w:t>
        <w:br/>
        <w:t>(supra párrs. 1, 5 y 6) que no fueron controvertidos ni objetados, ni cuya</w:t>
        <w:br/>
        <w:t>autenticidad fue puesta en duda[48]. Los documentos solicitados por la</w:t>
        <w:br/>
        <w:t>Corte que fueron aportados por las partes con posterioridad a la audiencia</w:t>
        <w:br/>
        <w:t>pública, son incorporados al acervo probatorio en aplicación del artículo</w:t>
        <w:br/>
        <w:t>58 del Reglamento.</w:t>
        <w:br/>
        <w:br/>
        <w:t>En cuanto a las notas de prensa presentadas por la Comisión[49] y las</w:t>
        <w:br/>
        <w:t>representantes[50], la Corte ha considerado que podrán ser apreciadas</w:t>
        <w:br/>
        <w:t>cuando recojan hechos públicos y notorios o declaraciones de funcionarios</w:t>
        <w:br/>
        <w:t>del Estado, o cuando corroboren aspectos relacionados con el caso, por lo</w:t>
        <w:br/>
        <w:t>que la Corte decide admitir los documentos que se encuentren completos o</w:t>
        <w:br/>
        <w:t>que, por lo menos, permitan constatar su fuente y fecha de publicación, y</w:t>
        <w:br/>
        <w:t>los valorará tomando en cuenta el conjunto del acervo probatorio, las</w:t>
        <w:br/>
        <w:t>observaciones de las partes y las reglas de la sana crítica[51].</w:t>
        <w:br/>
        <w:br/>
        <w:t>Igualmente, con respecto a algunos documentos señalados por las partes y la</w:t>
        <w:br/>
        <w:t>Comisión por medio de enlaces electrónicos, si una parte proporciona al</w:t>
        <w:br/>
        <w:t>menos el enlace electrónico directo del documento que cita como prueba y es</w:t>
        <w:br/>
        <w:t>posible acceder a éste hasta el momento de emisión de la Sentencia</w:t>
        <w:br/>
        <w:t>respectiva, no se ve afectada la seguridad jurídica ni el equilibrio</w:t>
        <w:br/>
        <w:t>procesal, porque es inmediatamente localizable por la Corte y por las otras</w:t>
        <w:br/>
        <w:t>partes[52].</w:t>
        <w:br/>
        <w:br/>
        <w:t>Con respecto a la oportunidad procesal para la presentación de prueba</w:t>
        <w:br/>
        <w:t>documental, de conformidad con el artículo 57.2 del Reglamento debe ser</w:t>
        <w:br/>
        <w:t>presentada, en general, junto con los escritos de sometimiento del caso, de</w:t>
        <w:br/>
        <w:t>solicitudes y argumentos o de contestación, según corresponda.</w:t>
        <w:br/>
        <w:br/>
        <w:t>Sin perjuicio de lo anterior, en el transcurso de la audiencia pública</w:t>
        <w:br/>
        <w:t>(supra párr. 8) la perita ofrecida por la Comisión Interamericana, Hina</w:t>
        <w:br/>
        <w:t>Jilani, presentó tres documentos[53] relacionados con su dictamen pericial.</w:t>
        <w:br/>
        <w:t>Por otra parte, las representantes remitieron diversos documentos con sus</w:t>
        <w:br/>
        <w:t>alegatos finales escritos. Copia de dichos documentos presentados por la</w:t>
        <w:br/>
        <w:t>perita Hina Jilani y las representantes fueron entregadas a las partes y a</w:t>
        <w:br/>
        <w:t>la Comisión, quienes contaron con la posibilidad de presentar sus</w:t>
        <w:br/>
        <w:t>observaciones[54]. Por considerarlos necesarios para la resolución del</w:t>
        <w:br/>
        <w:t>presente caso, la Corte procura de oficio, en los términos del artículo 58</w:t>
        <w:br/>
        <w:t>del Reglamento, los documentos aportados por la perita Jilani durante la</w:t>
        <w:br/>
        <w:t>audiencia pública, ya que sustentan su peritaje, así como algunos de los</w:t>
        <w:br/>
        <w:t>documentos presentados por las representantes que están dirigidos a</w:t>
        <w:br/>
        <w:t>controvertir un alegato del Estado presentado por primera vez durante la</w:t>
        <w:br/>
        <w:t>audiencia pública[55]. La Corte considerará, en lo pertinente, la</w:t>
        <w:br/>
        <w:t>información allí indicada teniendo en cuenta el conjunto del acervo</w:t>
        <w:br/>
        <w:t>probatorio, las observaciones de las partes y las reglas de la sana</w:t>
        <w:br/>
        <w:t>crítica.</w:t>
        <w:br/>
        <w:br/>
        <w:t>Además, la Corte observa que las representantes remitieron con sus alegatos</w:t>
        <w:br/>
        <w:t>finales escritos, comprobantes de gastos relacionados con el litigio del</w:t>
        <w:br/>
        <w:t>presente caso. Al respecto, solamente considerará aquellos que se refieran</w:t>
        <w:br/>
        <w:t>a solicitudes de costas y gastos en que hubiesen incurrido con</w:t>
        <w:br/>
        <w:t>posterioridad a la presentación del escrito de solicitudes y argumentos.</w:t>
        <w:br/>
        <w:br/>
        <w:t>Por otro lado, la Corte observa que el Estado objetó algunos documentos</w:t>
        <w:br/>
        <w:t>ofrecidos por la Comisión Interamericana junto con su escrito de</w:t>
        <w:br/>
        <w:t>sometimiento (supra párr. 1). En este sentido alegó “una serie de</w:t>
        <w:br/>
        <w:t>irregularidades que van desde documentos ilegibles e incompletos, pruebas</w:t>
        <w:br/>
        <w:t>inadmisibles y documentación abundante que no es parte de los hechos</w:t>
        <w:br/>
        <w:t>controvertidos y que tampoco sirve para ilustrar el contexto en que las</w:t>
        <w:br/>
        <w:t>víctimas aducen que sucedieron los hechos”. En particular, señaló que “las</w:t>
        <w:br/>
        <w:t>declaraciones testimoniales escritas presentadas por la C[omisión] carecen</w:t>
        <w:br/>
        <w:t>de validez en virtud que las mismas no fueron otorgadas ante fedatario</w:t>
        <w:br/>
        <w:t>público”[56]. Asimismo, objetó “una serie de documentos relacionados con el</w:t>
        <w:br/>
        <w:t>expediente […] dentro del cual se investiga la muerte de [A.A.]”, que se</w:t>
        <w:br/>
        <w:t>encontraban incompletos o ilegibles, o que presentaban inconsistencias.</w:t>
        <w:br/>
        <w:t>También objetó la presentación de “un peritaje psicosocial realizado por</w:t>
        <w:br/>
        <w:t>[H.M.]”, ya que en el mismo “no puede apreciarse el daño sufrido a la</w:t>
        <w:br/>
        <w:t>familia [A], en virtud que la perita se limita a realizar 22 entrevistas de</w:t>
        <w:br/>
        <w:t>entre una y dos horas cada una” al mismo número de personas[57].</w:t>
        <w:br/>
        <w:t>Finalmente, solicitó que no se otorgue valor probatorio a un DVD</w:t>
        <w:br/>
        <w:t>identificado como “Entrevistas [M.I.] 2009”, el cual forma parte del</w:t>
        <w:br/>
        <w:t>expediente ante la Comisión, ya que no fue utilizado en la elaboración del</w:t>
        <w:br/>
        <w:t>Informe de Fondo y no se encontraba en el listado de anexos presentado por</w:t>
        <w:br/>
        <w:t>aquélla.</w:t>
        <w:br/>
        <w:br/>
        <w:t>Igualmente, el Estado objetó diversas pruebas ofrecidas por las</w:t>
        <w:br/>
        <w:t>representantes junto a su escrito de solicitudes y argumentos, debido a que</w:t>
        <w:br/>
        <w:t>éstas se encontraban ilegibles o incompletas[58], o fueron citadas en los</w:t>
        <w:br/>
        <w:t>pies de página del referido escrito pero no fueron presentadas sino hasta</w:t>
        <w:br/>
        <w:t>luego de que la Secretaría solicitó aclaraciones al respecto[59]. También</w:t>
        <w:br/>
        <w:t>objetó la admisibilidad de los documentos presentados junto con las</w:t>
        <w:br/>
        <w:t>aclaraciones realizadas por las representantes a solicitud de la Corte, ya</w:t>
        <w:br/>
        <w:t>que dicho escrito fue remitido sin su hoja inicial. Según el Estado, las</w:t>
        <w:br/>
        <w:t>representantes intentaron remitir el mencionado escrito en su totalidad de</w:t>
        <w:br/>
        <w:t>manera extemporánea. Por otro lado, resaltó que las peticionarias no</w:t>
        <w:br/>
        <w:t>remitieron nuevamente las entrevistas de  F.A., I.A., D.A. y “X.A”.</w:t>
        <w:br/>
        <w:t>presentadas en formato DVD, pese a que se constató, mediante nota de</w:t>
        <w:br/>
        <w:t>Secretaría de 28 de febrero de 2013, que no había sido posible la</w:t>
        <w:br/>
        <w:t>reproducción de las mismas.</w:t>
        <w:br/>
        <w:br/>
        <w:t>Asimismo, el Estado objetó el Reglamento de Organización y Funcionamiento</w:t>
        <w:br/>
        <w:t>de la Fiscalía de Sección de Derechos Humanos aprobado con Acuerdo del</w:t>
        <w:br/>
        <w:t>Consejo del Ministerio Público 3-2005, alegando que éste no constituye “una</w:t>
        <w:br/>
        <w:t>prueba pertinente en el presente caso, […] en virtud de que no se indica</w:t>
        <w:br/>
        <w:t>qu[é] pretenden [las representantes] probar con ellos”. Por otra parte, el</w:t>
        <w:br/>
        <w:t>Estado objetó una serie de documentos debido a que éstos “no son oficiales”</w:t>
        <w:br/>
        <w:t>y no están firmados[60]. Adicionalmente, solicitó que no se le de valor</w:t>
        <w:br/>
        <w:t>probatorio a dos documentos que habrían sido elaborados por la organización</w:t>
        <w:br/>
        <w:t>UDEFEGUA, entre otras, o por la representante en el presente caso, Claudia</w:t>
        <w:br/>
        <w:t>Samayoa, “en calidad de Coordinadora de UDEFEGUA”[61], toda vez que podrían</w:t>
        <w:br/>
        <w:t>contener información parcializada.</w:t>
        <w:br/>
        <w:br/>
        <w:t>Seguidamente, el Estado objetó “las declaraciones testimoniales escritas” y</w:t>
        <w:br/>
        <w:t>“de DVD” de diversas personas presentadas por las representantes, algunas</w:t>
        <w:br/>
        <w:t>de las cuales también fueron presentadas por la Comisión (supra párr. 60),</w:t>
        <w:br/>
        <w:t>en virtud de que las mismas no fueron rendidas ante fedatario público y no</w:t>
        <w:br/>
        <w:t>consta ante quién se rindieron. Por último, Guatemala solicitó que se</w:t>
        <w:br/>
        <w:t>declare inadmisible el “peritaje sobre el expediente de investigación”</w:t>
        <w:br/>
        <w:t>realizado por los señores F.S. y Q.M., ya que dichas personas no estarían</w:t>
        <w:br/>
        <w:t>“calificadas para el efecto”. Asimismo, señaló que dichos “peritajes” no</w:t>
        <w:br/>
        <w:t>fueron rendidos ante fedatario público.</w:t>
        <w:br/>
        <w:br/>
        <w:t>En primer lugar, respecto a las objeciones del Estado de que algunos de los</w:t>
        <w:br/>
        <w:t>documentos de prueba presentados por la Comisión y las representantes se</w:t>
        <w:br/>
        <w:t>encuentran incompletos o ilegibles, o no fueron presentadas sino hasta</w:t>
        <w:br/>
        <w:t>luego de que la Secretaría solicitó aclaraciones al respecto (supra párrs.</w:t>
        <w:br/>
        <w:t>60 y 61), la Corte aclara que, de conformidad con el artículo 59 del</w:t>
        <w:br/>
        <w:t>Reglamento, al constatarse que la Comisión o alguna de las partes ha</w:t>
        <w:br/>
        <w:t>remitido algún elemento probatorio de forma incompleta o ininteligible, la</w:t>
        <w:br/>
        <w:t>Corte otorga un plazo para que la parte en cuestión o la Comisión</w:t>
        <w:br/>
        <w:t>Interamericana corrija dichos defectos o remita las aclaraciones</w:t>
        <w:br/>
        <w:t>pertinentes. Asimismo, el artículo 58 del Reglamento faculta a la Corte</w:t>
        <w:br/>
        <w:t>solicitar a las partes y a la Comisión, los elementos probatorios que</w:t>
        <w:br/>
        <w:t>considere útiles para la resolución del caso. De este modo, la Corte</w:t>
        <w:br/>
        <w:t>constata que mediante escritos de 26 de septiembre de 2012 y 28 de febrero</w:t>
        <w:br/>
        <w:t>de 2013 la Comisión y las representantes presentaron, respectivamente, las</w:t>
        <w:br/>
        <w:t>aclaraciones y documentos solicitados mediante las notas de Secretaría de</w:t>
        <w:br/>
        <w:t>19 de septiembre de 2012 y 18 de febrero de 2013. En consecuencia, las</w:t>
        <w:br/>
        <w:t>objeciones del Estado mencionadas son improcedentes, y los documentos</w:t>
        <w:br/>
        <w:t>señalados serán valorados dentro del contexto del acervo probatorio</w:t>
        <w:br/>
        <w:t>existente y según las reglas de la sana crítica. Asimismo, la Corte estima</w:t>
        <w:br/>
        <w:t>improcedente el alegato del Estado relativo a que los documentos</w:t>
        <w:br/>
        <w:t>presentados con las mencionadas aclaraciones de las representantes deben</w:t>
        <w:br/>
        <w:t>ser rechazados porque dicho escrito llegó sin su página inicial, dado que</w:t>
        <w:br/>
        <w:t>dichos documentos fueron recibidos dentro del plazo dispuesto para tal</w:t>
        <w:br/>
        <w:t>efecto, y si bien el escrito mediante el cual se remitieron los mismos fue</w:t>
        <w:br/>
        <w:t>recibido sin su página inicial, éste no constituye un motivo suficiente que</w:t>
        <w:br/>
        <w:t>afecte la admisibilidad de la prueba ofrecida.</w:t>
        <w:br/>
        <w:br/>
        <w:t>En segundo lugar, respecto a las declaraciones presentadas por la Comisión</w:t>
        <w:br/>
        <w:t>y las representantes de forma escrita o en formato DVD que no fueron</w:t>
        <w:br/>
        <w:t>rendidas ante fedatario público (supra párrs. 60 y 61), así como el</w:t>
        <w:br/>
        <w:t>“peritaje psicosocial” de la psicóloga H.M. (supra párr. 60) y el “peritaje</w:t>
        <w:br/>
        <w:t>sobre la investigación” desarrollado por el señor F.S. y la señora Q.M.</w:t>
        <w:br/>
        <w:t>(supra párr. 63), los cuales tampoco fueron rendidos ante fedatario</w:t>
        <w:br/>
        <w:t>público, la Corte aclara que los mismos únicamente tendrán carácter de</w:t>
        <w:br/>
        <w:t>prueba documental[62]. Respecto del disco identificado como “Entrevistas</w:t>
        <w:br/>
        <w:t>[M.I.] 2009”, la Corte constata que éste forma parte del expediente ante la</w:t>
        <w:br/>
        <w:t>Comisión, el cual fue sometido a la Corte e incorporado al expediente de</w:t>
        <w:br/>
        <w:t>conformidad con el artículo 35.d del Reglamento. De esa manera, dichas</w:t>
        <w:br/>
        <w:t>pruebas serán valoradas dentro del contexto del acervo probatorio existente</w:t>
        <w:br/>
        <w:t>y según las reglas de la sana crítica. Sin perjuicio de lo anterior, la</w:t>
        <w:br/>
        <w:t>Corte constata que las representantes no presentaron nuevamente las</w:t>
        <w:br/>
        <w:t>declaraciones en formato DVD de los señores F.A., I.A., D.A. y “X.A.”, pese</w:t>
        <w:br/>
        <w:t>a que fueron informadas, mediante nota de Secretaría de 28 de febrero de</w:t>
        <w:br/>
        <w:t>2013, que no fue posible su reproducción (supra párr.61).</w:t>
        <w:br/>
        <w:br/>
        <w:t>Por último, en cuanto a las objeciones del Estado a determinadas pruebas</w:t>
        <w:br/>
        <w:t>que “no son oficiales”, no están firmadas, que habrían sido elaboradas por</w:t>
        <w:br/>
        <w:t>UDEFEGUA o por la señora Claudia Samayoa, representante de las presuntas</w:t>
        <w:br/>
        <w:t>víctimas en el presente caso, o bien, respecto de las cuales no se habría</w:t>
        <w:br/>
        <w:t>indicado qué se pretende probar con las mismas, la Corte considera que lo</w:t>
        <w:br/>
        <w:t>planteado por el Estado tiene relación con el peso y alcances probatorios</w:t>
        <w:br/>
        <w:t>de las mismas, pero no afecta su admisibilidad como parte del acervo</w:t>
        <w:br/>
        <w:t>probatorio. De este modo, la Corte estima procedente admitir aquellos</w:t>
        <w:br/>
        <w:t>documentos que son relevantes para el examen del presente caso, los cuales</w:t>
        <w:br/>
        <w:t>serán valorados dentro del contexto del acervo probatorio y tomando en</w:t>
        <w:br/>
        <w:t>cuenta dichas observaciones, así como las reglas de la sana crítica.</w:t>
        <w:br/>
        <w:br/>
        <w:br/>
        <w:t xml:space="preserve">        B.2. Admisión de la prueba testimonial y pericial</w:t>
        <w:br/>
        <w:br/>
        <w:t>La Corte observa que, en sus alegatos finales escritos, el Estado se opuso</w:t>
        <w:br/>
        <w:t>a que se admita “la intervención” de H.I. como perito o declarante a título</w:t>
        <w:br/>
        <w:t>informativo, ya que ésta “carece[ría] de objetividad e imparcialidad en</w:t>
        <w:br/>
        <w:t>razón que […] forma parte de la Junta Directiva de la Unidad de Protección</w:t>
        <w:br/>
        <w:t>a Defensores y Defensoras de Derechos Humanos de Guatemala [UDEFEGUA]”.</w:t>
        <w:br/>
        <w:t>También se opuso a que se acepte el peritaje del señor Luis Enrique Eguren,</w:t>
        <w:br/>
        <w:t>ya que éste manifestó que desde el año 2000 “ha mantenido una relación</w:t>
        <w:br/>
        <w:t>profesional [con Claudia Samayoa] por el tema que los une, […] la</w:t>
        <w:br/>
        <w:t>protección de defensores de derechos humanos” y esto, según el Estado,</w:t>
        <w:br/>
        <w:t>“comprueba que el relacionado perito ha mantenido y mantiene relación de</w:t>
        <w:br/>
        <w:t>estrecha amistad y afinidad con la parte reclamante, razón por la cual</w:t>
        <w:br/>
        <w:t>peritaje […] carece de objetividad e idoneidad”. Por otro lado, realizó</w:t>
        <w:br/>
        <w:t>diversas observaciones respecto de la pertinencia, alcance, veracidad y</w:t>
        <w:br/>
        <w:t>credibilidad de las declaraciones y dictámenes rendidos en la audiencia</w:t>
        <w:br/>
        <w:t>celebrada en el presente caso y mediante affidávit de B.A.,  E.M., Hina</w:t>
        <w:br/>
        <w:t>Jilani, H.I. y Luis Enrique Eguren Fernández.</w:t>
        <w:br/>
        <w:br/>
        <w:t>Al respecto, la Corte constata que, en su escrito de contestación, el</w:t>
        <w:br/>
        <w:t>Estado ya había objetado que la señora H.I. rindiera un peritaje por los</w:t>
        <w:br/>
        <w:t>motivos señalados (supra párr. 6). La Corte ratifica lo resuelto en la</w:t>
        <w:br/>
        <w:t>Resolución de 20 de diciembre de 2013 emitida por el Presidente de la</w:t>
        <w:br/>
        <w:t>Corte, en el sentido que, “a la luz de las particularidades de la prueba</w:t>
        <w:br/>
        <w:t>propuesta, [se] estima pertinente que [ésta] sea aportada al proceso pero</w:t>
        <w:br/>
        <w:t>no como prueba pericial sino como declaración a título informativo”[63].</w:t>
        <w:br/>
        <w:t>Dicha prueba será valorada tomando en cuenta las observaciones del Estado,</w:t>
        <w:br/>
        <w:t>así como el acervo probatorio y las reglas de la sana crítica.</w:t>
        <w:br/>
        <w:br/>
        <w:t>Por lo que respecta a los alegatos del Estado relacionados con el peritaje</w:t>
        <w:br/>
        <w:t>de Luis Enrique Eguren, así como sus demás observaciones en relación a las</w:t>
        <w:br/>
        <w:t>declaraciones y pericias rendidas en la audiencia pública y mediante</w:t>
        <w:br/>
        <w:t>affidávit, la Corte considera que lo planteado por el Estado tiene relación</w:t>
        <w:br/>
        <w:t>con el peso y alcances probatorios de las mismas, pero no afecta su</w:t>
        <w:br/>
        <w:t>admisibilidad. En virtud de lo anterior, éstas serán valorados dentro del</w:t>
        <w:br/>
        <w:t>contexto del acervo probatorio y tomando en cuenta dichas observaciones,</w:t>
        <w:br/>
        <w:t>así como las reglas de la sana crítica.</w:t>
        <w:br/>
        <w:br/>
        <w:t>La Corte estima pertinentes las declaraciones de la presunta víctima, los</w:t>
        <w:br/>
        <w:t>testigos, los peritos y la declarante a título informativo, rendidas</w:t>
        <w:br/>
        <w:t>durante la audiencia pública y mediante affidávit, sólo en lo que se</w:t>
        <w:br/>
        <w:t>ajusten al objeto que fue definido por el Presidente de la Corte en la</w:t>
        <w:br/>
        <w:t>Resolución mediante la cual ordenó recibirlas (supra párr. 8). Asimismo,</w:t>
        <w:br/>
        <w:t>conforme a la jurisprudencia de la Corte, las declaraciones rendidas por</w:t>
        <w:br/>
        <w:t>las presuntas víctimas no pueden ser valoradas aisladamente sino dentro del</w:t>
        <w:br/>
        <w:t>conjunto de las pruebas del proceso, ya que son útiles en la medida en que</w:t>
        <w:br/>
        <w:t>pueden proporcionar mayor información sobre las presuntas violaciones y sus</w:t>
        <w:br/>
        <w:t>consecuencias[64].</w:t>
        <w:br/>
        <w:br/>
        <w:br/>
        <w:br/>
        <w:br/>
        <w:br/>
        <w:t>VII</w:t>
        <w:br/>
        <w:t>HECHOS</w:t>
        <w:br/>
        <w:br/>
        <w:t>En este capítulo se establecerán los hechos del presente caso, con base en</w:t>
        <w:br/>
        <w:t>el marco fáctico sometido a conocimiento de la Corte por la Comisión,</w:t>
        <w:br/>
        <w:t>tomando en consideración el acervo probatorio del caso, así como el escrito</w:t>
        <w:br/>
        <w:t>de solicitudes y argumentos de las representantes y lo alegado por el</w:t>
        <w:br/>
        <w:t>Estado. La Corte se referirá a dichos hechos en el siguiente orden:</w:t>
        <w:br/>
        <w:br/>
        <w:t>a) El contexto pertinente para el caso, comprendiendo:</w:t>
        <w:br/>
        <w:br/>
        <w:t xml:space="preserve">                         i. Vulnerabilidad de los defensores y defensoras</w:t>
        <w:br/>
        <w:t xml:space="preserve">                            de derechos humanos;</w:t>
        <w:br/>
        <w:br/>
        <w:t xml:space="preserve">    ii. Situación en Santa Lucía Cotzumalguapa, Escuintla;</w:t>
        <w:br/>
        <w:br/>
        <w:t>b) Vida y labores anteriores de A.A. y B.A.;</w:t>
        <w:br/>
        <w:br/>
        <w:t xml:space="preserve">    i.      Vida y labor de A.A.</w:t>
        <w:br/>
        <w:br/>
        <w:t xml:space="preserve">    ii.     Labor de B.A.</w:t>
        <w:br/>
        <w:br/>
        <w:t>c) Los hechos del caso:</w:t>
        <w:br/>
        <w:br/>
        <w:t xml:space="preserve">                         i. Hechos anteriores a la muerte de A.A.;</w:t>
        <w:br/>
        <w:br/>
        <w:t xml:space="preserve">                        ii. La muerte del señor A.A.;</w:t>
        <w:br/>
        <w:br/>
        <w:t xml:space="preserve">                       iii. Hechos posteriores a la muerte de A.A.;</w:t>
        <w:br/>
        <w:br/>
        <w:t>d) Las investigaciones:</w:t>
        <w:br/>
        <w:br/>
        <w:t xml:space="preserve">                         i. Investigaciones relacionadas con la muerte de</w:t>
        <w:br/>
        <w:t xml:space="preserve">                            A.A.;</w:t>
        <w:br/>
        <w:br/>
        <w:t xml:space="preserve">                        ii. Investigación en torno al alegato de</w:t>
        <w:br/>
        <w:t xml:space="preserve">                            hostigamiento contra B.A.</w:t>
        <w:br/>
        <w:br/>
        <w:br/>
        <w:br/>
        <w:t xml:space="preserve">      Contexto pertinente para el caso</w:t>
        <w:br/>
        <w:br/>
        <w:br/>
        <w:t xml:space="preserve">      A.1. Vulnerabilidad de los defensores y defensoras de derechos humanos</w:t>
        <w:br/>
        <w:br/>
        <w:br/>
        <w:br/>
        <w:t>La Comisión y las representantes sostuvieron que los hechos del presente</w:t>
        <w:br/>
        <w:t>caso se enmarcan dentro de un contexto de amenazas y agresiones en contra</w:t>
        <w:br/>
        <w:t>de defensoras y defensores de derechos humanos en Guatemala. El Estado</w:t>
        <w:br/>
        <w:t>controvirtió estas aseveraciones, cuestionando la confiabilidad e</w:t>
        <w:br/>
        <w:t>imparcialidad de las fuentes en las que se basaron, las cuales, según el</w:t>
        <w:br/>
        <w:t>Estado, fueron elaboradas por las propias representantes y no constituyen</w:t>
        <w:br/>
        <w:t>“prueba específica para poder determinar la existencia de un supuesto</w:t>
        <w:br/>
        <w:t>patrón sistemático”. Adicionalmente, refirió que “[el] marco de supuestas</w:t>
        <w:br/>
        <w:t>agresiones continuas derivadas del enfrentamiento armado interno finalizó</w:t>
        <w:br/>
        <w:t>años antes del hecho de la muerte del señor [A.A.]”.</w:t>
        <w:br/>
        <w:br/>
        <w:t>La Corte recuerda que, en el ejercicio de su jurisdicción contenciosa, ha</w:t>
        <w:br/>
        <w:t>conocido de diversos contextos históricos, sociales y políticos que</w:t>
        <w:br/>
        <w:t>permitieron situar los hechos alegados como violatorios de la Convención</w:t>
        <w:br/>
        <w:t>Americana en el marco de las circunstancias específicas en que ocurrieron.</w:t>
        <w:br/>
        <w:t>En algunos casos el contexto se tomó en cuenta para la determinación de la</w:t>
        <w:br/>
        <w:t>responsabilidad internacional del Estado[65]. Para la Corte resulta</w:t>
        <w:br/>
        <w:t>relevante la consideración de un marco contextual que permita una mayor</w:t>
        <w:br/>
        <w:t>comprensión y valoración de la prueba y los alegatos a fin de evaluar la</w:t>
        <w:br/>
        <w:t>posible responsabilidad estatal en el presente caso. En vista de lo</w:t>
        <w:br/>
        <w:t>anterior, la Corte establecerá si en el momento en que ocurrieron los</w:t>
        <w:br/>
        <w:t>hechos existió un contexto particular de vulneración a los derechos de los</w:t>
        <w:br/>
        <w:t>defensores y las defensoras de derechos humanos en Guatemala.</w:t>
        <w:br/>
        <w:br/>
        <w:t>Entre 1962 y 1996, tuvo lugar en Guatemala un conflicto armado interno que</w:t>
        <w:br/>
        <w:t>provocó grandes costos humanos, materiales, institucionales y morales[66].</w:t>
        <w:br/>
        <w:t>De acuerdo a la Comisión de Esclarecimiento Histórico (CEH), “[d]urante</w:t>
        <w:br/>
        <w:t>gran parte del enfrentamiento armado interno, los intentos de formar</w:t>
        <w:br/>
        <w:t>organizaciones de defensa de los derechos humanos tuvieron como resultado</w:t>
        <w:br/>
        <w:t>la eliminación de sus dirigentes. En los años ochenta la aparición de</w:t>
        <w:br/>
        <w:t>nuevos grupos de defensores en diversas áreas fue recibida por el Estado</w:t>
        <w:br/>
        <w:t>con una intensa acción represiva, que dio lugar al asesinato o la</w:t>
        <w:br/>
        <w:t>desaparición de muchos de sus miembros. Las campañas dirigidas a</w:t>
        <w:br/>
        <w:t>desacreditar a este tipo de organizaciones, presentándolas como</w:t>
        <w:br/>
        <w:t>‘subversivas’, fue una de las constantes de la represión”[67].</w:t>
        <w:br/>
        <w:br/>
        <w:t>En el marco de los acuerdos suscritos entre el Gobierno de Guatemala y la</w:t>
        <w:br/>
        <w:t>Unidad Revolucionaria Nacional Guatemalteca (en adelante “URNG”)[68] para</w:t>
        <w:br/>
        <w:t>alcanzar una solución negociada a este conflicto, el 29 de marzo de 1994 se</w:t>
        <w:br/>
        <w:t>firmó el “Acuerdo Global sobre Derechos Humanos”, mediante el cual las</w:t>
        <w:br/>
        <w:t>partes reconocieron “la importancia de las instituciones y entidades</w:t>
        <w:br/>
        <w:t>nacionales de protección y promoción de los derechos humanos, así como la</w:t>
        <w:br/>
        <w:t>conveniencia de fortalecerlas y consolidarlas” y “coincid[ieron] en que</w:t>
        <w:br/>
        <w:t>todos los actos que puedan afectar las garantías de aquellos individuos o</w:t>
        <w:br/>
        <w:t>entidades que trabajan en la promoción y tutela de los derechos humanos,</w:t>
        <w:br/>
        <w:t>son condenables”. El Estado se comprometió a tomar “medidas especiales de</w:t>
        <w:br/>
        <w:t>protección, en beneficio de aquellas personas o entidades que trabajan en</w:t>
        <w:br/>
        <w:t>el campo de los derechos humanos. Asimismo, [se comprometió a] investiga[r]</w:t>
        <w:br/>
        <w:t>oportuna y exhaustivamente las denuncias que se le present[aran], relativas</w:t>
        <w:br/>
        <w:t>a actos o amenazas que los pudieren afectar”, y reiteró “el compromiso de</w:t>
        <w:br/>
        <w:t>garantizar y proteger en forma eficaz la labor de los individuos y</w:t>
        <w:br/>
        <w:t>entidades defensoras de los derechos humanos”[69].</w:t>
        <w:br/>
        <w:br/>
        <w:t>No obstante, en años posteriores volvieron a producirse numerosos actos de</w:t>
        <w:br/>
        <w:t>hostigamiento y agresión en contra de defensoras y defensores de derechos</w:t>
        <w:br/>
        <w:t>humanos, como lo constataron numerosos informes de diversas fuentes:</w:t>
        <w:br/>
        <w:br/>
        <w:t>e) La Comisión Interamericana de Derechos Humanos señaló en 2001 que si</w:t>
        <w:br/>
        <w:t xml:space="preserve">   bien las agresiones en contra de defensoras y defensores de derechos</w:t>
        <w:br/>
        <w:t xml:space="preserve">   humanos disminuyeron sustancialmente en el período previo a la firma de</w:t>
        <w:br/>
        <w:t xml:space="preserve">   la paz, empezaron a incrementarse de nuevo al año siguiente de su firma,</w:t>
        <w:br/>
        <w:t xml:space="preserve">   aumentando sostenidamente desde ese entonces[70]. Y en 2003, la Comisión</w:t>
        <w:br/>
        <w:t xml:space="preserve">   constató “un progresivo deterioro en la situación de los activistas de</w:t>
        <w:br/>
        <w:t xml:space="preserve">   derechos humanos en Guatemala, [... así como] un aumento significativo de</w:t>
        <w:br/>
        <w:t xml:space="preserve">   ataques, que directa o indirectamente, imp[edían] o dificulta[ban] las</w:t>
        <w:br/>
        <w:t xml:space="preserve">   tareas de los defensores de derechos humanos”. Los principales blancos de</w:t>
        <w:br/>
        <w:t xml:space="preserve">   esos ataques eran, por un lado, quienes realizaban investigaciones</w:t>
        <w:br/>
        <w:t xml:space="preserve">   relacionadas con las violaciones de derechos humanos ocurridas durante el</w:t>
        <w:br/>
        <w:t xml:space="preserve">   conflicto armado (comprendiendo a las propias víctimas, testigos,</w:t>
        <w:br/>
        <w:t xml:space="preserve">   abogados, activistas de derechos humanos y expertos forenses), y por</w:t>
        <w:br/>
        <w:t xml:space="preserve">   otro, quienes participaban en la promoción de derechos económicos,</w:t>
        <w:br/>
        <w:t xml:space="preserve">   sociales y culturales y de los derechos de los pueblos indígenas y</w:t>
        <w:br/>
        <w:t xml:space="preserve">   ecologistas[71]. Esas actividades comprendían llamadas telefónicas,</w:t>
        <w:br/>
        <w:t xml:space="preserve">   vigilancias y seguimiento o espionaje, y como método más frecuente “la</w:t>
        <w:br/>
        <w:t xml:space="preserve">   amenaza por escrito, por vía telefónica o electrónica, o a través de</w:t>
        <w:br/>
        <w:t xml:space="preserve">   terceros”, así como “el entorpecimiento de las acciones de los</w:t>
        <w:br/>
        <w:t xml:space="preserve">   defensores” y “el amedrentamiento […] a través del ataque a la vida e</w:t>
        <w:br/>
        <w:t xml:space="preserve">   integridad física del defensor”. Según la Comisión, “ha[bía] un nexo</w:t>
        <w:br/>
        <w:t xml:space="preserve">   evidente entre la impunidad imperante en el país y la situación de</w:t>
        <w:br/>
        <w:t xml:space="preserve">   vulnerabilidad de los defensores” y, en cuanto a la autoría de esos</w:t>
        <w:br/>
        <w:t xml:space="preserve">   hechos, existía un consenso generalizado, reconocido incluso por el</w:t>
        <w:br/>
        <w:t xml:space="preserve">   Gobierno, en el sentido de que el incremento de tales hechos estaba</w:t>
        <w:br/>
        <w:t xml:space="preserve">   asociado a la existencia y funcionamiento de cuerpos ilegales y aparatos</w:t>
        <w:br/>
        <w:t xml:space="preserve">   clandestinos de seguridad, que tenían conexiones con el crimen organizado</w:t>
        <w:br/>
        <w:t xml:space="preserve">   y con agentes y estructuras del Estado, particularmente con los servicios</w:t>
        <w:br/>
        <w:t xml:space="preserve">   de inteligencia militar[72]. En 2004, la Comisión señaló que la cantidad</w:t>
        <w:br/>
        <w:t xml:space="preserve">   de actos de la índole indicada había aumentado en los años anteriores y</w:t>
        <w:br/>
        <w:t xml:space="preserve">   formaba parte de un “patrón de intimidación hacia los defensores de</w:t>
        <w:br/>
        <w:t xml:space="preserve">   derechos humanos”, el cual tenía como propósito “impedir que la actuación</w:t>
        <w:br/>
        <w:t xml:space="preserve">   del Poder Judicial [fuera] efectiva en casos sobre violaciones de</w:t>
        <w:br/>
        <w:t xml:space="preserve">   derechos humanos cometidas durante el conflicto armado”[73].</w:t>
        <w:br/>
        <w:br/>
        <w:t>f) La Representante Especial del Secretario General de las Naciones Unidas</w:t>
        <w:br/>
        <w:t xml:space="preserve">   sobre la situación de los defensores de los derechos humanos, Hina</w:t>
        <w:br/>
        <w:t xml:space="preserve">   Jilani, emitió en 2002 un informe sobre su misión a Guatemala, en el cual</w:t>
        <w:br/>
        <w:t xml:space="preserve">   observó “un aumento de los casos de ataques contra defensores de derechos</w:t>
        <w:br/>
        <w:t xml:space="preserve">   humanos” en los años 2000 a 2002, e indicó que entre dichos ataques se</w:t>
        <w:br/>
        <w:t xml:space="preserve">   encontraban “amenazas de muerte, actos de intimidación, violaciones de la</w:t>
        <w:br/>
        <w:t xml:space="preserve">   integridad física (con inclusión de palizas y secuestros) y violaciones</w:t>
        <w:br/>
        <w:t xml:space="preserve">   del derecho a la vida, actos que en algunos casos se relacionan con</w:t>
        <w:br/>
        <w:t xml:space="preserve">   acontecimientos concretos de orden político o de otra índole”. Coincidió</w:t>
        <w:br/>
        <w:t xml:space="preserve">   con la Comisión en cuanto a quiénes eran los principales blancos de esos</w:t>
        <w:br/>
        <w:t xml:space="preserve">   ataques y, en cuanto a los autores de las mencionadas violaciones, que</w:t>
        <w:br/>
        <w:t xml:space="preserve">   eran “principalmente miembros de las fuerzas policiales y militares, que</w:t>
        <w:br/>
        <w:t xml:space="preserve">   s[eguían] desempeñando tareas ajenas a la competencia de esas</w:t>
        <w:br/>
        <w:t xml:space="preserve">   instituciones en una sociedad democrática, así como grupos clandestinos</w:t>
        <w:br/>
        <w:t xml:space="preserve">   vinculados a las fuerzas de seguridad”. Coincidió asimismo en que existía</w:t>
        <w:br/>
        <w:t xml:space="preserve">   “un nexo evidente entre [la] impunidad y la situación precaria de los</w:t>
        <w:br/>
        <w:t xml:space="preserve">   defensores de los derechos humanos en el país” y concluyó que había “un</w:t>
        <w:br/>
        <w:t xml:space="preserve">   claro debilitamiento del Gobierno de alcanzar los objetivos establecidos</w:t>
        <w:br/>
        <w:t xml:space="preserve">   en el Acuerdo global sobre derechos humanos y en los componentes de</w:t>
        <w:br/>
        <w:t xml:space="preserve">   derechos humanos de los acuerdos de paz”[74].</w:t>
        <w:br/>
        <w:br/>
        <w:t>g) La Misión de Verificación de las Naciones Unidas en Guatemala (en</w:t>
        <w:br/>
        <w:t xml:space="preserve">   adelante “MINUGUA” o “la Misión”), en su Informe Final de 15 de noviembre</w:t>
        <w:br/>
        <w:t xml:space="preserve">   de 2004 indicó que, desde 1994 a 2004, “[d]e manera permanente [recibió]</w:t>
        <w:br/>
        <w:t xml:space="preserve">   denuncias contra el derecho a la integridad, bajo la modalidad de</w:t>
        <w:br/>
        <w:t xml:space="preserve">   amenazas de muerte y otras amenazas contra defensores de derechos</w:t>
        <w:br/>
        <w:t xml:space="preserve">   humanos”. Dichos ataques se habían ensañado “contra instituciones</w:t>
        <w:br/>
        <w:t xml:space="preserve">   oficiales como la Procuraduría de los Derechos Humanos”, pero “la</w:t>
        <w:br/>
        <w:t xml:space="preserve">   frecuencia más alta de ataques” se registraba contra “las organizaciones</w:t>
        <w:br/>
        <w:t xml:space="preserve">   no gubernamentales de derechos humanos”. Por último, destacó que, “[p]ese</w:t>
        <w:br/>
        <w:t xml:space="preserve">   a la evidente dificultad que entraña la verificación de estructuras</w:t>
        <w:br/>
        <w:t xml:space="preserve">   clandestinas, la Misión” había logrado “acreditar la participación de</w:t>
        <w:br/>
        <w:t xml:space="preserve">   estos grupos ilegales en casos de amenazas e intimidaciones a defensores</w:t>
        <w:br/>
        <w:t xml:space="preserve">   de derechos humanos, en violaciones al derecho a la vida e inclusive en</w:t>
        <w:br/>
        <w:t xml:space="preserve">   acciones destinadas a obstaculizar la acción de la justicia”. Concluyó</w:t>
        <w:br/>
        <w:t xml:space="preserve">   que esos cuerpos clandestinos contaban con un “amplio apoyo logístico”</w:t>
        <w:br/>
        <w:t xml:space="preserve">   que les permitía, entre otras cosas, “utilizar recursos estatales</w:t>
        <w:br/>
        <w:t xml:space="preserve">   […]”[75].</w:t>
        <w:br/>
        <w:br/>
        <w:t>h) La Unidad de Defensores del Movimiento Nacional por los Derechos Humanos</w:t>
        <w:br/>
        <w:t xml:space="preserve">   y la Coalición para la CICIACS, en informes de 2003 y 2004, aseguraron</w:t>
        <w:br/>
        <w:t xml:space="preserve">   que se había presentado un agravamiento de las violaciones de derechos</w:t>
        <w:br/>
        <w:t xml:space="preserve">   humanos durante los tres años anteriores a 2003. Destacaron que se había</w:t>
        <w:br/>
        <w:t xml:space="preserve">   deteriorado el derecho a defender derechos, situación en la que los</w:t>
        <w:br/>
        <w:t xml:space="preserve">   defensores que trabajaban en torno a la verdad, la justicia y la memoria</w:t>
        <w:br/>
        <w:t xml:space="preserve">   histórica habrían sido los más afectados. En cuanto a los autores de</w:t>
        <w:br/>
        <w:t xml:space="preserve">   estos hechos, habían podido “identificar elementos propios de operaciones</w:t>
        <w:br/>
        <w:t xml:space="preserve">   de inteligencia militar”. Además, señalaron que, “de mantenerse las</w:t>
        <w:br/>
        <w:t xml:space="preserve">   condiciones actuales en materia de impunidad”, la tendencia comprobada</w:t>
        <w:br/>
        <w:t xml:space="preserve">   parecía “no tener reversión”[76]. En el informe de 2004 señalaron que</w:t>
        <w:br/>
        <w:t xml:space="preserve">   “los grupos más atacados [eran] los defensores que trabajan en torno a la</w:t>
        <w:br/>
        <w:t xml:space="preserve">   justicia, la verdad, los acompañantes, los sindicalistas y los</w:t>
        <w:br/>
        <w:t xml:space="preserve">   periodistas que cubr[ía]n temáticas sobre corrupción”[77].</w:t>
        <w:br/>
        <w:br/>
        <w:t>i) El Relator Especial de las Naciones Unidas sobre las ejecuciones</w:t>
        <w:br/>
        <w:t xml:space="preserve">   extrajudiciales, sumarias o arbitrarias, Philip Alston, en el informe</w:t>
        <w:br/>
        <w:t xml:space="preserve">   sobre su misión a Guatemala en 2006[78], calificó la situación de los</w:t>
        <w:br/>
        <w:t xml:space="preserve">   defensores de derechos humanos como “reveladora de los problemas</w:t>
        <w:br/>
        <w:t xml:space="preserve">   generales de derechos humanos del país”. Hechos como las amenazas de</w:t>
        <w:br/>
        <w:t xml:space="preserve">   muerte y los asesinatos de defensores de derechos humanos eran de una</w:t>
        <w:br/>
        <w:t xml:space="preserve">   “frecuencia alarmante”, y los defensores más frecuentemente asesinados</w:t>
        <w:br/>
        <w:t xml:space="preserve">   eran los que promovían los derechos económicos, sociales o culturales y</w:t>
        <w:br/>
        <w:t xml:space="preserve">   los que perseguían “la verdad y la justicia en relación con las</w:t>
        <w:br/>
        <w:t xml:space="preserve">   violaciones de los derechos humanos cometidos durante el conflicto armado</w:t>
        <w:br/>
        <w:t xml:space="preserve">   interno”. Manifestó que eran pocos los ataques investigados y aún menos</w:t>
        <w:br/>
        <w:t xml:space="preserve">   los que daban lugar a condenas, teniendo como resultado un aumento en los</w:t>
        <w:br/>
        <w:t xml:space="preserve">   asesinatos “en gran parte debido a que no se ha investigado ni castigado</w:t>
        <w:br/>
        <w:t xml:space="preserve">   a sus autores”[79].</w:t>
        <w:br/>
        <w:br/>
        <w:t>Ahora bien, en sus alegatos, el Estado señaló de forma general que las</w:t>
        <w:br/>
        <w:t>fuentes con las que se pretende demostrar el contexto de agresiones contra</w:t>
        <w:br/>
        <w:t>defensores y defensoras de derechos humanos carecen de objetividad e</w:t>
        <w:br/>
        <w:t>imparcialidad por haber sido elaboras por las representantes. Al respecto,</w:t>
        <w:br/>
        <w:t>la Corte observa que el informe de 2003 de la Unidad de Defensores del</w:t>
        <w:br/>
        <w:t>Movimiento Nacional por los Derechos Humanos y la Coalición para la CICIACS</w:t>
        <w:br/>
        <w:t>(supra párr. 76.d) señala a Claudia Samayoa, representante en el presente</w:t>
        <w:br/>
        <w:t>caso, como autora. No obstante, el mencionado Movimiento Nacional por los</w:t>
        <w:br/>
        <w:t>Derechos Humanos se conforma, según la perita Hina Jilani, de “las</w:t>
        <w:br/>
        <w:t>principales organizaciones de derechos humanos” en Guatemala[80], y la</w:t>
        <w:br/>
        <w:t>Coalición para la CICIACS incluye las siguientes organizaciones: Centro de</w:t>
        <w:br/>
        <w:t>Acción Legal en Derechos Humanos; Centro Internacional para Investigaciones</w:t>
        <w:br/>
        <w:t>en Derechos Humanos; el Grupo de Apoyo Mutuo; la Fundación Myrna Mack; la</w:t>
        <w:br/>
        <w:t>Fundación Rigoberta Menchú Tum; el Instituto de Estudios Comparados en</w:t>
        <w:br/>
        <w:t>Ciencias Penales de Guatemala; la Oficina de Derechos Humanos del</w:t>
        <w:br/>
        <w:t>Arzobispado de Guatemala, y Seguridad en Democracia (SEDEM)[81]. De este</w:t>
        <w:br/>
        <w:t>modo, el mencionado informe de 2003, así como aquél emitido por dichas</w:t>
        <w:br/>
        <w:t>organizaciones en el año 2004, cuentan con el apoyo de un amplio sector de</w:t>
        <w:br/>
        <w:t>la sociedad civil guatemalteca. Por otro lado, los demás elementos</w:t>
        <w:br/>
        <w:t>probatorios que obran en el expediente relativos al contexto del caso</w:t>
        <w:br/>
        <w:t>fueron emitidos por organismos internacionales. Asimismo, el Tribunal nota</w:t>
        <w:br/>
        <w:t>que el Estado no remitió pruebas que controvirtieran la veracidad de dichos</w:t>
        <w:br/>
        <w:t>documentos o que sustenten su aseveración de que las agresiones hacia</w:t>
        <w:br/>
        <w:t>defensores de derechos humanos cesaron con anterioridad a los hechos del</w:t>
        <w:br/>
        <w:t>presente caso. Por lo tanto, la Corte considera improcedente los alegatos</w:t>
        <w:br/>
        <w:t>del Estado.</w:t>
        <w:br/>
        <w:br/>
        <w:t>En vista de todo lo anterior, la Corte Interamericana concluye que, con</w:t>
        <w:br/>
        <w:t>posterioridad a la firma de los acuerdos de paz suscritos con el propósito</w:t>
        <w:br/>
        <w:t>de finalizar el conflicto armado interno en Guatemala, las defensoras y los</w:t>
        <w:br/>
        <w:t>defensores de derechos humanos en dicho Estado continuaron enfrentando un</w:t>
        <w:br/>
        <w:t>contexto de amenazas y ataques en contra de su vida e integridad personal,</w:t>
        <w:br/>
        <w:t>entre otros derechos; que ello creó una particular situación de</w:t>
        <w:br/>
        <w:t>vulnerabilidad de quienes buscaban la protección o promoción de los</w:t>
        <w:br/>
        <w:t>derechos económicos, culturales y sociales, así como la verdad y la</w:t>
        <w:br/>
        <w:t>justicia en relación con las violaciones a los derechos humanos cometidas</w:t>
        <w:br/>
        <w:t>durante dicho conflicto; que los principales autores de dichas amenazas y</w:t>
        <w:br/>
        <w:t>ataques eran grupos clandestinos y las propias fuerzas de seguridad del</w:t>
        <w:br/>
        <w:t>Estado; y que la impunidad derivada de la falta de investigación y sanción</w:t>
        <w:br/>
        <w:t>frente a esos hechos propiciaba su continuidad y su incremento durante el</w:t>
        <w:br/>
        <w:t>período mencionado.</w:t>
        <w:br/>
        <w:br/>
        <w:br/>
        <w:t xml:space="preserve">      A.2. Situación en Santa Lucía Cotzumalguapa, Escuintla</w:t>
        <w:br/>
        <w:br/>
        <w:t>Santa Lucía Cotzumalguapa (en adelante “Santa Lucía”) es un municipio del</w:t>
        <w:br/>
        <w:t>Departamento de Escuintla, Guatemala, en el cual se ubicaban las fincas</w:t>
        <w:br/>
        <w:t>cañeras más grandes de la Costa Sur. Allí confluyeron factores que llevaron</w:t>
        <w:br/>
        <w:t>a agresiones en contra de determinados sectores de la población[82]., de</w:t>
        <w:br/>
        <w:t>los cuales el señor A.A. formaba parte (infra párr. 82). En efecto, en los</w:t>
        <w:br/>
        <w:t>años setenta, el Comité de Unidad Campesina (en adelante “CUC”)[83] logró</w:t>
        <w:br/>
        <w:t>formar una amplia base de apoyo vinculada al trabajo pastoral de la</w:t>
        <w:br/>
        <w:t>Congregación del Inmaculado Corazón de María (CICM), conformado por</w:t>
        <w:br/>
        <w:t>sacerdotes Belgas[84]. A principios de dicha década, “varias parroquias de</w:t>
        <w:br/>
        <w:t>la diócesis de Escuintla […] iniciaron un trabajo pastoral social a través</w:t>
        <w:br/>
        <w:t>de las llamadas Familias de Dios”[85], con el propósito, según la</w:t>
        <w:br/>
        <w:t>declaración de un miembro de la CICM, de “incorporar en la labor pastoral</w:t>
        <w:br/>
        <w:t>tradicional […] la promoción del trabajo con comunidades de base”. En estos</w:t>
        <w:br/>
        <w:t>grupos se trataron “temas sociales como trabajo, salario, la autoridad,</w:t>
        <w:br/>
        <w:t>acceso a la tierra, a la salud, a la educación escolar, etc.”[86]. En los</w:t>
        <w:br/>
        <w:t>años ochenta, agentes pastorales “que respaldaban la organización y</w:t>
        <w:br/>
        <w:t>demandas de los trabajadores agrícolas de las grandes fincas de la Costa</w:t>
        <w:br/>
        <w:t>Sur” sufrieron represalias, y decenas de catequistas fueron asesinados o</w:t>
        <w:br/>
        <w:t>desparecidos forzosamente en Escuintla[87]. Además, la CEH constató que en</w:t>
        <w:br/>
        <w:t>dicho departamento se dio, entre otros, “la identificación [por parte del</w:t>
        <w:br/>
        <w:t>Ejército…] de los líderes sindicales y personas que reivindicaban sus</w:t>
        <w:br/>
        <w:t>derechos laborales, con la insurgencia”, así como la utilización por parte</w:t>
        <w:br/>
        <w:t>de agentes del Estado de miembros de las comunidades como informantes y</w:t>
        <w:br/>
        <w:t>delatores, con el resultado de la ruptura del tejido social y de los lazos</w:t>
        <w:br/>
        <w:t>comunitarios[88].</w:t>
        <w:br/>
        <w:br/>
        <w:t>Tras la conclusión del conflicto, ante el compromiso adquirido con la firma</w:t>
        <w:br/>
        <w:t>del Acuerdo de Paz Firme y Duradera de emitir una legislación municipal</w:t>
        <w:br/>
        <w:t>adecuada a la realidad de la nación guatemalteca “multiétnica,</w:t>
        <w:br/>
        <w:t>pluricultural y multilingüe”, en el año 2002 el Congreso de la República</w:t>
        <w:br/>
        <w:t>impulsó, a través del Decreto 12-2002 (Código Municipal)[89] y el Decreto</w:t>
        <w:br/>
        <w:t>11-2002 (Ley de Concejos de Desarrollo Urbano y Rural), la creación del</w:t>
        <w:br/>
        <w:t>Sistema de Concejos Comunitarios de Desarrollo[90], con el propósito de</w:t>
        <w:br/>
        <w:t>“organizar y coordinar la administración pública mediante la formulación de</w:t>
        <w:br/>
        <w:t>políticas de desarrollo, planes y programas presupuestarios y el impulso de</w:t>
        <w:br/>
        <w:t>la coordinación interinstitucional, pública y privada”. Los Consejos</w:t>
        <w:br/>
        <w:t>Comunitarios de Desarrollo (en adelante “COCODES”) organizados en la</w:t>
        <w:br/>
        <w:t>Municipalidad de Santa Lucía Cotzumalguapa[91], de los cuales el señor A.A.</w:t>
        <w:br/>
        <w:t>y la señora B.A. formaban parte (infra párrs. 87 y 90), debían funcionar</w:t>
        <w:br/>
        <w:t>como “el medio principal de participación de la población maya, xinca y</w:t>
        <w:br/>
        <w:t>garífuna y la no indígena, en la gestión pública para llevar a cabo el</w:t>
        <w:br/>
        <w:t>proceso de planificación democrática del desarrollo, tomando en cuenta</w:t>
        <w:br/>
        <w:t>principios de unidad nacional, multiétnica, pluricultural y multilingüe de</w:t>
        <w:br/>
        <w:t>la nación guatemalteca”[92].</w:t>
        <w:br/>
        <w:br/>
        <w:br/>
        <w:t xml:space="preserve">        Vida y labores anteriores de A.A. y B.A.</w:t>
        <w:br/>
        <w:br/>
        <w:br/>
        <w:t xml:space="preserve">      B.1. Vida y labor de A.A.</w:t>
        <w:br/>
        <w:br/>
        <w:t>El señor A.A. nació el 16 de octubre de 1930 en el Departamento de Jutiapa.</w:t>
        <w:br/>
        <w:t>En el año 1954, aproximadamente[93], se casó con la señora C.A., con quien</w:t>
        <w:br/>
        <w:t>tuvo los siguientes hijos e hijas: D.A., E.A., B.A., F.A., G.A., H.A. y</w:t>
        <w:br/>
        <w:t>Y.A. (víctima desaparecida en el caso Gudiel Álvarez ‘Diario Militar’ Vs.</w:t>
        <w:br/>
        <w:t>Guatemala), así como los siguientes nietos, entre otros[94]: I.A., J.A.,</w:t>
        <w:br/>
        <w:t>K.A., L.A., M.A. y N.A. [95].</w:t>
        <w:br/>
        <w:br/>
        <w:t>Con posterioridad a su “tiempo reglamentario de servicios” al Ejército</w:t>
        <w:br/>
        <w:t>Nacional entre 1954 y 1955[96], el señor A.A. trabajó como agricultor y</w:t>
        <w:br/>
        <w:t>carpintero, de manera independiente así como dentro del ingenio de azúcar</w:t>
        <w:br/>
        <w:t>llamado “Pantaleón”, de donde fue despedido en 1968 por actividades de</w:t>
        <w:br/>
        <w:t>defensa laboral. También se desempeñó como catequista, participando en</w:t>
        <w:br/>
        <w:t>proyectos tales como el de dignificación de viviendas[97], y fue</w:t>
        <w:br/>
        <w:t>“promoto[r] important[e]” de una cooperativa de ahorro y crédito fundada</w:t>
        <w:br/>
        <w:t>por miembros de la CICM en Escuintla a fin de “combatir mínimamente la</w:t>
        <w:br/>
        <w:t>pobreza precaria en que viví[a]” la población[98]. Asimismo, consta en el</w:t>
        <w:br/>
        <w:t>expediente que para agosto de 1978 el señor A.A. era “Vocal Quinto del</w:t>
        <w:br/>
        <w:t>Comité Pro-Mejoramiento de la Aldea ‘Cruz [sic] de la Esperanza’ […]”[99].</w:t>
        <w:br/>
        <w:br/>
        <w:t>En el año 1983, el hijo del señor A.A., Y.A., fue desaparecido en la Ciudad</w:t>
        <w:br/>
        <w:t>de Guatemala por agentes estatales, hecho que fue establecido por la Corte</w:t>
        <w:br/>
        <w:t>en la Sentencia emitida en el caso Gudiel Álvarez (Diario Militar) Vs.</w:t>
        <w:br/>
        <w:t>Guatemala. A través de esa Sentencia, la Corte determinó que las fuerzas de</w:t>
        <w:br/>
        <w:t>seguridad consideraban a esta familia como “subversiva”, por lo cual sus</w:t>
        <w:br/>
        <w:t>miembros se vieron forzados a trasladarse dentro de Guatemala, a México y a</w:t>
        <w:br/>
        <w:t>los Estados Unidos, en los años 1983 y 1987, aproximadamente[100].</w:t>
        <w:br/>
        <w:br/>
        <w:t>Por otro lado, si bien la Corte no cuenta con información respecto de</w:t>
        <w:br/>
        <w:t>cuándo el señor A.A. se habría unido a la URNG, consta en el expediente</w:t>
        <w:br/>
        <w:t>que, tras la firma de los Acuerdos de Paz, el 9 de agosto de 1997 se le</w:t>
        <w:br/>
        <w:t>otorgó una “Licencia especial para un solo viaje de retorno a Guatemala</w:t>
        <w:br/>
        <w:t>para miembros de las estructuras internacionales de URNG, […]”[101]. Al</w:t>
        <w:br/>
        <w:t>regresar a Guatemala, el señor A.A. retomó su papel de líder dentro de la</w:t>
        <w:br/>
        <w:t>Aldea Cruce de la Esperanza. Por un lado, participó en la fundación de la</w:t>
        <w:br/>
        <w:t>Asociación de Desarrollo Integral de Personas con Discapacidad de Occidente</w:t>
        <w:br/>
        <w:t>y Sur de Guatemala (AIDOS)[102]. Asimismo, desde al menos el mes de enero</w:t>
        <w:br/>
        <w:t>de 1998 promovió la construcción de la Escuela de Autogestión Comunitaria</w:t>
        <w:br/>
        <w:t>de la Aldea Cruce de la Esperanza y se desempeñó posteriormente como</w:t>
        <w:br/>
        <w:t>Presidente de su Comité Educativo, COEDUCA[103]. En marzo de 2001, se creó</w:t>
        <w:br/>
        <w:t>el “Comité de Prevención a la Minusvalía Escolar”, conformado por vecinos</w:t>
        <w:br/>
        <w:t>del municipio de Santa Lucía y en cual el señor A.A. se desempeñó como</w:t>
        <w:br/>
        <w:t>Vicepresidente[104]. Según el Alcalde Municipal de Santa Lucía</w:t>
        <w:br/>
        <w:t>Cotzumalguapa para el período de 2004 a 2008[105], dicho comité propuso al</w:t>
        <w:br/>
        <w:t>gobierno municipal un proyecto en el que se “resalta[ba] la situación de</w:t>
        <w:br/>
        <w:t>deserción, bajo rendimiento y ausencia de la niña en la escuela”[106].</w:t>
        <w:br/>
        <w:br/>
        <w:t>En el año 2002 el señor A.A. fue nombrado como “Héroe Anónimo” por el</w:t>
        <w:br/>
        <w:t>Sistema de las Naciones Unidas en Guatemala, entre otras entidades, por su</w:t>
        <w:br/>
        <w:t>“comprom[iso] con la construcción de la paz y el desarrollo de su</w:t>
        <w:br/>
        <w:t>comunidad”, a través de actividades tales como “la construcción de</w:t>
        <w:br/>
        <w:t>viviendas para gente necesitada”[107]. De conformidad con lo señalado por</w:t>
        <w:br/>
        <w:t>el referido Alcalde Municipal:</w:t>
        <w:br/>
        <w:br/>
        <w:t xml:space="preserve">      [A.A.] […] resalt[ó] no solo durante  mi  período  de  gobierno,  sino</w:t>
        <w:br/>
        <w:t xml:space="preserve">      desde el anterior, como líder social de la búsqueda  de  dignificación</w:t>
        <w:br/>
        <w:t xml:space="preserve">      de la vivienda. […] Durante el [19]99 al 2003 logr[ó] la ejecución  de</w:t>
        <w:br/>
        <w:t xml:space="preserve">      un proyecto de beneficio para 32  familias,  por  lo  que  durante  mi</w:t>
        <w:br/>
        <w:t xml:space="preserve">      gobierno, continúa con  el  proceso  y  ya  incluye  a  otro  grupo  a</w:t>
        <w:br/>
        <w:t xml:space="preserve">      beneficiar en el municipio. Y de  hecho  logra  introducirlo  al  plan</w:t>
        <w:br/>
        <w:t xml:space="preserve">      nacional de dignificación pero ante  su  asesinato,  deja  el  proceso</w:t>
        <w:br/>
        <w:t xml:space="preserve">      interrumpido[108].</w:t>
        <w:br/>
        <w:br/>
        <w:t>En el año 2003, el Comité de Cultura y Deportes de la Aldea Cruce de La</w:t>
        <w:br/>
        <w:t>Esperanza, del cual el señor A.A. era Presidente, se organizó con otras</w:t>
        <w:br/>
        <w:t>aldeas a fin de impulsar la construcción de un polideportivo y un Instituto</w:t>
        <w:br/>
        <w:t>de Educación Básica con el objetivo “de que los niños y jóvenes [tuvieran…]</w:t>
        <w:br/>
        <w:t>donde completar su educación y fomentar la [p]luriculturalidad,</w:t>
        <w:br/>
        <w:t>especialmente en el área deportiva […y] el campo musical […]”[109].</w:t>
        <w:br/>
        <w:br/>
        <w:t>Para el 24 de mayo de 2004 A.A. ejercía funciones como Vice-Alcalde</w:t>
        <w:br/>
        <w:t>Comunitario del Consejo Comunitario de Desarrollo (COCODE) de la Aldea</w:t>
        <w:br/>
        <w:t>Cruce de la Esperanza (supra párr. 80)[110], y el 11 de septiembre de 2004</w:t>
        <w:br/>
        <w:t>fue elegido por los miembros de dicha comunidad, reunidos en Asamblea</w:t>
        <w:br/>
        <w:t>General, como Alcalde Comunitario del mismo Consejo[111]. Desde su cargo de</w:t>
        <w:br/>
        <w:t>Vice-Alcalde Comunitario, el señor A.A. gestionó la construcción del</w:t>
        <w:br/>
        <w:t>drenaje sanitario y la pavimentación de tres kilómetros de camino de</w:t>
        <w:br/>
        <w:t>terracería, ya que “la falta de esta infraestructura […] daña[ba] la salud</w:t>
        <w:br/>
        <w:t>y la economía de las familias de […] 5 comunidades”[112]. Como Alcalde,</w:t>
        <w:br/>
        <w:t>participó en la solicitud de la construcción de un monumento de la paz en</w:t>
        <w:br/>
        <w:t>conmemoración de aquellas personas que perdieron su vida durante el</w:t>
        <w:br/>
        <w:t>conflicto armado[113].</w:t>
        <w:br/>
        <w:br/>
        <w:t>Al momento de su muerte (20 de diciembre de 2004), el señor A.A. buscaba</w:t>
        <w:br/>
        <w:t>justicia junto con su familia frente a la desaparición forzada de su hijo</w:t>
        <w:br/>
        <w:t>Y.A. (víctima en el Caso Gudiel Álvarez y otros (“Diario Militar”) Vs.</w:t>
        <w:br/>
        <w:t>Guatemala), habiendo “denuncia[do] a nivel internacional, primero a las</w:t>
        <w:br/>
        <w:t>iglesias y después a las organizaciones humanitarias en Estados Unidos</w:t>
        <w:br/>
        <w:t>[…]”[114].</w:t>
        <w:br/>
        <w:br/>
        <w:br/>
        <w:t xml:space="preserve">      B.2. Labor de B.A.</w:t>
        <w:br/>
        <w:br/>
        <w:t>Consta en el expediente que, para el 12 de noviembre de 2003, la señora</w:t>
        <w:br/>
        <w:t>B.A. se desempeñaba como Vicepresidenta de la Red de Mujeres de</w:t>
        <w:br/>
        <w:t>Escuintla[115]. Asimismo, para mayo del año 2004 realizaba funciones como</w:t>
        <w:br/>
        <w:t>Oficial de Organización Social del Municipio de Santa Lucía[116], las</w:t>
        <w:br/>
        <w:t>cuales incluían:</w:t>
        <w:br/>
        <w:br/>
        <w:t xml:space="preserve">      organizar cada cantón, caserío, aldea, colonia [y] lotificación […] en</w:t>
        <w:br/>
        <w:t xml:space="preserve">      el municipio, así como ayudar a organizar sindicatos, asociaciones  de</w:t>
        <w:br/>
        <w:t xml:space="preserve">      comercio, transporte,  y  otros  modos  de  vida  organizativa  de  la</w:t>
        <w:br/>
        <w:t xml:space="preserve">      población, darles formación ciudadana y lograr [incidir]  en  la  vida</w:t>
        <w:br/>
        <w:t xml:space="preserve">      política del municipio y de la nación en general, según  [fuesen]  los</w:t>
        <w:br/>
        <w:t xml:space="preserve">      interés comunes[117].</w:t>
        <w:br/>
        <w:br/>
        <w:t>Posteriormente, el 11 de septiembre de 2004 la señora B.A. fue elegida por</w:t>
        <w:br/>
        <w:t>la Asamblea General de la Aldea Cruce de la Esperanza para el cargo de</w:t>
        <w:br/>
        <w:t>Secretaria del COCODE de dicha aldea[118]. Asimismo, la señora B.A.</w:t>
        <w:br/>
        <w:t>participó en las investigaciones desarrolladas por la desaparición forzada</w:t>
        <w:br/>
        <w:t>de su hermano, Y.A., desde al menos el 13 de octubre de 2004. Al respecto,</w:t>
        <w:br/>
        <w:t>esta Corte estableció en la Sentencia del caso Gudiel Álvarez y otros</w:t>
        <w:br/>
        <w:t>(“Diario Militar”) Vs. Guatemala que la señora B.A. presentó la petición</w:t>
        <w:br/>
        <w:t>inicial de dicho caso junto con otras personas ante la Comisión</w:t>
        <w:br/>
        <w:t xml:space="preserve">Interamericana el 9 de diciembre de 2005[119].  </w:t>
        <w:br/>
        <w:br/>
        <w:br/>
        <w:t>Los hechos del caso</w:t>
        <w:br/>
        <w:br/>
        <w:br/>
        <w:t xml:space="preserve">      C.1. Hechos anteriores a la muerte de A.A.</w:t>
        <w:br/>
        <w:br/>
        <w:t>El 26 de noviembre de 2003 la señora B.A. interpuso una denuncia ante la</w:t>
        <w:br/>
        <w:t>Fiscalía Distrital de Santa Lucía Cotzumalguapa, señalando que:</w:t>
        <w:br/>
        <w:br/>
        <w:t xml:space="preserve">      El día […] veinticinco de noviembre de [ese] año a las dos y media  de</w:t>
        <w:br/>
        <w:t xml:space="preserve">      la tarde se organiz[ó] una asamblea en la comunidad La  Esperanza  […]</w:t>
        <w:br/>
        <w:t xml:space="preserve">      con la finalidad de elegir un nuevo comité  de  COEDUCA  […]  para  la</w:t>
        <w:br/>
        <w:t xml:space="preserve">      Escuela de  Auto  Gesti[ó]n  Comunitaria  Rep[ú]blica  de  M[é]xico[.]</w:t>
        <w:br/>
        <w:t xml:space="preserve">      Dentro de dicha reunión yo expuse sobre algunos problemas que tenía la</w:t>
        <w:br/>
        <w:t xml:space="preserve">      escuela […][.] Finalmente se escogi[ó] una nueva directiva del  Comité</w:t>
        <w:br/>
        <w:t xml:space="preserve">      de la comunidad[.] […] Pero a eso  de  las  seis  horas  con  cuarenta</w:t>
        <w:br/>
        <w:t xml:space="preserve">      minutos me encontraba en un velorio en [la] [A]ldea El Rosario, cuando</w:t>
        <w:br/>
        <w:t xml:space="preserve">      recibí una llamada telefónica a mi celular […] del  señor  [L.L.]  […]</w:t>
        <w:br/>
        <w:t xml:space="preserve">      mismo que se identificó en el momento de hablar conmigo y me dijo ‘así</w:t>
        <w:br/>
        <w:t xml:space="preserve">      que se salieron con la suya de nombrar un nuevo comité pero tenga  por</w:t>
        <w:br/>
        <w:t xml:space="preserve">      seguro que a usted y a su hijo los voy [a] hacer mierda’  yo  solo  le</w:t>
        <w:br/>
        <w:t xml:space="preserve">      dije que por qu[é] me amenazaba de esa forma y que si i[b]a a estarnos</w:t>
        <w:br/>
        <w:t xml:space="preserve">      diciendo eso que lo hiciera personalmente, y no es la primera vez  que</w:t>
        <w:br/>
        <w:t xml:space="preserve">      nos amenaza[,] po[rq]ue una vez anterior amenaz[ó] a mi hermana  y  le</w:t>
        <w:br/>
        <w:t xml:space="preserve">      dijo que él era ex[k]aibil y que con él sí i[b]amos a ver lo  que  nos</w:t>
        <w:br/>
        <w:t xml:space="preserve">      i[b]a a hacer, pero este señor no tiene ningún  motivo  para  estarnos</w:t>
        <w:br/>
        <w:t xml:space="preserve">      amenazando de esta forma po[rq]ue [é]l no pertenece a la  comunidad  y</w:t>
        <w:br/>
        <w:t xml:space="preserve">      si tuvo algu[na] inconformidad con la  asamblea  bien  lo  pudo  haber</w:t>
        <w:br/>
        <w:t xml:space="preserve">      expresado en su momento pero no lo hizo. Por otro lado pienso  que  es</w:t>
        <w:br/>
        <w:t xml:space="preserve">      solo una excusa ya par[a m]olestar ya que yo pertenezco a la UNRG y él</w:t>
        <w:br/>
        <w:t xml:space="preserve">      como ex miembro del Ejército todavía mantiene ciertas ideologías y por</w:t>
        <w:br/>
        <w:t xml:space="preserve">      eso nos molesta […][120].</w:t>
        <w:br/>
        <w:br/>
        <w:t>Por otro lado, consta en el expediente que el 20 de febrero de 2004 la</w:t>
        <w:br/>
        <w:t>señora B.A. acudió al Centro de Mediación de Escuintla a fin de participar</w:t>
        <w:br/>
        <w:t>en una mediación citada “por el conflicto de amenazas”. Sin embargo, la</w:t>
        <w:br/>
        <w:t>contraparte no compareció, por lo que el caso fue “derivado” al Juzgado</w:t>
        <w:br/>
        <w:t>Primero de Paz de Escuintla[121].</w:t>
        <w:br/>
        <w:br/>
        <w:br/>
        <w:t xml:space="preserve">      C.2. La muerte del señor A.A.</w:t>
        <w:br/>
        <w:br/>
        <w:t>El 20 de diciembre de 2004 el cadáver del señor A.A. fue encontrado en la</w:t>
        <w:br/>
        <w:t>cinta asfáltica, a la altura del “kilómetro 90.5 de la Ruta al</w:t>
        <w:br/>
        <w:t>Pacífico”[122], con tres impactos de proyectil de arma de fuego, dos en la</w:t>
        <w:br/>
        <w:t>región frontal del cráneo y otro en el tórax posterior izquierdo[123], y</w:t>
        <w:br/>
        <w:t>con la bicicleta en la que se conducía aún entre las piernas[124].</w:t>
        <w:br/>
        <w:br/>
        <w:t>De acuerdo a la declaración de la señora C.A., “un vecino [les] pasó a</w:t>
        <w:br/>
        <w:t>avisar” que “estaba tirado [su] esposo en la carretera”[125]. El primero en</w:t>
        <w:br/>
        <w:t>acudir al lugar de la muerte fue su hijo G.A.[126]. Por su parte, según</w:t>
        <w:br/>
        <w:t>declaraciones de las señoras E.A. y B.A., debido a que éstas se encontraban</w:t>
        <w:br/>
        <w:t>fuera de la casa[127], fueron avisadas por el entonces Alcalde Municipal,</w:t>
        <w:br/>
        <w:t>por lo que regresaron a su casa[128].</w:t>
        <w:br/>
        <w:br/>
        <w:br/>
        <w:t xml:space="preserve">      C.3. Hechos posteriores a la muerte del señor A.A.</w:t>
        <w:br/>
        <w:br/>
        <w:t>Con posterioridad a la muerte del señor A.A. se realizaron nueve días de</w:t>
        <w:br/>
        <w:t>rezos que organizó la familia, con la asistencia de vecinos de la localidad</w:t>
        <w:br/>
        <w:t>y de conformidad con sus costumbres religiosas[129]. En el marco de dicho</w:t>
        <w:br/>
        <w:t>período, los días 22 y 23 de diciembre de 2004 el Auxiliar Departamental de</w:t>
        <w:br/>
        <w:t>la Procuraduría de los Derechos Humanos solicitó a distintas dependencias</w:t>
        <w:br/>
        <w:t>de la Policía Nacional Civil brindar medidas de seguridad perimetral y</w:t>
        <w:br/>
        <w:t>personal a favor de la señora B.A. y su familia, “en base a constantes</w:t>
        <w:br/>
        <w:t>amenazas de muerte que [h]a recibido la familia [A] y al [a]sesinato</w:t>
        <w:br/>
        <w:t>reciente del padre de [B.A.]”[130], sin que conste que se haya dispuesto</w:t>
        <w:br/>
        <w:t>medida alguna al respecto.</w:t>
        <w:br/>
        <w:br/>
        <w:t xml:space="preserve"> No obstante, a raíz de denuncias respecto a hombres que aparentemente</w:t>
        <w:br/>
        <w:t>“llegaron a amedrentar” a la familia y una vez que B.A. solicitó apoyo al</w:t>
        <w:br/>
        <w:t>entonces Alcalde Municipal de Santa Lucía Cotzumalguapa, agentes de la</w:t>
        <w:br/>
        <w:t>Policía Municipal de Tránsito realizaron patrullajes al área y</w:t>
        <w:br/>
        <w:t>acompañamiento a la familia durante los nueve días de rezos</w:t>
        <w:br/>
        <w:t>mencionados[131]. La Corte constata que durante los cinco meses posteriores</w:t>
        <w:br/>
        <w:t>a la muerte del señor A.A. y en diversas oportunidades, B.A. y E.A.</w:t>
        <w:br/>
        <w:t>manifestaron que durante el mencionado período de nueves días, la familia</w:t>
        <w:br/>
        <w:t>fue víctima de actos intimidatorios (infra párr. 152).</w:t>
        <w:br/>
        <w:br/>
        <w:t>Una vez concluidos los nueve días de rezos[132], el 31 de diciembre de 2004</w:t>
        <w:br/>
        <w:t>C.A., B.A. y sus hijos L.A. y  N.A., de 20 y 14 años de edad,</w:t>
        <w:br/>
        <w:t>respectivamente, así como E.A. y sus hijos J.A. y K.A., de 12 y 7 años de</w:t>
        <w:br/>
        <w:t>edad, respectivamente, salieron de sus casas, de la Aldea Cruce de la</w:t>
        <w:br/>
        <w:t>Esperanza y del Municipio de Santa Lucía Cotzumalguapa, “huyendo a</w:t>
        <w:br/>
        <w:t>Escuintla”, acompañados por la Policía Municipal de Tránsito de Santa Lucía</w:t>
        <w:br/>
        <w:t>“hasta donde da la vecindad entre Santa Lucía y Siquinala”[133].</w:t>
        <w:br/>
        <w:br/>
        <w:t>La familia se trasladó inicialmente hacia la ciudad de Escuintla, cabecera</w:t>
        <w:br/>
        <w:t>del Departamento[134]. La señora E.A., junto con sus hijos J.A. y K.A., se</w:t>
        <w:br/>
        <w:t>instaló en otra parte del país donde rentó una casa[135]. El hijo de la</w:t>
        <w:br/>
        <w:t>señora B.A., M.A., quedó al cuidado de D.A.[136].</w:t>
        <w:br/>
        <w:br/>
        <w:t>Por otro lado, consta que en el mes de febrero de 2006, C.A., B.A. y sus</w:t>
        <w:br/>
        <w:t>hijos  L.A. y  N.A. ya se encontraban en el Municipio de Santa Lucía</w:t>
        <w:br/>
        <w:t>Cotzumalguapa, y que permanecieron en ese lugar en donde alquilaron una</w:t>
        <w:br/>
        <w:t>vivienda, sin regresar a su residencia[137]. Entre el 16 de febrero de 2006</w:t>
        <w:br/>
        <w:t>y el 31 de octubre de 2007 la señora B.A. laboró nuevamente como Oficial de</w:t>
        <w:br/>
        <w:t>Organización Social del Municipio de Santa Lucía, Cotzumalguapa,</w:t>
        <w:br/>
        <w:t>renunciando en esta última fecha al haber sido seleccionada para atender la</w:t>
        <w:br/>
        <w:t>Oficina Municipal de la Mujer[138]. Además, los días 26 y 27 de junio de</w:t>
        <w:br/>
        <w:t>2007, la señora B.A. participó en el Primer Encuentro Nacional de Oficinas</w:t>
        <w:br/>
        <w:t>Municipales de la Mujer[139].</w:t>
        <w:br/>
        <w:br/>
        <w:t>Posteriormente, la señora B.A. continuó realizando labores en Escuintla.</w:t>
        <w:br/>
        <w:t>Así, consta en el expediente que el 4 de junio de 2009 fue elegida como</w:t>
        <w:br/>
        <w:t>Representante Titular de las Organizaciones de Mujeres ante el Consejo</w:t>
        <w:br/>
        <w:t>Departamental de Desarrollo de Escuintla[140], y que el 8 de marzo de 2011</w:t>
        <w:br/>
        <w:t>la Auxiliatura Departamental de los Derechos Humanos del Municipio de La</w:t>
        <w:br/>
        <w:t>Gomera, en el Departamento de Escuintla, le otorgó un reconocimiento por su</w:t>
        <w:br/>
        <w:t>aportación a la dignificación de los derechos de la mujer[141]. Consta</w:t>
        <w:br/>
        <w:t>además que, en los años 2011 y 2012, participó en el foro “El</w:t>
        <w:br/>
        <w:t>Fortalecimiento de la Institucionalidad de la Paz, y la participación de</w:t>
        <w:br/>
        <w:t>las mujeres en el impulso de su cumplimiento”[142] y cursó el taller “Retos</w:t>
        <w:br/>
        <w:t>y desafíos de las oficinas municipales de la mujer ante el desarrollo</w:t>
        <w:br/>
        <w:t>municipal”[143].</w:t>
        <w:br/>
        <w:br/>
        <w:br/>
        <w:t>Las investigaciones</w:t>
        <w:br/>
        <w:br/>
        <w:br/>
        <w:t xml:space="preserve">      D.1. Investigaciones relacionadas con la muerte de A.A.</w:t>
        <w:br/>
        <w:br/>
        <w:t>Debido a la muerte del señor A.A. el 20 de diciembre de 2004, se inició una</w:t>
        <w:br/>
        <w:t>investigación penal ante la Fiscalía Municipal del Ministerio Público de</w:t>
        <w:br/>
        <w:t>Santa Lucía Cotzumalguapa (en adelante “Fiscalía de Santa Lucía</w:t>
        <w:br/>
        <w:t>Cotzumalguapa”). Posteriormente, el 21 de marzo de 2005 el caso fue</w:t>
        <w:br/>
        <w:t>remitido a la Fiscalía Especial de Derechos Humanos de Guatemala (en</w:t>
        <w:br/>
        <w:t>adelante “Fiscalía de Derechos Humanos”), la cual lo recibió al día</w:t>
        <w:br/>
        <w:t>siguiente[144]. En dicha Fiscalía la investigación se tramitó en la Unidad</w:t>
        <w:br/>
        <w:t>Fiscal de Delitos contra Activistas de Derechos Humanos. Durante el tiempo</w:t>
        <w:br/>
        <w:t>en que la investigación penal estuvo asignada a dichas Fiscalías del</w:t>
        <w:br/>
        <w:t>Ministerio Público, los Técnicos en Investigaciones Criminalísticas de la</w:t>
        <w:br/>
        <w:t>Dirección de Investigaciones Criminalísticas del Ministerio Público (en</w:t>
        <w:br/>
        <w:t>adelante “Investigadores de la DICRI”) practicaron diversas diligencias</w:t>
        <w:br/>
        <w:t>investigativas a solicitud de los agentes y auxiliares fiscales. Asimismo,</w:t>
        <w:br/>
        <w:t>el 22 de diciembre de 2004 la Procuraduría de los Derechos Humanos de</w:t>
        <w:br/>
        <w:t>Escuintla (en adelante “la Procuraduría”), abrió una investigación con base</w:t>
        <w:br/>
        <w:t>en una denuncia presentada de forma anónima[145]. Posteriormente, B.A. se</w:t>
        <w:br/>
        <w:t>identificó como la persona que presentó la referida denuncia anónima[146].</w:t>
        <w:br/>
        <w:t>Dicha investigación se inició y tramitó de manera paralela a la</w:t>
        <w:br/>
        <w:t>investigación penal hasta el 8 de junio de 2005.</w:t>
        <w:br/>
        <w:br/>
        <w:t xml:space="preserve">      D.1.1. Investigación ante la Fiscalía Municipal del Ministerio Público</w:t>
        <w:br/>
        <w:t xml:space="preserve">      de Santa Lucía Cotzumalguapa, Escuintla (MP60/2004/5417)</w:t>
        <w:br/>
        <w:br/>
        <w:t>El 20 de diciembre de 2004 dos agentes de la Policía Nacional Civil de la</w:t>
        <w:br/>
        <w:t>localidad Subestación Policial del Municipio de Santa Lucía Cotzumalguapa,</w:t>
        <w:br/>
        <w:t>por orden de la Planta Central de Transmisiones de dicha Policía, y la</w:t>
        <w:br/>
        <w:t>Auxiliar Fiscal de Santa Lucía Cotzumalguapa se constituyeron en la escena</w:t>
        <w:br/>
        <w:t>del crimen del homicidio del señor A.A.[147]. En esa oportunidad se</w:t>
        <w:br/>
        <w:t>entrevistó a una persona, quien “manifestó que dos individuos que se</w:t>
        <w:br/>
        <w:t>conducían en bi[ci]cleta fueron los responsables de dar muerte al señor</w:t>
        <w:br/>
        <w:t>[A.A.]”[148] y que “después del hecho [aquéllos] se dieron a la fuga a</w:t>
        <w:br/>
        <w:t>bordo de la bicicleta en mención con rumbo ignorado”[149]. De conformidad</w:t>
        <w:br/>
        <w:t>con lo señalado por uno de los agentes de la Policía Nacional Civil, al</w:t>
        <w:br/>
        <w:t>presentarse a la escena del crimen observó “que estaba estacionado un pick-</w:t>
        <w:br/>
        <w:t>Up [sic] del que no tom[ó] datos, así ta[m]bi[é]n unas personas que</w:t>
        <w:br/>
        <w:t>aparentemente trataban de auxiliar a la víctima”[150]. A su vez, se</w:t>
        <w:br/>
        <w:t>procedió a realizar el levantamiento del cadáver y a recoger los indicios</w:t>
        <w:br/>
        <w:t>que se encontraban en el lugar, consistente en tres vainas de proyectil de</w:t>
        <w:br/>
        <w:t>arma de fuego, y la Fiscal Auxiliar ordenó el traslado del cadáver a la</w:t>
        <w:br/>
        <w:t>morgue de la localidad del Organismo Judicial para la necropsia de</w:t>
        <w:br/>
        <w:t>ley[151]. Ese mismo día se realizó la necropsia a los restos del señor</w:t>
        <w:br/>
        <w:t>A.A.[152].</w:t>
        <w:br/>
        <w:br/>
        <w:t>Asimismo, el agente investigador asignado del Servicio de Investigación</w:t>
        <w:br/>
        <w:t>Criminal de la Comisaría 31 de la Policía Nacional Civil de Escuintla llegó</w:t>
        <w:br/>
        <w:t>al lugar de la escena del crimen, pero "el cadáver ya había sido</w:t>
        <w:br/>
        <w:t>trasladado”. Dicho agente elaboró un informe preliminar de la investigación</w:t>
        <w:br/>
        <w:t>de 21 de diciembre de 2004, en el cual constató que se levantaron los datos</w:t>
        <w:br/>
        <w:t>del cadáver y de los dos probables responsables de los hechos, el</w:t>
        <w:br/>
        <w:t>instrumento del delito y los elementos secuestrados, así como señaló que</w:t>
        <w:br/>
        <w:t>“[n]o se realiz[ó]” inspección ocular. Además, entrevistó a B.A., C.A. y</w:t>
        <w:br/>
        <w:t>E.E.[153]. Posteriormente, el 10 de febrero de 2005 B.A. rindió declaración</w:t>
        <w:br/>
        <w:t>ante la Auxiliar Fiscal de Santa Lucía Cotzumalguapa[154].</w:t>
        <w:br/>
        <w:br/>
        <w:t>Si bien B.A. no fue testigo presencial del hecho, en sus declaraciones</w:t>
        <w:br/>
        <w:t>(supra párr. 103), sostuvo que la muerte del señor A.A. se debió a</w:t>
        <w:br/>
        <w:t>cuestiones políticas e indicó como responsables de los hechos a los señores</w:t>
        <w:br/>
        <w:t>M.M. y L.L. Al respecto, se refirió a supuestas diferencias ideológicas,</w:t>
        <w:br/>
        <w:t>confrontaciones personales y conflictos que había tenido A.A. con dichas</w:t>
        <w:br/>
        <w:t>personas en su calidad de Alcalde Comunitario de la Aldea Cruce de la</w:t>
        <w:br/>
        <w:t>Esperanza y en la administración en la Escuela de Autogestión Comunitaria</w:t>
        <w:br/>
        <w:t>República de México de dicha aldea. Con base en dichas manifestaciones se</w:t>
        <w:br/>
        <w:t>desprendió una posible hipótesis en la investigación.</w:t>
        <w:br/>
        <w:br/>
        <w:t xml:space="preserve">      D.1.2. Investigación realizada por los Técnicos en Investigaciones</w:t>
        <w:br/>
        <w:t xml:space="preserve">      Criminalísticas de la Dirección de Investigaciones Criminalísticas</w:t>
        <w:br/>
        <w:t xml:space="preserve">      (DICRI) del Ministerio Público</w:t>
        <w:br/>
        <w:br/>
        <w:t>Mediante escritos de 12 de enero y 14 de marzo de 2005, Agentes de la</w:t>
        <w:br/>
        <w:t>Fiscalía de Santa Lucía Cotzumalguapa solicitaron al Subdirector de</w:t>
        <w:br/>
        <w:t>Investigaciones Criminalísticas de la Sección Criminal Operativa del</w:t>
        <w:br/>
        <w:t>Ministerio Público, nombrar a los investigadores que considerara</w:t>
        <w:br/>
        <w:t>pertinentes a efectos de realizar la investigación correspondiente[155].</w:t>
        <w:br/>
        <w:t>Consta en el expediente que, una vez asignados al caso, los Investigadores</w:t>
        <w:br/>
        <w:t>de la DICRI presentaron ante la Fiscalía de Santa Lucía el informe de</w:t>
        <w:br/>
        <w:t>investigación de 5 de abril de 2005[156], no obstante que la investigación</w:t>
        <w:br/>
        <w:t>ya había sido asignada a la Fiscalía de Derechos Humanos. Posteriormente,</w:t>
        <w:br/>
        <w:t>mediante escritos de 17 de mayo de 2005, 1 de marzo y 21 de noviembre de</w:t>
        <w:br/>
        <w:t>2006, y 8 de abril y 24 de noviembre de 2008, la Auxiliar Fiscal de</w:t>
        <w:br/>
        <w:t>Derechos Humanos solicitó a la Dirección de Investigaciones Criminalísticas</w:t>
        <w:br/>
        <w:t>la práctica de diversas diligencias[157]. En respuesta, los Investigadores</w:t>
        <w:br/>
        <w:t>de la DICRI presentaron los informes de investigación de 30 de agosto de</w:t>
        <w:br/>
        <w:t>2005, 21 de junio de 2006, 26 de marzo y 10 de abril de 2008 y 5 de febrero</w:t>
        <w:br/>
        <w:t>de 2009[158]. En este último informe el Investigador de la DICRI quedó a la</w:t>
        <w:br/>
        <w:t>espera de nuevos lineamientos de investigación.</w:t>
        <w:br/>
        <w:br/>
        <w:t>Además, una vez requerido por el Agente Fiscal de Derechos Humanos y con</w:t>
        <w:br/>
        <w:t>los datos proporcionados por E.A., hija de A.A., el 17 de mayo de 2005 se</w:t>
        <w:br/>
        <w:t>realizaron dos fotorobot en la Unidad de Especialistas en la Escena del</w:t>
        <w:br/>
        <w:t>Crimen de la Dirección de Investigaciones Criminalísticas. Dichos fotorobot</w:t>
        <w:br/>
        <w:t>se remitieron a la mencionada Fiscalía mediante escrito de 19 de mayo de</w:t>
        <w:br/>
        <w:t>2005[159].</w:t>
        <w:br/>
        <w:br/>
        <w:t xml:space="preserve">      D.1.3. Investigación ante la Fiscalía Especial de Derechos Humanos de</w:t>
        <w:br/>
        <w:t xml:space="preserve">      Guatemala (Ref. Exp.16-2005 MPFDH)</w:t>
        <w:br/>
        <w:br/>
        <w:t>Mediante escrito de 5 de abril de 2005, el Agente Fiscal de Derechos</w:t>
        <w:br/>
        <w:t>Humanos asignado remitió al Jefe del Servicio Médico Forense del Ministerio</w:t>
        <w:br/>
        <w:t>Público el informe de necropsia realizada al señor A.A. de 22 de diciembre</w:t>
        <w:br/>
        <w:t>de 2004, y solicitó nombrar a un Médico Forense que determinara si era</w:t>
        <w:br/>
        <w:t>necesario solicitar una ampliación del mismo. En su respuesta de 8 de abril</w:t>
        <w:br/>
        <w:t>de 2005, el Médico Forense del Ministerio Público concluyó que era</w:t>
        <w:br/>
        <w:t>necesario ampliar el referido informe de necropsia y se refirió a los</w:t>
        <w:br/>
        <w:t>aspectos que debían ser conocidos[160]. El 19 de abril de 2005 el Agente</w:t>
        <w:br/>
        <w:t>Fiscal asignado solicitó la ampliación del informe a la Médico Forense del</w:t>
        <w:br/>
        <w:t>Organismo Judicial. Dicha ampliación fue remitida el 13 de mayo de</w:t>
        <w:br/>
        <w:t>2005[161]. Mediante escritos de 26 de julio de 2006 la Auxiliar Fiscal</w:t>
        <w:br/>
        <w:t>solicitó a la médico forense que realizó la necropsia al cadáver del señor</w:t>
        <w:br/>
        <w:t>A.A. que precisara algunos aspectos de la misma y que remitiera copia del</w:t>
        <w:br/>
        <w:t>protocolo de la necropsia en mención. En respuesta, mediante escrito de 3</w:t>
        <w:br/>
        <w:t>de agosto de 2006, la médico forense presentó una ampliación al informe de</w:t>
        <w:br/>
        <w:t>necropsia[162].</w:t>
        <w:br/>
        <w:br/>
        <w:t>El 1 y 18 de abril de 2005 el Auxiliar Fiscal de Santa Lucía remitió a la</w:t>
        <w:br/>
        <w:t>Fiscalía de Derechos Humanos un sobre con tres casquillos encontrados en la</w:t>
        <w:br/>
        <w:t>escena del crimen, y otro sobre con dos fragmentos de proyectil de arma de</w:t>
        <w:br/>
        <w:t>fuego extraídos del cadáver del señor A.A.[163]. El 6 y 21 de abril de</w:t>
        <w:br/>
        <w:t>2005, el Auxiliar de la Fiscalía de Derechos Humanos remitió al Almacén de</w:t>
        <w:br/>
        <w:t>Evidencias del Ministerio Público dicha evidencia, para su guarda y</w:t>
        <w:br/>
        <w:t>custodia[164]. Una vez que fue solicitado por la Auxiliar Fiscal, el 23 de</w:t>
        <w:br/>
        <w:t>junio de 2006 la Sección Balística del Departamento Técnico Científico del</w:t>
        <w:br/>
        <w:t>Ministerio Público remitió el peritaje balístico practicado a los</w:t>
        <w:br/>
        <w:t>casquillos y fragmentos de proyectil de arma de fuego[165]. Posteriormente,</w:t>
        <w:br/>
        <w:t>mediante escrito de 1 de agosto de 2006 la Auxiliar Fiscal solicitó al Jefe</w:t>
        <w:br/>
        <w:t>de Balística del Gabinete Criminalístico de la Policía Nacional Civil</w:t>
        <w:br/>
        <w:t>ordenar la práctica de una pericia balística, a fin de “establecer a que</w:t>
        <w:br/>
        <w:t>arma pertenecen los casquillos que fueron encontrados en la escena del</w:t>
        <w:br/>
        <w:t>crimen, o si se podría realizar la comparación, con las que se encuentran</w:t>
        <w:br/>
        <w:t>en sus archivos”[166], para lo cual remitió el análisis de los mismos</w:t>
        <w:br/>
        <w:t>realizado por el Departamento Técnico Científico del Ministerio Público. No</w:t>
        <w:br/>
        <w:t>consta en el expediente respuesta alguna a esta solicitud.</w:t>
        <w:br/>
        <w:br/>
        <w:t>El 12 de abril de 2005 el Agente Fiscal asignado solicitó al Jefe del</w:t>
        <w:br/>
        <w:t>Registro de Ciudadanos de la Corte Superior Electoral los datos de</w:t>
        <w:br/>
        <w:t>identificación de los señores L.L. y M.M.[167]. Si bien no consta una</w:t>
        <w:br/>
        <w:t>respuesta a esta solicitud, sí consta en el expediente la identificación,</w:t>
        <w:br/>
        <w:t>asientos de cédula y actividad laboral de dichas personas[168]. Asimismo,</w:t>
        <w:br/>
        <w:t>el 19 de abril de 2005 requirió al Departamento del Control de Armas y</w:t>
        <w:br/>
        <w:t>Municiones del Ministerio de la Defensa Nacional informar si en sus</w:t>
        <w:br/>
        <w:t>registros aparecía autorización de licencia de portación o tenencia de</w:t>
        <w:br/>
        <w:t>armas de fuego a los señores L.L. y M.M.[169]. En respuesta, el 3 de mayo</w:t>
        <w:br/>
        <w:t>de 2005, dicho Departamento informó que no había emitido licencia de</w:t>
        <w:br/>
        <w:t>portación de armas de fuego a dichas personas ni aparecían armas de fuego</w:t>
        <w:br/>
        <w:t>registradas a sus nombres[170].</w:t>
        <w:br/>
        <w:br/>
        <w:t>Consta en el expediente que, constituidos en el lugar de los hechos el</w:t>
        <w:br/>
        <w:t>Auxiliar de la Fiscalía de Derechos Humanos, el Investigador de la DICRI y</w:t>
        <w:br/>
        <w:t>la Auxiliar Fiscal de Santa Lucía Cotzumalguapa, se llevó a cabo la</w:t>
        <w:br/>
        <w:t>“diligencia de elaboración de una planimetría”[171]. Posteriormente, el 25</w:t>
        <w:br/>
        <w:t>de abril de 2005 se realizó un croquis correspondiente a la localización</w:t>
        <w:br/>
        <w:t>del lugar donde se encontró el cadáver el señor A.A., por parte de la</w:t>
        <w:br/>
        <w:t>Unidad de Especialistas en la Escena del Crimen de la DICRI, con las</w:t>
        <w:br/>
        <w:t>versiones dadas por la Auxiliar Fiscal de Santa Lucía Cotzumalguapa que</w:t>
        <w:br/>
        <w:t>cubrió la escena el día de los hechos. Dicho informe fue remitido por el</w:t>
        <w:br/>
        <w:t>Investigador de la DICRI al Auxiliar Fiscal de Derechos Humanos mediante</w:t>
        <w:br/>
        <w:t>escrito de 29 de abril de 2005[172].</w:t>
        <w:br/>
        <w:br/>
        <w:t>Por otro lado, mediante escrito de 28 de abril de 2005, el Agente Fiscal</w:t>
        <w:br/>
        <w:t>asignado solicitó al Fiscal Distrital de Santa Lucía Cotzumalguapa la</w:t>
        <w:br/>
        <w:t>remisión de los negativos de todas las fotografías tomadas en la escena del</w:t>
        <w:br/>
        <w:t>crimen el 20 de diciembre de 2004. Además, solicitó que el funcionario de</w:t>
        <w:br/>
        <w:t>esa Fiscalía que asistió a la escena del crimen rindiera un informe</w:t>
        <w:br/>
        <w:t>respecto a puntos específicos de las diligencias realizadas en dicha</w:t>
        <w:br/>
        <w:t>oportunidad[173]. El 4 de mayo de 2005 la Auxiliar Fiscal de Santa Lucía</w:t>
        <w:br/>
        <w:t>Cotzumalguapa presentó un informe en respuesta a dicho requerimiento[174].</w:t>
        <w:br/>
        <w:br/>
        <w:t>Los días 9 y 11 de mayo de 2005, 24 y 29 de mayo, 17 de agosto y 29 de</w:t>
        <w:br/>
        <w:t>septiembre de 2006 y 13 de marzo de 2007 la Auxiliar y el Agente Fiscal</w:t>
        <w:br/>
        <w:t>recibieron diversas declaraciones[175]. Asimismo, el 25 de agosto de 2006</w:t>
        <w:br/>
        <w:t>el Auxiliar Fiscal y el Investigador de la DICRI realizaron diligencia de</w:t>
        <w:br/>
        <w:t>revisión del libro de actas de la Escuela de Autogestión República de</w:t>
        <w:br/>
        <w:t>México[176]. Por otro lado, una vez que B.A. solicitó verbalmente una copia</w:t>
        <w:br/>
        <w:t>simple del expediente de investigación penal, el 9 de junio de 2005 se le</w:t>
        <w:br/>
        <w:t>hizo entrega de dicha copia en la sede de la Fiscalía[177]. Además, el 16 y</w:t>
        <w:br/>
        <w:t>24 de mayo de 2006 B.A. y E.A. solicitaron al Auxiliar Fiscal la</w:t>
        <w:br/>
        <w:t>realización de diversas diligencias investigativas[178].</w:t>
        <w:br/>
        <w:br/>
        <w:t>De las investigaciones realizadas hasta ese momento, el 17 de mayo de 2005</w:t>
        <w:br/>
        <w:t>se sospechaba de la participación material en la muerte del señor A.A. de</w:t>
        <w:br/>
        <w:t>dos jóvenes, “miembros de grupos pandilleros”, apodados como el “Queso” y</w:t>
        <w:br/>
        <w:t>el “Gato”[179]. A su vez, de las declaraciones de S.Z. recibidas en el año</w:t>
        <w:br/>
        <w:t>2006 (supra párr. 112) se desprendió como una nueva posible hipótesis en la</w:t>
        <w:br/>
        <w:t>investigación que la muerte de A.A. fue con motivo que había presenciado la</w:t>
        <w:br/>
        <w:t>muerte de un joven en el sector, y se sospechó de la participación de</w:t>
        <w:br/>
        <w:t>cuatro personas apodadas como el “Gato”, “Susy”, “Salomón” y</w:t>
        <w:br/>
        <w:t>“Chelelo”[180]. Por su parte, de la declaración de  M.I. recibida en el año</w:t>
        <w:br/>
        <w:t>2007 (supra párr. 112) se relacionó a dos personas más con la autoría del</w:t>
        <w:br/>
        <w:t>delito, apodadas como “Nito” y “Selvin”[181].</w:t>
        <w:br/>
        <w:br/>
        <w:t>El 12 de junio de 2006 el Agente Fiscal a cargo remitió a la Secretaria</w:t>
        <w:br/>
        <w:t>Ejecutiva del Ministerio Público un informe sobre la investigación, en el</w:t>
        <w:br/>
        <w:t>cual indicó que en diversas entrevistas con los familiares de la víctima le</w:t>
        <w:br/>
        <w:t>habían manifestado “que el fallecido en una oportunidad había sido</w:t>
        <w:br/>
        <w:t>amenazado por el señor [L.L.] pero no se ha[n] encontrado indicios de la</w:t>
        <w:br/>
        <w:t>participación de [é]ste en el hecho”, y que “en [la] comunidad opera[ba] un</w:t>
        <w:br/>
        <w:t>grupo de delincuentes […], los cuales podrían estar involucrados en la</w:t>
        <w:br/>
        <w:t>muerte del señor [A.A.], como posibles responsables […] ya que a estos se</w:t>
        <w:br/>
        <w:t>les involucra[ba] en otros hechos delictivos donde ha[brían] fallecido</w:t>
        <w:br/>
        <w:t>algunas personas en esa área, por lo que se har[ían] comparaciones de</w:t>
        <w:br/>
        <w:t>huellas balísticas entre este caso y otros ocurridos en ese sector”[182].</w:t>
        <w:br/>
        <w:t>Por su parte, el 1 de agosto de 2006 el Agente Fiscal remitió al Auxiliar</w:t>
        <w:br/>
        <w:t>Fiscal un informe sobre las investigaciones documentales de hechos</w:t>
        <w:br/>
        <w:t>delictivos ocurridos dentro del sector en que falleció A.A. y que pudieran</w:t>
        <w:br/>
        <w:t>tener relación con dicha muerte. En ese informe se hizo referencia a seis</w:t>
        <w:br/>
        <w:t>casos cuyos hechos corresponden a un período de octubre de 2004 a mayo de</w:t>
        <w:br/>
        <w:t>2006[183].</w:t>
        <w:br/>
        <w:br/>
        <w:t>En el marco de la investigación del Ministerio Público, mediante escritos</w:t>
        <w:br/>
        <w:t>de 19, 20 y 27 de septiembre, y 6, 9, 10, 12 y 19 de octubre de 2006, la</w:t>
        <w:br/>
        <w:t>Auxiliar Fiscal solicitó diversa información al Coordinador General de</w:t>
        <w:br/>
        <w:t>Fundación del Azúcar (FUNDAZUCAR)[184], al Director del Programa Nacional</w:t>
        <w:br/>
        <w:t>de Autogestión para el Desarrollo Educativo (PRONADE)[185], al Director</w:t>
        <w:br/>
        <w:t>General de Migración[186], al Jefe del Gabinete Criminalístico de la</w:t>
        <w:br/>
        <w:t>Policía Nacional Civil[187], al Alcalde Municipal de Santa Lucía</w:t>
        <w:br/>
        <w:t>Cotzumalguapa[188], al Encargado del Programa de Naciones Unidas para el</w:t>
        <w:br/>
        <w:t>Desarrollo[189], a la Presidenta del Comité de la Escuela de Autogestión</w:t>
        <w:br/>
        <w:t>Comunitaria Cruce de la Esperanza[190], al Director de Registro de</w:t>
        <w:br/>
        <w:t>Ciudadanos del Tribunal Supremo Electoral[191] y al Reverendo Párroco de la</w:t>
        <w:br/>
        <w:t>Parroquia Santa Lucía Cotzumalguapa[192]. Ante dichas solicitudes, mediante</w:t>
        <w:br/>
        <w:t>escritos de 20, 21 y 27 de septiembre, 1, 10 y 19 de octubre, y 21 de</w:t>
        <w:br/>
        <w:t>noviembre de 2006 el Coordinador de PRONADE/FUNDAZUCAR[193], el Director</w:t>
        <w:br/>
        <w:t>Nacional de PRONADE[194], el Auxiliar de Control Migratorio Administrativo</w:t>
        <w:br/>
        <w:t>de la Dirección General de Migración[195], el Jefe del Gabinete</w:t>
        <w:br/>
        <w:t>Criminalístico de la Policía Nacional Civil[196], el Alcalde Municipal de</w:t>
        <w:br/>
        <w:t>Santa Lucía Cotzumalguapa[197] y la Parroquia de Santa Lucía</w:t>
        <w:br/>
        <w:t>Cotzumalguapa[198], presentaron la información requerida.</w:t>
        <w:br/>
        <w:br/>
        <w:t>El 10 de abril de 2008 un Investigador de la DICRI compareció ante el</w:t>
        <w:br/>
        <w:t>Auxiliar Fiscal para declarar respecto a las investigaciones hasta ese</w:t>
        <w:br/>
        <w:t>momento desarrolladas. Informó que, con base en la declaración de SZ, se</w:t>
        <w:br/>
        <w:t>individualizó a cuatro personas conocidas como El Gato, El Susy, Salomón y</w:t>
        <w:br/>
        <w:t>Chelelo, y con base en la declaración de M.I., se individualizó a una</w:t>
        <w:br/>
        <w:t>cuarta conocida como Selvin (supra párr. 113). Además, señaló que “se</w:t>
        <w:br/>
        <w:t>procedió a ubicar los inmuebles en donde resid[ían]”, siendo que únicamente</w:t>
        <w:br/>
        <w:t>se pudo identificar y establecer los domicilios relacionados con el Gato,</w:t>
        <w:br/>
        <w:t>Chelelo, Salomón y Selvin[199]. Posteriormente, respecto a la persona</w:t>
        <w:br/>
        <w:t>señalada como Salomón, se estableció que había sido detenida varias veces</w:t>
        <w:br/>
        <w:t>por delitos de homicidio, portación de arma de fuego y homicidio de un</w:t>
        <w:br/>
        <w:t>agente de policía, y que el “20 de diciembre del año 2004, día de la muerte</w:t>
        <w:br/>
        <w:t>del señor A.A., se encontraba guardando prisión”[200].</w:t>
        <w:br/>
        <w:br/>
        <w:t>Una vez solicitado por el Agente Fiscal[201], el 16 de junio de 2008 la</w:t>
        <w:br/>
        <w:t>Jueza de Primera Instancia Penal, Narcoactividad y Delitos contra el</w:t>
        <w:br/>
        <w:t>Ambiente de Santa Lucía Cotzumalguapa, en ejercicio del control</w:t>
        <w:br/>
        <w:t>jurisdiccional del caso[202], ordenó realizar el allanamiento, inspección y</w:t>
        <w:br/>
        <w:t>registro de cuatro inmuebles relacionados con El Gato, Chelelo, Salomón y</w:t>
        <w:br/>
        <w:t>Selvin[203]. Al día siguiente se llevaron a cabo las diligencias</w:t>
        <w:br/>
        <w:t>ordenadas[204] con el acompañamiento del personal de la Comisaría No. 31 de</w:t>
        <w:br/>
        <w:t>Escuintla, el Fiscal Municipal de Santa Lucía Cotzumalguapa y el Fiscal de</w:t>
        <w:br/>
        <w:t>Derechos Humanos. Dichas diligencias finalizaron “con resultados</w:t>
        <w:br/>
        <w:t>negativos”[205].</w:t>
        <w:br/>
        <w:br/>
        <w:t>Consta en el expediente que la Comisión Presidencial de Derechos Humanos de</w:t>
        <w:br/>
        <w:t>Guatemala (COPREDEH) realizó una solicitud de información sobre el caso al</w:t>
        <w:br/>
        <w:t>Agente Fiscal asignado, y que en respuesta, el 2 de abril de 2009 el Agente</w:t>
        <w:br/>
        <w:t>Fiscal informó[206], entre otros, que “[e]fectuada las investigaciones se</w:t>
        <w:br/>
        <w:t>estableci[ó] que el sector donde falleció el señor [A.A.], ha sido</w:t>
        <w:br/>
        <w:t>escenario de varios hechos delictuosos[,] entre ellos[,] algunos asesinatos</w:t>
        <w:br/>
        <w:t>de los que se presume que son efectuados por delincuencia común”, y que “al</w:t>
        <w:br/>
        <w:t>examinar ese contexto delincuencial” se estableció una hipótesis del caso</w:t>
        <w:br/>
        <w:t>que atribuiría la muerte de A.A. a una banda delincuencial debido a que</w:t>
        <w:br/>
        <w:t>habría presenciado el asesinato de un joven en ese sector ocurrido días</w:t>
        <w:br/>
        <w:t>antes de su muerte (supra párr. 113).</w:t>
        <w:br/>
        <w:br/>
        <w:t>Una vez que fue solicitado, el Auxiliar Fiscal realizó un informe</w:t>
        <w:br/>
        <w:t>circunstanciado del caso, el cual remitió a la Fiscalía de Sección de</w:t>
        <w:br/>
        <w:t>Derechos Humanos el 20 de julio de 2009[207]. Dicho informe presentó como</w:t>
        <w:br/>
        <w:t>conclusión que el caso del señor A.A. continúa en investigación, y que:</w:t>
        <w:br/>
        <w:br/>
        <w:t xml:space="preserve">    En el presente caso la señora [B.A.], señala como posibles autores</w:t>
        <w:br/>
        <w:t xml:space="preserve">    intelectuales a los señores [L.L.] y [M.M.], pero con la investigación</w:t>
        <w:br/>
        <w:t xml:space="preserve">    que se ha practicado no existe fundamento legal para proceder en contra</w:t>
        <w:br/>
        <w:t xml:space="preserve">    de dichas personas, ya que […] no se ha establecido legalmente la</w:t>
        <w:br/>
        <w:t xml:space="preserve">    participación de las personas mencionadas […].</w:t>
        <w:br/>
        <w:br/>
        <w:t>Finalmente, durante el procedimiento ante la Corte, el Estado sostuvo que</w:t>
        <w:br/>
        <w:t>la investigación seguiría abierta. Por su parte, las representantes</w:t>
        <w:br/>
        <w:t>aseveraron que fallecieron los señores M.M. en el año 2010 y L.L. en el año</w:t>
        <w:br/>
        <w:t>2012[208].</w:t>
        <w:br/>
        <w:br/>
        <w:t xml:space="preserve">      D.1.4. Investigación realizada por la Procuraduría de los Derechos</w:t>
        <w:br/>
        <w:t xml:space="preserve">      Humanos de Escuintla (Expediente REF.EXP.ORD.ESC.048-2004/DI)</w:t>
        <w:br/>
        <w:br/>
        <w:t>En el marco de la investigación desarrollada a partir del 22 de diciembre</w:t>
        <w:br/>
        <w:t>de 2004 por la Procuraduría de los Derechos Humanos se desprende, entre</w:t>
        <w:br/>
        <w:t>otros, que el 22 de diciembre de 2004, y el 5 y 25 de enero de 2005, el</w:t>
        <w:br/>
        <w:t>Auxiliar Departamental de la Procuraduría solicitó al Comisario</w:t>
        <w:br/>
        <w:t>Departamental de la Policía Nacional Civil de Escuintla y al Gobernador</w:t>
        <w:br/>
        <w:t>Departamental de Escuintla realizar una investigación exhaustiva del hecho</w:t>
        <w:br/>
        <w:t>denunciado y presentar el respectivo informe circunstanciado[209]. Al</w:t>
        <w:br/>
        <w:t>respecto, consta en el expediente de la Procuraduría una copia del informe</w:t>
        <w:br/>
        <w:t>de investigación de 21 de diciembre de 2004[210] realizado por el agente</w:t>
        <w:br/>
        <w:t>investigador asignado del Servicio de Investigación Criminal de la</w:t>
        <w:br/>
        <w:t>Comisaría 31 de la Policía Nacional Civil de Escuintla (supra párr. 103). A</w:t>
        <w:br/>
        <w:t>su vez, el 23 de diciembre de 2004 el Auxiliar Departamental de la</w:t>
        <w:br/>
        <w:t>Procuraduría solicitó a distintas dependencias de la Policía Nacional</w:t>
        <w:br/>
        <w:t>Civil, brindar medidas de seguridad para la señora B.A. y su familia, sin</w:t>
        <w:br/>
        <w:t>que conste que se haya dispuesto medida alguna al respecto (supra párr.</w:t>
        <w:br/>
        <w:t>95). Además, el Investigador asignado de la Procuraduría realizó cuatro</w:t>
        <w:br/>
        <w:t>informes de investigación de 23 de diciembre de 2004, y 3 de enero, 7 de</w:t>
        <w:br/>
        <w:t>febrero y 22 de marzo de 2005, en los cuales constató la realización de</w:t>
        <w:br/>
        <w:t>diversas diligencias investigativas[211].</w:t>
        <w:br/>
        <w:br/>
        <w:t>El 22 de marzo de 2005 el Investigador asignado de la Procuraduría</w:t>
        <w:br/>
        <w:t>constató, entre otros, que el expediente relativo a la muerte de A.A. de la</w:t>
        <w:br/>
        <w:t>Fiscalía Municipal del Ministerio Público de Santa Lucía Cotzumalguapa se</w:t>
        <w:br/>
        <w:t>había trasladado a la Fiscalía Especial de Derechos Humanos[212]. Por</w:t>
        <w:br/>
        <w:t>tanto, el 7 de junio de 2005 la Auxiliar Departamental de la Procuraduría</w:t>
        <w:br/>
        <w:t>se constituyó en la Fiscalía de Derechos Humanos con el objeto de recabar</w:t>
        <w:br/>
        <w:t>información sobre la investigación penal y constató que dicho expediente se</w:t>
        <w:br/>
        <w:t>encontraba en proceso de investigación[213]. Finalmente, mediante decisión</w:t>
        <w:br/>
        <w:t>de 8 de junio de 2005, el Procurador de los Derechos Humanos resolvió:</w:t>
        <w:br/>
        <w:br/>
        <w:t xml:space="preserve">   I. Declarar la violación del derecho humano a la vida del  señor  [A.A.].</w:t>
        <w:br/>
        <w:t xml:space="preserve">   II. Suspender su actuación en el presente caso, en virtud que los  hechos</w:t>
        <w:br/>
        <w:t xml:space="preserve">   que motivaron la apertura del  expediente  de  mérito,  son  conocidos  e</w:t>
        <w:br/>
        <w:t xml:space="preserve">   investigados por la Fiscalía Especial de Derechos Humanos del  Ministerio</w:t>
        <w:br/>
        <w:t xml:space="preserve">   Público de la ciudad de Guatemala. III.  Certificar  copia  del  presente</w:t>
        <w:br/>
        <w:t xml:space="preserve">   expediente a la Fiscalía Especial  de  Derechos  Humanos  del  Ministerio</w:t>
        <w:br/>
        <w:t xml:space="preserve">   Público de la ciudad de Guatemala,  para  que  se  incorpore  al  proceso</w:t>
        <w:br/>
        <w:t xml:space="preserve">   número dieciséis guion dos  mil  cinco  […],  para  que  coadyuve  en  la</w:t>
        <w:br/>
        <w:t xml:space="preserve">   investigación […][214].</w:t>
        <w:br/>
        <w:br/>
        <w:br/>
        <w:t xml:space="preserve">      D.2. Investigación en torno al alegato de hostigamiento contra B.A.</w:t>
        <w:br/>
        <w:br/>
        <w:t>El 21 de enero de 2005, es decir, durante el período inmediatamente</w:t>
        <w:br/>
        <w:t>posterior a la muerte del señor A.A., la señora B.A. presentó una denuncia</w:t>
        <w:br/>
        <w:t>ante el Ministerio Público, en la cual manifestó que el “14 de enero de</w:t>
        <w:br/>
        <w:t>2005 aproximadamente a las siete de la noche se dirigía de Santa Lucia</w:t>
        <w:br/>
        <w:t>Cotzumalguapa hacia Escuintla, en compañía del señor [GB], conduciéndose en</w:t>
        <w:br/>
        <w:t>su vehículo pick up, cuando se dan cuenta que los habían roseado con un</w:t>
        <w:br/>
        <w:t>líquido, cubriendo parabrisas, techo y palangana, por lo que les impidió la</w:t>
        <w:br/>
        <w:t>visibilidad, y se detuvieron […], ellos presumen que el líquido que los</w:t>
        <w:br/>
        <w:t>cubría era combustible”. Al respecto, se entrevistó a B.A. y G.B., quienes</w:t>
        <w:br/>
        <w:t>manifestaron que “n[o] pudieron observar número de placas de los vehículos</w:t>
        <w:br/>
        <w:t>cercanos a ellos por la poca visibilidad”. Asimismo, se ordenó realizar la</w:t>
        <w:br/>
        <w:t>investigación al Departamento de Investigaciones Criminalísticas, el cual</w:t>
        <w:br/>
        <w:t>indicó “que no fue posible individualizar a ninguna persona testigo del</w:t>
        <w:br/>
        <w:t>presente hecho”. El caso de B.A. fue desestimado el 28 de febrero del 2008,</w:t>
        <w:br/>
        <w:t>por el Juzgado de Primera Instancia de Santa Lucia Cotzumalguapa[215]. Al</w:t>
        <w:br/>
        <w:t>respecto, es un hecho probado que en un escrito de 23 de junio de 2008 se</w:t>
        <w:br/>
        <w:t>informó a la Fiscalía de Derechos Humanos la existencia de la referida</w:t>
        <w:br/>
        <w:t>denuncia de 21 de enero de 2005, y que B.A. “no había solicitado ser</w:t>
        <w:br/>
        <w:t>acogida por el Programa de Protección de Testigos”[216].</w:t>
        <w:br/>
        <w:br/>
        <w:br/>
        <w:t>VIII</w:t>
        <w:br/>
        <w:t>FONDO</w:t>
        <w:br/>
        <w:br/>
        <w:br/>
        <w:t>VIII.1. DERECHOS A LA VIDA E INTEGRIDAD PERSONAL, EN RELACIÓN CON LA</w:t>
        <w:br/>
        <w:t>OBLIGACIÓN DE GARANTIZAR LOS DERECHOS</w:t>
        <w:br/>
        <w:br/>
        <w:t>14. En este Capítulo, la Corte analizará los argumentos  de  la  Comisión  y</w:t>
        <w:br/>
        <w:t xml:space="preserve">    las representantes de que  el  Estado  de  Guatemala  no  garantizó  los</w:t>
        <w:br/>
        <w:t xml:space="preserve">    derechos a la vida e  integridad  personal  de  las  presuntas  víctimas</w:t>
        <w:br/>
        <w:t xml:space="preserve">    reconocidos en los artículos  4[217]  y  5[218]  de  la  Convención.  Al</w:t>
        <w:br/>
        <w:t xml:space="preserve">    respecto, la Comisión y las representantes alegaron que el señor A.A.  y</w:t>
        <w:br/>
        <w:t xml:space="preserve">    la señora B.A. eran defensores de derechos humanos en la  época  de  los</w:t>
        <w:br/>
        <w:t xml:space="preserve">    hechos del presente caso, y que esto  incidiría  en  el  alcance  de  la</w:t>
        <w:br/>
        <w:t xml:space="preserve">    obligación estatal de garantizar a estas personas dichos derechos.  Todo</w:t>
        <w:br/>
        <w:t xml:space="preserve">    ello fue controvertido a su vez por el Estado. En vista de lo  anterior,</w:t>
        <w:br/>
        <w:t xml:space="preserve">    la Corte primero  analizará  la  controversia  relativa  a  la  presunta</w:t>
        <w:br/>
        <w:t xml:space="preserve">    calidad de defensores de derechos humanos del señor  A.A.  y  la  señora</w:t>
        <w:br/>
        <w:t xml:space="preserve">    B.A. a la luz de  su  jurisprudencia  constante  sobre  las  actividades</w:t>
        <w:br/>
        <w:t xml:space="preserve">    realizadas por los defensores y las defensoras de derechos humanos, para</w:t>
        <w:br/>
        <w:t xml:space="preserve">    luego pasar a analizar el alegado incumplimiento del deber de garantizar</w:t>
        <w:br/>
        <w:t xml:space="preserve">    los derechos a la vida e integridad personal, respectivamente, de A.A. y</w:t>
        <w:br/>
        <w:t xml:space="preserve">    B.A. y sus familiares.</w:t>
        <w:br/>
        <w:br/>
        <w:br/>
        <w:t xml:space="preserve">        Calidad de defensores de derechos humanos de A.A. y B.A.</w:t>
        <w:br/>
        <w:br/>
        <w:br/>
        <w:br/>
        <w:br/>
        <w:br/>
        <w:br/>
        <w:t xml:space="preserve">      A.1. Argumentos de la Comisión y de las partes</w:t>
        <w:br/>
        <w:br/>
        <w:t>La Comisión señaló que el señor A.A. reunía el perfil de un defensor de</w:t>
        <w:br/>
        <w:t>derechos humanos que promovía los derechos económicos, sociales o</w:t>
        <w:br/>
        <w:t>culturales, y perseguía la verdad y la justicia en relación con violaciones</w:t>
        <w:br/>
        <w:t>de derechos humanos cometidas durante el conflicto armado interno.</w:t>
        <w:br/>
        <w:br/>
        <w:t>Las representantes afirmaron que tanto A.A. como B.A. ostentaban la calidad</w:t>
        <w:br/>
        <w:t>de defensores de derechos humanos. Señalaron que, desde antes de su exilio,</w:t>
        <w:br/>
        <w:t>el señor A.A. “fundó una cooperativa de ahorro, un sindicato, alfabetizó a</w:t>
        <w:br/>
        <w:t>más de treinta personas y participó en un proyecto de dignificación de</w:t>
        <w:br/>
        <w:t>vivienda. Tras el retorno a la comunidad […] fundó una escuela pública,</w:t>
        <w:br/>
        <w:t>participó en la elaboración de un diagnóstico sobre [el] fracaso y [la]</w:t>
        <w:br/>
        <w:t>deserción escolar, un proyecto de construcción de vivienda digna e impulsó</w:t>
        <w:br/>
        <w:t>la pavimentación y el drenaje de su comunidad. Asimismo, colaboró con la</w:t>
        <w:br/>
        <w:t>Procuraduría de los Derechos Humanos en tema de niñez y juventud e impulso</w:t>
        <w:br/>
        <w:t>procesos de auditoría social”. También destacaron sus “acciones</w:t>
        <w:br/>
        <w:t>relacionadas con la memoria histórica, entre ellas la búsqueda de justicia</w:t>
        <w:br/>
        <w:t>por la desaparición forzada de su hijo”. En relación a B.A., las</w:t>
        <w:br/>
        <w:t>representantes indicaron que al regresar a Guatemala en el año 1997,</w:t>
        <w:br/>
        <w:t>aquélla habría participado “activamente en su comunidad, defendiendo los</w:t>
        <w:br/>
        <w:t>derechos de la mujer, el derecho a la participación política a nivel</w:t>
        <w:br/>
        <w:t>comunitario, municipal y nacional, y promoviendo la protección al ambiente</w:t>
        <w:br/>
        <w:t>frente al impacto de los monocultivos del lugar”. Igualmente, habría</w:t>
        <w:br/>
        <w:t>luchado por “la verdad y la justicia respecto a la desaparición forzada de</w:t>
        <w:br/>
        <w:t>su hermano […]”. Sostuvieron que en el año 2004 B.A. “acept[ó] trabajar con</w:t>
        <w:br/>
        <w:t>el gobierno municipal como Oficial de Organización Social, encargada del</w:t>
        <w:br/>
        <w:t>proceso de democratización del municipio a través del fomento de la</w:t>
        <w:br/>
        <w:t>participación comunitaria. En esa época, se desempañaba también como</w:t>
        <w:br/>
        <w:t>Secretaria del COCODE […de Santa Lucía Cotzumalguapa]”. Asimismo,</w:t>
        <w:br/>
        <w:t>destacaron que en el año 2010 “la Procuraduría de Derechos Humanos le</w:t>
        <w:br/>
        <w:t>otorgó un reconocimiento por la labor de defensa sobre igualdad de derechos</w:t>
        <w:br/>
        <w:t>de las mujeres”.</w:t>
        <w:br/>
        <w:br/>
        <w:t>El Estado señaló que tanto las peticionarias como la Comisión han procurado</w:t>
        <w:br/>
        <w:t>hacer ver la calidad de defensor de derechos humanos del señor A.A. sin</w:t>
        <w:br/>
        <w:t>presentar pruebas que acreditasen dicha calidad. Afirmó que “no consta que</w:t>
        <w:br/>
        <w:t>en realidad el [señor A.A.] haya fungido en alguna institución como</w:t>
        <w:br/>
        <w:t>defensor de derechos humanos […]. Lo único que consta es que se desempeñaba</w:t>
        <w:br/>
        <w:t>activamente en actividades políticas de su comunidad […]”. Además, estimó</w:t>
        <w:br/>
        <w:t>que la calificación de defensor de derechos humanos “constituye un</w:t>
        <w:br/>
        <w:t>aprovechamiento de la amplitud a la cual la definición de derechos humanos</w:t>
        <w:br/>
        <w:t>responde”. Finalmente, alegó que tampoco está acreditada la calidad de</w:t>
        <w:br/>
        <w:t>defensora de derechos humanos de la señora B.A.</w:t>
        <w:br/>
        <w:br/>
        <w:br/>
        <w:t xml:space="preserve">      A.2. Consideraciones de la Corte</w:t>
        <w:br/>
        <w:br/>
        <w:t>En diversas ocasiones, esta Corte ha destacado la labor realizada por los</w:t>
        <w:br/>
        <w:t>defensores y defensoras de derechos humanos, considerándola “fundamental</w:t>
        <w:br/>
        <w:t>para el fortalecimiento de la democracia y el Estado de Derecho”[219].</w:t>
        <w:br/>
        <w:t>Además, la Organización de los Estados Americanos ha señalado que los</w:t>
        <w:br/>
        <w:t>Estados miembros deben reconocer la “valiosa contribución [de las</w:t>
        <w:br/>
        <w:t>defensoras y los defensores] para la promoción, protección y respeto de los</w:t>
        <w:br/>
        <w:t>derechos humanos y libertades fundamentales […]”[220].</w:t>
        <w:br/>
        <w:br/>
        <w:t>Esta Corte ha considerado que la calidad de defensor de derechos humanos</w:t>
        <w:br/>
        <w:t>radica en la labor que se realiza, con independencia de que la persona que</w:t>
        <w:br/>
        <w:t>lo haga sea un particular o un funcionario público[221]. Al respecto, la</w:t>
        <w:br/>
        <w:t>Corte se ha referido a las actividades de vigilancia, denuncia y</w:t>
        <w:br/>
        <w:t>educación[222] que realizan las defensoras y los defensores de derechos</w:t>
        <w:br/>
        <w:t>humanos, resaltando que la defensa de los derechos no sólo atiende a los</w:t>
        <w:br/>
        <w:t>derechos civiles y políticos, sino que abarca necesariamente los derechos</w:t>
        <w:br/>
        <w:t>económicos, sociales y culturales, de conformidad con los principios de</w:t>
        <w:br/>
        <w:t>universalidad, indivisibilidad e interdependencia[223]. A su vez, esta</w:t>
        <w:br/>
        <w:t>Corte reconoce que existe un consenso internacional respecto a que las</w:t>
        <w:br/>
        <w:t>actividades realizadas por las defensoras de derechos humanos son las de</w:t>
        <w:br/>
        <w:t>promoción y protección de los derechos humanos, entre otras. En este</w:t>
        <w:br/>
        <w:t>sentido se han pronunciado la Alta Comisionada de las Naciones Unidas para</w:t>
        <w:br/>
        <w:t>los Derechos Humanos[224], el Consejo de la Unión Europea[225], la Asamblea</w:t>
        <w:br/>
        <w:t>Parlamentaria de la Unión Europea[226] y la Comisión Interamericana de</w:t>
        <w:br/>
        <w:t>Derechos Humanos[227]. Asimismo, la Declaración sobre el derecho y el deber</w:t>
        <w:br/>
        <w:t>de los individuos, los grupos y las instituciones de promover y proteger</w:t>
        <w:br/>
        <w:t>los derechos humanos y las libertades fundamentales universalmente</w:t>
        <w:br/>
        <w:t>reconocidos, aprobada por la Asamblea General de las Naciones Unidas</w:t>
        <w:br/>
        <w:t>mediante Resolución A/RES/53/144 de 1999, establece en su artículo 1 que</w:t>
        <w:br/>
        <w:t>“[t]oda persona tiene derecho, individual o colectivamente, a promover y</w:t>
        <w:br/>
        <w:t>procurar la protección y realización de los derechos humanos y las</w:t>
        <w:br/>
        <w:t>libertades fundamentales en los planos nacional e internacional”. Aunado a</w:t>
        <w:br/>
        <w:t>lo anterior, dichas actividades, a consideración de esta Corte, deben ser</w:t>
        <w:br/>
        <w:t>realizadas de forma pacífica, por lo que no se incluyen en este concepto</w:t>
        <w:br/>
        <w:t>los actos violentos o que propagan la violencia[228]. Asimismo, la Corte</w:t>
        <w:br/>
        <w:t>destaca que las mencionadas actividades de promoción y protección de los</w:t>
        <w:br/>
        <w:t>derechos humanos pueden ejercerse de forma intermitente u ocasional, por lo</w:t>
        <w:br/>
        <w:t>que la calidad de defensora de derechos humanos no constituye</w:t>
        <w:br/>
        <w:t>necesariamente una condición permanente[229].</w:t>
        <w:br/>
        <w:br/>
        <w:t>El señor A.A., con anterioridad a su exilio a México, organizó un sindicato</w:t>
        <w:br/>
        <w:t>en un ingenio azucarero y participó en proyectos de dignificación de</w:t>
        <w:br/>
        <w:t>viviendas así como para la creación de una cooperativa, entre otras</w:t>
        <w:br/>
        <w:t>actividades. Al regresar a la aldea de Cruce de la Esperanza, participó en</w:t>
        <w:br/>
        <w:t>la fundación de la Asociación de Desarrollo Integral de Personas con</w:t>
        <w:br/>
        <w:t>Discapacidad de Occidente y Sur de Guatemala. Asimismo, en 1998 promovió la</w:t>
        <w:br/>
        <w:t>construcción de la Escuela Autogestión Comunitaria de dicha aldea,</w:t>
        <w:br/>
        <w:t>desempeñándose posteriormente como integrante y Presidente de su comité</w:t>
        <w:br/>
        <w:t>educativo. Asimismo, en el año 2001 formó parte de un comité conformado por</w:t>
        <w:br/>
        <w:t>vecinos del municipio a fin de atender la situación de deserción, bajo</w:t>
        <w:br/>
        <w:t>rendimiento y ausencia de la niña en la escuela. Al año siguiente fue</w:t>
        <w:br/>
        <w:t>nombrado como “Héroe Anónimo” por el Sistema de las Naciones Unidas en</w:t>
        <w:br/>
        <w:t>Guatemala, entre otras entidades, por su “comprom[iso] con la construcción</w:t>
        <w:br/>
        <w:t>de la paz y el desarrollo de su comunidad”, a través de actividades tales</w:t>
        <w:br/>
        <w:t>como “la construcción de viviendas para gente necesitada”. Además, en el</w:t>
        <w:br/>
        <w:t>año 2003, desde el Comité de Cultura y Deportes de la Aldea Cruce de la</w:t>
        <w:br/>
        <w:t>Esperanza, promovió la construcción de un polideportivo y un Instituto de</w:t>
        <w:br/>
        <w:t>Educación Básica con el objetivo “de que los niños y jóvenes [tuvieran…]</w:t>
        <w:br/>
        <w:t>donde completar su educación y fomentar la [p]luriculturalidad,</w:t>
        <w:br/>
        <w:t>especialmente en el área deportiva […y] el campo musical […]”. Por otro</w:t>
        <w:br/>
        <w:t>lado, como Alcalde Comunitario del COCODE de la Aldea Cruce de la</w:t>
        <w:br/>
        <w:t>Esperanza, impulsó actividades para la recuperación de la memoria histórica</w:t>
        <w:br/>
        <w:t>en relación con conflicto armado interno. A la fecha de su muerte, buscaba</w:t>
        <w:br/>
        <w:t>justicia por la desaparición forzada de su hijo, Y.A. (supra párrs. 82 a</w:t>
        <w:br/>
        <w:t>88).</w:t>
        <w:br/>
        <w:br/>
        <w:t>De lo expuesto se deduce que, desde antes de su salida a México, el señor</w:t>
        <w:br/>
        <w:t>A.A. realizó actividades a fin de promover los derechos sindicales y el</w:t>
        <w:br/>
        <w:t>derecho a una vida digna a través de la construcción de viviendas (supra</w:t>
        <w:br/>
        <w:t>párrs. 82 y 84), entre otras actividades. A su regreso a la Aldea Cruce de</w:t>
        <w:br/>
        <w:t>la Esperanza, realizó actividades a fin de promover el derecho a la</w:t>
        <w:br/>
        <w:t>educación de los niños y las niñas, los derechos a una vida digna y a los</w:t>
        <w:br/>
        <w:t>beneficios de la cultura, así como los derechos de personas con</w:t>
        <w:br/>
        <w:t>discapacidades. Además, como parte de sus funciones como Alcalde del COCODE</w:t>
        <w:br/>
        <w:t>de dicha aldea, realizó actividades a fin de promover el derecho a la</w:t>
        <w:br/>
        <w:t>verdad respecto de las violaciones a los derechos humanos cometidas durante</w:t>
        <w:br/>
        <w:t>el conflicto armado guatemalteco. En consecuencia, la Corte considera que</w:t>
        <w:br/>
        <w:t>el señor A.A. ostentaba la calidad de defensor de derechos humanos tanto</w:t>
        <w:br/>
        <w:t>antes de su exilio a México como después de su regreso a Santa Lucía, y al</w:t>
        <w:br/>
        <w:t>momento de su muerte.</w:t>
        <w:br/>
        <w:br/>
        <w:t>La señora B.A., como parte de sus funciones de Oficial de Organización</w:t>
        <w:br/>
        <w:t>Social de Santa Lucía, participó en el año 2004 en la organización de</w:t>
        <w:br/>
        <w:t>sindicatos en dicho municipio[230]. Además, tomó parte activa en la</w:t>
        <w:br/>
        <w:t>búsqueda de justicia por la desaparición forzada de su hermano, Y.A., tanto</w:t>
        <w:br/>
        <w:t>en las investigaciones desarrolladas a nivel interno, como ante las</w:t>
        <w:br/>
        <w:t>instancias internacionales que derivaron en el Caso Gudiel Álvarez y otros</w:t>
        <w:br/>
        <w:t>(“Diario Militar”) Vs. Guatemala (supra párr. 90). A partir de su regreso a</w:t>
        <w:br/>
        <w:t>Santa Lucía en el año 2006, la señora B.A. retomó las actividades que</w:t>
        <w:br/>
        <w:t>realizaba como Oficial de Organización Social, las cuales, como se</w:t>
        <w:br/>
        <w:t>mencionó, incluían la organización de sindicatos. Asimismo, en el año 2011</w:t>
        <w:br/>
        <w:t>la Auxiliatura Departamental de los Derechos Humanos del Municipio de La</w:t>
        <w:br/>
        <w:t>Gomera, en el Departamento de Escuintla, le otorgó un reconocimiento por su</w:t>
        <w:br/>
        <w:t>aportación a la dignificación de los derechos de la mujer (supra párr.</w:t>
        <w:br/>
        <w:t>100)[231]. En consecuencia, la Corte considera que, para el año 2004, la</w:t>
        <w:br/>
        <w:t>señora B.A. realizaba actividades a fin de promover los derechos sindicales</w:t>
        <w:br/>
        <w:t>y el derecho a la verdad. A su regreso a Santa Lucía en el año 2006 y hasta</w:t>
        <w:br/>
        <w:t>al menos el año 2011, realizó actividades a fin de promover los derechos de</w:t>
        <w:br/>
        <w:t>la mujer. En vista de lo anterior, la Corte la considerará como defensora</w:t>
        <w:br/>
        <w:t>de derechos humanos durante estos períodos.</w:t>
        <w:br/>
        <w:br/>
        <w:br/>
        <w:t xml:space="preserve">      Derechos a la vida e integridad personal en relación con la obligación</w:t>
        <w:br/>
        <w:t xml:space="preserve">      de garantizar los derechos</w:t>
        <w:br/>
        <w:br/>
        <w:br/>
        <w:br/>
        <w:br/>
        <w:br/>
        <w:br/>
        <w:t xml:space="preserve">      B.1. Alegatos de la Comisión y de las partes</w:t>
        <w:br/>
        <w:br/>
        <w:t>La Comisión alegó que el Estado es “responsable de la violación al derecho</w:t>
        <w:br/>
        <w:t>a la vida en perjuicio de [A.A.]”, ya que tenía conocimiento de que éste se</w:t>
        <w:br/>
        <w:t>encontraba en una situación de riesgo real e inminente. Al respecto, señaló</w:t>
        <w:br/>
        <w:t>que el 26 de noviembre de 2003 la señora B.A. denunció ante el Ministerio</w:t>
        <w:br/>
        <w:t>Público que un ex kaibil del Ejército de Guatemala la amenazó a ella, a su</w:t>
        <w:br/>
        <w:t>padre y a su hijo a través de una llamada telefónica, y que, según la</w:t>
        <w:br/>
        <w:t>información aportada por B.A. no controvertida por el Estado, la familia A</w:t>
        <w:br/>
        <w:t>“hizo de conocimiento al Alcalde Municipal que un grupo de hombres que</w:t>
        <w:br/>
        <w:t>estaban armados se encontraban vigilando por las noches la casa de [A.A.]”</w:t>
        <w:br/>
        <w:t>con anterioridad a su muerte. Sin embargo, el Estado no habría adoptado</w:t>
        <w:br/>
        <w:t>medidas específicas de protección ni investigado dicha situación, pese a</w:t>
        <w:br/>
        <w:t>que el señor A.A. “reunía justo el perfil de los defensores que eran</w:t>
        <w:br/>
        <w:t>agredidos” en el contexto específico de violaciones en Guatemala a los</w:t>
        <w:br/>
        <w:t>derechos de defensores de derechos humanos que ejercían un liderazgo social</w:t>
        <w:br/>
        <w:t>y buscaban justicia por hechos ocurridos durante el conflicto. En sentido</w:t>
        <w:br/>
        <w:t>distinto, la Comisión también sostuvo que la pérdida de un ser querido en</w:t>
        <w:br/>
        <w:t>un contexto como el descrito en el presente caso, entre otros factores,</w:t>
        <w:br/>
        <w:t>conllevó una violación al derecho a la integridad personal de sus</w:t>
        <w:br/>
        <w:t>familiares.</w:t>
        <w:br/>
        <w:br/>
        <w:t>Por otro lado, la Comisión presentó cinco grupos de argumentos para</w:t>
        <w:br/>
        <w:t>sostener la alegada violación del derecho a la integridad psíquica y moral</w:t>
        <w:br/>
        <w:t>en perjuicio de la familia del señor A.A., debido a que el Estado habría</w:t>
        <w:br/>
        <w:t>tenido conocimiento de amenazas en contra de dichas personas, pero no</w:t>
        <w:br/>
        <w:t>habría investigado dichas amenazas ni brindado medidas de protección para</w:t>
        <w:br/>
        <w:t>enfrentarlas[232]. Por lo anterior, así como por los hostigamientos,</w:t>
        <w:br/>
        <w:t>vigilancia y atentados que vivieron los días posteriores al asesinato de</w:t>
        <w:br/>
        <w:t>A.A., el Estado violó su derecho a la integridad psíquica y moral.</w:t>
        <w:br/>
        <w:br/>
        <w:t>Las representantes alegaron que el homicidio del señor A.A. ocurrió</w:t>
        <w:br/>
        <w:t>“después de que él y su familia sufrieron distintas intimidaciones y de que</w:t>
        <w:br/>
        <w:t>el Ministerio Público recibiese una denuncia por las amenazas que en su</w:t>
        <w:br/>
        <w:t>contra emitió [un] ex kaibil […]. La ausencia de diligencias de</w:t>
        <w:br/>
        <w:t>investigación en relación a estos hechos no sólo generó las condiciones</w:t>
        <w:br/>
        <w:t>adecuadas para las posteriores amenazas y, eventualmente su asesinato, sino</w:t>
        <w:br/>
        <w:t>también para que la familia [A] decidiera no denunciar los hechos que</w:t>
        <w:br/>
        <w:t>sucedieron después ante esta institución, y hacerlo frente a otras”.</w:t>
        <w:br/>
        <w:t>Señalaron que al momento de los hechos existía un riesgo real e inmediato</w:t>
        <w:br/>
        <w:t>para la vida de A.A., ya que “la amenaza de muerte era especialmente grave</w:t>
        <w:br/>
        <w:t>si [se tiene] en cuenta las características del presunto agresor, un ex</w:t>
        <w:br/>
        <w:t>kaibil, […] la de la familia agredida, defensores de derechos humanos y</w:t>
        <w:br/>
        <w:t>desmovilizados, el contexto de post conflicto y los claros vínculos de la</w:t>
        <w:br/>
        <w:t>amenaza con el liderazgo comunitario y la promoción de la auditoria social</w:t>
        <w:br/>
        <w:t>y la ciudadanía participativa de los defensores”. También señalaron que</w:t>
        <w:br/>
        <w:t>actos de vigilancia y de hostigamiento anteriores a su muerte fueron</w:t>
        <w:br/>
        <w:t>reportados por la familia al Alcalde Municipal. Por ello, “al no investigar</w:t>
        <w:br/>
        <w:t>los hechos, ni brindar la protección debida, [el Estado] no garantizó el</w:t>
        <w:br/>
        <w:t>pleno goce y disfrute de los derechos de la Convención […] a [A.A.] y a su</w:t>
        <w:br/>
        <w:t>familia”. Por tanto, “a [A.A.] le fue violado el derecho a la vida”.  Por</w:t>
        <w:br/>
        <w:t>otro lado, en relación con la alegada violación del derecho a la integridad</w:t>
        <w:br/>
        <w:t>personal de los familiares del señor A.A. como consecuencia del homicidio,</w:t>
        <w:br/>
        <w:t>así como por la falta de protección que habrían sufrido, las representantes</w:t>
        <w:br/>
        <w:t>coincidieron con los argumentos presentados por la Comisión. Finalmente,</w:t>
        <w:br/>
        <w:t>las representantes señalaron que “el deber de protección del Estado de</w:t>
        <w:br/>
        <w:t>Guatemala estaba reforzado por la condición de defensores y defensoras de</w:t>
        <w:br/>
        <w:t>derechos humanos de las [presuntas] víctimas y la situación de riesgo</w:t>
        <w:br/>
        <w:t>estructural que ese grupo afrontaba” en Guatemala en la época de los</w:t>
        <w:br/>
        <w:t>hechos.</w:t>
        <w:br/>
        <w:br/>
        <w:t>El Estado sostuvo que no es responsable de la violación del derecho a la</w:t>
        <w:br/>
        <w:t>vida de A.A., “toda vez que en cuanto a su deber de prevención, existe</w:t>
        <w:br/>
        <w:t>regulado el reconocimiento y garantía del mismo [en su ordenamiento</w:t>
        <w:br/>
        <w:t>jurídico interno]”. Además, no se hizo de su conocimiento ningún hecho</w:t>
        <w:br/>
        <w:t>intimidatorio o amenazante que constituyera una situación de peligro para</w:t>
        <w:br/>
        <w:t>su vida, ni una solicitud de medidas de protección, más que una denuncia</w:t>
        <w:br/>
        <w:t>presentada supuestamente un año antes del hecho. Al respecto, señaló que</w:t>
        <w:br/>
        <w:t>del tiempo transcurrido entre la denuncia referida y la muerte del señor</w:t>
        <w:br/>
        <w:t>A.A. se evidencia que no existió un riesgo real e inmediato. “Luego, al</w:t>
        <w:br/>
        <w:t>hacerse de su conocimiento […] la muerte del señor [A.A.], emprendió una</w:t>
        <w:br/>
        <w:t>investigación seria y diligente […]”. Asimismo, el Estado señaló que “[l]as</w:t>
        <w:br/>
        <w:t>peticionarias y la Comisión han procurado hacer ver que el señor [A.A.]</w:t>
        <w:br/>
        <w:t>perdió la vida como represalia […] por su calidad de defensor de derechos</w:t>
        <w:br/>
        <w:t>humanos y por su supuesta participación en investigar hechos del</w:t>
        <w:br/>
        <w:t>enfrentamiento armado interno. No obstante, no presentan pruebas que</w:t>
        <w:br/>
        <w:t>confirmen su hipótesis […]”. Según el Estado, “a efectos de enmarcar los</w:t>
        <w:br/>
        <w:t>hechos del presente caso dentro de un contexto histórico, referente a la</w:t>
        <w:br/>
        <w:t>época del enfrentamiento armado interno […las representantes] han hecho uso</w:t>
        <w:br/>
        <w:t>de una serie de […] argumentaciones, sobre antecedentes […que] forman parte</w:t>
        <w:br/>
        <w:t>de un contexto histórico, el cual es innegable, sin embargo, […no]</w:t>
        <w:br/>
        <w:t>establecen un vínculo causal que legitima razonablemente y da a presumir la</w:t>
        <w:br/>
        <w:t>posible relación de dichos antecedentes […] con los hechos propios del</w:t>
        <w:br/>
        <w:t>presente caso”.</w:t>
        <w:br/>
        <w:br/>
        <w:t>En cuanto a la alegada violación del derecho a la integridad personal de</w:t>
        <w:br/>
        <w:t>los familiares del señor A.A., el Estado sostuvo que este derecho también</w:t>
        <w:br/>
        <w:t>está contemplado y garantizado en su derecho interno. Además, si bien</w:t>
        <w:br/>
        <w:t>lamenta el sufrimiento que pudo producir el fallecimiento del señor A.A.,</w:t>
        <w:br/>
        <w:t>éste no fue causado por el Estado. Por otro lado, respecto al argumento de</w:t>
        <w:br/>
        <w:t>que los familiares de A.A. sufrieron vejámenes contra su integridad</w:t>
        <w:br/>
        <w:t>personal por supuestas amenazas y hostigamientos con posterioridad al</w:t>
        <w:br/>
        <w:t>homicidio, el Estado indicó que no se proporcionó ninguna prueba que</w:t>
        <w:br/>
        <w:t>hiciere evidente que éste tuvo conocimiento de ello y que no investigó. En</w:t>
        <w:br/>
        <w:t>cuanto a la denuncia de B.A. sobre el incidente de la gasolina roseada en</w:t>
        <w:br/>
        <w:t>su carro, señaló que se inspeccionó ocularmente y entrevistó a personas, no</w:t>
        <w:br/>
        <w:t>obstante, no se obtuvo información que permitiese al ente investigador</w:t>
        <w:br/>
        <w:t>procesar a alguien. Lo anterior, no haría valido afirmar que el Estado no</w:t>
        <w:br/>
        <w:t>hubiese actuado ante dicho hecho. En lo que se refiere a las demás</w:t>
        <w:br/>
        <w:t>situaciones señaladas, sostuvo que en ningún momento se presentaron</w:t>
        <w:br/>
        <w:t>denuncias del modo que correspondería, por lo que el Estado se limitó a</w:t>
        <w:br/>
        <w:t>investigar sobre la muerte de A.A.</w:t>
        <w:br/>
        <w:br/>
        <w:br/>
        <w:t xml:space="preserve">      B.2. Consideraciones de la Corte</w:t>
        <w:br/>
        <w:br/>
        <w:t>De acuerdo con el artículo 1.1 de la Convención, los Estados están</w:t>
        <w:br/>
        <w:t>obligados a respetar y garantizar los derechos humanos reconocidos en</w:t>
        <w:br/>
        <w:t>ella[233]. En cuanto a los derechos a la vida y a la integridad personal,</w:t>
        <w:br/>
        <w:t>estas obligaciones no sólo implican que el Estado debe respetarlos</w:t>
        <w:br/>
        <w:t>(obligación negativa), sino que, además, requiere que el Estado adopte</w:t>
        <w:br/>
        <w:t>todas las medidas apropiadas para garantizarlos (obligación positiva)[234].</w:t>
        <w:br/>
        <w:br/>
        <w:br/>
        <w:t>La obligación de garantizar los derechos a la vida e integridad personal</w:t>
        <w:br/>
        <w:t>presupone el deber de los Estados de prevenir las violaciones a dichos</w:t>
        <w:br/>
        <w:t>derechos. Este deber de prevención abarca todas aquellas medidas de</w:t>
        <w:br/>
        <w:t>carácter jurídico, político, administrativo y cultural que promuevan la</w:t>
        <w:br/>
        <w:t>salvaguarda de los derechos humanos y que aseguren que las eventuales</w:t>
        <w:br/>
        <w:t>violaciones a los mismos sean efectivamente consideradas y tratadas como un</w:t>
        <w:br/>
        <w:t>hecho ilícito que, como tal, es susceptible de acarrear sanciones para</w:t>
        <w:br/>
        <w:t>quien las cometa, así como la obligación de indemnizar a las víctimas por</w:t>
        <w:br/>
        <w:t>sus consecuencias perjudiciales. Es claro, a su vez, que la obligación de</w:t>
        <w:br/>
        <w:t>prevenir es de medio o comportamiento y no se demuestra su incumplimiento</w:t>
        <w:br/>
        <w:t>por el mero hecho de que un derecho haya sido violado[235].</w:t>
        <w:br/>
        <w:br/>
        <w:t>La obligación de garantía se proyecta más allá de la relación entre los</w:t>
        <w:br/>
        <w:t>agentes estatales y las personas sometidas a su jurisdicción, abarcando</w:t>
        <w:br/>
        <w:t>asimismo el deber de prevenir, en la esfera privada, que terceros vulneren</w:t>
        <w:br/>
        <w:t>los bienes jurídicos protegidos[236]. Conforme a la jurisprudencia de la</w:t>
        <w:br/>
        <w:t>Corte es claro que un Estado no puede ser responsable por cualquier</w:t>
        <w:br/>
        <w:t>violación de derechos humanos cometida entre particulares dentro de su</w:t>
        <w:br/>
        <w:t>jurisdicción. En efecto, las obligaciones convencionales de garantía a</w:t>
        <w:br/>
        <w:t>cargo de los Estados no implican una responsabilidad ilimitada de los</w:t>
        <w:br/>
        <w:t>Estados frente a cualquier acto o hecho de particulares, pues sus deberes</w:t>
        <w:br/>
        <w:t>de adoptar medidas de prevención y protección de los particulares en sus</w:t>
        <w:br/>
        <w:t>relaciones entre sí se encuentran condicionados al conocimiento de una</w:t>
        <w:br/>
        <w:t>situación de riesgo real e inmediato para un individuo o grupo de</w:t>
        <w:br/>
        <w:t>individuos determinado – o a que el Estado debió conocer dicha situación de</w:t>
        <w:br/>
        <w:t>riesgo real e inmediato[237] - y a las posibilidades razonables de prevenir</w:t>
        <w:br/>
        <w:t>o evitar ese riesgo. Es decir, aunque un acto u omisión de un particular</w:t>
        <w:br/>
        <w:t>tenga como consecuencia jurídica la violación de determinados derechos</w:t>
        <w:br/>
        <w:t>humanos de otro particular, aquél no es automáticamente atribuible al</w:t>
        <w:br/>
        <w:t>Estado, pues debe atenderse a las circunstancias particulares del caso y a</w:t>
        <w:br/>
        <w:t>la concreción de dichas obligaciones de garantía[238]. En este sentido, la</w:t>
        <w:br/>
        <w:t>Corte deberá verificar si corresponde atribuir responsabilidad del Estado</w:t>
        <w:br/>
        <w:t>en el caso concreto.</w:t>
        <w:br/>
        <w:br/>
        <w:t>Esta Corte también ha señalado que, además de las obligaciones generales de</w:t>
        <w:br/>
        <w:t>respetar y garantizar los derechos, del artículo 1.1. de la Convención</w:t>
        <w:br/>
        <w:t>derivan deberes especiales, determinables en función de las particulares</w:t>
        <w:br/>
        <w:t>necesidades de protección del sujeto de derecho, ya sea por su condición</w:t>
        <w:br/>
        <w:t>personal o por la situación específica en que se encuentre[239]. En esta</w:t>
        <w:br/>
        <w:t>línea, la Corte recuerda que en determinados contextos, los Estados tienen</w:t>
        <w:br/>
        <w:t>la obligación de adoptar todas las medidas necesarias y razonables para</w:t>
        <w:br/>
        <w:t>garantizar el derecho a la vida, libertad personal e integridad personal de</w:t>
        <w:br/>
        <w:t>aquellas personas que se encuentren en una situación de especial</w:t>
        <w:br/>
        <w:t>vulnerabilidad, especialmente como consecuencia de su labor, siempre y</w:t>
        <w:br/>
        <w:t>cuando el Estado tenga conocimiento de un riesgo real e inmediato en contra</w:t>
        <w:br/>
        <w:t>de éstos y toda vez que existan posibilidades razonables de prevenir o</w:t>
        <w:br/>
        <w:t>evitar ese riesgo[240].</w:t>
        <w:br/>
        <w:br/>
        <w:t>La Corte reitera que la defensa de los derechos humanos sólo puede</w:t>
        <w:br/>
        <w:t>ejercerse libremente cuando las personas que la realizan no son víctimas de</w:t>
        <w:br/>
        <w:t>amenazas ni de cualquier tipo de agresiones físicas, psíquicas o morales u</w:t>
        <w:br/>
        <w:t>otros actos de hostigamiento[241]. Para tales efectos, es deber del Estado</w:t>
        <w:br/>
        <w:t>no sólo crear las condiciones legales y formales, sino también garantizar</w:t>
        <w:br/>
        <w:t>las condiciones fácticas en las cuales los defensores de derechos humanos</w:t>
        <w:br/>
        <w:t>puedan desarrollar libremente su función[242]. A su vez, los Estados deben</w:t>
        <w:br/>
        <w:t>facilitar los medios necesarios para que las personas defensoras de</w:t>
        <w:br/>
        <w:t>derechos humanos o que cumplan una función pública respecto de la cual se</w:t>
        <w:br/>
        <w:t>encuentren amenazados o en situación de riesgo o denuncien violaciones a</w:t>
        <w:br/>
        <w:t>derechos humanos, puedan realizar libremente sus actividades; protegerlos</w:t>
        <w:br/>
        <w:t>cuando son objeto de amenazas para evitar los atentados a su vida e</w:t>
        <w:br/>
        <w:t>integridad; generar las condiciones para la erradicación de violaciones por</w:t>
        <w:br/>
        <w:t>parte de agentes estatales o de particulares; abstenerse de imponer</w:t>
        <w:br/>
        <w:t>obstáculos que dificulten la realización de su labor, e investigar seria y</w:t>
        <w:br/>
        <w:t>eficazmente las violaciones cometidas en su contra, combatiendo la</w:t>
        <w:br/>
        <w:t>impunidad[243]. En definitiva, la obligación del Estado de garantizar los</w:t>
        <w:br/>
        <w:t>derechos a la vida e integridad personal de las personas se ve reforzada</w:t>
        <w:br/>
        <w:t>cuando se trata de un defensor o defensora de derechos humanos.</w:t>
        <w:br/>
        <w:br/>
        <w:t>En este caso no se han alegado violaciones del deber del Estado de respetar</w:t>
        <w:br/>
        <w:t>los derechos a la vida e integridad personal. La controversia ha sido</w:t>
        <w:br/>
        <w:t>planteada únicamente respecto a la obligación de garantizar dichos</w:t>
        <w:br/>
        <w:t>derechos. De este modo, la Corte analizará si en este caso se configuraron</w:t>
        <w:br/>
        <w:t>los requisitos para que surgiera la responsabilidad del Estado por</w:t>
        <w:br/>
        <w:t>incumplimiento de su obligación positiva de garantizar los derechos</w:t>
        <w:br/>
        <w:t>humanos, tomando las medidas necesarias para prevenir las violaciones. Para</w:t>
        <w:br/>
        <w:t>ello, debe verificarse que al momento de los hechos existía una situación</w:t>
        <w:br/>
        <w:t>de riesgo real e inmediato para la vida o integridad personal de un</w:t>
        <w:br/>
        <w:t>individuo o grupo de individuos determinados, que las autoridades conocían</w:t>
        <w:br/>
        <w:t>o debían tener conocimiento, y que no adoptaron las medidas necesarias</w:t>
        <w:br/>
        <w:t>dentro del ámbito de sus atribuciones que, juzgadas razonablemente, podían</w:t>
        <w:br/>
        <w:t>esperarse para prevenir o evitar ese riesgo[244]. La Corte analizará la</w:t>
        <w:br/>
        <w:t>existencia de estos supuestos, a la luz de las denuncias realizadas ante</w:t>
        <w:br/>
        <w:t>órganos o funcionarios públicos, respecto de las cuales se puede verificar</w:t>
        <w:br/>
        <w:t>el conocimiento estatal previo[245]. En el presente caso, la Corte también</w:t>
        <w:br/>
        <w:t>tomará en cuenta que en los años 2003 y 2004 el Estado de Guatemala tenía</w:t>
        <w:br/>
        <w:t>conocimiento de una situación de especial vulnerabilidad para las</w:t>
        <w:br/>
        <w:t>defensoras y los defensores de derechos humanos, particularmente aquéllos</w:t>
        <w:br/>
        <w:t>que buscaban la protección o promoción de los derechos económicos,</w:t>
        <w:br/>
        <w:t>culturales y sociales, así como la verdad y la justicia en relación con las</w:t>
        <w:br/>
        <w:t>violaciones a los derechos humanos cometidas durante el conflicto armado</w:t>
        <w:br/>
        <w:t>interno (supra párr. 78), tal como lo hacían el señor A.A. y la señora B.A.</w:t>
        <w:br/>
        <w:t>(supra párrs. 131 y 132). Todo ello a la luz de los estándares de</w:t>
        <w:br/>
        <w:t>prevención y protección indicados anteriormente.</w:t>
        <w:br/>
        <w:br/>
        <w:t xml:space="preserve">      B.2.1. Alegado incumplimiento del deber de garantizar la vida del</w:t>
        <w:br/>
        <w:t xml:space="preserve">      señor A.A.</w:t>
        <w:br/>
        <w:br/>
        <w:t xml:space="preserve"> En cuanto al alegado incumplimiento por parte del Estado de garantizar la</w:t>
        <w:br/>
        <w:t>vida del señor A.A., esta Corte constata que la Comisión y las</w:t>
        <w:br/>
        <w:t>representantes fundamentaron sus alegaciones de que el Estado tuvo</w:t>
        <w:br/>
        <w:t>conocimiento de una situación de riesgo real e inmediato para la vida del</w:t>
        <w:br/>
        <w:t>señor A.A. con base en dos supuestos: primero, en que la señora B.A. habría</w:t>
        <w:br/>
        <w:t>denunciado una amenaza en contra de ella, de su hijo y de su padre el 26 de</w:t>
        <w:br/>
        <w:t>noviembre de 2003 ante el Ministerio Público y, segundo, en que la familia</w:t>
        <w:br/>
        <w:t>A hizo de conocimiento del entonces Alcalde Municipal de Santa Lucía</w:t>
        <w:br/>
        <w:t>Cotzumalguapa la existencia de actos de hostigamiento y vigilancia en</w:t>
        <w:br/>
        <w:t>contra del señor A.A. con anterioridad la muerte de éste.</w:t>
        <w:br/>
        <w:br/>
        <w:t>En cuanto al primer supuesto, la Corte destaca que, en el escrito de</w:t>
        <w:br/>
        <w:t>contestación y durante la audiencia pública, el Estado sostuvo como</w:t>
        <w:br/>
        <w:t>posición en el litigio y basó su defensa en la falta de prueba sobre la</w:t>
        <w:br/>
        <w:t>existencia de la mencionada denuncia de 26 de noviembre de 2006 y, en</w:t>
        <w:br/>
        <w:t>específico, negó su existencia. No obstante, una vez que la Corte solicitó</w:t>
        <w:br/>
        <w:t>a las partes la presentación de dicha denuncia, y que tanto el Estado como</w:t>
        <w:br/>
        <w:t>las representantes la remitieron a la Corte, Guatemala sostuvo en su</w:t>
        <w:br/>
        <w:t>escrito de alegatos finales que ésta “en ningún momento hac[e] referencia,</w:t>
        <w:br/>
        <w:t>mucho menos mencion[a] al señor [A.A.] como sujeto víctima de la amenaza</w:t>
        <w:br/>
        <w:t>denunciada por la señora [B.A.]”. Por su parte, las representantes</w:t>
        <w:br/>
        <w:t>reiteraron que la amenaza recibida el 25 de noviembre de 2005 fue en contra</w:t>
        <w:br/>
        <w:t>de A.A., B.A.y su hijo, lo cual B.A. “manifestó al interponer su denuncia”</w:t>
        <w:br/>
        <w:t>al día siguiente, y que la omisión del señor A.A. en la misma se debió a un</w:t>
        <w:br/>
        <w:t>“error de transcripción del oficial de la Fiscalía que [la] redactó”. La</w:t>
        <w:br/>
        <w:t>Comisión señaló que en la totalidad del procedimiento ante ella, el Estado</w:t>
        <w:br/>
        <w:t>nunca controvirtió la denuncia interpuesta por la señora B.A., y resaltó</w:t>
        <w:br/>
        <w:t>que “de manera consistente tanto en sus declaraciones en el ámbito interno</w:t>
        <w:br/>
        <w:t>como ante la Comisión y la Corte, [B.A.] ha indicado que su padre también</w:t>
        <w:br/>
        <w:t>había sido amenazado”. A su vez, sostuvo que correspondía al Estado</w:t>
        <w:br/>
        <w:t>investigar el alcance de los hechos que fueron puestos en su conocimiento,</w:t>
        <w:br/>
        <w:t>lo cual incluye las personas que fueron amenazadas y las circunstancias de</w:t>
        <w:br/>
        <w:t>modo, tiempo y lugar específicas.</w:t>
        <w:br/>
        <w:br/>
        <w:t>Esta Corte ya estableció que en la referida denuncia de noviembre de 2003,</w:t>
        <w:br/>
        <w:t>únicamente se constató que un ex kaibil del Ejército guatemalteco habría</w:t>
        <w:br/>
        <w:t>amenazado a través de una llamada telefónica a la señora B.A. y a su hijo,</w:t>
        <w:br/>
        <w:t>y que aquél habría amenazado a su hermana en una ocasión anterior (supra</w:t>
        <w:br/>
        <w:t>párr. 91). En consecuencia, si bien la señora B.A. ha sido consistente en</w:t>
        <w:br/>
        <w:t>declaraciones realizadas con posterioridad a la muerte del señor A.A.[246],</w:t>
        <w:br/>
        <w:t>al indicar que la amenaza telefónica habría sido proferida en contra de</w:t>
        <w:br/>
        <w:t>ella, su hijo y su padre, esta Corte nota que la mencionada denuncia se</w:t>
        <w:br/>
        <w:t>encuentra firmada por aquélla. De este modo, la Corte no cuenta con</w:t>
        <w:br/>
        <w:t>elementos para acreditar que el Estado fue puesto en conocimiento de una</w:t>
        <w:br/>
        <w:t>amenaza en contra del señor A.A. en dicha ocasión.</w:t>
        <w:br/>
        <w:br/>
        <w:t>Por otro lado, respecto al conocimiento que habría tenido el entonces</w:t>
        <w:br/>
        <w:t>Alcalde Municipal de Santa Lucía Cotzumalguapa sobre la situación de riesgo</w:t>
        <w:br/>
        <w:t>del señor A.A. con anterioridad a su muerte, consta en el expediente que el</w:t>
        <w:br/>
        <w:t>5 de diciembre de 2010 aquél declaró que A.A. fue uno de los líderes</w:t>
        <w:br/>
        <w:t>comunitarios amenazados en el municipio “por su visión democrática y</w:t>
        <w:br/>
        <w:t>revolucionaria[,…] pues su conocimiento sobre [el] desarrollo humano y su</w:t>
        <w:br/>
        <w:t>metodología de trabajo […] causaba en la comunidad aceptación y</w:t>
        <w:br/>
        <w:t>complacencia […], pero mucho descontento y coraje en figuras con liderazgos</w:t>
        <w:br/>
        <w:t>muy marcados por el caudillismo y la corrupción del pasado y sobre todo</w:t>
        <w:br/>
        <w:t>ligados al aparato de represión de la época del conflicto armado</w:t>
        <w:br/>
        <w:t>interno”[247]. Seguidamente, se refirió a la muerte violenta de varios</w:t>
        <w:br/>
        <w:t>líderes comunitarios, las cuales, según éste, acaecieron con posterioridad</w:t>
        <w:br/>
        <w:t>a la muerte del señor A.A. Al respecto, no resulta claro de la declaración</w:t>
        <w:br/>
        <w:t>del entonces Alcalde Municipal si éste tuvo conocimiento de las amenazas en</w:t>
        <w:br/>
        <w:t>contra del señor A.A. con anterioridad a su muerte, o bien, si se trata de</w:t>
        <w:br/>
        <w:t>un relato retrospectivo del “sistema de amenazas” en contra de los “líderes</w:t>
        <w:br/>
        <w:t>y lidere[s]as” del municipio, dentro del cual el señor A.A. habría sido el</w:t>
        <w:br/>
        <w:t>primero en perder la vida.</w:t>
        <w:br/>
        <w:br/>
        <w:t>Igualmente, se desprende del acervo probatorio que el 22 de diciembre de</w:t>
        <w:br/>
        <w:t>2004, dos días después de la muerte del señor A.A., el entonces Alcalde</w:t>
        <w:br/>
        <w:t>Municipal manifestó ante la Auxiliatura Departamental de Escuintla de la</w:t>
        <w:br/>
        <w:t>Procuraduría de los Derechos Humanos (supra párr. 121), que tenía</w:t>
        <w:br/>
        <w:t>conocimiento de que el señor A.A. tuvo “varios problemas” con un señor</w:t>
        <w:br/>
        <w:t>llamado M.M., “quien recientemente se tomaba atribuciones de Alcalde</w:t>
        <w:br/>
        <w:t>Auxiliar que no le correspond[ían] porque el Alcalde Auxiliar era [el señor</w:t>
        <w:br/>
        <w:t xml:space="preserve"> A.A.]”[248]. Sin embargo, la Corte considera que lo descrito por el</w:t>
        <w:br/>
        <w:t>entonces Alcalde Municipal es insuficiente para concluir que el Estado</w:t>
        <w:br/>
        <w:t>conocía la existencia de una situación de riesgo real e inmediato de que</w:t>
        <w:br/>
        <w:t>peligraba la vida del señor A.A. con anterioridad a su muerte.</w:t>
        <w:br/>
        <w:br/>
        <w:t>En consecuencia, una vez evaluadas las pruebas aportadas por la Comisión y</w:t>
        <w:br/>
        <w:t>las partes, la Corte considera que no cuenta con elementos suficientes para</w:t>
        <w:br/>
        <w:t>acreditar que el Estado tenía o debió tener conocimiento de una situación</w:t>
        <w:br/>
        <w:t>de riesgo real e inmediato para la vida del señor A.A. con anterioridad a</w:t>
        <w:br/>
        <w:t>su muerte, generándose de ese modo el deber de adoptar las medidas</w:t>
        <w:br/>
        <w:t>necesarias para enfrentar dicho riesgo. La Corte nota que la Comisión y las</w:t>
        <w:br/>
        <w:t>representantes no proporcionaron otros elementos a fin de evidenciar que el</w:t>
        <w:br/>
        <w:t>Estado debió conocer la situación de riesgo particular del señor A.A.</w:t>
        <w:br/>
        <w:t>dentro del contexto de vulnerabilidad para defensores de derechos humanos</w:t>
        <w:br/>
        <w:t>en el que se encontraba (supra párr. 78). Por tanto, la Corte considera que</w:t>
        <w:br/>
        <w:t>no cuenta con elementos suficientes para declarar un incumplimiento por</w:t>
        <w:br/>
        <w:t>parte del Estado de su deber de proteger la vida del señor A.A., en los</w:t>
        <w:br/>
        <w:t>términos del artículo 4.1 de la Convención Americana, en relación con el</w:t>
        <w:br/>
        <w:t>artículo 1.1 de dicho tratado. De este modo, la Corte no considera</w:t>
        <w:br/>
        <w:t>procedente analizar las posibles afectaciones a la integridad personal de</w:t>
        <w:br/>
        <w:t>sus familiares ocasionadas a raíz de la muerte del señor A.A. Como lo ha</w:t>
        <w:br/>
        <w:t>hecho anteriormente[249], la Corte realizará el análisis sobre la</w:t>
        <w:br/>
        <w:t>obligación de llevar a cabo una investigación efectiva con la debida</w:t>
        <w:br/>
        <w:t>diligencia en el Capítulo VIII.4 relativo a los artículos 8 y 25 de la</w:t>
        <w:br/>
        <w:t>Convención.</w:t>
        <w:br/>
        <w:br/>
        <w:t xml:space="preserve">      B.2.2. Incumplimiento del deber de garantizar la integridad personal</w:t>
        <w:br/>
        <w:t xml:space="preserve">      de</w:t>
        <w:br/>
        <w:t xml:space="preserve">      la señora B.A. y su familia</w:t>
        <w:br/>
        <w:br/>
        <w:t>15. En cuanto al alegado incumplimiento por parte del Estado  de  garantizar</w:t>
        <w:br/>
        <w:t xml:space="preserve">    la integridad personal de la señora B.A. y su familia, la Corte constata</w:t>
        <w:br/>
        <w:t xml:space="preserve">    que, con anterioridad a la muerte del señor A.A., aquélla interpuso  las</w:t>
        <w:br/>
        <w:t xml:space="preserve">    siguientes denuncias ante el Ministerio Público: i) el 26  de  noviembre</w:t>
        <w:br/>
        <w:t xml:space="preserve">    de 2003 denunció ante la Fiscalía del Ministerio Público que ella  y  su</w:t>
        <w:br/>
        <w:t xml:space="preserve">    hijo fueron víctimas de una amenaza proveniente  de  un  ex  kaibil  del</w:t>
        <w:br/>
        <w:t xml:space="preserve">    Ejército guatemalteco, y ii) el 20 de  febrero  de  2004  compareció  al</w:t>
        <w:br/>
        <w:t xml:space="preserve">    Centro de Mediación del Organismo Judicial de Guatemala  para  denunciar</w:t>
        <w:br/>
        <w:t xml:space="preserve">    que fue víctima de amenazas recibidas por  parte  del  señor  PM  (supra</w:t>
        <w:br/>
        <w:t xml:space="preserve">    párrs. 91 y 92). Además, durante los cinco meses posteriores a la muerte</w:t>
        <w:br/>
        <w:t xml:space="preserve">    del señor A.A. y en diversas oportunidades, B.A. relató ante agentes  de</w:t>
        <w:br/>
        <w:t xml:space="preserve">    la Policía Nacional Civil  de  Escuintla,  de  la  Procuraduría  de  los</w:t>
        <w:br/>
        <w:t xml:space="preserve">    Derechos Humanos y del Ministerio Público, la amenaza que había recibido</w:t>
        <w:br/>
        <w:t xml:space="preserve">    en el año 2003 y reiteró la existencia de la denuncia que interpuso ante</w:t>
        <w:br/>
        <w:t xml:space="preserve">    el Ministerio Público el 26 de noviembre de 2003[250]. También  presentó</w:t>
        <w:br/>
        <w:t xml:space="preserve">    una nueva denuncia ante el Ministerio Público el 21 de  enero  de  2005,</w:t>
        <w:br/>
        <w:t xml:space="preserve">    mediante la cual sostuvo la existencia de un supuesto atentado  ocurrido</w:t>
        <w:br/>
        <w:t xml:space="preserve">    el 14 de enero de 2005 (supra párr. 123).</w:t>
        <w:br/>
        <w:br/>
        <w:t>16. Por otro lado, durante los nueve días posteriores a la muerte del  señor</w:t>
        <w:br/>
        <w:t xml:space="preserve">    A.A., consta que se puso en conocimiento de la Procuraduría de  Derechos</w:t>
        <w:br/>
        <w:t xml:space="preserve">    Humanos  y  del  entonces  Alcalde  Municipal  la  existencia  de  actos</w:t>
        <w:br/>
        <w:t xml:space="preserve">    intimidatorios en contra de B.A. y su familia en  las  cercanías  de  su</w:t>
        <w:br/>
        <w:t xml:space="preserve">    residencia. Sobre este punto, consta que: i) el 23 de diciembre de  2004</w:t>
        <w:br/>
        <w:t xml:space="preserve">    el Investigador asignado de la Procuraduría de Derechos Humanos  realizó</w:t>
        <w:br/>
        <w:t xml:space="preserve">    un informe en el cual señaló  que,  “[p]or  entrevistas  [realizadas]  a</w:t>
        <w:br/>
        <w:t xml:space="preserve">    varios vecinos de la familia [A] […,] es evidente que  [aquélla…]  sufre</w:t>
        <w:br/>
        <w:t xml:space="preserve">    de intimidaciones constantes por grupos de personas desconocidas que  se</w:t>
        <w:br/>
        <w:t xml:space="preserve">    conducen fuertemente armadas y […] se presentan en  horas  de  la  noche</w:t>
        <w:br/>
        <w:t xml:space="preserve">    disparando en las cercanías de la casa de la familia” (supra párr. 121);</w:t>
        <w:br/>
        <w:t xml:space="preserve">    ii) ese mismo día el Auxiliar Departamental de la Procuraduría  solicitó</w:t>
        <w:br/>
        <w:t xml:space="preserve">    al Jefe de la Sub Estación de la Policía Nacional Civil de  Santa  Lucía</w:t>
        <w:br/>
        <w:t xml:space="preserve">    Cotzumalguapa y al Comisario Departamental de  la  Comisaría  31  de  la</w:t>
        <w:br/>
        <w:t xml:space="preserve">    Policía Nacional Civil  de  Escuintla,  brindar  “medidas  de  seguridad</w:t>
        <w:br/>
        <w:t xml:space="preserve">    perimetral y personal a la señora [B.A.] y su familia”, sin  que  conste</w:t>
        <w:br/>
        <w:t xml:space="preserve">    que se haya dispuesto medida alguna al respecto (supra párr. 95), y iii)</w:t>
        <w:br/>
        <w:t xml:space="preserve">    mediante el accionar del Alcalde Municipal de Santa Lucía, agentes de la</w:t>
        <w:br/>
        <w:t xml:space="preserve">    Policía  Municipal  de  Tránsito  realizaron  patrullajes  al   área   y</w:t>
        <w:br/>
        <w:t xml:space="preserve">    acompañamiento a la familia durante los nueve días de rezos  posteriores</w:t>
        <w:br/>
        <w:t xml:space="preserve">    a la muerte del señor A.A. (supra párr. 96).</w:t>
        <w:br/>
        <w:br/>
        <w:t>17. Durante los cinco meses posteriores a la  muerte  del  señor  A.A.,  sus</w:t>
        <w:br/>
        <w:t xml:space="preserve">    hijas B.A. y E.A. relataron en  diversas  oportunidades  a  agentes  del</w:t>
        <w:br/>
        <w:t xml:space="preserve">    Ministerio Público la existencia de actos intimidatorios sufridos por la</w:t>
        <w:br/>
        <w:t xml:space="preserve">    familia durante el período de nueves días de rezos mencionados[251]. Por</w:t>
        <w:br/>
        <w:t xml:space="preserve">    su parte, B.A. también se refirió a actos intimidatorios sufridos un mes</w:t>
        <w:br/>
        <w:t xml:space="preserve">    antes de dicha muerte[252].  Asimismo,  el  6  de  febrero  de  2005  el</w:t>
        <w:br/>
        <w:t xml:space="preserve">    Auxiliar  Departamental  de  la   Procuraduría   de   Derechos   Humanos</w:t>
        <w:br/>
        <w:t xml:space="preserve">    estableció,  sobre  la  base  de  las  entrevistas  realizadas  por   el</w:t>
        <w:br/>
        <w:t xml:space="preserve">    Investigador asignado de la Procuraduría a los vecinos y a un miembro de</w:t>
        <w:br/>
        <w:t xml:space="preserve">    la familia A, que “el día 20 de  diciembre  en  horas  de  la  noche  un</w:t>
        <w:br/>
        <w:t xml:space="preserve">    aproximado de 5 a 7 personas fuertemente armadas  uniformadas  con  ropa</w:t>
        <w:br/>
        <w:t xml:space="preserve">    del Ejército de Guatemala ([k]aibiles) que se conducían en dos vehículos</w:t>
        <w:br/>
        <w:t xml:space="preserve">    uno […] con placas con códigos militares y otro […] que no tenía placas,</w:t>
        <w:br/>
        <w:t xml:space="preserve">    estuvieron frente y [a] los alrededores [de] la  casa  donde  se  estaba</w:t>
        <w:br/>
        <w:t xml:space="preserve">    realizando el velorio de los restos mortales del señor  [A.A.],  durante</w:t>
        <w:br/>
        <w:t xml:space="preserve">    toda la noche […]”[253], sin  que  el  Ministerio  de  Defensa  Nacional</w:t>
        <w:br/>
        <w:t xml:space="preserve">    pudiera establecer que se hayan efectuado patrullajes militares ese  día</w:t>
        <w:br/>
        <w:t xml:space="preserve">    y  en  ese  lugar,  ni  que  se  contarán  con  los  vehículos  de   las</w:t>
        <w:br/>
        <w:t xml:space="preserve">    características descritas[254].</w:t>
        <w:br/>
        <w:br/>
        <w:t>18. Con base en los hechos expuestos, la Corte considera que  a  partir  del</w:t>
        <w:br/>
        <w:t xml:space="preserve">    20 de diciembre de 2003 la señora B.A. y los miembros de su  familia  se</w:t>
        <w:br/>
        <w:t xml:space="preserve">    encontraban en una situación de riesgo real e inmediato a su  integridad</w:t>
        <w:br/>
        <w:t xml:space="preserve">    personal. La Corte valora primordialmente que el 26 de noviembre de 2003</w:t>
        <w:br/>
        <w:t xml:space="preserve">    denunció haber sido amenazada debido a sus labores y que en el año  2004</w:t>
        <w:br/>
        <w:t xml:space="preserve">    denunció una nueva amenaza (supra  párr.  150);  que  durante  los  días</w:t>
        <w:br/>
        <w:t xml:space="preserve">    posteriores a  la  muerte  del  señor  A.A.  estaba  siendo  víctima  de</w:t>
        <w:br/>
        <w:t xml:space="preserve">    intimidaciones constantes por grupos de  personas  desconocidas  que  se</w:t>
        <w:br/>
        <w:t xml:space="preserve">    conducían fuertemente armadas y quienes se presentaban en  horas  de  la</w:t>
        <w:br/>
        <w:t xml:space="preserve">    noche (supra párrs. 151 y 152); que se trataba de una persona  defensora</w:t>
        <w:br/>
        <w:t xml:space="preserve">    de derechos humanos, así como las labores y actividades que  desempeñaba</w:t>
        <w:br/>
        <w:t xml:space="preserve">    en el momento de los hechos en defensa de los  derechos  humanos  (supra</w:t>
        <w:br/>
        <w:t xml:space="preserve">    párr. 132).  Todo  ello  en  un  contexto  de  vulnerabilidad  para  las</w:t>
        <w:br/>
        <w:t xml:space="preserve">    defensoras y los defensores de  derechos  humanos  en  Guatemala  (supra</w:t>
        <w:br/>
        <w:t xml:space="preserve">    párr. 78). Tomando en cuenta dichas circunstancias  que  enmarcaron  los</w:t>
        <w:br/>
        <w:t xml:space="preserve">    hechos del presente caso, así como la situación particular de la  señora</w:t>
        <w:br/>
        <w:t xml:space="preserve">    B.A., para la Corte existen  motivos  razonables  para  deducir  que  la</w:t>
        <w:br/>
        <w:t xml:space="preserve">    situación  de  riesgo  en  que  se  encontraba  podía  estar   vinculada</w:t>
        <w:br/>
        <w:t xml:space="preserve">    especialmente con que se trataba de una persona  defensora  de  derechos</w:t>
        <w:br/>
        <w:t xml:space="preserve">    humanos y con las labores y actividades que desempeñaba en el momento de</w:t>
        <w:br/>
        <w:t xml:space="preserve">    los  hechos,  lo  cual  la  colocó  en   una   situación   de   especial</w:t>
        <w:br/>
        <w:t xml:space="preserve">    vulnerabilidad.</w:t>
        <w:br/>
        <w:br/>
        <w:t>19. En este caso también se verifica la existencia del conocimiento  estatal</w:t>
        <w:br/>
        <w:t xml:space="preserve">    previo sobre el riesgo concreto a la integridad personal  de  la  señora</w:t>
        <w:br/>
        <w:t xml:space="preserve">    B.A. y su familia. En efecto, la señora B.A. denunció ante el Ministerio</w:t>
        <w:br/>
        <w:t xml:space="preserve">    Público,  autoridad  competente  y  a  quien   en   el   presente   caso</w:t>
        <w:br/>
        <w:t xml:space="preserve">    correspondería adoptar las medidas apropiadas, las amenazas recibidas en</w:t>
        <w:br/>
        <w:t xml:space="preserve">    el año 2003 y 2004. Además, los presuntos actos intimidatorios en contra</w:t>
        <w:br/>
        <w:t xml:space="preserve">    de ella y su familia, ocurridos durante los nueve días posteriores a  la</w:t>
        <w:br/>
        <w:t xml:space="preserve">    muerte del señor A.A., fueron puestos en conocimiento,  precisamente  en</w:t>
        <w:br/>
        <w:t xml:space="preserve">    los primeros momentos de esos nueve días,  de  la  Procuraduría  de  los</w:t>
        <w:br/>
        <w:t xml:space="preserve">    Derechos Humanos, la cual lo informó a  la  Policía  Nacional  Civil  de</w:t>
        <w:br/>
        <w:t xml:space="preserve">    Escuintla,  y  del  Alcalde   Municipal.   Igualmente,   en   reiteradas</w:t>
        <w:br/>
        <w:t xml:space="preserve">    oportunidades durante los cinco meses posteriores a la muerte del  señor</w:t>
        <w:br/>
        <w:t xml:space="preserve">    A.A., B.A. informó al Ministerio Público sobre la  denuncia  interpuesta</w:t>
        <w:br/>
        <w:t xml:space="preserve">    el 26 de noviembre de 2003, así como los presuntos actos  intimidatorios</w:t>
        <w:br/>
        <w:t xml:space="preserve">    ocurridos un mes  antes  de  dicha  muerte  y  durante  los  nueve  días</w:t>
        <w:br/>
        <w:t xml:space="preserve">    posteriores a ésta. Durante esos cinco meses también relató a agentes de</w:t>
        <w:br/>
        <w:t xml:space="preserve">    la Policía Nacional Civil de Escuintla  y  de  la  Procuraduría  de  los</w:t>
        <w:br/>
        <w:t xml:space="preserve">    Derechos Humanos la amenaza que había recibido  en  el  año  2003  y  la</w:t>
        <w:br/>
        <w:t xml:space="preserve">    denuncia interpuesta el 26 de  noviembre  de  2003  ante  el  Ministerio</w:t>
        <w:br/>
        <w:t xml:space="preserve">    Público (supra párrs. 150 a 152).</w:t>
        <w:br/>
        <w:br/>
        <w:t>20. Sobre este punto y en lo que se refiere a las denuncias realizadas  ante</w:t>
        <w:br/>
        <w:t xml:space="preserve">    la Procuraduría de los Derechos Humanos y el Alcalde Municipal, la Corte</w:t>
        <w:br/>
        <w:t xml:space="preserve">    recuerda  que  corresponde  a  las  autoridades  estatales   que   toman</w:t>
        <w:br/>
        <w:t xml:space="preserve">    conocimiento de una situación de riesgo especial, identificar o  valorar</w:t>
        <w:br/>
        <w:t xml:space="preserve">    si la persona objeto de amenazas y hostigamientos requiere de medidas de</w:t>
        <w:br/>
        <w:t xml:space="preserve">    protección o remitir el asunto a la autoridad competente  para  hacerlo,</w:t>
        <w:br/>
        <w:t xml:space="preserve">    así como ofrecer a la persona en riesgo información oportuna  sobre  las</w:t>
        <w:br/>
        <w:t xml:space="preserve">    medidas disponibles. La valoración sobre si una persona requiere medidas</w:t>
        <w:br/>
        <w:t xml:space="preserve">    de protección y cuáles son las medidas adecuadas es una  obligación  que</w:t>
        <w:br/>
        <w:t xml:space="preserve">    corresponde al Estado y no puede restringirse a que la propia víctima lo</w:t>
        <w:br/>
        <w:t xml:space="preserve">    solicite a “las autoridades competentes”, ni que conozca  con  exactitud</w:t>
        <w:br/>
        <w:t xml:space="preserve">    cuál es la autoridad en mejor capacidad de atender su situación, ya  que</w:t>
        <w:br/>
        <w:t xml:space="preserve">    corresponde al Estado  establecer  medidas  de  coordinación  entre  sus</w:t>
        <w:br/>
        <w:t xml:space="preserve">    entidades y funcionarios para tal fin[255].</w:t>
        <w:br/>
        <w:br/>
        <w:t>21. Respecto a las medidas adoptadas por el  Estado,  en  primer  lugar,  la</w:t>
        <w:br/>
        <w:t xml:space="preserve">    Corte constató  que,  no  obstante  las  denuncias  realizadas  ante  el</w:t>
        <w:br/>
        <w:t xml:space="preserve">    Ministerio Público y la información que en reiteradas  oportunidades  se</w:t>
        <w:br/>
        <w:t xml:space="preserve">    puso en su conocimiento (supra párrs. 150 y 152), éste no adoptó ninguna</w:t>
        <w:br/>
        <w:t xml:space="preserve">    medida para proteger a la señora B.A. y su familia, ni para averiguar la</w:t>
        <w:br/>
        <w:t xml:space="preserve">    situación o el nivel de riesgo al cual estarían expuestos. Por tanto, la</w:t>
        <w:br/>
        <w:t xml:space="preserve">    actuación del Ministerio Público no  fue  adecuada  ni  efectiva  en  el</w:t>
        <w:br/>
        <w:t xml:space="preserve">    sentido de contrarrestar  el  riesgo  contra  la  integridad  de  dichas</w:t>
        <w:br/>
        <w:t xml:space="preserve">    personas. Ahora bien,  la  Corte  considera  necesario  referirse  a  la</w:t>
        <w:br/>
        <w:t xml:space="preserve">    actuación de la Procuraduría de los  Derechos  Humanos,  de  la  Policía</w:t>
        <w:br/>
        <w:t xml:space="preserve">    Nacional Civil y del Alcalde Municipal, en reacción al riesgo  existente</w:t>
        <w:br/>
        <w:t xml:space="preserve">    durante los nueve días posteriores a la muerte del señor A.A. y una  vez</w:t>
        <w:br/>
        <w:t xml:space="preserve">    que tuvieron conocimiento del mismo. La Corte observa que, aun cuando el</w:t>
        <w:br/>
        <w:t xml:space="preserve">    22  y  23  de  diciembre  de  2004  el  Auxiliar  Departamental  de   la</w:t>
        <w:br/>
        <w:t xml:space="preserve">    Procuraduría solicitó a distintas dependencias de  la  Policía  Nacional</w:t>
        <w:br/>
        <w:t xml:space="preserve">    Civil brindar medidas de seguridad para la  señora  B.A.  y  su  familia</w:t>
        <w:br/>
        <w:t xml:space="preserve">    (supra párr. 151), no se desprende  que  se  haya  dispuesto  medida  de</w:t>
        <w:br/>
        <w:t xml:space="preserve">    protección alguna[256]. La única medida de apoyo dispuesta fue  mediante</w:t>
        <w:br/>
        <w:t xml:space="preserve">    el accionar del Alcalde Municipal de Santa Lucía, cuando agentes  de  la</w:t>
        <w:br/>
        <w:t xml:space="preserve">    Policía  Municipal  de  Tránsito  realizaron  patrullajes  al   área   y</w:t>
        <w:br/>
        <w:t xml:space="preserve">    acompañamiento a la familia durante los nueve días de rezos  posteriores</w:t>
        <w:br/>
        <w:t xml:space="preserve">    a la muerte del señor A.A. (supra párr. 151).</w:t>
        <w:br/>
        <w:br/>
        <w:t>22. Es criterio de la Corte  que  los  Estados  deben  disponer  de  medidas</w:t>
        <w:br/>
        <w:t xml:space="preserve">    especiales de  protección  adecuadas  y  efectivas[257].  Para  que  las</w:t>
        <w:br/>
        <w:t xml:space="preserve">    medidas sean adecuadas, deben ser idóneas para enfrentar la situación de</w:t>
        <w:br/>
        <w:t xml:space="preserve">    riesgo en que se encuentre la persona y, para ser efectivas,  deben  ser</w:t>
        <w:br/>
        <w:t xml:space="preserve">    capaces de producir los resultados para el que han sido concebidos[258].</w:t>
        <w:br/>
        <w:t xml:space="preserve">    La Corte considera que,  al  tratarse  de  defensoras  y  defensores  de</w:t>
        <w:br/>
        <w:t xml:space="preserve">    derechos humanos, para que se cumpla con el requisito  de  idoneidad  es</w:t>
        <w:br/>
        <w:t xml:space="preserve">    necesario que las medidas especiales de protección: a) sean acordes  con</w:t>
        <w:br/>
        <w:t xml:space="preserve">    las funciones que desempeñan las defensoras y los defensores[259]; b) el</w:t>
        <w:br/>
        <w:t xml:space="preserve">    nivel de riesgo debe ser objeto de una evaluación a  fin  de  adoptar  y</w:t>
        <w:br/>
        <w:t xml:space="preserve">    monitorear las medidas que se encuentren vigentes[260]; y c) deben poder</w:t>
        <w:br/>
        <w:t xml:space="preserve">    ser modificadas según la variación de la intensidad de riesgo[261]. Para</w:t>
        <w:br/>
        <w:t xml:space="preserve">    tales  efectos,  es  necesario  que  la  modalidad  de  las  medidas  de</w:t>
        <w:br/>
        <w:t xml:space="preserve">    protección sea acordada en consulta con las defensoras y los  defensores</w:t>
        <w:br/>
        <w:t xml:space="preserve">    para concretar una intervención oportuna, especializada  y  proporcional</w:t>
        <w:br/>
        <w:t xml:space="preserve">    al riesgo que pudiera enfrentar el defensor o defensora. A  su  vez,  el</w:t>
        <w:br/>
        <w:t xml:space="preserve">    enfoque de  género[262]  debe  tener  especial  importancia  dentro  del</w:t>
        <w:br/>
        <w:t xml:space="preserve">    procedimiento de evaluación del riesgo, ya que podría traducirse  en  un</w:t>
        <w:br/>
        <w:t xml:space="preserve">    impacto diferenciado del nivel de riesgo, así como en la  implementación</w:t>
        <w:br/>
        <w:t xml:space="preserve">    de las medidas de protección. Para la efectividad de las medidas resulta</w:t>
        <w:br/>
        <w:t xml:space="preserve">    esencial: a) una respuesta estatal inmediata desde el primer momento  en</w:t>
        <w:br/>
        <w:t xml:space="preserve">    que toma conocimiento de la existencia del riesgo[263],  para  que  sean</w:t>
        <w:br/>
        <w:t xml:space="preserve">    oportunas; b) que las  personas  que  intervienen  en  la  protección  a</w:t>
        <w:br/>
        <w:t xml:space="preserve">    defensoras y defensores cuenten  con  la  capacitación  y  entrenamiento</w:t>
        <w:br/>
        <w:t xml:space="preserve">    necesario para desempeñar sus funciones y sobre la  importancia  de  sus</w:t>
        <w:br/>
        <w:t xml:space="preserve">    acciones[264]; y c) deben estar en  vigor  durante  el  tiempo  que  las</w:t>
        <w:br/>
        <w:t xml:space="preserve">    víctimas de violencia o amenazas lo necesiten[265].</w:t>
        <w:br/>
        <w:br/>
        <w:t>23. Es claro que aún a pesar de la  reacción  de  la  Policía  Municipal  de</w:t>
        <w:br/>
        <w:t xml:space="preserve">    Tránsito, las medidas dispuestas no fueron  las  adecuadas  y  efectivas</w:t>
        <w:br/>
        <w:t xml:space="preserve">    para atender las circunstancias del caso específico, debido a que por su</w:t>
        <w:br/>
        <w:t xml:space="preserve">    modalidad y temporalidad no permitían garantizar a  la  señora  B.A.  la</w:t>
        <w:br/>
        <w:t xml:space="preserve">    continuidad en el ejercicio de sus labores y actividades en  defensa  de</w:t>
        <w:br/>
        <w:t xml:space="preserve">    los derechos humanos, aunado a la ausencia de una evaluación de riesgo y</w:t>
        <w:br/>
        <w:t xml:space="preserve">    la posibilidad de  su  eventual  modificación,  así  como  la  falta  de</w:t>
        <w:br/>
        <w:t xml:space="preserve">    capacitación y entrenamiento necesario de las personas que intervinieron</w:t>
        <w:br/>
        <w:t xml:space="preserve">    en la protección. Al analizar estas omisiones, la Corte considera que es</w:t>
        <w:br/>
        <w:t xml:space="preserve">    de especial relevancia que se  trataba  de  una  defensora  de  derechos</w:t>
        <w:br/>
        <w:t xml:space="preserve">    humanos cuya familia había  sufrido  en  el  año  1983  la  desaparición</w:t>
        <w:br/>
        <w:t xml:space="preserve">    forzada por agentes estatales de Y.A., por la  cual  buscaban  justicia;</w:t>
        <w:br/>
        <w:t xml:space="preserve">    que en esa época la  familia  A  fue  considerada  por  las  fuerzas  de</w:t>
        <w:br/>
        <w:t xml:space="preserve">    seguridad como “subversiva”, por lo cual sus miembros se vieron forzados</w:t>
        <w:br/>
        <w:t xml:space="preserve">    a trasladarse dentro de Guatemala, a México y a los  Estados  Unidos,  y</w:t>
        <w:br/>
        <w:t xml:space="preserve">    que dicha familia también sufrió  la  muerte  violenta  del  señor  A.A.</w:t>
        <w:br/>
        <w:t xml:space="preserve">    (supra párr. 83).</w:t>
        <w:br/>
        <w:br/>
        <w:t>24. A su vez, en el presente caso, el contexto  en  que  se  enmarcaron  los</w:t>
        <w:br/>
        <w:t xml:space="preserve">    hechos analizados es un aspecto  fundamental  en  el  que  el  deber  de</w:t>
        <w:br/>
        <w:t xml:space="preserve">    prevención y protección debe ser analizado. La Corte ha dado por probado</w:t>
        <w:br/>
        <w:t xml:space="preserve">    que, a pesar que el Estado tenía pleno conocimiento, al menos  a  partir</w:t>
        <w:br/>
        <w:t xml:space="preserve">    del año 2001 y de forma reiterada con  posterioridad  a  esta  fecha,  a</w:t>
        <w:br/>
        <w:t xml:space="preserve">    través de los informes  de  diversas  organizaciones  internacionales  y</w:t>
        <w:br/>
        <w:t xml:space="preserve">    nacionales, de que los defensores y las defensoras de  derechos  humanos</w:t>
        <w:br/>
        <w:t xml:space="preserve">    en Guatemala enfrentaron un contexto de vulnerabilidad (supra párrs.  76</w:t>
        <w:br/>
        <w:t xml:space="preserve">    y 78), no adoptó medidas adecuadas y efectivas de protección respecto  a</w:t>
        <w:br/>
        <w:t xml:space="preserve">    la señora B.A. y su familia, conforme a las circunstancias que  rodearon</w:t>
        <w:br/>
        <w:t xml:space="preserve">    el caso y a partir del momento en que tuvo conocimiento del riesgo  real</w:t>
        <w:br/>
        <w:t xml:space="preserve">    e inmediato que enfrentaban.  En  consideración  de  los  criterios  que</w:t>
        <w:br/>
        <w:t xml:space="preserve">    definen el deber  estatal  de  proteger  en  contra  de  violaciones  de</w:t>
        <w:br/>
        <w:t xml:space="preserve">    derechos humanos, el Estado tenía el deber de actuar con diligencia ante</w:t>
        <w:br/>
        <w:t xml:space="preserve">    la situación de riesgo especial que  soportaban  la  señora  B.A.  y  su</w:t>
        <w:br/>
        <w:t xml:space="preserve">    familia, más aún debido a que en el  caso  específico  existían  motivos</w:t>
        <w:br/>
        <w:t xml:space="preserve">    razonables para suponer que el motivo de los actos intimidatorios en  su</w:t>
        <w:br/>
        <w:t xml:space="preserve">    contra guardaba relación con las labores que desempeñaba en  el  momento</w:t>
        <w:br/>
        <w:t xml:space="preserve">    de los hechos y que se trataba de  una  persona  defensora  de  derechos</w:t>
        <w:br/>
        <w:t xml:space="preserve">    humanos. Ante la indiferencia estatal, la Corte considera que  Guatemala</w:t>
        <w:br/>
        <w:t xml:space="preserve">    incumplió con su deber de proteger  contra  de  la  vulneración  de  los</w:t>
        <w:br/>
        <w:t xml:space="preserve">    derechos de dichas personas, y que  este  incumplimiento  del  deber  de</w:t>
        <w:br/>
        <w:t xml:space="preserve">    garantía es particularmente serio debido al  contexto  conocido  por  el</w:t>
        <w:br/>
        <w:t xml:space="preserve">    Estado.</w:t>
        <w:br/>
        <w:br/>
        <w:t>25.  Por  tanto,  la  Corte  concluye  que  el  Estado  incumplió  con   sus</w:t>
        <w:br/>
        <w:t xml:space="preserve">    obligaciones de garantizar el derecho a la  integridad  personal  de  la</w:t>
        <w:br/>
        <w:t xml:space="preserve">    señora B.A. y su familia, a través de la adopción de medidas  especiales</w:t>
        <w:br/>
        <w:t xml:space="preserve">    de protección adecuadas y efectivas, lo cual  constituyó  una  violación</w:t>
        <w:br/>
        <w:t xml:space="preserve">    del artículo 5.1 de la Convención Americana, en relación con el artículo</w:t>
        <w:br/>
        <w:t xml:space="preserve">    1.1 de la misma. Además, dado que N.A., J.A. y K.A. eran niños y niña al</w:t>
        <w:br/>
        <w:t xml:space="preserve">    momento de los hechos del caso (supra párr. 97), la  Corte  concluye  en</w:t>
        <w:br/>
        <w:t xml:space="preserve">    aplicación del principio iura novit curia[266] que las violaciones a  su</w:t>
        <w:br/>
        <w:t xml:space="preserve">    respecto ocurren también en relación  con  el  artículo  19[267]  de  la</w:t>
        <w:br/>
        <w:t xml:space="preserve">    Convención. La alegada  falta  de  una  investigación  efectiva  de  las</w:t>
        <w:br/>
        <w:t xml:space="preserve">    denuncias presentadas por la señora B.A. y sus familiares  se  realizará</w:t>
        <w:br/>
        <w:t xml:space="preserve">    en el  Capítulo  VIII.4,  relativo  a  las  garantías  judiciales  y  la</w:t>
        <w:br/>
        <w:t xml:space="preserve">    protección judicial.</w:t>
        <w:br/>
        <w:br/>
        <w:br/>
        <w:t>VIII.2. DERECHO DE CIRCULACIÓN Y RESIDENCIA, EN RELACIÓN CON LA OBLIGACIÓN</w:t>
        <w:br/>
        <w:t>DE GARANTIZAR LOS DERECHOS</w:t>
        <w:br/>
        <w:br/>
        <w:t>En el presente capítulo la Corte analizará la alegada violación del derecho</w:t>
        <w:br/>
        <w:t>de circulación y residencia[268].</w:t>
        <w:br/>
        <w:br/>
        <w:br/>
        <w:t xml:space="preserve">        Argumentos de la Comisión y de las partes</w:t>
        <w:br/>
        <w:br/>
        <w:br/>
        <w:br/>
        <w:br/>
        <w:br/>
        <w:t>La Comisión argumentó la violación del derecho de circulación y residencia</w:t>
        <w:br/>
        <w:t>en perjuicio de B.A. y sus hijos L.A., N.A. y M.A.; de su madre, C.A.; de</w:t>
        <w:br/>
        <w:t>su hermana E.A. y los hijos de ésta, J.A. y K.A., y de sus hermanos F.A. y</w:t>
        <w:br/>
        <w:t>G.A. En primer lugar, mencionó que tras la desaparición forzada de Y.A., la</w:t>
        <w:br/>
        <w:t>familia A habría visto vulnerado este derecho, lo que fue declarado por la</w:t>
        <w:br/>
        <w:t>Corte en el Caso Gudiel Álvarez y otros ("Diario Militar") Vs. Guatemala.</w:t>
        <w:br/>
        <w:t>Por otro lado, argumentó que la familia A se habría visto forzada a</w:t>
        <w:br/>
        <w:t>desplazarse y salir de Santa Lucía Cotzumalguapa por segunda vez tras la</w:t>
        <w:br/>
        <w:t>muerte de A.A. y como consecuencia de la alegada falta de investigación de</w:t>
        <w:br/>
        <w:t>las amenazas previas al asesinato de éste, la situación de impunidad por su</w:t>
        <w:br/>
        <w:t>asesinato, los progresivos hostigamientos, los atentados en su contra y el</w:t>
        <w:br/>
        <w:t>temor de sufrir un ataque contra su vida, así como la ausencia de medidas</w:t>
        <w:br/>
        <w:t>efectivas de protección con posterioridad a la celebración de la novena, lo</w:t>
        <w:br/>
        <w:t>cual sería violatorio del artículo 22 de la Convención Americana, en</w:t>
        <w:br/>
        <w:t>relación con el artículo 1.1 de la misma. En específico, señaló que B.A.,</w:t>
        <w:br/>
        <w:t>junto con sus hijos y su madre C.A., habrían huido temporalmente a México</w:t>
        <w:br/>
        <w:t>en búsqueda de mejores condiciones de seguridad, y E.A., junto con sus</w:t>
        <w:br/>
        <w:t>hijos, se habría desplazado y refugiado en otra parte de Guatemala. Además,</w:t>
        <w:br/>
        <w:t>sostuvo que en México permanecerían F.A. y G.A., quienes no habrían tenido</w:t>
        <w:br/>
        <w:t>la posibilidad de materializar su proyecto de regresar a Guatemala en</w:t>
        <w:br/>
        <w:t>virtud de los hechos materia del presente caso. Por otro lado, la Comisión</w:t>
        <w:br/>
        <w:t>alegó que dichas violaciones conllevaron afectaciones a la integridad</w:t>
        <w:br/>
        <w:t>personal de las personas mencionadas.</w:t>
        <w:br/>
        <w:br/>
        <w:t>Las representantes coincidieron con los argumentos presentados por la</w:t>
        <w:br/>
        <w:t>Comisión y agregaron que “la situación de hostigamiento y el grave riesgo</w:t>
        <w:br/>
        <w:t>en el que se encontraba la familia […] fue conocida por varias autoridades</w:t>
        <w:br/>
        <w:t>estatales, pese a lo cual, no brindaron la adecuada protección”. Alegaron</w:t>
        <w:br/>
        <w:t>también que el miedo a ser blanco de nuevas agresiones habría obligado a la</w:t>
        <w:br/>
        <w:t>familia A a permanecer fuera de su residencia y asentarse en lugares</w:t>
        <w:br/>
        <w:t>diferentes al propio, “debido a la falta de investigación del asesinato y</w:t>
        <w:br/>
        <w:t>de las amenazas posteriores y la deficiencia de medidas de protección</w:t>
        <w:br/>
        <w:t>adecuadas y eficaces desde el Estado […]”.  Por ello, B.A., E.A. y sus</w:t>
        <w:br/>
        <w:t>respectivos hijos se encontrarían en la actualidad en una situación de</w:t>
        <w:br/>
        <w:t>desplazamiento interno. Por otro lado, las representantes alegaron que el</w:t>
        <w:br/>
        <w:t>desplazamiento de dichas personas generó también afectaciones a su</w:t>
        <w:br/>
        <w:t>integridad personal.</w:t>
        <w:br/>
        <w:br/>
        <w:t>El Estado negó que a la familia A se le haya violentado el derecho de</w:t>
        <w:br/>
        <w:t>circulación y residencia. Indicó que su normativa interna garantiza estos</w:t>
        <w:br/>
        <w:t>derechos y que la familia A tomó la decisión de salir del lugar donde</w:t>
        <w:br/>
        <w:t>residía de forma libre y sin ningún tipo de limitación o restricción, y se</w:t>
        <w:br/>
        <w:t>trasladó al lugar que consideraron idóneo para alejarse de supuestas</w:t>
        <w:br/>
        <w:t>amenazas e intimidaciones. Respecto a dichas amenazas, el Estado reiteró</w:t>
        <w:br/>
        <w:t>que en ningún momento se habrían denunciado, por lo que no se podría alegar</w:t>
        <w:br/>
        <w:t>que tenía conocimiento de las mismas. Señaló, por otro lado, que no se</w:t>
        <w:br/>
        <w:t>puede concluir que existió una violación de dichos derechos por la supuesta</w:t>
        <w:br/>
        <w:t>situación de impunidad en que se encontraría el caso del señor A.A., por no</w:t>
        <w:br/>
        <w:t>encontrase tales derechos íntimamente ligados y ser de naturaleza distinta.</w:t>
        <w:br/>
        <w:t>En sus alegatos finales escritos, el Estado se refirió a un informe de la</w:t>
        <w:br/>
        <w:t>Dirección General de Migración del 22 de abril de 2013, mediante el cual se</w:t>
        <w:br/>
        <w:t>señaló que no aparecerían registros migratorios hacia México a C.A., B.A. y</w:t>
        <w:br/>
        <w:t>sus hijos, más allá del registro de salida de B.A. a México en el 2002, y</w:t>
        <w:br/>
        <w:t>que existen pruebas de que permaneció en el país en el año 2005. Por tanto,</w:t>
        <w:br/>
        <w:t>existiría una contradicción entre lo manifestado por las representantes y</w:t>
        <w:br/>
        <w:t>con lo que realmente sucedió,  por lo que éstas faltaron a la verdad. Por</w:t>
        <w:br/>
        <w:t>otra parte, sostuvo que las presuntas víctimas no podrían alegar la</w:t>
        <w:br/>
        <w:t>violación al artículo 22 de la Convención Americana ya que se negaron a</w:t>
        <w:br/>
        <w:t>recibir la protección ofrecida por el Estado. En cuanto a la alegada</w:t>
        <w:br/>
        <w:t>violación del derecho a la integridad personal de dichas personas debido al</w:t>
        <w:br/>
        <w:t>supuesto desplazamiento que sufrieron, el Estado señaló que “no puede</w:t>
        <w:br/>
        <w:t>atribuírsele responsabilidad por las decisiones que la familia tomó en aras</w:t>
        <w:br/>
        <w:t>de buscar mejores condiciones”.</w:t>
        <w:br/>
        <w:br/>
        <w:br/>
        <w:br/>
        <w:br/>
        <w:br/>
        <w:t>Consideraciones de la Corte</w:t>
        <w:br/>
        <w:br/>
        <w:br/>
        <w:t>La Corte ha señalado que la libertad de circulación es una condición</w:t>
        <w:br/>
        <w:t>indispensable para el libre desarrollo de la persona[269]. Asimismo, la</w:t>
        <w:br/>
        <w:t>Corte ha coincidido con lo indicado por el Comité de Derechos Humanos de</w:t>
        <w:br/>
        <w:t>las Naciones Unidas en su Observación General No. 27, la cual establece que</w:t>
        <w:br/>
        <w:t>el derecho de circulación y de residencia consiste, inter alia, en lo</w:t>
        <w:br/>
        <w:t>siguiente: a) el derecho de quienes se encuentren legalmente dentro de un</w:t>
        <w:br/>
        <w:t>Estado a circular libremente en ese Estado y escoger su lugar de</w:t>
        <w:br/>
        <w:t>residencia, y b) el derecho de una persona a ingresar a su país y</w:t>
        <w:br/>
        <w:t>permanecer en él.  El disfrute de este derecho no depende de ningún</w:t>
        <w:br/>
        <w:t>objetivo o motivo en particular de la persona que desea circular o</w:t>
        <w:br/>
        <w:t>permanecer en un lugar[270]. Asimismo, protege el derecho a no ser</w:t>
        <w:br/>
        <w:t>desplazado forzadamente dentro de un Estado Parte y a no tener que salir</w:t>
        <w:br/>
        <w:t>forzadamente fuera del territorio del Estado en el cual se halle</w:t>
        <w:br/>
        <w:t>legalmente[271].</w:t>
        <w:br/>
        <w:br/>
        <w:t>La Corte ha señalado que el derecho de circulación y de residencia puede</w:t>
        <w:br/>
        <w:t>ser vulnerado de manera formal o por restricciones de facto si el Estado no</w:t>
        <w:br/>
        <w:t>ha establecido las condiciones ni provisto los medios que permiten</w:t>
        <w:br/>
        <w:t>ejercerlo[272]. Un ejemplo de lo anterior ocurre cuando una persona es</w:t>
        <w:br/>
        <w:t>víctima de amenazas u hostigamientos y el Estado no provee las garantías</w:t>
        <w:br/>
        <w:t>necesarias para que pueda transitar y residir libremente en el territorio</w:t>
        <w:br/>
        <w:t>de que se trate[273], incluso cuando las amenazas y hostigamientos</w:t>
        <w:br/>
        <w:t>provienen de actores no estatales[274]. Asimismo, la Corte ha indicado que</w:t>
        <w:br/>
        <w:t>la falta de una investigación efectiva de hechos violentos puede propiciar</w:t>
        <w:br/>
        <w:t>o perpetuar un exilio o desplazamiento forzado[275].</w:t>
        <w:br/>
        <w:br/>
        <w:t>Por otra parte, en coincidencia con la comunidad internacional, la Corte ha</w:t>
        <w:br/>
        <w:t>reafirmado que la obligación de garantía para el Estado de origen de</w:t>
        <w:br/>
        <w:t>proteger los derechos de las personas desplazadas conlleva no sólo el deber</w:t>
        <w:br/>
        <w:t>de adoptar medidas de prevención sino también proveer las condiciones</w:t>
        <w:br/>
        <w:t>necesarias para facilitar un retorno voluntario, digno y seguro a su lugar</w:t>
        <w:br/>
        <w:t>de residencia habitual o a su reasentamiento voluntario en otra parte del</w:t>
        <w:br/>
        <w:t>país. Para ello, se debe garantizar su participación plena en la</w:t>
        <w:br/>
        <w:t>planificación y gestión de su regreso o reintegración[276].</w:t>
        <w:br/>
        <w:br/>
        <w:t>En el Capítulo VIII.1 la Corte concluyó que el Estado incumplió con su</w:t>
        <w:br/>
        <w:t>deber de garantizar el derecho a la integridad personal de la señora B.A. y</w:t>
        <w:br/>
        <w:t>su familia, a través de la adopción de medidas oportunas de protección, lo</w:t>
        <w:br/>
        <w:t>cual constituyó una violación del artículo 5.1 de la Convención Americana,</w:t>
        <w:br/>
        <w:t>en relación con el artículo 1.1 de la misma. Se desprende del acervo</w:t>
        <w:br/>
        <w:t>probatorio que, como consecuencia de la situación de riesgo especial que</w:t>
        <w:br/>
        <w:t>soportaban, la falta de medidas de protección y el temor que sentían[277],</w:t>
        <w:br/>
        <w:t>una vez concluidos los rezos que se llevaron a cabo durante los nueve días</w:t>
        <w:br/>
        <w:t>posteriores a la muerte de A.A., el 31 de diciembre de 2004 B.A. y su</w:t>
        <w:br/>
        <w:t>hermana E.A. empezaron “a empacar lo de [las] tres casas que había</w:t>
        <w:br/>
        <w:t>allí”[278], es decir, sus casas y la de su padre A.A., y salieron de la</w:t>
        <w:br/>
        <w:t>Aldea Cruce de la Esperanza y del Municipio de Santa Lucía Cotzumalguapa,</w:t>
        <w:br/>
        <w:t>“huyendo a Escuintla” acompañadas por la Policía Municipal de Tránsito de</w:t>
        <w:br/>
        <w:t>Santa Lucía “hasta donde da la vecindad entre Santa Lucía y Siquinala”. En</w:t>
        <w:br/>
        <w:t>palabras de la señora B.A., “de ahí nosotros seguimos nuestro tránsito […]</w:t>
        <w:br/>
        <w:t>con tres mudanzas [y] tres familias […] huyendo a buscar a</w:t>
        <w:br/>
        <w:t>familiares”[279].</w:t>
        <w:br/>
        <w:br/>
        <w:t>Una vez fuera de Santa Lucía, B.A., con sus hijos L.A. y N.A., de 20 y 14</w:t>
        <w:br/>
        <w:t>años de edad respectivamente, y su madre C.A., tomaron la decisión de</w:t>
        <w:br/>
        <w:t>buscar refugio en México[280], y M.A., de 18 años de edad, hijo de B.A.,</w:t>
        <w:br/>
        <w:t>quedó al cuidado de D.A. Por su parte, E.A. y sus hijos J.A. y K.A., de 12</w:t>
        <w:br/>
        <w:t>y 7 años de edad respectivamente, se instalaron en otra parte del país, en</w:t>
        <w:br/>
        <w:t>donde alquilaron una casa (supra párr. 98), sin que de la prueba aportada</w:t>
        <w:br/>
        <w:t>por las partes se desprenda que E.A. y sus hijos hayan regresado a su</w:t>
        <w:br/>
        <w:t>vivienda en la Aldea Cruce de la Esperanza.</w:t>
        <w:br/>
        <w:br/>
        <w:t>En cuanto al alegato del Estado de que las representantes faltaron a la</w:t>
        <w:br/>
        <w:t>verdad al sostener que B.A., su madre C.A., y sus hijos L.A. y N.A. se</w:t>
        <w:br/>
        <w:t>vieron obligados a huir temporalmente a México, dado que existen pruebas</w:t>
        <w:br/>
        <w:t>que B.A. permaneció en el país en el año 2005 (supra párr. 164), consta en</w:t>
        <w:br/>
        <w:t>el expediente que B.A. colaboró en diversas oportunidades en las</w:t>
        <w:br/>
        <w:t>investigaciones abiertas ante el Ministerio Público por los hechos del</w:t>
        <w:br/>
        <w:t>presente caso, y que en diversas oportunidades estuvo en Guatemala, en</w:t>
        <w:br/>
        <w:t>específico, el 21 de enero de 2005 al presentar una denuncia penal, el 25</w:t>
        <w:br/>
        <w:t>de enero de 2005 al ser entrevistada por el Investigador de la DICRI, el 10</w:t>
        <w:br/>
        <w:t>de febrero y 11 de mayo de 2005 al rendir declaraciones en las Fiscalías a</w:t>
        <w:br/>
        <w:t>cargo de la investigación, y el 9 de junio de 2005 al entregársele copias</w:t>
        <w:br/>
        <w:t>del expediente de investigación sobre la muerte del señor A.A. (supra</w:t>
        <w:br/>
        <w:t>párrs. 103, 105, 112 y 123). A su vez, en los registros migratorios</w:t>
        <w:br/>
        <w:t>aportados por el Estado no constan salidas a México por parte de las</w:t>
        <w:br/>
        <w:t>personas mencionadas en los años 2004 o 2005[281]. No obstante, de la</w:t>
        <w:br/>
        <w:t>prueba se desprende que el 24 de febrero de 2005, la señora B.A., su madre</w:t>
        <w:br/>
        <w:t>C.A. y sus hijos L.A. y N.A. solicitaron el reconocimiento de la condición</w:t>
        <w:br/>
        <w:t>de refugiado ante el Gobierno de México en su Secretaría de Gobernación, a</w:t>
        <w:br/>
        <w:t>través de la Comisión Mexicana de Ayuda a Refugiados en la Delegación</w:t>
        <w:br/>
        <w:t>Estatal de Chiapas, Oficina de Protección Tapachula[282]. El 6 de julio de</w:t>
        <w:br/>
        <w:t>2005 en Tapachula, Chiapas, B.A., su madre C.A. y su hijo L.A. recibieron</w:t>
        <w:br/>
        <w:t>documentos expedidos por el Subdirector de Regulación Migratoria de la</w:t>
        <w:br/>
        <w:t>Secretaría de Gobernación en México, otorgándoseles permiso de permanecer</w:t>
        <w:br/>
        <w:t>en dicho país por un período de 365 días en calidad de “no inmigrante[s]</w:t>
        <w:br/>
        <w:t>refugiad[os]”, plazo que vencía el 20 de junio de 2006[283]. Si bien no hay</w:t>
        <w:br/>
        <w:t>constancia de N.A., la Corte recuerda que en ese momento contaba con 14</w:t>
        <w:br/>
        <w:t>años de edad y que permaneció con su madre durante ese tiempo.</w:t>
        <w:br/>
        <w:br/>
        <w:t>En definitiva, aun cuando no consta en la prueba el período específico de</w:t>
        <w:br/>
        <w:t>tiempo en que habrían permanecido en México, se desprende que B.A., su</w:t>
        <w:br/>
        <w:t>madre C.A., y sus hijos L.A. y N.A., iniciaron en México, y dieron</w:t>
        <w:br/>
        <w:t>seguimiento en aquél país, a los trámites de solicitudes de refugio, y que</w:t>
        <w:br/>
        <w:t>al menos el 6 de julio de 2005 obtuvieron la calidad de “no inmigrante</w:t>
        <w:br/>
        <w:t>refugiado”, otorgándoseles el permiso para permanecer en ese país. Por</w:t>
        <w:br/>
        <w:t>tanto, es evidente que permanecieron por un período de tiempo en México.</w:t>
        <w:br/>
        <w:t>Por otro lado, del acervo probatorio se desprende que, en el mes de febrero</w:t>
        <w:br/>
        <w:t>de 2006, C.A., B.A. y sus hijos L.A. y N.A. ya se encontraban en el</w:t>
        <w:br/>
        <w:t>Municipio de Santa Lucía Cotzumalguapa y que permanecieron en ese lugar, en</w:t>
        <w:br/>
        <w:t>donde alquilaron una vivienda. Es decir, después de salir de la Aldea Cruce</w:t>
        <w:br/>
        <w:t>de la Esperanza el 31 de diciembre de 2004, no volvieron a regresar a su</w:t>
        <w:br/>
        <w:t>lugar de residencia habitual (supra párrs. 97 y 99).</w:t>
        <w:br/>
        <w:br/>
        <w:t>En consecuencia, la Corte considera que, tras la muerte del señor A.A., el</w:t>
        <w:br/>
        <w:t>Estado no proporcionó medidas de protección adecuadas para garantizar que</w:t>
        <w:br/>
        <w:t>los miembros de la familia A mencionados no se vieran obligados a</w:t>
        <w:br/>
        <w:t>desplazarse dentro de Guatemala o hacia México.</w:t>
        <w:br/>
        <w:br/>
        <w:t>La Comisión y las representantes alegaron la ausencia de medidas adecuadas</w:t>
        <w:br/>
        <w:t>y efectivas de protección con posterioridad a la celebración de la novena</w:t>
        <w:br/>
        <w:t>del señor A.A. En específico, la Comisión argumentó que el Estado ofreció</w:t>
        <w:br/>
        <w:t>en el año de 2008 iniciar una solicitud de protección a los familiares, es</w:t>
        <w:br/>
        <w:t>decir, a más de tres años de la muerte del señor A.A. Por su parte, el</w:t>
        <w:br/>
        <w:t>Estado sostuvo que las presuntas víctimas se negaron a recibir la</w:t>
        <w:br/>
        <w:t>protección que les ofreció, sin indicar qué medidas ofreció (supra párr.</w:t>
        <w:br/>
        <w:t>164).</w:t>
        <w:br/>
        <w:br/>
        <w:t>Durante la audiencia pública, B.A. explicó que fue “a través de la COPREDEH</w:t>
        <w:br/>
        <w:t>[que] se [l]e ofreció un policía”, y que si bien no recordaba las fechas</w:t>
        <w:br/>
        <w:t>exactas, “por el 2007, 2008 a mí me ofrecieron ante las constantes amenazas</w:t>
        <w:br/>
        <w:t>seguridad [medidas consistentes en] prestarle a […u]n policía que yo no</w:t>
        <w:br/>
        <w:t>sabía quién era y que para eso yo tenía que prestarle donde dormir,</w:t>
        <w:br/>
        <w:t>alimentación y a donde yo me moviera yo tenía que pagarle sus pasajes.</w:t>
        <w:br/>
        <w:t>Entonces, ¿yo cómo iba a aceptar?, en primer lugar, desconociendo quién era</w:t>
        <w:br/>
        <w:t>el policía, y el cual no es permanente sino que lo están cambiando y, en</w:t>
        <w:br/>
        <w:t>segundo lugar, yo misma apenas me alcanzaba para rentar una pieza o dos</w:t>
        <w:br/>
        <w:t>piezas, ¿en dónde iba a dormir esta persona?”[284]. Por su parte, el Estado</w:t>
        <w:br/>
        <w:t>indicó que “ofreció a la presunta víctima medidas de protección y seguridad</w:t>
        <w:br/>
        <w:t>gratuita, las cuales fueron rechazadas por dicha persona, argumentando que</w:t>
        <w:br/>
        <w:t>no confiaba en la seguridad del Estado y que consideraba que su vida se</w:t>
        <w:br/>
        <w:t>encontraría en un estado de mayor vulnerabilidad”.  Indicó que “ni siquiera</w:t>
        <w:br/>
        <w:t>se le llegó a hacer el análisis de riesgo, porque ella se negó a recibir la</w:t>
        <w:br/>
        <w:t>protección; por lo que, ella no puede indicar que se le ofreció un agente</w:t>
        <w:br/>
        <w:t>para su protección, ya que posiblemente le pudieran haber brindado otra</w:t>
        <w:br/>
        <w:t>medida de protección como seguridad perimetral”. Además, manifestó que B.A.</w:t>
        <w:br/>
        <w:t>faltó a su deber de declarar con la verdad ante la Corte, “tomando en</w:t>
        <w:br/>
        <w:t>cuenta que el análisis de riesgo para brindar medidas de seguridad y</w:t>
        <w:br/>
        <w:t>protección es una función a cargo de la División de Protección a Personas y</w:t>
        <w:br/>
        <w:t>Seguridad de la Policía Nacional Civil, no es una función de COPREDEH […],</w:t>
        <w:br/>
        <w:t>por lo que, [é]sta […] no pudo haberle indicado qu[é] medidas de protección</w:t>
        <w:br/>
        <w:t>se le iban a brindar, y mucho menos, que éstas le ocasionarían un costo</w:t>
        <w:br/>
        <w:t>económico”. El Estado nuevamente no indicó qué medidas específicas ofreció,</w:t>
        <w:br/>
        <w:t>sus particularidades, ni cómo serían implementadas. Finalmente, sostuvo que</w:t>
        <w:br/>
        <w:t>“ella podría también solicitar la protección por medio de la Ley para la</w:t>
        <w:br/>
        <w:t>Protección de Sujetos Procesales y Personas Vinculadas a la Administración</w:t>
        <w:br/>
        <w:t>de Justicia Penal”.</w:t>
        <w:br/>
        <w:br/>
        <w:t>Al respecto, se desprende del expediente que, durante el trámite ante la</w:t>
        <w:br/>
        <w:t>Comisión Interamericana, el Estado, a través de la Comisión Presidencial de</w:t>
        <w:br/>
        <w:t>Derechos Humanos (COPREDEH), mediante escrito de 2 de octubre de 2006</w:t>
        <w:br/>
        <w:t>explicó que B.A. no había solicitado ser acogida por el Programa de</w:t>
        <w:br/>
        <w:t>Protección a Testigos, y que era factible que el Ministerio de Gobernación</w:t>
        <w:br/>
        <w:t>brindara provisionalmente protección en coordinación con la unidad de</w:t>
        <w:br/>
        <w:t>defensores de la COPREDEH en caso que “persistieran las amenazas</w:t>
        <w:br/>
        <w:t>denunciadas por la peticionaria”, siempre que la peticionaría esté de</w:t>
        <w:br/>
        <w:t>acuerdo y preste su colaboración[285]. Posteriormente y a partir del año</w:t>
        <w:br/>
        <w:t>2008, Guatemala ofreció en cuatro oportunidades diferentes solicitar</w:t>
        <w:br/>
        <w:t>medidas de seguridad y protección personal a la señora B.A. en el momento</w:t>
        <w:br/>
        <w:t>en que ella así lo considerara oportuno, mismas que no fueron aceptadas</w:t>
        <w:br/>
        <w:t>debido a que aquélla consideró que podría ponerse en mayor riesgo su</w:t>
        <w:br/>
        <w:t>vida[286]. Por su parte, las representantes remitieron cuatro escritos</w:t>
        <w:br/>
        <w:t>mediante los cuales dieron respuesta a dicho ofrecimiento estatal. De la</w:t>
        <w:br/>
        <w:t>información disponible en éstos últimos escritos es posible determinar que</w:t>
        <w:br/>
        <w:t>el Estado ofreció poner a disposición de la señora B.A. tres mecanismos de</w:t>
        <w:br/>
        <w:t>protección consistentes en: asignación de protección personal, de puesto</w:t>
        <w:br/>
        <w:t>fijo y vigilancia perimetral, los cuales serían cumplidos por agentes</w:t>
        <w:br/>
        <w:t>policiales[287].</w:t>
        <w:br/>
        <w:br/>
        <w:t>Para la Corte dos aspectos son fundamentales en cuanto a las alegadas</w:t>
        <w:br/>
        <w:t>medidas de seguridad y protección estatal que fueron ofrecidas. En primer</w:t>
        <w:br/>
        <w:t>lugar, el ofrecimiento concreto fue realizado en el año de 2008, es decir,</w:t>
        <w:br/>
        <w:t>al menos tres años después de que la familia A se vio obligada a</w:t>
        <w:br/>
        <w:t>desplazarse. Por tanto, durante dicho período, es claro que el Estado</w:t>
        <w:br/>
        <w:t>incumplió con su deber de proveer las condiciones necesarias para facilitar</w:t>
        <w:br/>
        <w:t>a dichas personas un retorno voluntario a sus lugares de residencia. En</w:t>
        <w:br/>
        <w:t>segundo lugar, si bien la información proporcionada por las representantes</w:t>
        <w:br/>
        <w:t>permite aclarar que en el año 2008 el Estado ofreció, al menos, la</w:t>
        <w:br/>
        <w:t>“asignación de protección personal, de puesto fijo y vigilancia perimetral”</w:t>
        <w:br/>
        <w:t>(supra párr. 175), no consta en el acervo probatorio la manera en que</w:t>
        <w:br/>
        <w:t>dichas medidas serían implementadas en cuanto a las circunstancias de</w:t>
        <w:br/>
        <w:t>tiempo, modo y lugar, así como su duración. En consecuencia, no es posible</w:t>
        <w:br/>
        <w:t>determinar si las mismas tendrían la finalidad de permitir un retorno</w:t>
        <w:br/>
        <w:t>voluntario, digno y seguro al lugar de residencia habitual, o bien, la de</w:t>
        <w:br/>
        <w:t>garantizar protección en el lugar en que habían permanecido fuera de la</w:t>
        <w:br/>
        <w:t>Aldea Cruce de la Esperanza, ni la manera en que se garantizaría la</w:t>
        <w:br/>
        <w:t>participación plena de las víctimas en la planificación y gestión de su</w:t>
        <w:br/>
        <w:t>regreso o reintegración. Tampoco se desprende si dichas medidas se</w:t>
        <w:br/>
        <w:t>implementarían a favor únicamente de B.A., o bien, incluirían a su madre</w:t>
        <w:br/>
        <w:t>C.A., a sus hijos L.A. y N.A., a su hermana E.A., y a los hijos de ésta,</w:t>
        <w:br/>
        <w:t>J.A. y K.A.</w:t>
        <w:br/>
        <w:br/>
        <w:t>La falta de prueba que controvierta la inefectividad de las alegadas</w:t>
        <w:br/>
        <w:t>medidas de seguridad y protección estatal que fueron ofrecidas, aunado a la</w:t>
        <w:br/>
        <w:t>declaración de B.A. y la ausencia de información por parte del Estado,</w:t>
        <w:br/>
        <w:t>permiten a la Corte concluir que el Estado no adoptó medidas suficientes y</w:t>
        <w:br/>
        <w:t>efectivas para garantizar a los integrantes de la familia A desplazados</w:t>
        <w:br/>
        <w:t>forzadamente, un retorno digno y seguro a sus lugares de residencia</w:t>
        <w:br/>
        <w:t>habitual o un reasentamiento voluntario en otra parte del país, asegurando</w:t>
        <w:br/>
        <w:t>su participación plena en la planificación y gestión de un proceso de</w:t>
        <w:br/>
        <w:t>regreso o reintegración.</w:t>
        <w:br/>
        <w:br/>
        <w:t>En conclusión, dado que B.A., su madre C.A., sus hijos L.A. y N.A., así</w:t>
        <w:br/>
        <w:t>como su hermana E.A. y los hijos de ésta, J.A. y K.A., se vieron forzados a</w:t>
        <w:br/>
        <w:t>salir de sus lugares de residencia habitual y desplazarse en razón de la</w:t>
        <w:br/>
        <w:t>situación de riesgo especial que soportaban, la falta de medidas de</w:t>
        <w:br/>
        <w:t>protección y el temor que sentían, y que el Estado incumplió con su</w:t>
        <w:br/>
        <w:t>obligación de proveer las condiciones necesarias para facilitar un retorno</w:t>
        <w:br/>
        <w:t>voluntario, digno y seguro a sus lugares de residencia habitual o un</w:t>
        <w:br/>
        <w:t>reasentamiento voluntario en otra parte del país, se declara la violación</w:t>
        <w:br/>
        <w:t>del artículo 22.1 de la Convención Americana, en relación con el artículo</w:t>
        <w:br/>
        <w:t>1.1 de la misma. Además, dado que dentro de las víctimas del desplazamiento</w:t>
        <w:br/>
        <w:t>forzado se ha comprobado que N.A., J.A. y K.A. eran niños y niña (supra</w:t>
        <w:br/>
        <w:t>párr. 169), la Corte concluye, en aplicación del principio iura novit</w:t>
        <w:br/>
        <w:t>curia, que las violaciones a su respecto ocurren también en relación con el</w:t>
        <w:br/>
        <w:t>artículo 19 de la Convención.</w:t>
        <w:br/>
        <w:br/>
        <w:t>En relación con F.A. y G.A., hijos de A.A., quienes se alega habrían</w:t>
        <w:br/>
        <w:t>permanecido en México debido a que no habrían tenido la posibilidad de</w:t>
        <w:br/>
        <w:t>materializar su proyecto de regresar a Guatemala, la Corte estableció en el</w:t>
        <w:br/>
        <w:t>Caso Gudiel Álvarez y otros (“Diario Militar”) la violación del artículo</w:t>
        <w:br/>
        <w:t>22.1 de la Convención en perjuicio de dichas personas, debido a que se</w:t>
        <w:br/>
        <w:t>encontraban imposibilitados de regresar y su desplazamiento continuaba</w:t>
        <w:br/>
        <w:t>luego del 9 de marzo de 1987. De este modo, la Corte ya concluyó que el</w:t>
        <w:br/>
        <w:t>Estado “incumplió con su obligación de proveer las condiciones necesarias</w:t>
        <w:br/>
        <w:t>para facilitar un retorno voluntario, digno y seguro” a dichas</w:t>
        <w:br/>
        <w:t>víctimas[288].</w:t>
        <w:br/>
        <w:br/>
        <w:t>Por otro lado, la Corte considera que en el presente caso no es necesario</w:t>
        <w:br/>
        <w:t>analizar los argumentos de la Comisión y las representantes relativos a las</w:t>
        <w:br/>
        <w:t>posibles afectaciones a la integridad personal de los familiares del señor</w:t>
        <w:br/>
        <w:t>A.A. por el desplazamiento que sufrieron. Las afectaciones que pudo generar</w:t>
        <w:br/>
        <w:t>dicho desplazamiento serán tomadas en cuenta al fijar las reparaciones</w:t>
        <w:br/>
        <w:t>correspondientes.</w:t>
        <w:br/>
        <w:br/>
        <w:br/>
        <w:br/>
        <w:br/>
        <w:t>VIII.3.  DERECHO A LA PARTICIPACIÓN POLÍTICA, EN RELACIÓN CON LA OBLIGACIÓN</w:t>
        <w:br/>
        <w:t>DE GARANTIZAR LOS DERECHOS</w:t>
        <w:br/>
        <w:br/>
        <w:br/>
        <w:br/>
        <w:br/>
        <w:br/>
        <w:t xml:space="preserve">        Argumentos de la Comisión y de las partes</w:t>
        <w:br/>
        <w:br/>
        <w:br/>
        <w:t>La Comisión indicó que el Estado no garantizó “el ejercicio de los derechos</w:t>
        <w:br/>
        <w:t>políticos del señor [A.A.] en el cargo que ostentaba” y, tras su homicidio,</w:t>
        <w:br/>
        <w:t>tampoco investigó con especial diligencia y seriedad, pese a la existencia</w:t>
        <w:br/>
        <w:t>de indicios de que el asesinato se habría cometido en represalia a su labor</w:t>
        <w:br/>
        <w:t>comunitaria y defensa de los derechos humanos, ejercida desde un cargo</w:t>
        <w:br/>
        <w:t>público, así como a la búsqueda de justicia por dignificar a las personas</w:t>
        <w:br/>
        <w:t>desaparecidas durante el conflicto. Alegó que dicha falta de investigación,</w:t>
        <w:br/>
        <w:t>sumado a los asesinatos de varios líderes sociales en la zona, ha traído</w:t>
        <w:br/>
        <w:t>consigo una situación de impunidad y falta de protección que tendría un</w:t>
        <w:br/>
        <w:t>efecto amedrentador sobre las personas que a través de su liderazgo</w:t>
        <w:br/>
        <w:t>comunitario pretendan ejercer las labores de defensa de los derechos</w:t>
        <w:br/>
        <w:t>humanos.</w:t>
        <w:br/>
        <w:br/>
        <w:t>Por otro lado, respecto de la señora B.A., la Comisión sostuvo que al</w:t>
        <w:br/>
        <w:t>momento de los hechos, ésta se desempeñaba en el puesto de Secretaria del</w:t>
        <w:br/>
        <w:t>COCODE del que hacía parte su padre, el cual era un cargo de representación</w:t>
        <w:br/>
        <w:t>ciudadana y de naturaleza política. Según la Comisión, “tras la falta de</w:t>
        <w:br/>
        <w:t>esclarecimiento de los hechos relacionados con el asesinato de [A.A.] y los</w:t>
        <w:br/>
        <w:t>progresivos hostigamientos, la familia A tuvo que desplazarse de Santa</w:t>
        <w:br/>
        <w:t>Lucía[,] con lo que [B.A.] tuvo que abandonar el cargo político que</w:t>
        <w:br/>
        <w:t>desempeñaba en el COCODE”. Señaló que existe una relación de causalidad</w:t>
        <w:br/>
        <w:t>entre la renuncia de B.A. y la falta de esclarecimiento de los hechos</w:t>
        <w:br/>
        <w:t>relacionados con la muerte de su padre, por lo que el Estado no habría</w:t>
        <w:br/>
        <w:t>garantizado la continuidad en el ejercicio de los derechos políticos de</w:t>
        <w:br/>
        <w:t>B.A. Por todo lo anterior, la Comisión concluyó que el Estado es</w:t>
        <w:br/>
        <w:t>responsable por la violación del artículo 23 de la Convención, en relación</w:t>
        <w:br/>
        <w:t>con el artículo 1.1 de la misma, en perjuicio de A.A. y B.A.</w:t>
        <w:br/>
        <w:br/>
        <w:t>Las representantes alegaron que “el asesinato de [A.A.], así como las</w:t>
        <w:br/>
        <w:t>amenazas e intimidaciones, y la posterior partida de distintos miembros de</w:t>
        <w:br/>
        <w:t>su familia, truncó la posibilidad de que éstos continuasen con el gran</w:t>
        <w:br/>
        <w:t>número de los proyectos que impulsaban en la Comunidad Cruce de la</w:t>
        <w:br/>
        <w:t>Esperanza y el desarrollo normal del Concejo Comunitario de Desarrollo.</w:t>
        <w:br/>
        <w:t>Además, […ya] que fue el primero de los asesinatos de distintas personas</w:t>
        <w:br/>
        <w:t>relacionadas con la Alcaldía, afectó la continuidad de los diferentes</w:t>
        <w:br/>
        <w:t>proyectos de desarrollo en la comunidad impulsados desde la municipalidad,</w:t>
        <w:br/>
        <w:t>e implicó una violación de los derechos políticos de la población […]”.</w:t>
        <w:br/>
        <w:t>Según las representantes, dichos hechos repercutieron “en la comunidad</w:t>
        <w:br/>
        <w:t>entera y, particularmente, en su hija [B.A.], a quien el suceso le impidió</w:t>
        <w:br/>
        <w:t>el libre ejercicio del derecho a defender derechos humanos ya que debió</w:t>
        <w:br/>
        <w:t>abandonar los espacios en los que desarrollaba su actividad de defensa”.</w:t>
        <w:br/>
        <w:t>Asimismo, señalaron que, “al faltar la debida diligencia en la</w:t>
        <w:br/>
        <w:t>investigación del asesinato de [A.A.], y de las amenazas previas y</w:t>
        <w:br/>
        <w:t>posteriores contra la familia [A], el Estado violentó los derechos</w:t>
        <w:br/>
        <w:t>políticos de [A.A.] y [B.A.] y de la comunidad, en tanto los cargos de</w:t>
        <w:br/>
        <w:t>representación pública que ambos realizaban”.</w:t>
        <w:br/>
        <w:br/>
        <w:t>El Estado manifestó que no se le habrían conculcado los derechos políticos</w:t>
        <w:br/>
        <w:t>al señor A.A. ni a su hija, ya que “ambos han tenido cuanto protagonismo en</w:t>
        <w:br/>
        <w:t>las actividades políticas de su comunidad han deseado”. Argumentó que ambos</w:t>
        <w:br/>
        <w:t>“han podido participar en la dirección de los asuntos públicos,</w:t>
        <w:br/>
        <w:t>directamente o por medio de representantes libremente elegidos (ambos han</w:t>
        <w:br/>
        <w:t>trabajado en COCODE); han tenido la libertad de votar y ser elegidos en</w:t>
        <w:br/>
        <w:t>elecciones periódicas auténticas […,] y han tenido acceso, en condiciones</w:t>
        <w:br/>
        <w:t>generales de igualdad, a las funciones públicas de[l] país”. En igual</w:t>
        <w:br/>
        <w:t>sentido, señaló que los argumentos de la Comisión y de las representantes</w:t>
        <w:br/>
        <w:t>basados en el hecho de que no se habría investigado la muerte del señor</w:t>
        <w:br/>
        <w:t>A.A. “no tienen relación alguna con la verdadera esencia de la protección y</w:t>
        <w:br/>
        <w:t>garantía de los derechos políticos […]”.</w:t>
        <w:br/>
        <w:br/>
        <w:br/>
        <w:t>Consideraciones de la Corte</w:t>
        <w:br/>
        <w:br/>
        <w:br/>
        <w:t>Esta Corte ha considerado que el artículo 23 de la Convención protege no</w:t>
        <w:br/>
        <w:t>sólo el derecho a ser elegido, sino además el derecho a tener una</w:t>
        <w:br/>
        <w:t>oportunidad real de ejercer el cargo para el cual el funcionario ha sido</w:t>
        <w:br/>
        <w:t>electo. Para esto, el Estado tiene la responsabilidad de adoptar medidas</w:t>
        <w:br/>
        <w:t>efectivas para garantizar las condiciones necesarias para su pleno</w:t>
        <w:br/>
        <w:t>ejercicio[289]. En particular, el derecho a una participación política</w:t>
        <w:br/>
        <w:t>efectiva implica que los ciudadanos tienen no sólo el derecho sino también</w:t>
        <w:br/>
        <w:t>la posibilidad de participar en la dirección de los asuntos públicos[290].</w:t>
        <w:br/>
        <w:br/>
        <w:t>El artículo 23 de la Convención Americana establece que sus titulares deben</w:t>
        <w:br/>
        <w:t>gozar de derechos políticos, pero, además, agrega el término</w:t>
        <w:br/>
        <w:t>“oportunidades”, lo cual implica que los Estados deben garantizar con</w:t>
        <w:br/>
        <w:t>medidas positivas que toda persona que formalmente sea titular de derechos</w:t>
        <w:br/>
        <w:t>políticos tenga la oportunidad real para ejercerlos, atendiendo las</w:t>
        <w:br/>
        <w:t>situaciones de particular vulnerabilidad de los sujetos de este</w:t>
        <w:br/>
        <w:t>derecho[291]. Por lo tanto, es indispensable que el Estado genere las</w:t>
        <w:br/>
        <w:t>condiciones y mecanismos óptimos para que los derechos políticos puedan ser</w:t>
        <w:br/>
        <w:t>ejercidos de forma efectiva[292]. La Corte señala, como lo ha hecho en</w:t>
        <w:br/>
        <w:t>otras ocasiones, que estas condiciones generales de igualdad están</w:t>
        <w:br/>
        <w:t>referidas tanto al acceso a la función pública por elección popular como</w:t>
        <w:br/>
        <w:t>por nombramiento o designación[293].</w:t>
        <w:br/>
        <w:br/>
        <w:t>La Corte ya estableció que, al momento de la muerte del señor A.A., éste se</w:t>
        <w:br/>
        <w:t>desempeñaba como Alcalde Comunitario del Consejo Comunitario de Desarrollo</w:t>
        <w:br/>
        <w:t>(COCODE) de Cruce de la Esperanza, mientras que su hija, la señora B.A.,</w:t>
        <w:br/>
        <w:t>ejercía el cargo de Secretaria del mismo COCODE (supra párrs. 87 y 90). Los</w:t>
        <w:br/>
        <w:t>COCODE eran parte del Sistema de Consejos de Desarrollo creado por la</w:t>
        <w:br/>
        <w:t>República de Guatemala a través del Decreto 11-2002 (Ley de Concejos de</w:t>
        <w:br/>
        <w:t>Desarrollo Urbano y Rural), como medio principal de participación en la</w:t>
        <w:br/>
        <w:t>gestión pública (supra párr. 80). Dicho sistema estaba integrado por cinco</w:t>
        <w:br/>
        <w:t>niveles, en la siguiente forma: el nacional, el regional, el departamental,</w:t>
        <w:br/>
        <w:t>el municipal y el comunitario. Cabe señalar que, de conformidad con el</w:t>
        <w:br/>
        <w:t>mencionado Decreto 11-2002, el nivel comunitario estaba compuesto por una</w:t>
        <w:br/>
        <w:t>Asamblea Comunitaria “integrada por los residentes en una misma comunidad”</w:t>
        <w:br/>
        <w:t>y por un Órgano de Coordinación electo por dicha Asamblea Comunitaria y</w:t>
        <w:br/>
        <w:t>encargado de ejecutar los programas y proyectos que ésta resolviera, entre</w:t>
        <w:br/>
        <w:t>otros[294]. A su vez, este órgano de coordinación estaba compuesto por un</w:t>
        <w:br/>
        <w:t>Acalde Comunitario, quien lo presidía, y un máximo de doce representantes.</w:t>
        <w:br/>
        <w:t>No hay controversia en cuanto a que los cargos de A.A. y B.A. ubicados</w:t>
        <w:br/>
        <w:t>dentro de este Sistema eran de naturaleza política.</w:t>
        <w:br/>
        <w:br/>
        <w:t>Por otro lado, en el año 2004 la señora B.A. también se desempeñaba como</w:t>
        <w:br/>
        <w:t>empleada de la Municipalidad de Santa Lucía Cotzumalguapa, en el cargo de</w:t>
        <w:br/>
        <w:t>Oficial de Organización Social (supra párr. 89). Las labores que realizaba</w:t>
        <w:br/>
        <w:t>incluían “organizar cada cantón, caserío, aldea, colonia [y] lotificación</w:t>
        <w:br/>
        <w:t>[…] en el municipio, así como ayudar a organizar sindicatos, asociaciones</w:t>
        <w:br/>
        <w:t>de comercio, transporte, y otros modos de vida organizativa de la</w:t>
        <w:br/>
        <w:t>población, darles formación ciudadana y lograr [incidir] en la vida</w:t>
        <w:br/>
        <w:t>política del municipio y de la nación en general […]”[295]. De este modo,</w:t>
        <w:br/>
        <w:t>la Corte nota que el cargo mencionado implicaba participación en la</w:t>
        <w:br/>
        <w:t>dirección de asuntos públicos. Además, durante la audiencia celebrada ante</w:t>
        <w:br/>
        <w:t>esta Corte, la señora B.A. precisó que fue nombrada a dicho cargo y que</w:t>
        <w:br/>
        <w:t>“cada cuatro años son las elecciones y libremente lo pueden despedir a</w:t>
        <w:br/>
        <w:t>uno”. Es decir, la toma de posesión de nuevas autoridades municipales</w:t>
        <w:br/>
        <w:t>implicaba que podría perder su cargo. Por lo anterior, la Corte estima que</w:t>
        <w:br/>
        <w:t>éste también era de naturaleza política.</w:t>
        <w:br/>
        <w:br/>
        <w:t>En cuanto a la posible afectación a los derechos políticos del señor A.A.,</w:t>
        <w:br/>
        <w:t>esta Corte recuerda que una afectación al derecho a la vida atribuible al</w:t>
        <w:br/>
        <w:t>Estado puede generar, a su vez, violaciones a otros derechos consagrados en</w:t>
        <w:br/>
        <w:t>la Convención Americana[296]. Sin embargo, en el presente caso, al no</w:t>
        <w:br/>
        <w:t>contar con elementos suficientes para declarar un incumplimiento por parte</w:t>
        <w:br/>
        <w:t>del Estado de su deber de proteger el derecho a la vida del señor A.A. en</w:t>
        <w:br/>
        <w:t>el ejercicio de sus labores como defensor de derechos humanos (supra párr.</w:t>
        <w:br/>
        <w:t>149), tampoco se cuenta con elementos suficientes para establecer que el</w:t>
        <w:br/>
        <w:t>Estado incumplió su deber de garantizar el ejercicio de sus derechos</w:t>
        <w:br/>
        <w:t>políticos. Como se mencionó anteriormente, la alegada falta de una</w:t>
        <w:br/>
        <w:t>investigación efectiva de la muerte del señor A.A. se realizará en el</w:t>
        <w:br/>
        <w:t>Capítulo VIII.4 infra, relativo a las garantías judiciales y la protección</w:t>
        <w:br/>
        <w:t>judicial.</w:t>
        <w:br/>
        <w:br/>
        <w:t>Por lo que respecta a la señora B.A., la Corte ya estableció que ésta se</w:t>
        <w:br/>
        <w:t>encontró en una situación de riesgo real e inmediato y que el Estado no le</w:t>
        <w:br/>
        <w:t>otorgó medidas de protección adecuadas y efectivas pese al conocimiento que</w:t>
        <w:br/>
        <w:t>tuvo de dicha situación. Lo anterior derivó, a su vez, en que aquélla se</w:t>
        <w:br/>
        <w:t>viera forzada a salir de la Aldea Cruce de la Esperanza y del Municipio de</w:t>
        <w:br/>
        <w:t>Santa Lucía Cotzumalguapa para desplazarse dentro de Guatemala y hacia</w:t>
        <w:br/>
        <w:t>México (supra párr. 169). De igual modo, esta Corte ya determinó que el</w:t>
        <w:br/>
        <w:t>Estado tampoco proveyó las garantías necesarias para facilitar a la señora</w:t>
        <w:br/>
        <w:t>B.A. el posterior retorno voluntario, digno y seguro a su lugar de</w:t>
        <w:br/>
        <w:t>residencia habitual, es decir, a la Aldea Cruce de la Esperanza en donde</w:t>
        <w:br/>
        <w:t>ejercía los cargos de Secretaria del COCODE y de Oficial de Organización</w:t>
        <w:br/>
        <w:t>Social (supra párr. 171).</w:t>
        <w:br/>
        <w:br/>
        <w:t>En estas circunstancias, debido a la naturaleza de las funciones que</w:t>
        <w:br/>
        <w:t>realizaba la señora B.A. como Oficial de Organización Social en la</w:t>
        <w:br/>
        <w:t>Municipalidad de Santa Lucía Cotzumalguapa, dicho desplazamiento</w:t>
        <w:br/>
        <w:t>necesariamente implicó una interrupción de sus labores desde este cargo</w:t>
        <w:br/>
        <w:t>político, a las cuales no pudo reintegrarse sino hasta el 16 de febrero de</w:t>
        <w:br/>
        <w:t>2006 (supra párr. 99). Por otro lado, dado que para ejercer su cargo de</w:t>
        <w:br/>
        <w:t>Secretaria dentro del COCODE del Cruce de la Esperanza, la señora B.A.</w:t>
        <w:br/>
        <w:t>debía residir en dicha aldea, a la cual aún no ha podido retornar, la Corte</w:t>
        <w:br/>
        <w:t>considera que aquélla no pudo continuar en el ejercicio de sus derechos</w:t>
        <w:br/>
        <w:t>políticos a partir de este cargo público.</w:t>
        <w:br/>
        <w:br/>
        <w:t>Por lo anterior, la Corte considera que el Estado no garantizó las</w:t>
        <w:br/>
        <w:t>condiciones necesarias para que la señora B.A. pudiera continuar en el</w:t>
        <w:br/>
        <w:t>ejercicio de sus derechos políticos desde los cargos políticos que</w:t>
        <w:br/>
        <w:t>ostentaba. En consecuencia, el Estado es responsable de la violación del</w:t>
        <w:br/>
        <w:t>artículo 23.1 de la Convención Americana, en relación con el artículo 1.1</w:t>
        <w:br/>
        <w:t>de la misma, en su perjuicio.</w:t>
        <w:br/>
        <w:br/>
        <w:t>Respecto al alegato de las representantes de que la señora B.A. se vio</w:t>
        <w:br/>
        <w:t>impedida de continuar con el libre ejercicio del derecho a defender los</w:t>
        <w:br/>
        <w:t>derechos humanos como consecuencia del abandono de los espacios en que</w:t>
        <w:br/>
        <w:t>realizaba dichas actividades, la Corte considera que el deber de garantizar</w:t>
        <w:br/>
        <w:t>dicho derecho se encuentra abordado suficientemente en el análisis</w:t>
        <w:br/>
        <w:t>realizado con respecto al deber de proteger la integridad de la señora B.A.</w:t>
        <w:br/>
        <w:t>(supra párrs. 153 a 160).</w:t>
        <w:br/>
        <w:br/>
        <w:br/>
        <w:br/>
        <w:br/>
        <w:t>VIII.4.  DERECHO A LAS GARANTÍAS JUDICIALES Y A LA PROTECCIÓN</w:t>
        <w:br/>
        <w:t>JUDICIAL, EN RELACIÓN CON LA OBLIGACIÓN DE RESPETAR</w:t>
        <w:br/>
        <w:t>Y GARANTIZAR LOS DERECHOS</w:t>
        <w:br/>
        <w:br/>
        <w:t>En el presente capítulo la Corte analizará la alegada violación del derecho</w:t>
        <w:br/>
        <w:t>a las garantías judiciales[297] y a la protección judicial[298], en</w:t>
        <w:br/>
        <w:t>relación con la investigación de la muerte violenta del señor A.A. y de las</w:t>
        <w:br/>
        <w:t>alegadas amenazas a la familia A.</w:t>
        <w:br/>
        <w:br/>
        <w:br/>
        <w:t xml:space="preserve">        Argumentos de la Comisión y de las partes</w:t>
        <w:br/>
        <w:br/>
        <w:br/>
        <w:t>La Comisión argumentó que Guatemala violó los artículos 8.1 y 25 de la</w:t>
        <w:br/>
        <w:t>Convención, en relación con el artículo 1.1 de la misma, en perjuicio de</w:t>
        <w:br/>
        <w:t>los familiares de A.A., ya que las investigaciones y procedimientos</w:t>
        <w:br/>
        <w:t>internos no habrían constituido recursos efectivos para garantizar el</w:t>
        <w:br/>
        <w:t>acceso a la justicia y determinar la verdad de los hechos, la investigación</w:t>
        <w:br/>
        <w:t>y la sanción de la totalidad de los responsables y la reparación de las</w:t>
        <w:br/>
        <w:t>consecuencias de las violaciones. La Comisión se fundamentó en cuatro</w:t>
        <w:br/>
        <w:t>grupos de argumentos, los cuales desarrolló ampliamente durante el</w:t>
        <w:br/>
        <w:t>procedimiento ante la Corte, a saber: i) la falta de debida diligencia en</w:t>
        <w:br/>
        <w:t>la investigación de a la muerte de A.A.; ii) la falta de debida diligencia</w:t>
        <w:br/>
        <w:t>en relación con las líneas lógicas de investigación; iii) la falta de</w:t>
        <w:br/>
        <w:t>protección a personas que han declarado en el caso, y iv) la falta de una</w:t>
        <w:br/>
        <w:t>investigación en un plazo razonable. Por otro lado, señaló que la ausencia</w:t>
        <w:br/>
        <w:t>de una investigación completa y efectiva que a su vez ocasiona sufrimiento</w:t>
        <w:br/>
        <w:t>y angustia por no conocer la verdad, constituye en sí misma una afectación</w:t>
        <w:br/>
        <w:t>a la integridad psíquica y moral de los familiares de A.A.</w:t>
        <w:br/>
        <w:br/>
        <w:t>Las representantes agregaron que la investigación sobre la muerte de A.A.</w:t>
        <w:br/>
        <w:t>no podría ser calificada de exhaustiva, pues habría una constante en no</w:t>
        <w:br/>
        <w:t>implementar mecanismos inmediatos ni idóneos para el desarrollo de la misma</w:t>
        <w:br/>
        <w:t>y la búsqueda de la verdad. Así, dentro del proceso de investigación se</w:t>
        <w:br/>
        <w:t>habrían suscitado diversas carencias, ya que no se hizo uso de todos los</w:t>
        <w:br/>
        <w:t>medios de prueba disponibles, entre ellos los propuestos por los</w:t>
        <w:br/>
        <w:t>familiares, quienes habrían manifestado haber tenido que asumir el impulso</w:t>
        <w:br/>
        <w:t>de la investigación en diferentes momentos. También indicaron que dicha</w:t>
        <w:br/>
        <w:t>investigación permanecía en la etapa inicial y en la más absoluta</w:t>
        <w:br/>
        <w:t>impunidad, sin que ninguna de las tres hipótesis que han surgido durante la</w:t>
        <w:br/>
        <w:t>investigación haya sido fundadamente comprobada ni descartada, no por la</w:t>
        <w:br/>
        <w:t>complejidad del caso, sino por el accionar estatal negligente. Al respecto,</w:t>
        <w:br/>
        <w:t>indicaron con detalle cada una de las falencias en las que consideraron</w:t>
        <w:br/>
        <w:t>había incurrido el Estado. Además, sostuvieron que tampoco se investigaron</w:t>
        <w:br/>
        <w:t>las amenazas y hostigamientos en contra de los familiares de A.A., tanto</w:t>
        <w:br/>
        <w:t>previos como posteriores a la muerte, los cuales fueron conocidos por las</w:t>
        <w:br/>
        <w:t>autoridades, y que en ningún momento se tomó en cuenta la alegada gravedad</w:t>
        <w:br/>
        <w:t>de la situación en la que se encontraban después de la muerte, lo cual</w:t>
        <w:br/>
        <w:t>podría constituir una falta a la debida diligencia. Sobre el particular,</w:t>
        <w:br/>
        <w:t>aclararon que si bien es cierto que los familiares de la víctima no</w:t>
        <w:br/>
        <w:t>denunciaron de manera inmediata ante el Ministerio Público todos los</w:t>
        <w:br/>
        <w:t>alegados actos de amenazas, intimidaciones y hostigamiento de los cuales</w:t>
        <w:br/>
        <w:t>habrían sido víctimas, éste habría tenido conocimiento de los incidentes ya</w:t>
        <w:br/>
        <w:t>que la Procuraduría de los Derechos Humanos los habría registrado, siendo</w:t>
        <w:br/>
        <w:t>pues evidente que se habría obviado la información contenida en dicho</w:t>
        <w:br/>
        <w:t>expediente y su posible relación con la muerte de A.A. De igual forma, el</w:t>
        <w:br/>
        <w:t>ente investigador habría tenido conocimiento de ello a través de las</w:t>
        <w:br/>
        <w:t>declaraciones que posteriormente los integrantes de la familia A habrían</w:t>
        <w:br/>
        <w:t>ofrecido a la Fiscalía. Por otro lado, las representantes indicaron que,</w:t>
        <w:br/>
        <w:t>como consecuencia de la denegación de justicia, “los miembros de la familia</w:t>
        <w:br/>
        <w:t>[A] han visto seriamente afectadas su integridad psíquica y moral […]”.</w:t>
        <w:br/>
        <w:br/>
        <w:t>El Estado señaló que el derecho a las garantías y a la protección</w:t>
        <w:br/>
        <w:t>judiciales se encuentran debidamente regulados en la legislación interna.</w:t>
        <w:br/>
        <w:t>También indicó que no pudo haber violado dichos derechos del señor A.A., ya</w:t>
        <w:br/>
        <w:t>que éste en ningún momento pudo haber tratado de hacer uso de los órganos</w:t>
        <w:br/>
        <w:t>de justicia para ejercerlos en relación a los hechos que produjeron su</w:t>
        <w:br/>
        <w:t>muerte. Por otro lado, señaló que es claro que dentro de la organización</w:t>
        <w:br/>
        <w:t>del Estado se cuenta con las respectivas garantías judiciales para los</w:t>
        <w:br/>
        <w:t>familiares de las víctimas directas, ya que B.A. habría tenido acceso a</w:t>
        <w:br/>
        <w:t>todos los recursos ante los órganos competentes para hacer manifiestas sus</w:t>
        <w:br/>
        <w:t>denuncias, solicitudes, quejas y recomendaciones. Sostuvo que no podía</w:t>
        <w:br/>
        <w:t>reclamársele la omisión o falta de diligencia de la investigación, toda vez</w:t>
        <w:br/>
        <w:t>que se habrían desarrollado múltiples diligencias en cuanto al</w:t>
        <w:br/>
        <w:t>esclarecimiento de los hechos. No obstante, no fue posible proceder con el</w:t>
        <w:br/>
        <w:t>juzgamiento debido a que no se había podido atribuir la muerte de A.A. a</w:t>
        <w:br/>
        <w:t>ningún individuo. Lo anterior no sería debido a falta de voluntad, ni a</w:t>
        <w:br/>
        <w:t>falta de diligencia sino que sería una consecuencia producida por la</w:t>
        <w:br/>
        <w:t>complejidad del asunto y la variedad de posibles causas con que se habría</w:t>
        <w:br/>
        <w:t>enfrentado el Ministerio Público. Según el Estado, las diligencias</w:t>
        <w:br/>
        <w:t>establecidas en la ley vigente al momento de suceder los hechos fueron</w:t>
        <w:br/>
        <w:t>completadas a cabalidad. Además, destacó que si no tuviera la buena</w:t>
        <w:br/>
        <w:t>voluntad de investigar, existirían medios legales dentro del procedimiento</w:t>
        <w:br/>
        <w:t>que se habrían podido utilizar para dar por concluida la investigación,</w:t>
        <w:br/>
        <w:t>pues de conformidad con la legislación guatemalteca, si después del tiempo</w:t>
        <w:br/>
        <w:t>que el Fiscal a cargo de la investigación o el Juez Contralor de la misma</w:t>
        <w:br/>
        <w:t>consideren razonable, no hay elementos fácticos que permitan formular una</w:t>
        <w:br/>
        <w:t>acusación, el caso puede eventualmente sobreseerse, clausurarse</w:t>
        <w:br/>
        <w:t>provisionalmente o archivarse.</w:t>
        <w:br/>
        <w:br/>
        <w:t>El Estado también afirmó que, “a pesar de que las diligencias al momento de</w:t>
        <w:br/>
        <w:t>acaecer los hechos no fueron ideales, con el paso del tiempo el Estado ha</w:t>
        <w:br/>
        <w:t>ido subsanando estos vacíos, adoptando una serie de medidas que hoy</w:t>
        <w:br/>
        <w:t>[harían…] más uniforme y ordenada la diligencia del levantamiento del</w:t>
        <w:br/>
        <w:t>cadáver y el modo de recolección de las evidencias”. A su vez, expresó</w:t>
        <w:br/>
        <w:t>preocupación de que la Comisión hiciera la evaluación de las</w:t>
        <w:br/>
        <w:t>investigaciones con base en el Manual sobre la Prevención e Investigación</w:t>
        <w:br/>
        <w:t>Efectiva de Ejecuciones Extrajudiciales, Arbitrarias y Sumarias de Naciones</w:t>
        <w:br/>
        <w:t>Unidas (Protocolo de Minnesota), “como si se tratara de un caso notorio de</w:t>
        <w:br/>
        <w:t>ejecución extrajudicial donde fuese indudable la participación de agentes</w:t>
        <w:br/>
        <w:t>estatales”. Finalmente, el Estado manifestó que los peticionarios habrían</w:t>
        <w:br/>
        <w:t>aducido que no se investigó sobre las supuestas amenazas que sufrieron</w:t>
        <w:br/>
        <w:t>algunas de las presuntas víctimas con posterioridad al a la muerte del</w:t>
        <w:br/>
        <w:t>señor A.A., más no habrían interpuesto las denuncias para hacerlas del</w:t>
        <w:br/>
        <w:t>conocimiento del Estado como lo mandaría la ley, sino a través de terceros.</w:t>
        <w:br/>
        <w:br/>
        <w:br/>
        <w:br/>
        <w:t>Consideraciones de Corte</w:t>
        <w:br/>
        <w:br/>
        <w:br/>
        <w:t>La Corte ha establecido que, de conformidad con la Convención Americana,</w:t>
        <w:br/>
        <w:t>los Estados Partes están obligados a suministrar recursos judiciales</w:t>
        <w:br/>
        <w:t>efectivos a las víctimas de violaciones de los derechos humanos (artículo</w:t>
        <w:br/>
        <w:t>25)[299], recursos que deben ser sustanciados de conformidad con las reglas</w:t>
        <w:br/>
        <w:t>del debido proceso legal (artículo 8.1)[300], todo ello dentro de la</w:t>
        <w:br/>
        <w:t>obligación general, a cargo de los mismos Estados, de garantizar el libre y</w:t>
        <w:br/>
        <w:t>pleno ejercicio de los derechos reconocidos por la Convención a toda</w:t>
        <w:br/>
        <w:t>persona que se encuentre bajo su jurisdicción (artículo 1.1)[301].</w:t>
        <w:br/>
        <w:t>Asimismo, ha señalado que el derecho de acceso a la justicia debe asegurar,</w:t>
        <w:br/>
        <w:t>en tiempo razonable, el derecho de las presuntas víctimas o sus familiares</w:t>
        <w:br/>
        <w:t>a que se haga todo lo necesario para conocer la verdad de lo sucedido e</w:t>
        <w:br/>
        <w:t>investigar, juzgar y, en su caso, sancionar a los eventuales</w:t>
        <w:br/>
        <w:t>responsables[302].</w:t>
        <w:br/>
        <w:br/>
        <w:t>La Corte ha señalado en su jurisprudencia reiterada que el deber de</w:t>
        <w:br/>
        <w:t>investigar es una obligación de medios y no de resultado, que debe ser</w:t>
        <w:br/>
        <w:t>asumida por el Estado como un deber jurídico propio y no como una simple</w:t>
        <w:br/>
        <w:t>formalidad condenada de antemano a ser infructuosa, o como una mera gestión</w:t>
        <w:br/>
        <w:t>de intereses particulares[303], que dependa de la iniciativa procesal de</w:t>
        <w:br/>
        <w:t>las víctimas o de sus familiares o de la aportación privada de elementos</w:t>
        <w:br/>
        <w:t>probatorios[304]. La investigación debe ser seria, imparcial y efectiva, y</w:t>
        <w:br/>
        <w:t>estar orientada a la determinación de la verdad y a la persecución,</w:t>
        <w:br/>
        <w:t>captura, enjuiciamiento y eventual castigo de los autores de los</w:t>
        <w:br/>
        <w:t>hechos[305]. La obligación referida se mantiene “cualquiera sea el agente</w:t>
        <w:br/>
        <w:t>al cual pueda eventualmente atribuirse la violación, aun los particulares,</w:t>
        <w:br/>
        <w:t>pues, si sus actos no son investigados con seriedad, resultarían, en cierto</w:t>
        <w:br/>
        <w:t>modo, auxiliados por el poder público, lo que comprometería la</w:t>
        <w:br/>
        <w:t>responsabilidad internacional del Estado”[306]. Asimismo, la debida</w:t>
        <w:br/>
        <w:t>diligencia exige que el órgano que investiga lleve a cabo todas aquellas</w:t>
        <w:br/>
        <w:t>actuaciones y averiguaciones necesarias para procurar el resultado que se</w:t>
        <w:br/>
        <w:t>persigue. De otro modo, la investigación no es efectiva en los términos de</w:t>
        <w:br/>
        <w:t>la Convención[307].</w:t>
        <w:br/>
        <w:br/>
        <w:t>No escapa a la Corte que, en este caso, las investigaciones desarrolladas</w:t>
        <w:br/>
        <w:t>respecto a la muerte violenta de A.A. y las amenazas a la familia A se</w:t>
        <w:br/>
        <w:t>mantienen en la órbita del Ministerio Público. Sobre el particular, es</w:t>
        <w:br/>
        <w:t>jurisprudencia de la Corte que las garantías del artículo 8.1 de la</w:t>
        <w:br/>
        <w:t>Convención no se aplican solamente a la actividad judicial[308]. En</w:t>
        <w:br/>
        <w:t>particular, en relación con la actividad de las autoridades encargadas de</w:t>
        <w:br/>
        <w:t>las investigaciones, la Corte ha establecido que, dependiendo de las</w:t>
        <w:br/>
        <w:t>circunstancias del caso, puede tener que analizar los procedimientos que se</w:t>
        <w:br/>
        <w:t>vinculan y constituyen el presupuesto de un proceso judicial,</w:t>
        <w:br/>
        <w:t>particularmente, las tareas de investigación de cuyo resultado depende el</w:t>
        <w:br/>
        <w:t>inicio y el avance del mismo[309]. Por supuesto, en dichos casos el</w:t>
        <w:br/>
        <w:t>análisis de las garantías del artículo 8.1 en la órbita de la actividad del</w:t>
        <w:br/>
        <w:t>Ministerio Público se aplican mutatis mutandis en lo que corresponda.</w:t>
        <w:br/>
        <w:br/>
        <w:t>De igual modo, la Corte advierte que la Procuraduría de los Derechos</w:t>
        <w:br/>
        <w:t>Humanos de Escuintla también realizó una investigación y estableció sus</w:t>
        <w:br/>
        <w:t>conclusiones (supra párrs. 121 y 122). Al respecto, la Corte ha señalado</w:t>
        <w:br/>
        <w:t>que la “verdad histórica” documentada en informes especiales, o las tareas,</w:t>
        <w:br/>
        <w:t>actividades o recomendaciones generadas por comisiones especiales o</w:t>
        <w:br/>
        <w:t>procuradurías, como la del presente caso, no completan o sustituyen la</w:t>
        <w:br/>
        <w:t>obligación del Estado de establecer la verdad e investigar delitos a través</w:t>
        <w:br/>
        <w:t>de procesos judiciales[310]. Por ende y sin menoscabar los esfuerzos del</w:t>
        <w:br/>
        <w:t>Estado y las actuaciones llevadas a cabo por la Procuraduría de los</w:t>
        <w:br/>
        <w:t>Derechos Humanos, la Corte considera que el análisis sobre la obligación</w:t>
        <w:br/>
        <w:t>estatal de realizar investigaciones diligentes, serias y efectivas de un</w:t>
        <w:br/>
        <w:t>delito debe circunscribirse a las actuaciones realizadas en el ámbito</w:t>
        <w:br/>
        <w:t>penal.</w:t>
        <w:br/>
        <w:br/>
        <w:br/>
        <w:t xml:space="preserve">      B.1. Respecto a la muerte violenta de A.A.</w:t>
        <w:br/>
        <w:br/>
        <w:t>Para determinar si la obligación de investigar lo ocurrido en este caso se</w:t>
        <w:br/>
        <w:t>ha cumplido a cabalidad, es preciso examinar las diversas acciones tomadas</w:t>
        <w:br/>
        <w:t>por el Estado con posterioridad al hallazgo del cuerpo sin vida del señor</w:t>
        <w:br/>
        <w:t>A.A., destinadas a dilucidar los hechos ocurridos y a identificar a los</w:t>
        <w:br/>
        <w:t>responsables de su muerte violenta. La Corte analizará la controversia</w:t>
        <w:br/>
        <w:t>entre las partes en los siguientes acápites: a) debida diligencia en la</w:t>
        <w:br/>
        <w:t>investigación en las primeras diligencias realizadas; b) debida diligencia</w:t>
        <w:br/>
        <w:t>en relación con las líneas lógicas de investigación, en la recaudación y</w:t>
        <w:br/>
        <w:t>práctica de prueba, y plazo razonable; c) protección a los operadores de</w:t>
        <w:br/>
        <w:t>justicia, investigadores, testigos y familiares de las víctimas, y d)</w:t>
        <w:br/>
        <w:t>conclusiones.</w:t>
        <w:br/>
        <w:br/>
        <w:t xml:space="preserve">      B.1.1. Debida diligencia y seriedad en la investigación en las</w:t>
        <w:br/>
        <w:t>primeras diligencias</w:t>
        <w:br/>
        <w:br/>
        <w:t>La Corte ha establecido que la eficiente determinación de la verdad en el</w:t>
        <w:br/>
        <w:t>marco de la obligación de investigar una muerte, debe mostrarse desde las</w:t>
        <w:br/>
        <w:t>primeras diligencias con toda acuciosidad[311]. En este punto, en cuanto al</w:t>
        <w:br/>
        <w:t>manejo de la escena del crimen, el levantamiento y tratamiento del cadáver</w:t>
        <w:br/>
        <w:t>de la víctima, la necropsia, así como el mantenimiento de la cadena de</w:t>
        <w:br/>
        <w:t>custodia de todo elemento de prueba forense, en su jurisprudencia[312] y</w:t>
        <w:br/>
        <w:t>siguiendo el Manual sobre la Prevención e Investigación Efectiva de</w:t>
        <w:br/>
        <w:t>Ejecuciones Extrajudiciales, Arbitrarias y Sumarias de Naciones Unidas</w:t>
        <w:br/>
        <w:t>(Protocolo de Minnesota), la Corte ha sustentado que deben realizarse</w:t>
        <w:br/>
        <w:t>algunas diligencias mínimas e indispensables para la conservación de los</w:t>
        <w:br/>
        <w:t>elementos de prueba y evidencias que puedan contribuir al éxito de la</w:t>
        <w:br/>
        <w:t>investigación. En este sentido, ha especificado los principios rectores que</w:t>
        <w:br/>
        <w:t>es preciso observar en una investigación cuando se está frente a una muerte</w:t>
        <w:br/>
        <w:t>violenta. En razón de lo anterior, la Corte nota que el argumento estatal</w:t>
        <w:br/>
        <w:t>que cuestiona la evaluación de las investigaciones a la luz del Protocolo</w:t>
        <w:br/>
        <w:t>de Minnesota (supra párr. 198), carece de sustento.</w:t>
        <w:br/>
        <w:br/>
        <w:t>La Corte ha especificado que las autoridades estatales que conducen una</w:t>
        <w:br/>
        <w:t>investigación de este tipo deben intentar como mínimo, inter alia: i)</w:t>
        <w:br/>
        <w:t>identificar a la víctima; ii) recuperar y preservar el material probatorio</w:t>
        <w:br/>
        <w:t>relacionado con la muerte, con el fin de ayudar en cualquier potencial</w:t>
        <w:br/>
        <w:t>investigación penal de los responsables; iii) identificar posibles testigos</w:t>
        <w:br/>
        <w:t>y obtener sus declaraciones en relación con la muerte que se investiga; iv)</w:t>
        <w:br/>
        <w:t>determinar la causa, forma, lugar y momento de la muerte, así como</w:t>
        <w:br/>
        <w:t>cualquier patrón o práctica que pueda haber causado la muerte, y v)</w:t>
        <w:br/>
        <w:t>distinguir entre muerte natural, muerte accidental, suicidio y homicidio.</w:t>
        <w:br/>
        <w:t>Además, es necesario investigar exhaustivamente la escena del crimen, se</w:t>
        <w:br/>
        <w:t>deben realizar autopsias y análisis de restos humanos, en forma rigurosa,</w:t>
        <w:br/>
        <w:t>por profesionales competentes y empleando los procedimientos más</w:t>
        <w:br/>
        <w:t>apropiados[313].</w:t>
        <w:br/>
        <w:br/>
        <w:t>Además, los estándares internacionales señalan que, en relación con la</w:t>
        <w:br/>
        <w:t>escena del crimen, los investigadores deben, como mínimo, fotografiar dicha</w:t>
        <w:br/>
        <w:t>escena, cualquier otra evidencia física y el cuerpo como se encontró y</w:t>
        <w:br/>
        <w:t>después de moverlo; todas las muestras de sangre, cabello, fibras, hilos u</w:t>
        <w:br/>
        <w:t>otras pistas deben ser recogidas y conservadas; examinar el área en busca</w:t>
        <w:br/>
        <w:t>de huellas de zapatos o cualquier otra que tenga naturaleza de evidencia, y</w:t>
        <w:br/>
        <w:t>hacer un informe detallando cualquier observación de la escena, las</w:t>
        <w:br/>
        <w:t>acciones de los investigadores y la disposición de toda la evidencia</w:t>
        <w:br/>
        <w:t>coleccionada. La Corte también ha establecido que al investigar una escena</w:t>
        <w:br/>
        <w:t>del crimen se debe cerrar la zona contigua al cadáver, y prohibir, salvo</w:t>
        <w:br/>
        <w:t>para el investigador y su equipo, el ingreso a la misma[314].</w:t>
        <w:br/>
        <w:br/>
        <w:t>Igualmente, la debida diligencia en una investigación médico-legal de una</w:t>
        <w:br/>
        <w:t>muerte exige el mantenimiento de la cadena de custodia de todo elemento de</w:t>
        <w:br/>
        <w:t>prueba forense[315]. La Corte ha señalado que ello consiste en llevar un</w:t>
        <w:br/>
        <w:t>registro escrito preciso, complementado, según corresponda, por fotografías</w:t>
        <w:br/>
        <w:t>y demás elementos gráficos, para documentar la historia del elemento de</w:t>
        <w:br/>
        <w:t>prueba a medida que pasa por las manos de diversos investigadores</w:t>
        <w:br/>
        <w:t>encargados del caso. La cadena de custodia puede extenderse más allá del</w:t>
        <w:br/>
        <w:t>juicio y la condena del autor, dado que las pruebas antiguas, debidamente</w:t>
        <w:br/>
        <w:t>preservadas, podrían servir para el sobreseimiento de una persona condenada</w:t>
        <w:br/>
        <w:t>erróneamente. La excepción la constituyen los restos de víctimas</w:t>
        <w:br/>
        <w:t>positivamente identificadas que pueden ser devueltos a sus familias para su</w:t>
        <w:br/>
        <w:t>debida sepultura, con la reserva de que no pueden ser cremados y que pueden</w:t>
        <w:br/>
        <w:t>ser exhumados para nuevas autopsias[316].</w:t>
        <w:br/>
        <w:br/>
        <w:t>La Corte ha constatado las siguientes irregularidades en las primeras</w:t>
        <w:br/>
        <w:t>diligencias de la investigación realizadas:</w:t>
        <w:br/>
        <w:br/>
        <w:t>a) No consta en el expediente que se haya establecido cómo se obtuvo la</w:t>
        <w:br/>
        <w:t xml:space="preserve">   noticia del hallazgo del cuerpo, es decir, quién fue la persona que dio</w:t>
        <w:br/>
        <w:t xml:space="preserve">   la noticia del crimen y las circunstancias en que el cadáver fue</w:t>
        <w:br/>
        <w:t xml:space="preserve">   descubierto. Tampoco se establece que se hayan tomado los datos del</w:t>
        <w:br/>
        <w:t xml:space="preserve">   vehículo que se encontraba estacionado en la escena del crimen, que ésta</w:t>
        <w:br/>
        <w:t xml:space="preserve">   se haya protegido o acordonado, o que se realizaran inspecciones con la</w:t>
        <w:br/>
        <w:t xml:space="preserve">   minuciosidad requerida para identificar detalles como el estado de la</w:t>
        <w:br/>
        <w:t xml:space="preserve">   ropa que tenía el cadáver, si había manchas de sangre, marcas de huellas</w:t>
        <w:br/>
        <w:t xml:space="preserve">   en el cuerpo de la víctima, cabellos, fibras, hilos u otras pistas. Por</w:t>
        <w:br/>
        <w:t xml:space="preserve">   tanto, no se realizó un correcto manejo de la escena del crimen.</w:t>
        <w:br/>
        <w:br/>
        <w:t>b) Los objetos personales que se encontraron a A.A., una bicicleta en la</w:t>
        <w:br/>
        <w:t xml:space="preserve">   cual se transportaba y una bolsa con el logotipo de la Despensa Familiar</w:t>
        <w:br/>
        <w:t xml:space="preserve">   y su contenido, fueron entregados a su hijo G.A., quien se hizo presente</w:t>
        <w:br/>
        <w:t xml:space="preserve">   en el lugar y reconoció el cuerpo[317]. Es decir, no fueron recolectados</w:t>
        <w:br/>
        <w:t xml:space="preserve">   como evidencia.</w:t>
        <w:br/>
        <w:br/>
        <w:t>c) El vestuario de A.A. “no se embaló ni se consignaron datos [del mismo]”</w:t>
        <w:br/>
        <w:t xml:space="preserve">   y fue descartado[318]. Sobre este punto, es importante destacar que la</w:t>
        <w:br/>
        <w:t xml:space="preserve">   Auxiliar Fiscal de Santa Lucía Cotzumalguapa informó el 4 de mayo de 2005</w:t>
        <w:br/>
        <w:t xml:space="preserve">   al Agente de la Fiscalía Especial de Derechos Humanos de Guatemala que</w:t>
        <w:br/>
        <w:t xml:space="preserve">   “[l]a víctima fue trasladada a la morgue con las mismas prendas que</w:t>
        <w:br/>
        <w:t xml:space="preserve">   vestía” y que “[n]o le fue retirada ninguna prenda de vestir a la</w:t>
        <w:br/>
        <w:t xml:space="preserve">   víctima”. En específico señaló que “[a] simple vista no se apreció ningún</w:t>
        <w:br/>
        <w:t xml:space="preserve">   tipo de huella en las prendas de vestir, sin embargo este detalle sólo lo</w:t>
        <w:br/>
        <w:t xml:space="preserve">   puede determinar el perito de la materia” (supra párr. 111). Por tanto,</w:t>
        <w:br/>
        <w:t xml:space="preserve">   al no ser recolectada como evidencia tampoco existió la posibilidad de</w:t>
        <w:br/>
        <w:t xml:space="preserve">   practicar algún peritaje para analizar dichas prendas.</w:t>
        <w:br/>
        <w:br/>
        <w:t>d) Si bien la Auxiliar Fiscal de Santa Lucía Cotzumalguapa ordenó el</w:t>
        <w:br/>
        <w:t xml:space="preserve">   traslado del cadáver a la morgue de la localidad para la necropsia de ley</w:t>
        <w:br/>
        <w:t xml:space="preserve">   (supra párr. 102), un agente de la Policía Nacional Civil de Santa Lucía</w:t>
        <w:br/>
        <w:t xml:space="preserve">   Cotzumalguapa que se constituyó en la escena del crimen explicó que “por</w:t>
        <w:br/>
        <w:t xml:space="preserve">   encontrarse en construcción las instalaciones de la Morgue, [el cuerpo</w:t>
        <w:br/>
        <w:t xml:space="preserve">   de] la víctima fue trasladad[o] hacia la sede [de] la funeraria Santísima</w:t>
        <w:br/>
        <w:t xml:space="preserve">   Trinidad en Santa Lucía Cotzumalguapa”[319], a bordo de un vehículo</w:t>
        <w:br/>
        <w:t xml:space="preserve">   conducido por un trabajador de la referida funeraria[320], sin que conste</w:t>
        <w:br/>
        <w:t xml:space="preserve">   que haya sido custodiado. Así, se rompió la cadena de custodia en</w:t>
        <w:br/>
        <w:t xml:space="preserve">   relación con el cuerpo de A.A. y las evidencias en el mismo.</w:t>
        <w:br/>
        <w:br/>
        <w:t>e) Cuando llegó el agente investigador asignado del Servicio de</w:t>
        <w:br/>
        <w:t xml:space="preserve">   Investigación Criminal de la Comisaría 31 de la Policía Nacional Civil de</w:t>
        <w:br/>
        <w:t xml:space="preserve">   Escuintla a la escena del crimen, “el cadáver ya había sido trasladado”.</w:t>
        <w:br/>
        <w:t xml:space="preserve">   En consecuencia, con la información disponible en ese momento y sin</w:t>
        <w:br/>
        <w:t xml:space="preserve">   practicar inspecciones oculares, se realizó el informe preliminar de la</w:t>
        <w:br/>
        <w:t xml:space="preserve">   investigación de 21 de diciembre de 2004 (supra párr. 103). En</w:t>
        <w:br/>
        <w:t xml:space="preserve">   consecuencia, no se hizo un informe adecuado en el que se detallara</w:t>
        <w:br/>
        <w:t xml:space="preserve">   cualquier observación de la escena, las acciones de los investigadores,</w:t>
        <w:br/>
        <w:t xml:space="preserve">   la disposición de toda la evidencia coleccionada y se fotografiara la</w:t>
        <w:br/>
        <w:t xml:space="preserve">   escena del crimen adecuadamente para documentar la historia del elemento</w:t>
        <w:br/>
        <w:t xml:space="preserve">   de prueba.</w:t>
        <w:br/>
        <w:br/>
        <w:t>f) Si bien expertos del Departamento de Escena del Crimen del Ministerio</w:t>
        <w:br/>
        <w:t xml:space="preserve">   Público realizaron un croquis sobre la localización del lugar donde se</w:t>
        <w:br/>
        <w:t xml:space="preserve">   encontró el cadáver del señor A.A. (supra párr. 110), el mismo fue</w:t>
        <w:br/>
        <w:t xml:space="preserve">   elaborado de manera tardía a más de cuatro meses de los hechos y no</w:t>
        <w:br/>
        <w:t xml:space="preserve">   detalla los elementos observados en la escena del crimen.</w:t>
        <w:br/>
        <w:br/>
        <w:t>Al respecto, la Corte destaca que el correcto manejo de la escena del</w:t>
        <w:br/>
        <w:t>crimen es un punto de partida de la investigación y, por tanto,</w:t>
        <w:br/>
        <w:t>determinante para esclarecer la naturaleza, circunstancias y</w:t>
        <w:br/>
        <w:t>características del delito, así como los participantes en el hecho. Es por</w:t>
        <w:br/>
        <w:t>ello que su manejo debe ser mediante profesionales entrenados en la</w:t>
        <w:br/>
        <w:t>importancia de sus acciones, la preservación de la escena del crimen, las</w:t>
        <w:br/>
        <w:t>actividades a realizar en ésta, y en la recuperación y preservación de la</w:t>
        <w:br/>
        <w:t>evidencia.</w:t>
        <w:br/>
        <w:br/>
        <w:t>La Corte constató también, insuficiencias en la manera en que se</w:t>
        <w:br/>
        <w:t>presentaron los resultados de la necropsia médico legal practicada en el</w:t>
        <w:br/>
        <w:t>cadáver de A.A. En un primer informe de 22 de diciembre de 2004 se</w:t>
        <w:br/>
        <w:t>determinó la causa de muerte. En un informe ampliatorio de 10 de mayo de</w:t>
        <w:br/>
        <w:t>2005, se precisó el tiempo aproximado de la muerte, las características de</w:t>
        <w:br/>
        <w:t>las heridas de proyectil de arma de fuego, la distancia en la cual se abrió</w:t>
        <w:br/>
        <w:t>fuego, el trayecto de los proyectiles en el cuerpo, la causa básica y</w:t>
        <w:br/>
        <w:t>directa de la muerte y la manera de la muerte. En un informe ampliatorio de</w:t>
        <w:br/>
        <w:t>3 de agosto de 2006, se explicó que dos fragmentos de proyectil de arma de</w:t>
        <w:br/>
        <w:t>fuego que se encontraron fueron enviados al Ministerio Público para su</w:t>
        <w:br/>
        <w:t>respectivo análisis, y que el tercer fragmento de proyectil de arma de</w:t>
        <w:br/>
        <w:t>fuego no se encontró de la manera convencional en la que se realizan las</w:t>
        <w:br/>
        <w:t>necropsias y no se contaba con medios radiológicos para su ubicación (supra</w:t>
        <w:br/>
        <w:t>párr. 107). Por tanto, si bien la necropsia fue practicada el 20 de</w:t>
        <w:br/>
        <w:t>diciembre de 2004, fue recién el 3 de agosto de 2006 que se contó con la</w:t>
        <w:br/>
        <w:t>información sobre la causa, forma, lugar y momento aproximado de la muerte.</w:t>
        <w:br/>
        <w:t>Es decir, durante un período de un año y siete meses los resultados se</w:t>
        <w:br/>
        <w:t>presentaron de manera incompleta, segmentada y sin emplearse los</w:t>
        <w:br/>
        <w:t>procedimientos más apropiados.</w:t>
        <w:br/>
        <w:br/>
        <w:t>De igual modo, la Corte observa inconsistencias respecto al establecimiento</w:t>
        <w:br/>
        <w:t>de la hora de la muerte de A.A. Al respecto, en el informe preliminar de la</w:t>
        <w:br/>
        <w:t>investigación de 21 de diciembre de 2004, el agente investigador del</w:t>
        <w:br/>
        <w:t>Servicio de Investigación Criminal de la Comisaría 31 de la Policía</w:t>
        <w:br/>
        <w:t>Nacional Civil de Escuintla indicó como hora probable del hecho las 10:45</w:t>
        <w:br/>
        <w:t>horas. Ello es consistente con el acta de levantamiento de cadáver de la</w:t>
        <w:br/>
        <w:t>Auxiliar Fiscal de 20 de diciembre de 2004, la cual señala que dicha</w:t>
        <w:br/>
        <w:t>diligencia se practicó a las 11:30 horas. En cambio, en el certificado de</w:t>
        <w:br/>
        <w:t>defunción del señor A.A. se estableció como hora de la muerte las 12:30</w:t>
        <w:br/>
        <w:t>horas[321], y en otro sentido, en la ampliación del informe de necropsia de</w:t>
        <w:br/>
        <w:t>10 de mayo de 2005 se estableció que en el momento de la necropsia (13:00</w:t>
        <w:br/>
        <w:t>horas.) habrían transcurrido aproximadamente 3 o 4 horas desde el</w:t>
        <w:br/>
        <w:t>fallecimiento[322]. Al respecto, no fueron realizadas diligencias para</w:t>
        <w:br/>
        <w:t>corregir esas incongruencias debido a que el procedimiento de</w:t>
        <w:br/>
        <w:t>rectificaciones no fue activado de conformidad con los requerimientos</w:t>
        <w:br/>
        <w:t>legales vigentes en la época[323]. Todo lo cual ha impedido establecer de</w:t>
        <w:br/>
        <w:t>manera clara la hora aproximada de la muerte del señor A.A.</w:t>
        <w:br/>
        <w:br/>
        <w:t>Por todo lo anterior, la Corte concluye que en el presente caso se</w:t>
        <w:br/>
        <w:t>presentaron las siguientes irregularidades: i) no se precisaron las</w:t>
        <w:br/>
        <w:t>circunstancias del hallazgo del cadáver; ii) no se realizó un correcto</w:t>
        <w:br/>
        <w:t>manejo de la escena del crimen, así como del levantamiento y tratamiento</w:t>
        <w:br/>
        <w:t>del cadáver; iii) no se recolectaron determinados elementos como evidencia</w:t>
        <w:br/>
        <w:t>en la escena del crimen; iv) se rompió la cadena de custodia de elementos</w:t>
        <w:br/>
        <w:t>de prueba forense; (v) no se realizó un informe de investigación adecuado,</w:t>
        <w:br/>
        <w:t>y vi) existieron irregularidades en la forma en que se elaboró el croquis</w:t>
        <w:br/>
        <w:t>sobre la localización del cadáver, así como insuficiencias e</w:t>
        <w:br/>
        <w:t>inconsistencias en la manera en que se presentaron los resultados de la</w:t>
        <w:br/>
        <w:t>necropsia médico legal practicada en el cadáver y en el establecimiento de</w:t>
        <w:br/>
        <w:t>la hora de la muerte.</w:t>
        <w:br/>
        <w:br/>
        <w:t>Dado que no consta que se hayan realizado diligencias para corregir dichas</w:t>
        <w:br/>
        <w:t>irregularidades y, en específico, no fue activado el procedimiento de</w:t>
        <w:br/>
        <w:t>rectificaciones de conformidad con los requerimientos legales vigentes en</w:t>
        <w:br/>
        <w:t>la época (supra párr. 211), el cual eventualmente podría haber sido el</w:t>
        <w:br/>
        <w:t>mecanismo idóneo a tal efecto, la Corte observa que en el caso concreto</w:t>
        <w:br/>
        <w:t>deviene en irreparable la subsanación de las primeras diligencias de la</w:t>
        <w:br/>
        <w:t>investigación. En razón de todo lo anterior, se afectó la debida diligencia</w:t>
        <w:br/>
        <w:t>y seriedad en la investigación.</w:t>
        <w:br/>
        <w:br/>
        <w:t xml:space="preserve">      B.1.2. Debida diligencia en relación con las líneas lógicas de</w:t>
        <w:br/>
        <w:t xml:space="preserve">      investigación, en la recaudación y práctica de prueba, y plazo</w:t>
        <w:br/>
        <w:t xml:space="preserve">      razonable</w:t>
        <w:br/>
        <w:br/>
        <w:t>La Corte ha establecido que, en aras de garantizar su efectividad, en la</w:t>
        <w:br/>
        <w:t>investigación de violaciones a los derechos humanos se debe evitar</w:t>
        <w:br/>
        <w:t>omisiones en la recaudación de prueba y en el seguimiento de líneas lógicas</w:t>
        <w:br/>
        <w:t>de investigación[324]. Al respecto, la Corte ha precisado que, cuando los</w:t>
        <w:br/>
        <w:t>hechos se refieren a la muerte violenta de una persona, la investigación</w:t>
        <w:br/>
        <w:t>iniciada debe ser conducida de tal forma que pudiese garantizar el debido</w:t>
        <w:br/>
        <w:t>análisis de las hipótesis de autoría surgidas a raíz de la misma[325]. En</w:t>
        <w:br/>
        <w:t>este punto, cabe recordar que no corresponde a la Corte analizar las</w:t>
        <w:br/>
        <w:t>hipótesis de autoría manejadas durante la investigación de los hechos y en</w:t>
        <w:br/>
        <w:t>consecuencia determinar responsabilidades individuales, cuya definición</w:t>
        <w:br/>
        <w:t>compete a los tribunales penales internos, sino evaluar las acciones u</w:t>
        <w:br/>
        <w:t>omisiones de agentes estatales, según la prueba presentada por las</w:t>
        <w:br/>
        <w:t>partes[326]. De igual modo, no compete a la Corte sustituir a la</w:t>
        <w:br/>
        <w:t>jurisdicción interna estableciendo las modalidades específicas de</w:t>
        <w:br/>
        <w:t>investigación y juzgamiento en un caso concreto para obtener un mejor o más</w:t>
        <w:br/>
        <w:t>eficaz resultado, sino constatar si en los pasos efectivamente dados a</w:t>
        <w:br/>
        <w:t>nivel interno se violaron o no obligaciones internacionales del Estado</w:t>
        <w:br/>
        <w:t>derivadas de los artículos 8 y 25 de la Convención Americana[327]. La Corte</w:t>
        <w:br/>
        <w:t>recuerda que la falta de diligencia tiene como consecuencia que conforme el</w:t>
        <w:br/>
        <w:t>tiempo vaya transcurriendo, se afecte indebidamente la posibilidad de</w:t>
        <w:br/>
        <w:t>obtener y presentar pruebas pertinentes que permitan esclarecer los hechos</w:t>
        <w:br/>
        <w:t>y determinar las responsabilidades que correspondan, con lo cual el Estado</w:t>
        <w:br/>
        <w:t>contribuye a la impunidad[328].</w:t>
        <w:br/>
        <w:br/>
        <w:t>La Corte observa que la investigación penal relacionada con la muerte de</w:t>
        <w:br/>
        <w:t>A.A. estuvo basada en tres hipótesis preliminares. Primero, que la muerte</w:t>
        <w:br/>
        <w:t>podría haber devenido de alguna controversia con algún grupo del sector por</w:t>
        <w:br/>
        <w:t>su actividad política, es decir, por razones políticas e ideológicas.</w:t>
        <w:br/>
        <w:t>Segundo, que la muerte podría haberse ocasionado con motivo de los</w:t>
        <w:br/>
        <w:t>conflictos en la administración en la Escuela de Autogestión Comunitaria</w:t>
        <w:br/>
        <w:t>República de México de la Aldea Cruce de la Esperanza. Tercero, que la</w:t>
        <w:br/>
        <w:t>muerte había ocurrido con motivo de que el señor A.A. había presenciado la</w:t>
        <w:br/>
        <w:t>muerte de un joven en ese sector. Las dos primeras hipótesis surgieron a</w:t>
        <w:br/>
        <w:t>partir del año 2004 y la tercera hipótesis a partir del año 2006[329]. El</w:t>
        <w:br/>
        <w:t>Estado indicó que existió una hipótesis que relacionó la muerte con la</w:t>
        <w:br/>
        <w:t>alegada presentación de la denuncia del Caso Gudiel Álvarez y otros</w:t>
        <w:br/>
        <w:t>("Diario Militar") ante la Comisión Interamericana, la cual quince días</w:t>
        <w:br/>
        <w:t>antes de su muerte habría firmado el señor A.A., sin embargo, de la prueba</w:t>
        <w:br/>
        <w:t>no se desprende este extremo.</w:t>
        <w:br/>
        <w:br/>
        <w:t>En primer lugar, la Corte considera que en las investigaciones realizadas</w:t>
        <w:br/>
        <w:t>no se ha tenido en cuenta el contexto de los hechos y que A.A. era defensor</w:t>
        <w:br/>
        <w:t>de derechos humanos, así como las labores y actividades que desempeñaba en</w:t>
        <w:br/>
        <w:t>el momento de su muerte (supra párr. 131). Si bien es cierto que el 22 de</w:t>
        <w:br/>
        <w:t>marzo de 2005 la Fiscalía Especial de Derechos Humanos de Guatemala recibió</w:t>
        <w:br/>
        <w:t>el expediente y, a su vez, en dicha Fiscalía la investigación se tramitó en</w:t>
        <w:br/>
        <w:t>la Unidad Fiscal de Delitos contra Activistas de Derechos Humanos, al menos</w:t>
        <w:br/>
        <w:t>hasta el año 2009 (supra párr. 116 y 122), no se observa que las</w:t>
        <w:br/>
        <w:t>autoridades encargadas de las investigaciones hubieran seguido líneas de</w:t>
        <w:br/>
        <w:t>investigación claras y lógicas que hubieran tomado en cuenta esos</w:t>
        <w:br/>
        <w:t>elementos. En este sentido, si bien de la prueba se desprende que “se</w:t>
        <w:br/>
        <w:t>procedió a investigar el entorno del fallecido, tales como sus relaciones</w:t>
        <w:br/>
        <w:t>personales, comunales y otros”, dicha actividad se limitó a recabar</w:t>
        <w:br/>
        <w:t>entrevistas de sus familiares[330], tratándose el caso del señor A.A. de</w:t>
        <w:br/>
        <w:t>manera aislada, lo cual no favoreció la determinación de la verdad ni de</w:t>
        <w:br/>
        <w:t>las responsabilidades correspondientes.</w:t>
        <w:br/>
        <w:br/>
        <w:t>En segundo lugar, la Corte constató un retraso de un año y medio en la</w:t>
        <w:br/>
        <w:t>práctica de pericial balística sobre los tres casquillos encontrados en la</w:t>
        <w:br/>
        <w:t>escena del crimen y los dos fragmentos de proyectil de arma de fuego</w:t>
        <w:br/>
        <w:t>extraídos del cadáver, además no consta que se haya concluido su práctica</w:t>
        <w:br/>
        <w:t>en los casquillos encontrados (supra párr. 108).</w:t>
        <w:br/>
        <w:br/>
        <w:t>En tercer lugar, la Corte observa que hubo omisiones en el recaudo de</w:t>
        <w:br/>
        <w:t>prueba, ya que aun cuando el 1 de marzo de 2006 el Auxiliar Fiscal solicitó</w:t>
        <w:br/>
        <w:t>a los Investigadores de la DICRI “[e]ntrevistar a la señora [V],</w:t>
        <w:br/>
        <w:t>posiblemente de apellido [J]”; “[i]nvestigar sobre un posible panadero, que</w:t>
        <w:br/>
        <w:t>según versiones pudiera ser testigo”, y “[e]ntrevistar a doña [M.E.]”[331],</w:t>
        <w:br/>
        <w:t>no consta que dichos requerimientos hayan sido realizados ni que se haya</w:t>
        <w:br/>
        <w:t>insistido sobre el cumplimiento de los mismos.</w:t>
        <w:br/>
        <w:br/>
        <w:t>En cuarto lugar, la Corte constata la escasa actividad investigativa y la</w:t>
        <w:br/>
        <w:t>omisión en el seguimiento de líneas lógicas de investigación surgidas a</w:t>
        <w:br/>
        <w:t>raíz de la misma respecto a las hipótesis que relacionaron la muerte de</w:t>
        <w:br/>
        <w:t>A.A. con razones políticas e ideológicas y los conflictos en la</w:t>
        <w:br/>
        <w:t>administración en una escuela comunitaria (supra párr. 215), no obstante</w:t>
        <w:br/>
        <w:t>que durante la investigación se recopilaron los siguientes indicios</w:t>
        <w:br/>
        <w:t>respecto del móvil:</w:t>
        <w:br/>
        <w:br/>
        <w:t>g) De manera constante en declaraciones de 20, 22 y 23 de diciembre de</w:t>
        <w:br/>
        <w:t xml:space="preserve">   2004, y 25 de enero, 10 de febrero y 11 de mayo de 2005 y ante las</w:t>
        <w:br/>
        <w:t xml:space="preserve">   autoridades que tuvieron a cargo la investigación de los hechos, B.A.</w:t>
        <w:br/>
        <w:t xml:space="preserve">   sostuvo que la muerte del señor A.A. se debió a cuestiones políticas y</w:t>
        <w:br/>
        <w:t xml:space="preserve">   sindicó a L.L. y M.M. como responsables de los hechos. Al respecto,</w:t>
        <w:br/>
        <w:t xml:space="preserve">   explicó que L.L., “ex miembro del Ejército de Guatemala”, “era Presidente</w:t>
        <w:br/>
        <w:t xml:space="preserve">   del Comité de la Escuela de Autogestión Comunitaria República de México y</w:t>
        <w:br/>
        <w:t xml:space="preserve">   fue despedido por mal manejo de fondos”, por tanto, A.A. asumió dicho</w:t>
        <w:br/>
        <w:t xml:space="preserve">   cargo. Indicó que el día de la referida destitución, en noviembre de 2003</w:t>
        <w:br/>
        <w:t xml:space="preserve">   y estando en un velorio en compañía de varios conocidos, L.L. la amenazó,</w:t>
        <w:br/>
        <w:t xml:space="preserve">   vía telefónica a su celular, a ella, a su papá y a su hijo. Por su parte,</w:t>
        <w:br/>
        <w:t xml:space="preserve">   M.M., “quien trabajaba con el partido Frente Republicano Guatemalteco</w:t>
        <w:br/>
        <w:t xml:space="preserve">   (FRG)”, “se tomaba atribuciones que no le correspondían” cuando A.A.</w:t>
        <w:br/>
        <w:t xml:space="preserve">   ejercía como “Alcalde Comunitario del Cruce de la Esperanza”[332].</w:t>
        <w:br/>
        <w:br/>
        <w:t>h) El 23 de diciembre de 2004 y ante el Investigador asignado de la</w:t>
        <w:br/>
        <w:t xml:space="preserve">   Procuraduría de los Derechos Humanos, el entonces Alcalde Municipal de</w:t>
        <w:br/>
        <w:t xml:space="preserve">   Santa Lucía Cotzumalguapa señaló que A.A. como Alcalde Comunitario</w:t>
        <w:br/>
        <w:t xml:space="preserve">   “tu[v]o varios problemas con un señor llamado [M.M.][,] quien</w:t>
        <w:br/>
        <w:t xml:space="preserve">   recientemente se tomaba atribuciones de Alcalde Auxiliar que no le</w:t>
        <w:br/>
        <w:t xml:space="preserve">   correspond[ían] porque el Alcalde Auxiliar era [A.A.]”, y que el señor</w:t>
        <w:br/>
        <w:t xml:space="preserve">   M.M. “[era] simpatizante y trabaja[ba] en el partido Político FRG y el</w:t>
        <w:br/>
        <w:t xml:space="preserve">   señor [A.A.] lo destituy[ó] de su cargo autonombrado que desempeñaba y</w:t>
        <w:br/>
        <w:t xml:space="preserve">   por eso fueron las diferencias entre ellos”[333]. Cabe señalar que el</w:t>
        <w:br/>
        <w:t xml:space="preserve">   expediente de la investigación realizada por la Procuraduría hace parte</w:t>
        <w:br/>
        <w:t xml:space="preserve">   del expediente de la investigación penal (supra párr. 122).</w:t>
        <w:br/>
        <w:br/>
        <w:t>i) La pareja sentimental de E.A., al ser entrevistado el 20 de enero de</w:t>
        <w:br/>
        <w:t xml:space="preserve">   2005 por el Investigador de la DICRI, señaló que “los únicos problemas</w:t>
        <w:br/>
        <w:t xml:space="preserve">   que tenía [el señor A.A.] era con el señor […][L.L.]”, y que los</w:t>
        <w:br/>
        <w:t xml:space="preserve">   problemas iniciaron cuando A.A. “fue Presidente del Comité de la Aldea</w:t>
        <w:br/>
        <w:t xml:space="preserve">   Cruce La Esperanza, y Fundador de la Escuela de Autogestión Comunitaria</w:t>
        <w:br/>
        <w:t xml:space="preserve">   República de México de dicha aldea”. Manifestó que “[a]proximadamente en</w:t>
        <w:br/>
        <w:t xml:space="preserve">   el año 2001, el señor [L.L.] fue nombrado Presidente del Comité, y antes</w:t>
        <w:br/>
        <w:t xml:space="preserve">   que se le terminara el período de entrega [...] se le hizo una auditoría,</w:t>
        <w:br/>
        <w:t xml:space="preserve">   y se le encontraron anomalías y fue sacado de inmediato por los vecinos”.</w:t>
        <w:br/>
        <w:t xml:space="preserve">   Dicha Presidencia la había asumido A.A. y “desde ese entonces el señor</w:t>
        <w:br/>
        <w:t xml:space="preserve">   [L.L.] lo había llevado mal, incluso el día que éste fue destituido del</w:t>
        <w:br/>
        <w:t xml:space="preserve">   [C]omité, ya casi entrada la noche, cuando se encontraban en un velorio</w:t>
        <w:br/>
        <w:t xml:space="preserve">   acompañado de la señora [B.A.]”, ésta “le dijo que estaba asustada en</w:t>
        <w:br/>
        <w:t xml:space="preserve">   vista que el señor [L.L.], le había hecho una llamada telefónica donde la</w:t>
        <w:br/>
        <w:t xml:space="preserve">   amenazaba a ella a su hijo y al ahora fallecido”. Agregó que en la aldea</w:t>
        <w:br/>
        <w:t xml:space="preserve">   “hay una persona de nombre [M.M.], que mantiene una estrecha comunicación</w:t>
        <w:br/>
        <w:t xml:space="preserve">   con el señor [L.L.], y él también le tenía envidia al fallecido”[334].</w:t>
        <w:br/>
        <w:br/>
        <w:t>j) Un vecino de la localidad, al ser entrevistado el 20 de enero de 2005</w:t>
        <w:br/>
        <w:t xml:space="preserve">   por el Investigador de la DICRI, manifestó que “[L.L.][…] siempre llevaba</w:t>
        <w:br/>
        <w:t xml:space="preserve">   mal al fallecido, en vista que el señor [A.A.] […] fue Presidente del</w:t>
        <w:br/>
        <w:t xml:space="preserve">   Comité y fundador de la Escuela. Después de entregar el cargo, fue</w:t>
        <w:br/>
        <w:t xml:space="preserve">   nombrado como Presidente el señor [L.L.] pero antes que se le terminara</w:t>
        <w:br/>
        <w:t xml:space="preserve">   su período [al] efectuar una auditoría interna, donde se le descubrieron</w:t>
        <w:br/>
        <w:t xml:space="preserve">   anomalías […] fue destituido del cargo”. Agregó que “ese mismo día de la</w:t>
        <w:br/>
        <w:t xml:space="preserve">   destitución del señor [L.L.], él y la señora [B.A.], y otras personas de</w:t>
        <w:br/>
        <w:t xml:space="preserve">   quienes no se recuerda los nombres, cuando se dirigían a un velorio […],</w:t>
        <w:br/>
        <w:t xml:space="preserve">   a la señora [B.A.], le entró una llamada telefónica a su teléfono</w:t>
        <w:br/>
        <w:t xml:space="preserve">   celular, y se quedó espantada”, al preguntarle “manifestó que el señor</w:t>
        <w:br/>
        <w:t xml:space="preserve">   […][L.L.], le había llamado y que la había amenazado que se las iban a</w:t>
        <w:br/>
        <w:t xml:space="preserve">   pagar”[335].</w:t>
        <w:br/>
        <w:br/>
        <w:t>k) Según fue informado por el Investigador de la DICRI, el 20 de enero de</w:t>
        <w:br/>
        <w:t xml:space="preserve">   2005 “fueron entrevistadas varias personas residentes de la Aldea Cruce</w:t>
        <w:br/>
        <w:t xml:space="preserve">   de la Esperanza […] quienes por temor a represalia no se identificaron,</w:t>
        <w:br/>
        <w:t xml:space="preserve">   pero fueron contestes en manifestar que […] están enterados que hay una</w:t>
        <w:br/>
        <w:t xml:space="preserve">   persona conocida por el nombre de [L.L.]” que “siempre llevaba mal al</w:t>
        <w:br/>
        <w:t xml:space="preserve">   fallecido tal vez por envidia” y agregaron “que se ha[bían] enterado que</w:t>
        <w:br/>
        <w:t xml:space="preserve">   el señor [L.L.], ha llegado al grado de amenazar a la familia del</w:t>
        <w:br/>
        <w:t xml:space="preserve">   fallecido, y se teme que éste pueda cumplirlas ya que aparte que no es</w:t>
        <w:br/>
        <w:t xml:space="preserve">   originario del lugar, maneja un machismo militar”[336].</w:t>
        <w:br/>
        <w:br/>
        <w:t>No obstante lo anterior, no consta en el expediente que se hayan realizado</w:t>
        <w:br/>
        <w:t>diligencias a fin de determinar si dichos indicios podrían haber estado</w:t>
        <w:br/>
        <w:t>vinculados al móvil de la muerte. En concreto, no consta que las personas</w:t>
        <w:br/>
        <w:t>que se identificaron ante los Investigadores de la DICRI hayan sido citadas</w:t>
        <w:br/>
        <w:t>a declarar ante la Fiscalía del Ministerio Público para obtener mayor</w:t>
        <w:br/>
        <w:t>información, ni se ordenó realizar diligencia alguna para recibir las</w:t>
        <w:br/>
        <w:t>declaraciones de quienes por temor no se identificaron. Tampoco se citó a</w:t>
        <w:br/>
        <w:t>declarar a L.L. y M.M., a fin de obtener mayor información sobre la</w:t>
        <w:br/>
        <w:t>acusación formulada en su contra en cuanto a “su posible responsabilidad</w:t>
        <w:br/>
        <w:t>intelectual”[337]. Al respecto, el entonces Agente Fiscal asignado a la</w:t>
        <w:br/>
        <w:t>investigación explicó que la decisión de no entrevistarlos, hasta que no se</w:t>
        <w:br/>
        <w:t>tuvieran evidencias contundentes contra ellos, se tomó “primero, por ser</w:t>
        <w:br/>
        <w:t>improcedente, segundo, podría ser inoportuno y, potencialmente,</w:t>
        <w:br/>
        <w:t>imprudente”. Señaló que es “improcedente, porque si ya me lo han referido</w:t>
        <w:br/>
        <w:t>como posibles sospechosos, al entrevistarlos es mi obligación</w:t>
        <w:br/>
        <w:t>constitucional y es derecho de estas personas que les haga saber el motivo</w:t>
        <w:br/>
        <w:t>de la entrevista, en consecuencia, pueden tener acceso al mismo expediente</w:t>
        <w:br/>
        <w:t>y de esa manera se vuelve inoportuno, porque podrían enterarse del estado</w:t>
        <w:br/>
        <w:t>de la investigación y en su momento influir en posibles testigos,</w:t>
        <w:br/>
        <w:t>intimidarlos. Y no se escapa, teóricamente, si fuesen ellos los</w:t>
        <w:br/>
        <w:t>responsables, imprudente porque podrían atentar contra posibles</w:t>
        <w:br/>
        <w:t>testigos[338]. No escapa a la Corte que la gravedad de esta última omisión</w:t>
        <w:br/>
        <w:t>deviene en irreparable, ya que los sospechosos fallecieron en los años 2010</w:t>
        <w:br/>
        <w:t>y 2012 (supra párr. 120).</w:t>
        <w:br/>
        <w:br/>
        <w:t>Sumado a lo anterior, no se vinculó a la investigación la denuncia penal</w:t>
        <w:br/>
        <w:t>interpuesta el 26 de noviembre de 2003 por la señora B.A. en contra de</w:t>
        <w:br/>
        <w:t>L.L., no obstante que el Investigador de la DICRI la puso en conocimiento y</w:t>
        <w:br/>
        <w:t>remitió a la Fiscalía de Santa Lucía Cotzumalguapa mediante el informe de 5</w:t>
        <w:br/>
        <w:t>de abril de 2005 que hace parte del expediente de la investigación penal</w:t>
        <w:br/>
        <w:t>(supra párr. 105). Aunado a ello, en el marco de la investigación y en</w:t>
        <w:br/>
        <w:t>diversas oportunidades, B.A. informó sobre la existencia de la referida</w:t>
        <w:br/>
        <w:t>denuncia y la relacionó con la muerte del señor A.A. (supra párrs. 146 y</w:t>
        <w:br/>
        <w:t>154), sin que conste que el ente investigador haya intentado obtener</w:t>
        <w:br/>
        <w:t>constancia de la misma.</w:t>
        <w:br/>
        <w:br/>
        <w:t>En quinto lugar, en lo que se refiere a la hipótesis que relacionó la</w:t>
        <w:br/>
        <w:t>muerte de A.A. con motivo que había presenciado la muerte de un joven en el</w:t>
        <w:br/>
        <w:t>sector, también hubo retardo y determinadas omisiones en el recaudo de</w:t>
        <w:br/>
        <w:t>prueba. En este sentido, al menos para el 17 de mayo de 2005 se sospechaba</w:t>
        <w:br/>
        <w:t>la participación de dos jóvenes, “miembros de grupos pandilleros”, en el</w:t>
        <w:br/>
        <w:t>homicidio, apodados como el “Queso” y el “Gato” (supra párr. 113), y para</w:t>
        <w:br/>
        <w:t>el 21 de noviembre de 2006 se establecieron diversas líneas de</w:t>
        <w:br/>
        <w:t>investigación mediante las cuales se buscó identificar a éstos y a otras</w:t>
        <w:br/>
        <w:t>tres personas apodadas como el “Chelelo”, “Salomón” y el “Susy”. Además, al</w:t>
        <w:br/>
        <w:t>menos el 26 de marzo de 2008 el “Gato”, “Chelelo” y “Salomón” sí fueron</w:t>
        <w:br/>
        <w:t>identificados, y por “presum[ir]” que participaron en el hecho, se les</w:t>
        <w:br/>
        <w:t>realizaron el 17 de junio de 2008 diligencias de allanamiento, inspección y</w:t>
        <w:br/>
        <w:t>registro, pero “con resultados negativos”[339].</w:t>
        <w:br/>
        <w:br/>
        <w:t>Al respecto, la Corte constató el retardo en la práctica de las diligencias</w:t>
        <w:br/>
        <w:t>de allanamiento, inspección y registro, las cuales fueron realizadas a casi</w:t>
        <w:br/>
        <w:t>un año y medio después de que se dispuso identificar a las personas que</w:t>
        <w:br/>
        <w:t>fueron señalas como sospechosas, lo cual podría tornar ineficaz su práctica</w:t>
        <w:br/>
        <w:t>por su falta de oportunidad en el ámbito o espectro de actuación. Asimismo,</w:t>
        <w:br/>
        <w:t>la Corte nota que no consta que se haya dado seguimiento ni conclusión a</w:t>
        <w:br/>
        <w:t>las dos líneas que habían quedado abiertas sobre la identificación de los</w:t>
        <w:br/>
        <w:t>dos sospechosos restantes, el “Queso” y “Susy”, ni que se hayan vinculado</w:t>
        <w:br/>
        <w:t>entre sí los resultados obtenidos hasta ese momento. Tampoco consta que las</w:t>
        <w:br/>
        <w:t>tres personas que sí fueron identificadas, el “Gato”, “Chelelo” y</w:t>
        <w:br/>
        <w:t>“Salomón”, hayan sido citadas a declarar ante la Fiscalía del Ministerio</w:t>
        <w:br/>
        <w:t>Público para obtener mayor información sobre la acusación formulada en su</w:t>
        <w:br/>
        <w:t>contra, ni sobre la existencia y datos de identificación del “Queso” y</w:t>
        <w:br/>
        <w:t>“Susy” y la posible relación que guardaban entre ellos[340]. Igualmente no</w:t>
        <w:br/>
        <w:t>se exploraron vínculos de autoría material e intelectual. Incluso no consta</w:t>
        <w:br/>
        <w:t>que se haya establecido, al menos, si el señor A.A. se encontraba en el</w:t>
        <w:br/>
        <w:t>lugar, el día y hora de la mencionada muerte del joven en el sector, o</w:t>
        <w:br/>
        <w:t>bien, si frecuentaba transitar por dicha zona.</w:t>
        <w:br/>
        <w:br/>
        <w:t>En sexto lugar, consta que al menos el 24 de mayo de 2006 y 13 de marzo de</w:t>
        <w:br/>
        <w:t>2007 se relacionó a dos personas más con la autoría del delito, apodados</w:t>
        <w:br/>
        <w:t>como “Nito” y “Selvin” (supra párr. 113), por lo que se abrieron líneas de</w:t>
        <w:br/>
        <w:t>investigación a fin de identificarlas. A pesar de ello, no consta actividad</w:t>
        <w:br/>
        <w:t>investigativa alguna respecto al señalado como “Nito”. En relación con el</w:t>
        <w:br/>
        <w:t>señalado como “Selvin”, el 26 de marzo y 10 de abril de 2008 los</w:t>
        <w:br/>
        <w:t>Investigadores de la DICRI aportaron sus datos de identificación y la</w:t>
        <w:br/>
        <w:t>dirección exacta de un inmueble al cual se le relacionó, y el 17 de junio</w:t>
        <w:br/>
        <w:t>de 2008 se le realizó una diligencia de allanamiento, inspección y</w:t>
        <w:br/>
        <w:t>registro, pero “con resultados negativos”[341]. No consta que se haya</w:t>
        <w:br/>
        <w:t>establecido diligencia alguna posterior, ni que hayan sido citadas a</w:t>
        <w:br/>
        <w:t>declarar ante la Fiscalía del Ministerio Público para obtener mayor</w:t>
        <w:br/>
        <w:t>información sobre la acusación formulada en su contra.</w:t>
        <w:br/>
        <w:br/>
        <w:t>En definitiva, la Corte considera que, aun cuando se desplegó actividad</w:t>
        <w:br/>
        <w:t>investigativa por los hechos de la muerte del señor A.A., las diligencias</w:t>
        <w:br/>
        <w:t>realizadas presentaron omisiones y retardos en el recabo y practica de</w:t>
        <w:br/>
        <w:t>prueba, y que el seguimiento de líneas lógicas de investigación no ha sido</w:t>
        <w:br/>
        <w:t>completo y exhaustivo. Por tanto, la investigación que se sigue en la</w:t>
        <w:br/>
        <w:t>jurisdicción interna no ha sido diligente, seria y efectiva.</w:t>
        <w:br/>
        <w:br/>
        <w:t>Por último, la Corte ha constatado que han transcurrido casi 10 años de los</w:t>
        <w:br/>
        <w:t>hechos del caso y que se inició la investigación, y aún no han sido</w:t>
        <w:br/>
        <w:t>esclarecidos ni se ha determinado la verdad de lo ocurrido, afectando el</w:t>
        <w:br/>
        <w:t>derecho al acceso a la justicia de los familiares del señor A.A. en un</w:t>
        <w:br/>
        <w:t>plazo razonable. Por tanto, la Corte considera que una demora prolongada,</w:t>
        <w:br/>
        <w:t>como la que se ha dado en este caso, constituye en principio, una violación</w:t>
        <w:br/>
        <w:t>a las garantías judiciales. La Corte no considera necesario realizar</w:t>
        <w:br/>
        <w:t>mayores consideraciones al respecto.</w:t>
        <w:br/>
        <w:br/>
        <w:t xml:space="preserve">      B.1.3. Protección a los operadores de justicia, investigadores,</w:t>
        <w:br/>
        <w:t xml:space="preserve">      testigos y familiares de las víctimas</w:t>
        <w:br/>
        <w:br/>
        <w:t>La Corte recuerda que el Estado, para garantizar un debido proceso, debe</w:t>
        <w:br/>
        <w:t>facilitar todos los medios necesarios para proteger a los operadores de</w:t>
        <w:br/>
        <w:t>justicia, investigadores, testigos y familiares de las víctimas de</w:t>
        <w:br/>
        <w:t>hostigamientos y amenazas que tengan como finalidad entorpecer el proceso,</w:t>
        <w:br/>
        <w:t>evitar el esclarecimiento de los hechos y encubrir a los responsables de</w:t>
        <w:br/>
        <w:t>los mismos[342], pues de lo contrario eso tendría un efecto amedrentador e</w:t>
        <w:br/>
        <w:t>intimidante en quienes investigan y en quienes podrían ser testigos,</w:t>
        <w:br/>
        <w:t>afectando seriamente la efectividad de la investigación[343]. En efecto,</w:t>
        <w:br/>
        <w:t>las amenazas e intimidaciones sufridas por testigos en el proceso interno</w:t>
        <w:br/>
        <w:t>no pueden verse aisladamente, sino que se deben considerar en el marco de</w:t>
        <w:br/>
        <w:t>obstaculizaciones de la investigación del caso. Por ende, tales hechos se</w:t>
        <w:br/>
        <w:t>convierten en otro medio para perpetuar la impunidad e impedir que se</w:t>
        <w:br/>
        <w:t>conozca la verdad de lo ocurrido[344]. De igual modo, es criterio de la</w:t>
        <w:br/>
        <w:t>Corte que para que una investigación sea efectiva, las personas encargadas</w:t>
        <w:br/>
        <w:t>de la misma deben de ser independientes, tanto jerárquica e</w:t>
        <w:br/>
        <w:t>institucionalmente como en la práctica, de aquellas personas implicadas en</w:t>
        <w:br/>
        <w:t>los hechos que se investigan[345].</w:t>
        <w:br/>
        <w:br/>
        <w:t>Del expediente se evidencian una serie de irregularidades presentadas</w:t>
        <w:br/>
        <w:t>durante la investigación penal que expresan indicios de temor en los</w:t>
        <w:br/>
        <w:t>testigos identificados del caso[346], algunas de ellas directamente</w:t>
        <w:br/>
        <w:t>relacionadas con la delincuencia común en la zona, y las cuales impactaron</w:t>
        <w:br/>
        <w:t>de manera directa en la en la recaudación y práctica de prueba.</w:t>
        <w:br/>
        <w:br/>
        <w:t>Primero, el 20 de diciembre de 2004, el día de los hechos y horas después</w:t>
        <w:br/>
        <w:t>del crimen, el agente investigador asignado del Servicio de Investigación</w:t>
        <w:br/>
        <w:t>Criminal de la Comisaría 31 de la Policía Nacional Civil entrevistó a una</w:t>
        <w:br/>
        <w:t>vecina, E.E., quien declaró que aproximadamente a las 11:00 horas y “en</w:t>
        <w:br/>
        <w:t>compañía de una cuñada, [M.I.]”, vio pasar a A.A. en bicicleta: “pero atrás</w:t>
        <w:br/>
        <w:t>de [é]l venían dos muchachos también en [b]icicletas, pero no los pude ver</w:t>
        <w:br/>
        <w:t>bien porque estaban quemando hoja de caña y por el humo no se miraba bien,</w:t>
        <w:br/>
        <w:t>a estos hombres no les vi la cara, solo recuerdo que uno de ellos llevaba</w:t>
        <w:br/>
        <w:t>puesta una playera de color rojo, pero no le puse importancia”[347].</w:t>
        <w:br/>
        <w:t>Aproximadamente un año y medio después, el 24 de mayo de 2006 y ante los</w:t>
        <w:br/>
        <w:t>Investigadores de la DICRI, dicha testigo modificó su declaración y señaló,</w:t>
        <w:br/>
        <w:t>en sentido diferente, que: “a eso de las 10:30 y 11 horas a la altura de la</w:t>
        <w:br/>
        <w:t>línea f[é]rrea, vio salir al señor [A.A.] a bordo de su bicicleta como hace</w:t>
        <w:br/>
        <w:t>siempre. Al preguntarle a la entrevistada si había visto si atrás del señor</w:t>
        <w:br/>
        <w:t>[A.A.] iban otras personas[,] manifest[ó] que no había visto, en vista que</w:t>
        <w:br/>
        <w:t>ese día estaban quemando caña y había mucho humo, y a la vez agrega que no</w:t>
        <w:br/>
        <w:t>escuchó detonaciones de arma de fuego”[348].</w:t>
        <w:br/>
        <w:br/>
        <w:t>Segundo, el 24 de mayo de 2006[349] M.I. manifestó ante los Investigadores</w:t>
        <w:br/>
        <w:t>de la DICRI que: “[e]l día 20 de diciembre a eso de las 11:00 horas, cuando</w:t>
        <w:br/>
        <w:t>caminaba a pie […] acompañada de la señora [E.E.] […] vi que el señor</w:t>
        <w:br/>
        <w:t>[A.A.], salió del camino […] como yendo a su residencia; atrás de él,</w:t>
        <w:br/>
        <w:t>observé que iban dos individuos en bicicleta como a unos 15 metros de</w:t>
        <w:br/>
        <w:t>distancia, uno de ellos era de tez blanca, el otro alto moreno, como de</w:t>
        <w:br/>
        <w:t>1.60 metros de altura, los cuales oscilaban entre 28 y 30 años de edad, uno</w:t>
        <w:br/>
        <w:t>de ellos vestía playera celeste, con gorra color roja, y el otro playera</w:t>
        <w:br/>
        <w:t>roja y gorra color celeste”, y que uno de los dos individuos “tiene las</w:t>
        <w:br/>
        <w:t>características de una persona a quien conoce por el […a]lias Nito”.</w:t>
        <w:br/>
        <w:t>Posteriormente, el 13 de marzo de 2007[350] y 16 de enero de 2014[351],</w:t>
        <w:br/>
        <w:t>ante el Auxiliar Fiscal y ante esta Corte, respectivamente, declaró que:</w:t>
        <w:br/>
        <w:t>“mi cuñada le contó a mi mamá que el señor que conozco por Selvin mató a</w:t>
        <w:br/>
        <w:t>don [A.A.] pero no tengo idea del por qué lo hizo”. Según señaló, “eso era</w:t>
        <w:br/>
        <w:t>lo que iba a decir en la fiscalía y ya se estaba cambiando, pero esa mañana</w:t>
        <w:br/>
        <w:t>[la] llamó doña [E.A.] y [l]e dijo que ya no fuera, pero no [l]e dijo por</w:t>
        <w:br/>
        <w:t>[qué], y rec[ordaba] que [l]e dijo también que si venían investigadores no</w:t>
        <w:br/>
        <w:t>les contara eso, porque aquí dicen que el Selvin tiene armas”. Asimismo,</w:t>
        <w:br/>
        <w:t>indicó que “mi mamá me dijo que no me meta más en este caso porque el señor</w:t>
        <w:br/>
        <w:t>Selvin es bien peligroso ya que es un delincuente”. Adicionalmente, ante</w:t>
        <w:br/>
        <w:t>esta Corte dicha testigo también precisó, “[m]i cuñada ahora lo niega, pero</w:t>
        <w:br/>
        <w:t>porque tiene miedo” y “hoy en día me preocupa hablar”.</w:t>
        <w:br/>
        <w:br/>
        <w:t>Tercero, la Corte constató que en las entrevistas y declaraciones</w:t>
        <w:br/>
        <w:t>recaudadas se hizo referencia a la presencia de varias personas en la</w:t>
        <w:br/>
        <w:t>escena del crimen y cerca del cuerpo, aunque posteriormente y más allá de</w:t>
        <w:br/>
        <w:t>las declaraciones de las dos testigos señaladas en los párrafos</w:t>
        <w:br/>
        <w:t>antecedentes (supra párrs. 229 y 230), se logró identificar y entrevistar a</w:t>
        <w:br/>
        <w:t>cinco personas. Todas refirieron no haber visto lo que sucedió[352].</w:t>
        <w:br/>
        <w:br/>
        <w:t>Cuarto, el 20 de enero de 2005 el Investigador de la DICRI entrevistó a</w:t>
        <w:br/>
        <w:t>varias personas residentes de la Aldea Cruce de la Esperanza, Santa Lucía</w:t>
        <w:br/>
        <w:t>Cotzumalguapa, Escuintla, quienes proporcionaron información coincidente,</w:t>
        <w:br/>
        <w:t>pero “por temor a represalia no se identificaron” (supra párr. 219).</w:t>
        <w:br/>
        <w:br/>
        <w:t>Quinto, el entonces Agente Fiscal asignado a la investigación explicó que a</w:t>
        <w:br/>
        <w:t>fin de recabar la declaración de una testigo, el 24 de mayo de 2006, en</w:t>
        <w:br/>
        <w:t>razón del “área conflictiva de peligro” y “como el primer acercamiento con</w:t>
        <w:br/>
        <w:t>la [testigo que] habían tenido los Investigadores [de la DICRI], orden[ó] a</w:t>
        <w:br/>
        <w:t>los investigadores que acompañaran a la Auxiliar Fiscal […], porque ya</w:t>
        <w:br/>
        <w:t>ellos ya conocían el sector”. A su vez, manifestó que hubo dilación en la</w:t>
        <w:br/>
        <w:t>práctica de los allanamientos realizados en el presente caso, dado que “era</w:t>
        <w:br/>
        <w:t>una comunidad muy cerrada y cuando uno llega ahí, todas las personas o</w:t>
        <w:br/>
        <w:t>temen que uno sea un delincuente, o temen ser soplones y sufrir las</w:t>
        <w:br/>
        <w:t>consecuencias de cualquier información que nos puedan dar. Acercarse a una</w:t>
        <w:br/>
        <w:t>casa del sector era sumamente peligroso, para ellos, para los mismos</w:t>
        <w:br/>
        <w:t>habitantes por ese extremo”. Asimismo, expresó que:</w:t>
        <w:br/>
        <w:br/>
        <w:t xml:space="preserve">    [D]entro del expediente podrán haber unas 16, 17 entrevistas  formales,</w:t>
        <w:br/>
        <w:t xml:space="preserve">    escritas, sin perjuicio de otras entrevistas que no están documentadas,</w:t>
        <w:br/>
        <w:t xml:space="preserve">    como es en cualquier investigación en el cual uno se acerca al vecino y</w:t>
        <w:br/>
        <w:t xml:space="preserve">    le pregunta, y se ve el temor a responder, ahí uno palpa el  miedo.  En</w:t>
        <w:br/>
        <w:t xml:space="preserve">    Guatemala existe, en general,  una  cultura  de  terror.  En  Guatemala</w:t>
        <w:br/>
        <w:t xml:space="preserve">    existe una cultura de no  testigo.  Recuerdo  una  experiencia  en  esa</w:t>
        <w:br/>
        <w:t xml:space="preserve">    investigación y yo fui a identificar unas casas, y dejé a [la  Auxiliar</w:t>
        <w:br/>
        <w:t xml:space="preserve">    Fiscal] en lugar para que entrevistara y algunos vecinos me dijeron por</w:t>
        <w:br/>
        <w:t xml:space="preserve">    qué la dejé sola ahí”[353].</w:t>
        <w:br/>
        <w:br/>
        <w:t>Además, precisó que “la cultura del terror” al que impacta “generalmente es</w:t>
        <w:br/>
        <w:t>al testigo” e “implica también que no nos den toda la información en</w:t>
        <w:br/>
        <w:t>relación al hecho”, y “lo que provoca es impunidad, impunidad en todos los</w:t>
        <w:br/>
        <w:t>órdenes”[354]. Sobre este punto y en lo que se refiere a la Auxiliatura</w:t>
        <w:br/>
        <w:t>Departamental de Escuintla, es conocido por el Estado que el Procurador de</w:t>
        <w:br/>
        <w:t>los Derechos Humanos de Guatemala en su informe anual de 2004 constató un</w:t>
        <w:br/>
        <w:t>incremento “de los actos de violencia, delincuencia común o crimen</w:t>
        <w:br/>
        <w:t>organizado”, y que “[m]uchas personas que han sido víctimas de algún hecho</w:t>
        <w:br/>
        <w:t>de violencia no recurren a los operadores de justicia, ya sea por</w:t>
        <w:br/>
        <w:t>ignorancia, por miedo o por desconfianza”[355]. Cabe señalar que en el Caso</w:t>
        <w:br/>
        <w:t>Chitay Nech y otros Vs. Guatemala, la Corte observó que “varios informes</w:t>
        <w:br/>
        <w:t>que analizan el conflicto interno en Guatemala y la situación posterior</w:t>
        <w:br/>
        <w:t>señalan que persisten la denegación de justicia y la impunidad, debido a</w:t>
        <w:br/>
        <w:t>que se desarrollaron fenómenos de terror y de intimidaciones, con efectos</w:t>
        <w:br/>
        <w:t>acumulativos y perdurables, que llevaron a la población a no reportar a las</w:t>
        <w:br/>
        <w:t>autoridades las violaciones a los derechos humanos, incluso cuando los</w:t>
        <w:br/>
        <w:t>niveles de violencia descendían”[356].</w:t>
        <w:br/>
        <w:br/>
        <w:t>En definitiva, del expediente se evidencian una serie de indicios que</w:t>
        <w:br/>
        <w:t>permiten a la Corte concluir que en el presente caso testigos y declarantes</w:t>
        <w:br/>
        <w:t>temieron sufrir las consecuencias de cualquier información que pudieran</w:t>
        <w:br/>
        <w:t>dar, sin que conste que el Estado haya facilitado los medios necesarios de</w:t>
        <w:br/>
        <w:t>protección una vez que tomó conocimiento de estos hechos, a fin de</w:t>
        <w:br/>
        <w:t>garantizar la seguridad a los investigadores, testigos y familiares de las</w:t>
        <w:br/>
        <w:t>víctimas en la investigación, en específico, aun cuando al menos en una</w:t>
        <w:br/>
        <w:t>oportunidad se solicitó expresamente protección a un testigo[357]. La</w:t>
        <w:br/>
        <w:t>manera en que dicha situación permeó en los testigos y declarantes implicó</w:t>
        <w:br/>
        <w:t>que algunos de ellos no proporcionaran a los investigadores información en</w:t>
        <w:br/>
        <w:t>relación al hecho, afectando la efectividad de la investigación, y</w:t>
        <w:br/>
        <w:t>contribuyendo a la impunidad en que hasta hoy y por casi 10 años se</w:t>
        <w:br/>
        <w:t>mantiene el presente caso.</w:t>
        <w:br/>
        <w:br/>
        <w:t xml:space="preserve">      B.1.4. Conclusiones</w:t>
        <w:br/>
        <w:br/>
        <w:t>En relación con la investigación de la muerte del señor A.A., la Corte</w:t>
        <w:br/>
        <w:t>constató irregularidades en las primeras diligencias de la misma que en el</w:t>
        <w:br/>
        <w:t>caso concreto no son subsanables. Posteriormente, las diligencias</w:t>
        <w:br/>
        <w:t>realizadas se caracterizaron por una desidia estatal en la conducción de la</w:t>
        <w:br/>
        <w:t>investigación, ya que se presentaron omisiones y retardos en el recabo y</w:t>
        <w:br/>
        <w:t>practica de prueba, y el seguimiento de líneas lógicas de investigación no</w:t>
        <w:br/>
        <w:t>fue completo ni exhaustivo, además, no se citó a declarar ante la Fiscalía</w:t>
        <w:br/>
        <w:t>del Ministerio Público a ninguna de las seis personas que fueron señaladas</w:t>
        <w:br/>
        <w:t>como sospechas y que se logró identificar en el marco de la investigación.</w:t>
        <w:br/>
        <w:t>A su vez, en el presente caso testigos y declarantes temieron sufrir las</w:t>
        <w:br/>
        <w:t>consecuencias de cualquier información que pudieran dar, sin que el Estado</w:t>
        <w:br/>
        <w:t>haya facilitado los medios necesarios de protección una vez que tomó</w:t>
        <w:br/>
        <w:t>conocimiento de estos hechos. Es así que, transcurridos casi 10 años de los</w:t>
        <w:br/>
        <w:t>hechos del caso y de que se inició la investigación, la muerte violenta del</w:t>
        <w:br/>
        <w:t>señor A.A. aún se encuentra en la más absoluta impunidad fuera de todo</w:t>
        <w:br/>
        <w:t>plazo razonable.</w:t>
        <w:br/>
        <w:br/>
        <w:t>En consecuencia, la Corte considera que la investigación que se sigue en la</w:t>
        <w:br/>
        <w:t>jurisdicción interna no ha sido diligente, seria y efectiva y da por</w:t>
        <w:br/>
        <w:t>establecido que el Estado incumplió los requerimientos de los artículos 8.1</w:t>
        <w:br/>
        <w:t>y 25 de la Convención, en relación con el artículo 1.1 de la misma, en</w:t>
        <w:br/>
        <w:t>perjuicio de los familiares de A.A.</w:t>
        <w:br/>
        <w:br/>
        <w:t>Por último, la Corte considera que en el presente caso no es necesario</w:t>
        <w:br/>
        <w:t>analizar los argumentos de la Comisión y las representantes relativos a las</w:t>
        <w:br/>
        <w:t>posibles afectaciones a la integridad personal de los familiares del señor</w:t>
        <w:br/>
        <w:t>A.A. por la impunidad en la que se encuentra su asesinato. Las afectaciones</w:t>
        <w:br/>
        <w:t>que pudo generar dicha impunidad serán tomadas en cuenta al fijar las</w:t>
        <w:br/>
        <w:t>reparaciones correspondientes por las violaciones declaradas.</w:t>
        <w:br/>
        <w:br/>
        <w:br/>
        <w:t xml:space="preserve">      B.2. Respecto de las alegadas amenazas a la familia A</w:t>
        <w:br/>
        <w:br/>
        <w:t>En lo que se refiere a la denuncia interpuesta por B.A. el 26 de noviembre</w:t>
        <w:br/>
        <w:t>de 2003 ante la Fiscalía de Santa Lucía Cotzumalguapa, mediante la que</w:t>
        <w:br/>
        <w:t>sostuvo la existencia de una amenaza en su contra y en contra de su hijo,</w:t>
        <w:br/>
        <w:t>realizada por el señor L.L., de la prueba se desprende como única actividad</w:t>
        <w:br/>
        <w:t>investigativa que, en el marco de la investigación penal derivada de la</w:t>
        <w:br/>
        <w:t>muerte de A.A., el 5 de abril de 2005 el Investigador de la DICRI remitió</w:t>
        <w:br/>
        <w:t>copia de la misma y sugirió al Fiscal de Distrito Adjunto de la Fiscalía de</w:t>
        <w:br/>
        <w:t>Santa Lucía Cotzumalguapa, citar a declarar a L.L. (supra párr. 105). No</w:t>
        <w:br/>
        <w:t>consta que se hayan continuado las investigaciones penales respecto a dicha</w:t>
        <w:br/>
        <w:t>denuncia.</w:t>
        <w:br/>
        <w:br/>
        <w:t>En relación con la denuncia ante el Ministerio Público del 21 de enero de</w:t>
        <w:br/>
        <w:t>2005, mediante la cual se sostuvo la existencia de un supuesto atentado</w:t>
        <w:br/>
        <w:t>ocurrido el 14 de enero de 2005, consta únicamente que, debido a que no fue</w:t>
        <w:br/>
        <w:t>posible individualizar a ningún testigo, el caso fue desestimado el 28 de</w:t>
        <w:br/>
        <w:t>febrero del 2008 por el Juzgado de Primera Instancia de Santa Lucia</w:t>
        <w:br/>
        <w:t>Cotzumalguapa (supra párr. 123).</w:t>
        <w:br/>
        <w:br/>
        <w:t>Al respecto, no escapa a la Corte que aun cuando en las conclusiones a las</w:t>
        <w:br/>
        <w:t>que arribó la Procuraduría de los Derechos Humanos se indicarían evidencias</w:t>
        <w:br/>
        <w:t>relacionadas con intimidaciones y seguimiento a la familia A (supra párr.</w:t>
        <w:br/>
        <w:t>151), no consta que dicha información se haya vinculado a las</w:t>
        <w:br/>
        <w:t>investigaciones desarrolladas en este caso. En suma, en ninguna de las</w:t>
        <w:br/>
        <w:t>investigaciones llevadas a cabo se intentó aportar mayores pruebas</w:t>
        <w:br/>
        <w:t>tendientes a esclarecer los hechos y determinar las responsabilidades</w:t>
        <w:br/>
        <w:t>correspondientes.</w:t>
        <w:br/>
        <w:br/>
        <w:t>La Corte considera que la investigación en relación con las presuntas</w:t>
        <w:br/>
        <w:t>amenazas en contra de la familia A se caracterizó por la falta de debida</w:t>
        <w:br/>
        <w:t>diligencia. Asimismo, en el presente caso el tiempo transcurrido sobrepasa</w:t>
        <w:br/>
        <w:t>excesivamente un plazo que pueda considerarse razonable para que el Estado</w:t>
        <w:br/>
        <w:t>iniciara las correspondientes diligencias investigativas. Esta falta de</w:t>
        <w:br/>
        <w:t>investigación durante tan largo período configura una flagrante denegación</w:t>
        <w:br/>
        <w:t>de justicia y una violación al derecho de acceso a la justicia de las</w:t>
        <w:br/>
        <w:t>presuntas víctimas. En consecuencia, la Corte estima que el Estado</w:t>
        <w:br/>
        <w:t>incumplió con su obligación de investigar dichas presuntas amenazas con la</w:t>
        <w:br/>
        <w:t>diligencia, seriedad y efectividad requeridas, en violación de los</w:t>
        <w:br/>
        <w:t>artículos 8.1 y 25 de la Convención, ello en perjuicio de los familiares de</w:t>
        <w:br/>
        <w:t>A.A.</w:t>
        <w:br/>
        <w:br/>
        <w:br/>
        <w:t>IX</w:t>
        <w:br/>
        <w:t>REPARACIONES</w:t>
        <w:br/>
        <w:br/>
        <w:t xml:space="preserve">          (Aplicación del artículo 63.1 de la Convención Americana)</w:t>
        <w:br/>
        <w:br/>
        <w:t>Sobre la base de lo dispuesto en el artículo 63.1 de la Convención</w:t>
        <w:br/>
        <w:t>Americana[358], la Corte ha indicado que toda violación de una obligación</w:t>
        <w:br/>
        <w:t>internacional que haya producido daño comporta el deber de repararlo</w:t>
        <w:br/>
        <w:t>adecuadamente, y que esa disposición recoge una norma consuetudinaria que</w:t>
        <w:br/>
        <w:t>constituye uno de los principios fundamentales del Derecho Internacional</w:t>
        <w:br/>
        <w:t>contemporáneo sobre responsabilidad de un Estado[359].</w:t>
        <w:br/>
        <w:br/>
        <w:t>En consideración de las violaciones a la Convención declaradas en los</w:t>
        <w:br/>
        <w:t>capítulos anteriores, la Corte procede a analizar las pretensiones</w:t>
        <w:br/>
        <w:t>presentadas por la Comisión y las representantes, a la luz de los criterios</w:t>
        <w:br/>
        <w:t>fijados en su jurisprudencia en relación con la naturaleza y alcance de la</w:t>
        <w:br/>
        <w:t>obligación de reparar, con el objeto de disponer las medidas dirigidas a</w:t>
        <w:br/>
        <w:t>reparar los daños ocasionados a las víctimas[360].</w:t>
        <w:br/>
        <w:br/>
        <w:t>Atendiendo que la Corte ha establecido que las reparaciones deben tener un</w:t>
        <w:br/>
        <w:t>nexo causal con los hechos del caso, las violaciones declaradas, los daños</w:t>
        <w:br/>
        <w:t>acreditados, así como las medidas solicitadas para reparar los daños</w:t>
        <w:br/>
        <w:t>respectivos, ella debe observar dicha concurrencia para pronunciarse</w:t>
        <w:br/>
        <w:t>debidamente y conforme a derecho[361]. En consecuencia, la Corte no</w:t>
        <w:br/>
        <w:t>analizará las medidas de reparación solicitadas por la Comisión y las</w:t>
        <w:br/>
        <w:t>representantes que tengan un nexo de causalidad con la alegada violación</w:t>
        <w:br/>
        <w:t>del artículo 4 de la Convención en perjuicio de A.A.</w:t>
        <w:br/>
        <w:br/>
        <w:t>La Corte nota que, en su escrito de solicitudes y argumentos, las</w:t>
        <w:br/>
        <w:t>representantes se limitaron a solicitar medidas de reparación, sin</w:t>
        <w:br/>
        <w:t>argumentar el nexo de causalidad que dichas medidas tendrían con las</w:t>
        <w:br/>
        <w:t>violaciones de derechos humanos alegadas en el presente caso. Las</w:t>
        <w:br/>
        <w:t>representantes sí presentaron argumentos en este sentido durante la</w:t>
        <w:br/>
        <w:t>audiencia pública y en sus alegatos finales escritos, es decir fuera del</w:t>
        <w:br/>
        <w:t>plazo procesal establecido para estos efectos. Por otro lado, el Estado en</w:t>
        <w:br/>
        <w:t>sus alegatos finales escritos también presentó argumentos nuevos respecto a</w:t>
        <w:br/>
        <w:t>las reparaciones solicitadas en el presente caso. Al respecto, esta Corte</w:t>
        <w:br/>
        <w:t>recuerda que, de conformidad con el artículo 40.2.d del Reglamento, las</w:t>
        <w:br/>
        <w:t>pretensiones de los representantes, incluidas aquellas referidas a</w:t>
        <w:br/>
        <w:t>reparaciones, deben estar contenidas en el escrito inicial de solicitudes y</w:t>
        <w:br/>
        <w:t>argumentos (supra párr. 5). A su vez, de conformidad con el artículo 41.1.d</w:t>
        <w:br/>
        <w:t>del Reglamento, las observaciones del Estado respecto a las reparaciones y</w:t>
        <w:br/>
        <w:t>costas solicitadas deben estar contenidas en el escrito de contestación. En</w:t>
        <w:br/>
        <w:t>consecuencia, los nuevos argumentos esgrimidos en los alegatos finales</w:t>
        <w:br/>
        <w:t>escritos de las representantes y del Estado, respectivamente, en relación</w:t>
        <w:br/>
        <w:t>con las medidas de reparación solicitadas se tendrán por extemporáneos y no</w:t>
        <w:br/>
        <w:t>corresponderá a esta Corte analizarlos ni realizar consideraciones al</w:t>
        <w:br/>
        <w:t>respecto, con excepción de aquellas solicitudes de costas y gastos en que</w:t>
        <w:br/>
        <w:t>hubiesen incurrido con posterioridad a la presentación del escrito de</w:t>
        <w:br/>
        <w:t>solicitudes y argumentos y las observaciones del Estado correspondientes</w:t>
        <w:br/>
        <w:t>(supra párrs. 5, 10 y 11)[362].</w:t>
        <w:br/>
        <w:br/>
        <w:br/>
        <w:t xml:space="preserve">        Parte Lesionada</w:t>
        <w:br/>
        <w:br/>
        <w:br/>
        <w:t>La Corte considerará parte lesionada, en los términos del artículo 63.1 de</w:t>
        <w:br/>
        <w:t>la Convención, a quien haya sido declarada víctima de la violación de algún</w:t>
        <w:br/>
        <w:t>derecho reconocido en la misma. Por lo tanto, esta Corte considera como</w:t>
        <w:br/>
        <w:t>“parte lesionada” a B.A., C.A., D.A., E.A., F.A., G.A., I.A., J.A., K.A.,</w:t>
        <w:br/>
        <w:t>L.A., M.A. y N.A.</w:t>
        <w:br/>
        <w:br/>
        <w:br/>
        <w:t xml:space="preserve">        Obligación de investigar los hechos e identificar, juzgar y, en su</w:t>
        <w:br/>
        <w:t xml:space="preserve">        caso, sancionar a los responsables</w:t>
        <w:br/>
        <w:br/>
        <w:br/>
        <w:t>La Comisión solicitó a la Corte que ordene al Estado “[d]esarrollar y</w:t>
        <w:br/>
        <w:t>completar una investigación judicial imparcial, completa y efectiva, de</w:t>
        <w:br/>
        <w:t>manera expedita, con el objeto de establecer las circunstancias en que</w:t>
        <w:br/>
        <w:t>resultó muerto el [señor A.A.]; investigar de manera exhaustiva las líneas</w:t>
        <w:br/>
        <w:t>lógicas de investigación en relación al caso e identificar a todas las</w:t>
        <w:br/>
        <w:t>personas que participaron en los diferentes niveles de decisión y</w:t>
        <w:br/>
        <w:t>ejecución, y aplicar las sanciones correspondientes”. También solicitó a la</w:t>
        <w:br/>
        <w:t>Corte ordenar al Estado “[d]isponer las medidas administrativas,</w:t>
        <w:br/>
        <w:t>disciplinarias o penales correspondientes frente a las acciones u omisiones</w:t>
        <w:br/>
        <w:t>de los funcionarios estatales que contribuyeron a la denegación de justicia</w:t>
        <w:br/>
        <w:t>e impunidad en la que se encuentran los hechos del caso”.</w:t>
        <w:br/>
        <w:br/>
        <w:t>Las representantes solicitaron que se ordene al Estado: a) “[d]esarrollar</w:t>
        <w:br/>
        <w:t>una investigación imparcial, completa y efectiva que permita identificar a</w:t>
        <w:br/>
        <w:t>los autores materiales e intelectuales del asesinato de [A.A.], así como de</w:t>
        <w:br/>
        <w:t>las amenazas y actos intimidatorios que sufrió su familia”; b)</w:t>
        <w:br/>
        <w:t>“[e]sclarecer si los hechos violentos ocurridos con posterioridad</w:t>
        <w:br/>
        <w:t>(asesinato de otros líderes comunitarios o de las personas que</w:t>
        <w:br/>
        <w:t>supuestamente estaban involucradas en el asesinato de [A.A.]) están</w:t>
        <w:br/>
        <w:t>relacionados con dicho suceso, para determinar si detrás de estos hechos se</w:t>
        <w:br/>
        <w:t>encuentran estructuras delictivas”; c) “[f]ortalecer los mecanismos para la</w:t>
        <w:br/>
        <w:t>protección de las personas cuyas declaraciones tengan un impacto relevante</w:t>
        <w:br/>
        <w:t>en las investigaciones y por ello se encuentren en riesgo”, y d)</w:t>
        <w:br/>
        <w:t>“[d]isponer de medidas administrativas, disciplinarias o penales</w:t>
        <w:br/>
        <w:t>correspondientes a la denegación de justicia, y la consecuente impunidad”.</w:t>
        <w:br/>
        <w:br/>
        <w:t>El Estado expresó “que se ha llevado a cabo una exhaustiva investigación” y</w:t>
        <w:br/>
        <w:t>“por ello no debe exigírsele como medida de resarcimiento […] llevar a cabo</w:t>
        <w:br/>
        <w:t>acciones que ya ha emprendido […]”. En este sentido, sostuvo que sus</w:t>
        <w:br/>
        <w:t>funcionarios actuaron en todo momento dentro del marco de la ley y, de no</w:t>
        <w:br/>
        <w:t>ser así, corresponde a los interesados interponer la denuncia</w:t>
        <w:br/>
        <w:t>correspondiente, de conformidad con la ley guatemalteca. Asimismo, señaló</w:t>
        <w:br/>
        <w:t>que “mantendrá abierta la investigación mientras considere que es</w:t>
        <w:br/>
        <w:t>legalmente posible obtener algún resultado positivo, y que de suceder lo</w:t>
        <w:br/>
        <w:t>anterior, efectivamente procesará y sancionará a los responsables […]”.</w:t>
        <w:br/>
        <w:br/>
        <w:t>Esta Corte ya estableció que, en el presente caso, el Estado no cumplió a</w:t>
        <w:br/>
        <w:t>cabalidad su deber de investigar la muerte del señor A.A., ya que constató</w:t>
        <w:br/>
        <w:t>la falta de debida diligencia en la investigación durante las primeras</w:t>
        <w:br/>
        <w:t>diligencias, con relación a las líneas lógicas de investigación y en la</w:t>
        <w:br/>
        <w:t>recaudación y práctica de prueba (supra párr. 236). Además, estableció que</w:t>
        <w:br/>
        <w:t>en el presente caso testigos y declarantes temieron sufrir consecuencias</w:t>
        <w:br/>
        <w:t>por aportar información a la investigación, y que la misma no se llevó a</w:t>
        <w:br/>
        <w:t>cabo dentro de un plazo razonable (supra párrs. 235 y 236). Del mismo modo,</w:t>
        <w:br/>
        <w:t>la Corte estableció que las amenazas en contra de la familia A no fueron</w:t>
        <w:br/>
        <w:t>investigadas con la diligencia, seriedad y efectividad requeridas (supra</w:t>
        <w:br/>
        <w:t>párr. 242). Por otro lado, la Corte toma nota que el Estado expresó que</w:t>
        <w:br/>
        <w:t>mantendrá abierta la investigación en cuanto a la muerte del señor A.A., a</w:t>
        <w:br/>
        <w:t>fin de procesar y sancionar a los responsables (supra párr. 250).</w:t>
        <w:br/>
        <w:br/>
        <w:t>En virtud de lo anterior, la Corte dispone que el Estado debe llevar a cabo</w:t>
        <w:br/>
        <w:t>con la debida diligencia y en un plazo razonable, las investigaciones y</w:t>
        <w:br/>
        <w:t>procesos penales correspondientes de conformidad con las disposiciones de</w:t>
        <w:br/>
        <w:t>su derecho interno, con el fin de individualizar, identificar y, en su</w:t>
        <w:br/>
        <w:t>caso, sancionar a los responsables materiales e intelectuales de los hechos</w:t>
        <w:br/>
        <w:t>relacionados con la muerte del señor A.A. y las amenazas sufridas por sus</w:t>
        <w:br/>
        <w:t>familiares, así como establecer la verdad sobre los mismos, considerando</w:t>
        <w:br/>
        <w:t>los criterios señalados sobre investigaciones en este tipo de casos (supra</w:t>
        <w:br/>
        <w:t>párrs. 199 a 242). A tal fin, el Estado debe: a) asegurar que los distintos</w:t>
        <w:br/>
        <w:t>órganos del sistema de justicia involucrados en el caso cuenten con los</w:t>
        <w:br/>
        <w:t>recursos humanos y materiales necesarios para desempeñar sus tareas de</w:t>
        <w:br/>
        <w:t>manera adecuada, independiente e imparcial y que las personas que</w:t>
        <w:br/>
        <w:t>participen en la investigación, entre ellas víctimas, testigos y operadores</w:t>
        <w:br/>
        <w:t>de justicia, cuenten con las debidas garantías de seguridad[363]; b)</w:t>
        <w:br/>
        <w:t>asegurar el pleno acceso y capacidad de actuar de los familiares del señor</w:t>
        <w:br/>
        <w:t>A.A. en todas las etapas de estas investigaciones, de acuerdo con la ley</w:t>
        <w:br/>
        <w:t>interna y las normas de la Convención Americana[364], y c) divulgar</w:t>
        <w:br/>
        <w:t>públicamente los resultados de los procesos para que la sociedad conozca</w:t>
        <w:br/>
        <w:t>los hechos objeto del caso, así como a sus responsables[365].</w:t>
        <w:br/>
        <w:br/>
        <w:t xml:space="preserve"> Además, como lo ha dispuesto en otras oportunidades[366] la Corte dispone</w:t>
        <w:br/>
        <w:t>que, de acuerdo con la normativa disciplinaria pertinente, el Estado</w:t>
        <w:br/>
        <w:t>examine las eventuales irregularidades procesales e investigativas</w:t>
        <w:br/>
        <w:t>relacionadas con el presente caso, y en su caso, sancione la conducta de</w:t>
        <w:br/>
        <w:t>los servidores públicos correspondientes, sin que sea necesario que las</w:t>
        <w:br/>
        <w:t>víctimas del caso interpongan denuncias a tales efectos.</w:t>
        <w:br/>
        <w:br/>
        <w:br/>
        <w:t>Medidas de reparación integral: restitución, rehabilitación, satisfacción y</w:t>
        <w:br/>
        <w:t>garantías de no repetición</w:t>
        <w:br/>
        <w:br/>
        <w:br/>
        <w:br/>
        <w:t xml:space="preserve">      C.1. Restitución</w:t>
        <w:br/>
        <w:br/>
        <w:t>Las representantes solicitaron a la Corte asegurar que los miembros de la</w:t>
        <w:br/>
        <w:t>familia A que deseen regresar a su aldea puedan hacerlo en condiciones de</w:t>
        <w:br/>
        <w:t>seguridad. Ni la Comisión ni el Estado se refirieron a este punto</w:t>
        <w:br/>
        <w:t>específico.</w:t>
        <w:br/>
        <w:br/>
        <w:t>En el presente caso la Corte estableció que el 31 de diciembre de 2004</w:t>
        <w:br/>
        <w:t>C.A., B.A. y sus hijos L.A. y N.A., así como E.A. y sus hijos J.A. y K.A.,</w:t>
        <w:br/>
        <w:t>se desplazaron de sus lugares de residencia debido a la falta de protección</w:t>
        <w:br/>
        <w:t>por parte del Estado (supra párrs. 168 y 169). También constató que la</w:t>
        <w:br/>
        <w:t>señora B.A. retornó a Santa Lucía, sin que haya regresado a su lugar de</w:t>
        <w:br/>
        <w:t>residencia (supra párr. 171). Sin perjuicio de ello, la Corte no cuenta con</w:t>
        <w:br/>
        <w:t>información respecto de los lugares actuales de residencia de la señora</w:t>
        <w:br/>
        <w:t>B.A. ni de las demás personas señaladas. La señora C.A. falleció el 4 de</w:t>
        <w:br/>
        <w:t>junio de 2010.</w:t>
        <w:br/>
        <w:br/>
        <w:t>Con el fin de contribuir a la reparación de las víctimas desplazadas, la</w:t>
        <w:br/>
        <w:t>Corte considera que el Estado debe garantizar las condiciones de seguridad</w:t>
        <w:br/>
        <w:t>adecuadas para que B.A., E.A., L.A., N.A.,  J.A. y K.A., puedan retornar a</w:t>
        <w:br/>
        <w:t>sus lugares de residencia, de ser el caso y si así lo desean, sin que ello</w:t>
        <w:br/>
        <w:t>represente un gasto adicional para los beneficiarios de la presente medida.</w:t>
        <w:br/>
        <w:t>Dichas personas cuentan con un plazo de un año, contado a partir de la</w:t>
        <w:br/>
        <w:t>notificación de la presente Sentencia, para dar a conocer al Estado de su</w:t>
        <w:br/>
        <w:t>intención de retornar, de ser el caso. Si dentro de este plazo las víctimas</w:t>
        <w:br/>
        <w:t>manifiestan su voluntad de volver a sus lugares de residencia, empezará a</w:t>
        <w:br/>
        <w:t>contar un plazo de dos años para que las víctimas y el Estado acuerden lo</w:t>
        <w:br/>
        <w:t>pertinente a fin de que éste pueda cumplir con esta medida de reparación,</w:t>
        <w:br/>
        <w:t>entre otros, pagando los gastos de traslado de los miembros de la familia y</w:t>
        <w:br/>
        <w:t>de sus bienes. Por el contrario, si dentro del plazo de un año referido,</w:t>
        <w:br/>
        <w:t>las víctimas no manifiestan su voluntad de retornar, la Corte entenderá que</w:t>
        <w:br/>
        <w:t>éstas han renunciado a esta medida de reparación.</w:t>
        <w:br/>
        <w:br/>
        <w:br/>
        <w:t xml:space="preserve">      C.2. Rehabilitación</w:t>
        <w:br/>
        <w:br/>
        <w:t>Las representantes solicitaron que se ordene al Estado “[g]arantizar la</w:t>
        <w:br/>
        <w:t>adecuada atención médica y psicológica a las víctimas directas e indirectas</w:t>
        <w:br/>
        <w:t>[…] a través de un seguro privado”. El Estado señaló que los familiares del</w:t>
        <w:br/>
        <w:t>señor A.A. no manifestaron que deseaban apoyo psicológico. También sostuvo</w:t>
        <w:br/>
        <w:t>que “no consta que el deterioro de la salud [de los familiares] se deba al</w:t>
        <w:br/>
        <w:t>presente caso […o que] esté deteriorada en general”. Asimismo, afirmó que</w:t>
        <w:br/>
        <w:t>cuenta con un sistema de salud pública y que “de ninguna manera sería</w:t>
        <w:br/>
        <w:t>posible resarcir a víctimas a través de entidades privadas”. Además, señaló</w:t>
        <w:br/>
        <w:t>que “ya se sentenció al Estado resarcir a este grupo familiar por los</w:t>
        <w:br/>
        <w:t>hechos del caso ‘Diario Militar’, en el que también aducen haber padecido</w:t>
        <w:br/>
        <w:t>daños psicológicos”. La Comisión no se refirió a este punto.</w:t>
        <w:br/>
        <w:br/>
        <w:t>Al respecto, la Corte cuenta con elementos que confirman las afectaciones</w:t>
        <w:br/>
        <w:t>que sufrieron los miembros de la familia A por la impunidad en que se</w:t>
        <w:br/>
        <w:t>encuentra su muerte[367], así como las afectaciones sufridas por E.A., K.A.</w:t>
        <w:br/>
        <w:t>y J.A. como consecuencia de su salida de la comunidad, y en el caso de</w:t>
        <w:br/>
        <w:t>B.A., L.A. y N.A.[368], como consecuencia su desplazamiento forzoso a</w:t>
        <w:br/>
        <w:t>México. Por tanto, la Corte estima que el Estado debe brindar</w:t>
        <w:br/>
        <w:t>gratuitamente, a través de sus instituciones de salud especializadas y de</w:t>
        <w:br/>
        <w:t>forma inmediata, adecuada y efectiva, el tratamiento psicológico y</w:t>
        <w:br/>
        <w:t>psiquiátrico que requieran las víctimas, previo consentimiento informado y</w:t>
        <w:br/>
        <w:t>por el tiempo que sea necesario, incluida la provisión gratuita de</w:t>
        <w:br/>
        <w:t>medicamentos. Asimismo, los tratamientos respectivos deberán prestarse, en</w:t>
        <w:br/>
        <w:t>la medida de lo posible, en los centros más cercanos a sus lugares de</w:t>
        <w:br/>
        <w:t>residencia[369]. Para tal efecto las víctimas disponen de un plazo de seis</w:t>
        <w:br/>
        <w:t>meses, contado a partir de la notificación de la presente Sentencia, para</w:t>
        <w:br/>
        <w:t>requerir al Estado dicho tratamiento.</w:t>
        <w:br/>
        <w:br/>
        <w:t>Por otro lado, la Corte nota que en la Sentencia emitida en el caso Gudiel</w:t>
        <w:br/>
        <w:t>Álvarez y otros (“Diario Militar”) Vs. Guatemala se ordenó al Estado</w:t>
        <w:br/>
        <w:t>brindar tratamiento psicológico o psiquiátrico a B.A., D.A., E.A., F.A. y</w:t>
        <w:br/>
        <w:t>G.A., entre otras víctimas, si así lo solicitaban[370]. Al respecto, la</w:t>
        <w:br/>
        <w:t>Corte aclara que el tratamiento psicológico y psiquiátrico dispuesto en</w:t>
        <w:br/>
        <w:t>esta Sentencia podrá ser brindado conjuntamente con aquél ofrecido con</w:t>
        <w:br/>
        <w:t>motivo del caso Gudiel Álvarez y otros (“Diario Militar”).</w:t>
        <w:br/>
        <w:br/>
        <w:br/>
        <w:t xml:space="preserve">      C.3. Satisfacción</w:t>
        <w:br/>
        <w:br/>
        <w:t>Las representantes solicitaron que se ordene la publicación de la</w:t>
        <w:br/>
        <w:t>Sentencia, “al menos en el Diario Oficial y los dos diarios de mayor</w:t>
        <w:br/>
        <w:t>circulación nacional”. El Estado “reconoc[ió] como parte de las</w:t>
        <w:br/>
        <w:t>obligaciones adquiridas al aceptar la competencia contenciosa de la Corte</w:t>
        <w:br/>
        <w:t>[…,] la publicación de las sentencias que la misma emita en su contra”. No</w:t>
        <w:br/>
        <w:t>obstante, “consider[ó] que la publicación no tiene por qué hacerle incurrir</w:t>
        <w:br/>
        <w:t>en gastos adicionales, [ya] que en sus medios hace públicas las sentencias</w:t>
        <w:br/>
        <w:t>[…]”. La Comisión no se refirió a este punto.</w:t>
        <w:br/>
        <w:br/>
        <w:t>La Corte estima pertinente disponer, como lo ha hecho en otros casos[371],</w:t>
        <w:br/>
        <w:t>que el Estado publique, en un plazo de seis meses a partir de la</w:t>
        <w:br/>
        <w:t>notificación de la presente Sentencia: a) el resumen oficial de la presente</w:t>
        <w:br/>
        <w:t>Sentencia elaborado por la Corte, por una sola vez, en el diario oficial;</w:t>
        <w:br/>
        <w:t>b) el resumen oficial de la presente Sentencia elaborado por la Corte, por</w:t>
        <w:br/>
        <w:t>una sola vez, en un diario de amplia circulación nacional, y c) la versión</w:t>
        <w:br/>
        <w:t>de la presente Sentencia con los nombres de las víctimas reservados, en su</w:t>
        <w:br/>
        <w:t>integridad, disponible por un período de un año, en un sitio web oficial de</w:t>
        <w:br/>
        <w:t>Guatemala.</w:t>
        <w:br/>
        <w:br/>
        <w:br/>
        <w:t xml:space="preserve">      C.4. Garantías de no repetición</w:t>
        <w:br/>
        <w:br/>
        <w:t xml:space="preserve">      C.4.1. Política pública para la protección de las defensoras y los</w:t>
        <w:br/>
        <w:t>defensores de derechos humanos</w:t>
        <w:br/>
        <w:br/>
        <w:t>La Comisión y las representantes solicitaron a la Corte ordenar al Estado</w:t>
        <w:br/>
        <w:t>adoptar medidas de carácter legislativo, institucional, judicial o, en el</w:t>
        <w:br/>
        <w:t>caso de las representantes, administrativo, orientadas a reducir el riesgo</w:t>
        <w:br/>
        <w:t>de las defensoras y defensores de derechos humanos. El Estado reiteró que</w:t>
        <w:br/>
        <w:t>no se ha comprobado que el señor A.A. fue defensor de derechos humanos o</w:t>
        <w:br/>
        <w:t>que su muerte estuviera “relacionada con su supuesta calidad de defensor</w:t>
        <w:br/>
        <w:t>[…]”. También sostuvo que “ya ha adoptado las medidas que en este apartado</w:t>
        <w:br/>
        <w:t>se le requieren por parte de la Comisión […]”.</w:t>
        <w:br/>
        <w:br/>
        <w:t>Con relación a la adopción de medidas para la disminución del riesgo de las</w:t>
        <w:br/>
        <w:t>defensoras y defensores de derechos humanos, esta Corte estableció que el</w:t>
        <w:br/>
        <w:t>Estado ha planificado y/o implementado diversas medidas dirigidas a</w:t>
        <w:br/>
        <w:t>enfrentar dichos riesgos (supra nota 74). Sin embargo, Guatemala no aportó</w:t>
        <w:br/>
        <w:t>información a la Corte sobre la efectividad de las mismas. En virtud de lo</w:t>
        <w:br/>
        <w:t>anterior, el Estado debe implementar, en un plazo razonable, una política</w:t>
        <w:br/>
        <w:t>pública para la protección de las defensoras y los defensores de derechos</w:t>
        <w:br/>
        <w:t>humanos, tomando en cuenta, al menos, los siguientes requisitos[372]:</w:t>
        <w:br/>
        <w:br/>
        <w:t xml:space="preserve">   l) la participación de defensores de derechos humanos, organizaciones de</w:t>
        <w:br/>
        <w:t xml:space="preserve">      la sociedad civil y expertos en la elaboración de las normas que</w:t>
        <w:br/>
        <w:t xml:space="preserve">      puedan regular un programa de protección al colectivo en cuestión;</w:t>
        <w:br/>
        <w:br/>
        <w:t xml:space="preserve">   m) el programa de protección debe abordar de forma integral e</w:t>
        <w:br/>
        <w:t xml:space="preserve">      interinstitucional la problemática de acuerdo con el riesgo de cada</w:t>
        <w:br/>
        <w:t xml:space="preserve">      situación y adoptar medidas de atención inmediata frente a denuncias</w:t>
        <w:br/>
        <w:t xml:space="preserve">      de defensores y defensoras;</w:t>
        <w:br/>
        <w:br/>
        <w:t xml:space="preserve">   n) la creación de un modelo de análisis de riesgo que permita determinar</w:t>
        <w:br/>
        <w:t xml:space="preserve">      adecuadamente el riesgo y las necesidades de protección de cada</w:t>
        <w:br/>
        <w:t xml:space="preserve">      defensor o grupo;</w:t>
        <w:br/>
        <w:br/>
        <w:t xml:space="preserve">   o) la creación de un sistema de gestión de la información sobre la</w:t>
        <w:br/>
        <w:t xml:space="preserve">      situación de prevención y protección de los defensores de derechos</w:t>
        <w:br/>
        <w:t xml:space="preserve">      humanos;</w:t>
        <w:br/>
        <w:br/>
        <w:t xml:space="preserve">   p) el diseño de planes de protección que respondan al riesgo particular</w:t>
        <w:br/>
        <w:t xml:space="preserve">      de cada defensor y defensora y a las características de su trabajo;</w:t>
        <w:br/>
        <w:br/>
        <w:t xml:space="preserve">   q) la promoción de una cultura de legitimación y protección de la labor</w:t>
        <w:br/>
        <w:t xml:space="preserve">      de las defensoras y los defensores de derechos humanos, y</w:t>
        <w:br/>
        <w:br/>
        <w:t xml:space="preserve">   r) la dotación de los recursos humanos y financieros suficientes que</w:t>
        <w:br/>
        <w:t xml:space="preserve">      responda a las necesidades reales de protección de las defensoras y</w:t>
        <w:br/>
        <w:t xml:space="preserve">      los defensores de derechos humanos.</w:t>
        <w:br/>
        <w:br/>
        <w:t>Asimismo, el Estado debe presentar informes anuales en el plazo de un año</w:t>
        <w:br/>
        <w:t>sobre las acciones que se han realizado para la implementación de dicha</w:t>
        <w:br/>
        <w:t>política.</w:t>
        <w:br/>
        <w:br/>
        <w:t xml:space="preserve">      C.4.2. Obligaciones generales de respetar y garantizar los derechos</w:t>
        <w:br/>
        <w:br/>
        <w:t>Del acervo probatorio se desprende que B.A., E.A. y C.A. sostuvieron en</w:t>
        <w:br/>
        <w:t>reiteradas ocasiones entre los años 2005 y 2014 que en varias oportunidades</w:t>
        <w:br/>
        <w:t>habían sido víctimas de vigilancia, intimidaciones y hostigamientos a</w:t>
        <w:br/>
        <w:t>partir de uno o dos meses antes de la muerte de A.A., con posterioridad a</w:t>
        <w:br/>
        <w:t>ésta, e incluso en ocasiones recientes[373], sin que conste que dichos</w:t>
        <w:br/>
        <w:t>alegados actos hayan sido denunciados o puestos en conocimiento de una</w:t>
        <w:br/>
        <w:t>autoridad estatal. Asimismo, este Tribunal resalta que las víctimas del</w:t>
        <w:br/>
        <w:t>presente caso solicitaron la reserva de su identidad por “el miedo de</w:t>
        <w:br/>
        <w:t>sufrir atentados a su vida e integridad física”. En vista de lo anterior,</w:t>
        <w:br/>
        <w:t>la Corte recuerda que el artículo 1.1 de la Convención establece las</w:t>
        <w:br/>
        <w:t>obligaciones generales que tienen los Estados Parte de respetar los</w:t>
        <w:br/>
        <w:t>derechos y libertades en ella consagrados y de garantizar su libre y pleno</w:t>
        <w:br/>
        <w:t>ejercicio a toda persona que esté sujeta a su jurisdicción, las cuales se</w:t>
        <w:br/>
        <w:t>imponen no sólo en relación con el poder del Estado sino también en</w:t>
        <w:br/>
        <w:t>relación con actuaciones de terceros particulares. Por ello, el Estado se</w:t>
        <w:br/>
        <w:t>encuentra obligado a garantizar los derechos de las personas, y en</w:t>
        <w:br/>
        <w:t>particular, de las víctimas del presente caso quienes refieren ser objeto</w:t>
        <w:br/>
        <w:t>de amenazas u hostigamientos o temen por su vida e integridad personal, a</w:t>
        <w:br/>
        <w:t>través de los mecanismos internos existentes para ello.</w:t>
        <w:br/>
        <w:br/>
        <w:br/>
        <w:t>Indemnizaciones compensatorias por daño material e inmaterial</w:t>
        <w:br/>
        <w:br/>
        <w:br/>
        <w:t>La Corte ha desarrollado en su jurisprudencia el concepto de daño material</w:t>
        <w:br/>
        <w:t>y ha establecido que éste supone “la pérdida o detrimento de los ingresos</w:t>
        <w:br/>
        <w:t>de las víctimas, los gastos efectuados con motivo de los hechos y las</w:t>
        <w:br/>
        <w:t>consecuencias de carácter pecuniario que tengan un nexo causal con los</w:t>
        <w:br/>
        <w:t>hechos del caso”[374]. Del mismo modo, ha desarrollado el concepto de daño</w:t>
        <w:br/>
        <w:t>inmaterial y ha establecido que éste “puede comprender tanto los</w:t>
        <w:br/>
        <w:t>sufrimientos y las aflicciones causados por la violación como el menoscabo</w:t>
        <w:br/>
        <w:t>de valores muy significativos para las personas y cualquier alteración, de</w:t>
        <w:br/>
        <w:t>carácter no pecuniario, en las condiciones de existencia de las</w:t>
        <w:br/>
        <w:t>víctimas”[375]. Dado que no es posible asignar al daño inmaterial un</w:t>
        <w:br/>
        <w:t>equivalente monetario preciso, sólo puede ser objeto de compensación, para</w:t>
        <w:br/>
        <w:t>los fines de la reparación integral a la víctima, mediante el pago de una</w:t>
        <w:br/>
        <w:t>cantidad de dinero o la entrega de bienes o servicios apreciables en</w:t>
        <w:br/>
        <w:t>dinero, que la Corte determine en aplicación razonable del arbitrio</w:t>
        <w:br/>
        <w:t>judicial y en términos de equidad[376]. Asimismo, la Corte reitera el</w:t>
        <w:br/>
        <w:t>carácter compensatorio de las indemnizaciones, cuya naturaleza y monto</w:t>
        <w:br/>
        <w:t>dependen del daño ocasionado, por lo que no pueden significar ni</w:t>
        <w:br/>
        <w:t>enriquecimiento ni empobrecimiento para las víctimas o sus sucesores[377].</w:t>
        <w:br/>
        <w:br/>
        <w:br/>
        <w:t xml:space="preserve">      D.1. Argumentos de la Comisión y de las partes</w:t>
        <w:br/>
        <w:br/>
        <w:t>La Comisión solicitó a la Corte disponer que el Estado repare las</w:t>
        <w:br/>
        <w:t>violaciones de derechos humanos declaradas en el Informe de Fondo “tanto en</w:t>
        <w:br/>
        <w:t>el aspecto material como moral”. Las representantes solicitaron que se</w:t>
        <w:br/>
        <w:t>ordene al Estado el pago de una indemnización por concepto de daño</w:t>
        <w:br/>
        <w:t>material, en particular: a) gastos funerarios de A.A.; b) “[g]astos</w:t>
        <w:br/>
        <w:t>generados por el exilio[,] en los que se incluye el traslado de personas y</w:t>
        <w:br/>
        <w:t>bienes y los gastos que se generaron allá (alquileres, colegios, gastos en</w:t>
        <w:br/>
        <w:t>trámites legales para legalizar su situación migratoria, etc.)”; c) gastos</w:t>
        <w:br/>
        <w:t>generados por el regreso del exilio; d) “[g]astos de atención médica y/o</w:t>
        <w:br/>
        <w:t>psicológica de los distintos miembros de la familia, así como los gastos</w:t>
        <w:br/>
        <w:t>que supusieron los respectivos tratamientos”, y e) el lucro cesante,</w:t>
        <w:br/>
        <w:t>incluyendo los ingresos que percibía mensualmente A.A. y los “ingresos que</w:t>
        <w:br/>
        <w:t>percibían mensualmente los familiares (hijos y nietos) que perdieron sus</w:t>
        <w:br/>
        <w:t>empleos al tener que desplazarse”. Por otro lado, solicitaron que la Corte</w:t>
        <w:br/>
        <w:t>ordene el pago “de una indemnización pecuniaria por conceptos de daño</w:t>
        <w:br/>
        <w:t>moral, calculado de acuerdo a la equidad y en base al peritaje psicológico</w:t>
        <w:br/>
        <w:t>entregado a la Comisión Interamericana”.</w:t>
        <w:br/>
        <w:br/>
        <w:t>El Estado sostuvo que no es responsable de resarcir en forma alguna a los</w:t>
        <w:br/>
        <w:t>familiares del señor A.A., ya que no se considera culpable de las</w:t>
        <w:br/>
        <w:t>violaciones alegadas en el caso. Asimismo, destacó que las representantes</w:t>
        <w:br/>
        <w:t>no aportaron pruebas del daño material que habrían sufrido las víctimas y</w:t>
        <w:br/>
        <w:t>que “no se debe ningún tipo de reparación pecuniaria por daño moral”, ya</w:t>
        <w:br/>
        <w:t>que “ha realizado una investigación seria y diligente […] para determinar</w:t>
        <w:br/>
        <w:t>lo sucedido a aquellas”, y que los familiares “nunca han solicitado ayuda</w:t>
        <w:br/>
        <w:t>psicológica ni manifestado que tienen algún impedimento de recuperación</w:t>
        <w:br/>
        <w:t>emocional al Estado”.</w:t>
        <w:br/>
        <w:br/>
        <w:br/>
        <w:t xml:space="preserve">      D.2. Consideraciones de la Corte</w:t>
        <w:br/>
        <w:br/>
        <w:t xml:space="preserve">      D.2.1. Daño Material</w:t>
        <w:br/>
        <w:br/>
        <w:t>Primeramente, al haber determinado que no se demostró una violación del</w:t>
        <w:br/>
        <w:t>artículo 4 de la Convención en perjuicio de del señor A.A. (supra párr.</w:t>
        <w:br/>
        <w:t>149), la Corte considera que no corresponde ordenar al Estado reparar los</w:t>
        <w:br/>
        <w:t>gastos incurridos como consecuencia de su muerte, entre otros, los gastos</w:t>
        <w:br/>
        <w:t>funerarios y el lucro cesante del señor A.A.</w:t>
        <w:br/>
        <w:br/>
        <w:t>Por otra parte, en cuanto a los daños materiales presuntamente generados</w:t>
        <w:br/>
        <w:t>por el desplazamiento de E.A., J.A. y K.A. fuera de su comunidad, y de</w:t>
        <w:br/>
        <w:t>C.A., B.A., L.A. y N.A. fuera de Guatemala, así como por el retorno de B.A.</w:t>
        <w:br/>
        <w:t>desde México, la Corte constata que las representantes no precisaron cuáles</w:t>
        <w:br/>
        <w:t>habrían sido los gastos generados por estos hechos, más allá de indicar de</w:t>
        <w:br/>
        <w:t>forma general que incluían “alquileres, colegios, gastos en trámites</w:t>
        <w:br/>
        <w:t>legales para legalizar su situación migratoria, etc.”, así como los</w:t>
        <w:br/>
        <w:t>ingresos que percibían mensualmente las hijas y nietos del señor A.A. en su</w:t>
        <w:br/>
        <w:t>comunidad. En este sentido, no indicaron los montos aproximados de dichas</w:t>
        <w:br/>
        <w:t>erogaciones, ni quiénes los habrían desembolsado. Tampoco señalaron quiénes</w:t>
        <w:br/>
        <w:t>habrían sufrido una pérdida de ingresos, ni cuánto percibían dichas</w:t>
        <w:br/>
        <w:t>personas en el momento que tuvieron que desplazarse de sus lugares de</w:t>
        <w:br/>
        <w:t>residencia. Al respecto, el Tribunal observa que  N.A., hijo de B.A., y</w:t>
        <w:br/>
        <w:t>J.A. y K.A., hijos de E.A., eran menores de edad al momento en que se</w:t>
        <w:br/>
        <w:t>desplazaron (supra párr. 178). Las representantes tampoco argumentaron los</w:t>
        <w:br/>
        <w:t>motivos por los cuales deben incluirse los costos de colegio en este rubro.</w:t>
        <w:br/>
        <w:t>Asimismo, el Tribunal constata que las representantes no aportaron</w:t>
        <w:br/>
        <w:t>documentos que acrediten los daños materiales alegados.</w:t>
        <w:br/>
        <w:br/>
        <w:t>Sin perjuicio de ello, el Tribunal presume, como lo ha hecho en casos</w:t>
        <w:br/>
        <w:t>anteriores, que al menos C.A., B.A., E.A. y L.A. incurrieron en diversos</w:t>
        <w:br/>
        <w:t>gastos con motivo de su desplazamiento. Por tanto, considera pertinente el</w:t>
        <w:br/>
        <w:t>reintegro de un monto de USD $30.000,00 (treinta mil dólares de los Estados</w:t>
        <w:br/>
        <w:t>Unidos de América) por concepto de daño material a favor de cada una de</w:t>
        <w:br/>
        <w:t>dichas personas, y de un monto adicional de USD $10.000,00 (diez mil</w:t>
        <w:br/>
        <w:t>dólares de los Estados Unidos de América) para aquéllas que se desplazaron</w:t>
        <w:br/>
        <w:t>fuera de Guatemala. Asimismo, el Tribunal presume que las señoras E.A. y</w:t>
        <w:br/>
        <w:t>B.A. incurrieron en gastos adicionales por el desplazamiento de sus hijos</w:t>
        <w:br/>
        <w:t>junto con ellas que deben ser reintegrados, por lo que se ordena un  monto</w:t>
        <w:br/>
        <w:t>adicional de USD $5.000,00 (cinco mil dólares de los Estados Unidos de</w:t>
        <w:br/>
        <w:t>América) para B.A., quien viajó con un menor de edad, y de USD $10.000,00</w:t>
        <w:br/>
        <w:t>(diez mil dólares de los Estados Unidos de América) para E.A., quien viajó</w:t>
        <w:br/>
        <w:t>con dos menores de edad.</w:t>
        <w:br/>
        <w:br/>
        <w:t>En cuanto a la solicitud de que se reintegre a las víctimas los “[g]astos</w:t>
        <w:br/>
        <w:t>de atención médica y/o psicológica de los distintos miembros de la</w:t>
        <w:br/>
        <w:t>familia”, la Corte constata que las representantes no señalaron quiénes</w:t>
        <w:br/>
        <w:t>habrían recibido dichos tratamientos, ni cuándo o con qué frecuencia se</w:t>
        <w:br/>
        <w:t>habrían requerido, ni indicaron el nexo que los mismos tendrían con los</w:t>
        <w:br/>
        <w:t>hechos de este caso, por lo que el Tribunal no considera pertinente ordenar</w:t>
        <w:br/>
        <w:t>una indemnización por este rubro.</w:t>
        <w:br/>
        <w:br/>
        <w:t xml:space="preserve">      D.2.2. Daño Inmaterial</w:t>
        <w:br/>
        <w:br/>
        <w:t>Por otro lado, en cuanto al daño inmaterial, en el presente caso la Corte</w:t>
        <w:br/>
        <w:t>toma nota del  el sufrimiento ocasionado a C.A.[378], D.A., E.A., B.A.,</w:t>
        <w:br/>
        <w:t>F.A., G.A., I.A., J.A., K.A., L.A., M.A. y N.A., a raíz de la impunidad en</w:t>
        <w:br/>
        <w:t>la que se encuentra la muerte del señor A.A. (supra párrs. 236 y 258), por</w:t>
        <w:br/>
        <w:t>lo cual ordena el pago de un monto en equidad de USD $7.000,00 (siete mil</w:t>
        <w:br/>
        <w:t>dólares de los Estados Unidos de América) a cada una de las personas</w:t>
        <w:br/>
        <w:t>mencionadas. Asimismo, constató los sufrimientos padecidos por C.A., B.A.,</w:t>
        <w:br/>
        <w:t>E.A., L.A., N.A., J.A. y K.A. a raíz de su desplazamiento (supra párrs. 178</w:t>
        <w:br/>
        <w:t>y 258), por lo cual ordena el pago de un monto en equidad de USD $5.000,00</w:t>
        <w:br/>
        <w:t>(cinco mil dólares de los Estados Unidos de América) a cada una de las</w:t>
        <w:br/>
        <w:t>personas mencionadas. El daño inmaterial ocasionado a dichas personas será</w:t>
        <w:br/>
        <w:t>tomado en cuenta al determinar las indemnizaciones correspondientes.</w:t>
        <w:br/>
        <w:br/>
        <w:br/>
        <w:t>Costas y gastos</w:t>
        <w:br/>
        <w:br/>
        <w:br/>
        <w:t>Las representantes solicitaron que se ordene  el “[r]eintegro de los gastos</w:t>
        <w:br/>
        <w:t>procesales que ha supuesto el seguimiento del caso a nivel nacional e</w:t>
        <w:br/>
        <w:t>internacional[, así como] [l]os gastos futuros que genere el litigio del</w:t>
        <w:br/>
        <w:t>caso ante la Corte y su posterior implementación […]”. Señalaron que el</w:t>
        <w:br/>
        <w:t>Estado debe pagar los gastos “de representación jurídica y otros gastos en</w:t>
        <w:br/>
        <w:t>los que incurrió UDEFEGUA en el seguimiento y apoyo del caso”. Asimismo,</w:t>
        <w:br/>
        <w:t>solicitaron el reintegro de los gastos incurridos con posterioridad a la</w:t>
        <w:br/>
        <w:t>presentación del escrito de solicitudes y argumentos, relativos a la</w:t>
        <w:br/>
        <w:t>comparecencia en la audiencia pública celebrada en el presente caso y al</w:t>
        <w:br/>
        <w:t>envío desde España del peritaje de Luis Enrique Eguren[379].</w:t>
        <w:br/>
        <w:br/>
        <w:t>El Estado destacó en su escrito de contestación que las representantes “no</w:t>
        <w:br/>
        <w:t>han entregado ninguna documentación que acredite algún gasto, y tampoco han</w:t>
        <w:br/>
        <w:t>relacionado los supuestos gastos a ninguna de las pruebas que aportaron”.</w:t>
        <w:br/>
        <w:t>También señaló que “es imposible que los familiares de [A.A.] hayan</w:t>
        <w:br/>
        <w:t>incurrido en algún gasto para la obtención de justicia en el ámbito</w:t>
        <w:br/>
        <w:t>nacional, toda vez que ellos mismos argumenta[ron] dentro del escrito que</w:t>
        <w:br/>
        <w:t>no pudieron constituirse como querellantes adhesivos y que por ello antes</w:t>
        <w:br/>
        <w:t>de las reformas a la legislación no tenían acceso al expediente”. Además,</w:t>
        <w:br/>
        <w:t>reiteró que el Estado “tuvo la buena voluntad de llevar el caso a una</w:t>
        <w:br/>
        <w:t>solución amistosa, y que los peticionarios se negaron a aceptarl[a, lo</w:t>
        <w:br/>
        <w:t>cual] es una de las razones por las que se ha alargado el tiempo de</w:t>
        <w:br/>
        <w:t>duración del […] caso, y se han aumentado los gastos erogados”. Finalmente,</w:t>
        <w:br/>
        <w:t>se opuso a la documentación probatoria remitida por las representantes de</w:t>
        <w:br/>
        <w:t>las víctimas junto con sus alegatos finales escritos, ya que, según el</w:t>
        <w:br/>
        <w:t>Estado, “la misma nada tiene que ver con los hechos controvertidos del</w:t>
        <w:br/>
        <w:t>presente caso, siendo que el escrito mediante el cual se incorporan los</w:t>
        <w:br/>
        <w:t>mismos se refiere a la oportunidad de las partes de formular sus alegatos</w:t>
        <w:br/>
        <w:t>finales”.  La Comisión no se refirió específicamente a este punto.</w:t>
        <w:br/>
        <w:br/>
        <w:t>La Corte reitera que, conforme a su jurisprudencia[380], las costas y</w:t>
        <w:br/>
        <w:t>gastos hacen parte del concepto de reparación, toda vez que las actividades</w:t>
        <w:br/>
        <w:t>desplegadas por las víctimas con el fin de obtener justicia, tanto a nivel</w:t>
        <w:br/>
        <w:t>nacional como internacional, implican erogaciones que deben ser compensadas</w:t>
        <w:br/>
        <w:t>cuando la responsabilidad internacional del Estado es declarada mediante</w:t>
        <w:br/>
        <w:t>una sentencia condenatoria.</w:t>
        <w:br/>
        <w:br/>
        <w:t>En cuanto al reembolso de gastos, corresponde a la Corte apreciar</w:t>
        <w:br/>
        <w:t>prudentemente su alcance, el cual comprende los gastos generados ante las</w:t>
        <w:br/>
        <w:t>autoridades de la jurisdicción interna, así como los generados en el curso</w:t>
        <w:br/>
        <w:t>del proceso ante el sistema interamericano, teniendo en cuenta las</w:t>
        <w:br/>
        <w:t>circunstancias del caso concreto y la naturaleza de la jurisdicción</w:t>
        <w:br/>
        <w:t>internacional de protección de los derechos humanos. Esta apreciación puede</w:t>
        <w:br/>
        <w:t>ser realizada con base en el principio de equidad y tomando en cuenta los</w:t>
        <w:br/>
        <w:t>gastos señalados por las partes, siempre que su quantum sea razonable[381].</w:t>
        <w:br/>
        <w:br/>
        <w:t>La Corte constata que las representantes no presentaron prueba de los</w:t>
        <w:br/>
        <w:t>gastos incurridos por la búsqueda de justicia de la familia A ante las</w:t>
        <w:br/>
        <w:t>autoridades guatemaltecas. No obstante, la Corte ha constatado la actividad</w:t>
        <w:br/>
        <w:t>de B.A. y E.A. en las investigaciones iniciadas en Guatemala por los hechos</w:t>
        <w:br/>
        <w:t>del caso (supra párrs. 101, 103, 106, 112, 123, 152 y 170). En</w:t>
        <w:br/>
        <w:t>consecuencia, la Corte ordena en equidad al Estado que pague a la señora</w:t>
        <w:br/>
        <w:t>E.A. la suma de USD $2.000,00 (dos mil dólares de los Estados Unidos de</w:t>
        <w:br/>
        <w:t>América) y a la señora B.A. la suma de USD $3.000,00 (tres mil dólares de</w:t>
        <w:br/>
        <w:t>los Estados Unidos de América), por concepto de costas incurridas en el</w:t>
        <w:br/>
        <w:t>ámbito nacional.</w:t>
        <w:br/>
        <w:br/>
        <w:t>En cuanto a los gastos ante el sistema interamericano, la Corte constató</w:t>
        <w:br/>
        <w:t>que las representantes remitieron comprobantes relacionados con los gastos</w:t>
        <w:br/>
        <w:t>sufragados para asistir a la audiencia pública celebrada ante esta Corte,</w:t>
        <w:br/>
        <w:t>así como para el envío del affidávit del perito Luis Enrique Eguren[382].</w:t>
        <w:br/>
        <w:t>En consecuencia, la Corte ordena al Estado que reintegre a las</w:t>
        <w:br/>
        <w:t>representantes de las víctimas la suma de USD $3.439,22 (tres mil</w:t>
        <w:br/>
        <w:t>cuatrocientos treinta y nueve dólares y veintidós centavos de los Estados</w:t>
        <w:br/>
        <w:t>Unidos de América). Además, si bien las representantes no aportaron prueba</w:t>
        <w:br/>
        <w:t>respecto a otros gastos incurridos ante los órganos del sistema</w:t>
        <w:br/>
        <w:t>interamericano, la Corte considera razonable presumir que existieron otras</w:t>
        <w:br/>
        <w:t>erogaciones durante los 9 años, aproximadamente, que estuvo en trámite el</w:t>
        <w:br/>
        <w:t>caso, por lo que ordena en equidad que el Estado reintegre a las</w:t>
        <w:br/>
        <w:t>representantes la suma de USD $5.000,00 (cinco mil dólares de los Estados</w:t>
        <w:br/>
        <w:t>Unidos de América) por concepto de costas y USD $12.000,00 (doce mil</w:t>
        <w:br/>
        <w:t>dólares de los Estados Unidos de América) por concepto de honorarios. En la</w:t>
        <w:br/>
        <w:t>etapa de supervisión de cumplimiento de la presente Sentencia, la Corte</w:t>
        <w:br/>
        <w:t>podrá disponer el reembolso por parte del Estado a las víctimas o sus</w:t>
        <w:br/>
        <w:t>representantes de gastos posteriores razonables y debidamente</w:t>
        <w:br/>
        <w:t>comprobados[383].</w:t>
        <w:br/>
        <w:br/>
        <w:br/>
        <w:t>Otras medidas de reparación solicitadas</w:t>
        <w:br/>
        <w:br/>
        <w:br/>
        <w:t>Por otro lado, las representantes también solicitaron a la Corte ordenar al</w:t>
        <w:br/>
        <w:t>Estado: a) llevar a cabo un acto público de reconocimiento de</w:t>
        <w:br/>
        <w:t>responsabilidad internacional; b) la realización de “actos de dignificación</w:t>
        <w:br/>
        <w:t>de la memoria de [A.A.] […]”; c) garantizar el acceso a los proyectos de</w:t>
        <w:br/>
        <w:t>formación que los miembros de la familia tuvieron que abandonar para</w:t>
        <w:br/>
        <w:t>asegurar su seguridad; d) “reparar los daños causados a la comunidad,</w:t>
        <w:br/>
        <w:t>concluyendo los proyectos de vivienda y pavimentación”, y e) “proveer</w:t>
        <w:br/>
        <w:t>fondos a la familia [A] para dar continuidad a los proyectos iniciados por</w:t>
        <w:br/>
        <w:t>[A.A.], así como su labor político ciudadana en defensa de los derechos</w:t>
        <w:br/>
        <w:t>[h]umanos, a través de la creación de una fundación dedicada al abordaje</w:t>
        <w:br/>
        <w:t>[del] absentismo escolar y el abandono de los estudios por parte de niñas y</w:t>
        <w:br/>
        <w:t>adolescentes en el municipio[, así como a] [l]a memoria histórica”.</w:t>
        <w:br/>
        <w:br/>
        <w:t>Al respecto, la Corte estima que las medidas de reparación ordenadas en la</w:t>
        <w:br/>
        <w:t>presente Sentencia son suficientes en atención a los hechos y violaciones</w:t>
        <w:br/>
        <w:t>de los derechos humanos establecidas.</w:t>
        <w:br/>
        <w:br/>
        <w:br/>
        <w:t xml:space="preserve">        Modalidad de cumplimiento de los pagos ordenados</w:t>
        <w:br/>
        <w:br/>
        <w:br/>
        <w:t>El Estado deberá efectuar el pago de las indemnizaciones por concepto de</w:t>
        <w:br/>
        <w:t>daño material e inmaterial y el reintegro de costas y gastos establecidos</w:t>
        <w:br/>
        <w:t>en la presente Sentencia directamente a las personas indicadas en la misma,</w:t>
        <w:br/>
        <w:t>dentro del plazo de un año, contado a partir de la notificación del</w:t>
        <w:br/>
        <w:t>presente Fallo, en los términos de los siguientes párrafos.</w:t>
        <w:br/>
        <w:br/>
        <w:t>En caso de que los beneficiarios fallezcan antes de que les sean entregadas</w:t>
        <w:br/>
        <w:t>las indemnizaciones respectivas, éstas se efectuarán directamente a sus</w:t>
        <w:br/>
        <w:t>derechohabientes, conforme al derecho interno aplicable.</w:t>
        <w:br/>
        <w:br/>
        <w:t>El Estado debe cumplir sus obligaciones mediante el pago en dólares de los</w:t>
        <w:br/>
        <w:t>Estados Unidos de América o moneda guatemalteca, utilizando para el cálculo</w:t>
        <w:br/>
        <w:t>respectivo el tipo de cambio entre ambas monedas que esté vigente en la</w:t>
        <w:br/>
        <w:t>bolsa de Nueva York, Estados Unidos de América, el día anterior al pago.</w:t>
        <w:br/>
        <w:br/>
        <w:t>Si por causas atribuibles a los beneficiarios de las indemnizaciones no</w:t>
        <w:br/>
        <w:t>fuese posible que las reciban dentro del plazo indicado, el Estado</w:t>
        <w:br/>
        <w:t>consignará dichos montos a su favor en una cuenta o certificado de depósito</w:t>
        <w:br/>
        <w:t>en una institución financiera guatemalteca, en dólares de los Estados</w:t>
        <w:br/>
        <w:t>Unidos de América y en las condiciones financieras más favorables que</w:t>
        <w:br/>
        <w:t>permitan la legislación y la práctica bancaria de Guatemala. Si al cabo de</w:t>
        <w:br/>
        <w:t>10 años las indemnizaciones no han sido reclamadas, las cantidades serán</w:t>
        <w:br/>
        <w:t>devueltas al Estado con los intereses devengados.</w:t>
        <w:br/>
        <w:br/>
        <w:t>Las cantidades asignadas en la presente Sentencia como indemnización y como</w:t>
        <w:br/>
        <w:t>reintegro de costas y gastos deberán ser entregadas a las personas</w:t>
        <w:br/>
        <w:t>indicadas en forma íntegra conforme a lo establecido en este Fallo, sin</w:t>
        <w:br/>
        <w:t>reducciones derivadas de eventuales cargas fiscales.</w:t>
        <w:br/>
        <w:br/>
        <w:t>En caso de que el Estado incurriera en mora, deberá pagar un interés sobre</w:t>
        <w:br/>
        <w:t>la cantidad adeudada, correspondiente al interés bancario moratorio en la</w:t>
        <w:br/>
        <w:t>República de Guatemala.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 excepción preliminar de  falta  de  agotamiento  de  los</w:t>
        <w:br/>
        <w:t xml:space="preserve">      recursos internos planteada por el Estado,  en  los  términos  de  los</w:t>
        <w:br/>
        <w:t xml:space="preserve">      párrafos 20 a 25 de la presente Sentencia.</w:t>
        <w:br/>
        <w:br/>
        <w:t>por unanimidad,</w:t>
        <w:br/>
        <w:br/>
        <w:t xml:space="preserve">   2. Desestimar la excepción preliminar del Estado derivada de una supuesta</w:t>
        <w:br/>
        <w:t xml:space="preserve">      vulneración de su derecho de  defensa  en  el  procedimiento  ante  la</w:t>
        <w:br/>
        <w:t xml:space="preserve">      Comisión Interamericana de Derechos Humanos, en los  términos  de  los</w:t>
        <w:br/>
        <w:t xml:space="preserve">      párrafos 28 a 31 de la presente Sentencia.</w:t>
        <w:br/>
        <w:br/>
        <w:t>DECLARA,</w:t>
        <w:br/>
        <w:br/>
        <w:t>por unanimidad, que:</w:t>
        <w:br/>
        <w:br/>
        <w:t xml:space="preserve">   3. El Estado violó el derecho a la integridad personal reconocido  en  el</w:t>
        <w:br/>
        <w:t xml:space="preserve">      artículo 5.1 de la Convención Americana, en relación con  el  artículo</w:t>
        <w:br/>
        <w:t xml:space="preserve">      1.1 de la misma, en perjuicio de B.A., C.A., E.A., D.A.,  F.A.,  G.A.,</w:t>
        <w:br/>
        <w:t xml:space="preserve">      I.A., J.A., M.A., N.A., L.A. y K.A.,  así  como  en  relación  con  el</w:t>
        <w:br/>
        <w:t xml:space="preserve">      artículo 19 de la Convención en perjuicio de J.A., N.A. y K.A., niña y</w:t>
        <w:br/>
        <w:t xml:space="preserve">      niños al momento de los hechos  del  caso,  en  los  términos  de  los</w:t>
        <w:br/>
        <w:t xml:space="preserve">      párrafos 150 a 160 de la presente Sentencia.</w:t>
        <w:br/>
        <w:br/>
        <w:t>por unanimidad, que:</w:t>
        <w:br/>
        <w:br/>
        <w:t xml:space="preserve">   4. El Estado violó el derecho de circulación y residencia, reconocido  en</w:t>
        <w:br/>
        <w:t xml:space="preserve">      el artículo 22.1 de  la  Convención  Americana,  en  relación  con  el</w:t>
        <w:br/>
        <w:t xml:space="preserve">      artículo 1.1 de la misma, en perjuicio de C.A., B.A., sus hijos L.A. y</w:t>
        <w:br/>
        <w:t xml:space="preserve">      N.A., y E.A. y sus hijos J.A. y K.A., así  como  en  relación  con  el</w:t>
        <w:br/>
        <w:t xml:space="preserve">      artículo 19 de la Convención Americana en perjuicio de  J.A.,  N.A.  y</w:t>
        <w:br/>
        <w:t xml:space="preserve">      K.A., niña y niños al momento de los hechos del caso, en los  términos</w:t>
        <w:br/>
        <w:t xml:space="preserve">      de los párrafos 165 a 180 de la presente Sentencia.</w:t>
        <w:br/>
        <w:br/>
        <w:br/>
        <w:t>por unanimidad, que:</w:t>
        <w:br/>
        <w:br/>
        <w:br/>
        <w:t xml:space="preserve">   5. El Estado violó los derechos políticos,  reconocidos  en  el  artículo</w:t>
        <w:br/>
        <w:t xml:space="preserve">      23.1 de la Convención Americana, en relación con el artículo 1.1 de la</w:t>
        <w:br/>
        <w:t xml:space="preserve">      misma, en perjuicio de B.A., en los términos de los párrafos 185 a 193</w:t>
        <w:br/>
        <w:t xml:space="preserve">      de esta Sentencia.</w:t>
        <w:br/>
        <w:br/>
        <w:t>por unanimidad, que:</w:t>
        <w:br/>
        <w:br/>
        <w:t xml:space="preserve">   6. El Estado violó los  derechos  a  las  garantías  judiciales  y  a  la</w:t>
        <w:br/>
        <w:t xml:space="preserve">      protección judicial, reconocidos  en  los  artículos  8  y  25  de  la</w:t>
        <w:br/>
        <w:t xml:space="preserve">      Convención Americana, en  relación  con  el  artículo  1.1  del  mismo</w:t>
        <w:br/>
        <w:t xml:space="preserve">      tratado, en perjuicio de B.A., C.A., E.A.,  D.A.,  F.A.,  G.A.,  I.A.,</w:t>
        <w:br/>
        <w:t xml:space="preserve">      J.A., M.A., N.A., L.A. y K.A., en los términos de los párrafos  199  a</w:t>
        <w:br/>
        <w:t xml:space="preserve">      242 de la presente Sentencia.</w:t>
        <w:br/>
        <w:br/>
        <w:t>por tres votos a favor y dos en contra, que:</w:t>
        <w:br/>
        <w:br/>
        <w:t xml:space="preserve">   7. No cuenta con elementos suficientes para  declarar  un  incumplimiento</w:t>
        <w:br/>
        <w:t xml:space="preserve">      por parte del Estado  de  su  deber  de  proteger  la  vida  de  A.A.,</w:t>
        <w:br/>
        <w:t xml:space="preserve">      reconocido en el artículo 4.1 de la Convención Americana, en  relación</w:t>
        <w:br/>
        <w:t xml:space="preserve">      con el artículo 1.1 de dicho tratado, en los términos de los  párrafos</w:t>
        <w:br/>
        <w:t xml:space="preserve">      144 a 149 de la presente Sentencia.</w:t>
        <w:br/>
        <w:t>Disienten los Jueces Roberto F. Caldas y Eduardo Ferrer Mac-Gregor Poisot</w:t>
        <w:br/>
        <w:br/>
        <w:t>por tres votos a favor y dos en contra, que:</w:t>
        <w:br/>
        <w:br/>
        <w:t xml:space="preserve">   8. No cuenta con elementos suficientes para establecer una  violación  de</w:t>
        <w:br/>
        <w:t xml:space="preserve">      los  derechos  políticos,  reconocidos  en  el  artículo  23.1  de  la</w:t>
        <w:br/>
        <w:t xml:space="preserve">      Convención Americana, en relación con el artículo 1.1 de la misma,  en</w:t>
        <w:br/>
        <w:t xml:space="preserve">      perjuicio de A.A., en los términos del párrafo 189 de esta Sentencia.</w:t>
        <w:br/>
        <w:t>Disienten los Jueces Roberto F. Caldas y Eduardo Ferrer Mac-Gregor Poisot</w:t>
        <w:br/>
        <w:br/>
        <w:t>Y DISPONE,</w:t>
        <w:br/>
        <w:br/>
        <w:t>por unanimidad, que:</w:t>
        <w:br/>
        <w:br/>
        <w:t xml:space="preserve">   9. Esta Sentencia constituye per se una forma de reparación.</w:t>
        <w:br/>
        <w:br/>
        <w:t xml:space="preserve">  10. El Estado debe llevar a cabo con la debida diligencia y  en  un  plazo</w:t>
        <w:br/>
        <w:t xml:space="preserve">      razonable, las investigaciones y procesos penales correspondientes  de</w:t>
        <w:br/>
        <w:t xml:space="preserve">      conformidad con las disposiciones de su derecho interno, con el fin de</w:t>
        <w:br/>
        <w:t xml:space="preserve">      individualizar,  identificar  y,  en  su   caso,   sancionar   a   los</w:t>
        <w:br/>
        <w:t xml:space="preserve">      responsables materiales e intelectuales de los hechos relacionados con</w:t>
        <w:br/>
        <w:t xml:space="preserve">      la muerte de A.A. y las amenazas sufridas por sus familiares, así como</w:t>
        <w:br/>
        <w:t xml:space="preserve">      establecer la verdad sobre  los  mismos,  considerando  los  criterios</w:t>
        <w:br/>
        <w:t xml:space="preserve">      señalados sobre investigaciones en este tipo de casos, en los términos</w:t>
        <w:br/>
        <w:t xml:space="preserve">      del párrafo 252 de la presente Sentencia. Asimismo, de acuerdo con  la</w:t>
        <w:br/>
        <w:t xml:space="preserve">      normativa  disciplinaria  pertinente,  el  Estado  debe  examinar  las</w:t>
        <w:br/>
        <w:t xml:space="preserve">      eventuales irregularidades procesales  e  investigativas  relacionadas</w:t>
        <w:br/>
        <w:t xml:space="preserve">      con los hechos y, en su caso, sancionar la conducta de los  servidores</w:t>
        <w:br/>
        <w:t xml:space="preserve">      públicos correspondientes, sin que  sea  necesario  que  las  víctimas</w:t>
        <w:br/>
        <w:t xml:space="preserve">      interpongan denuncias a tales efectos, en los términos del párrafo 253</w:t>
        <w:br/>
        <w:t xml:space="preserve">      de la presente Sentencia.</w:t>
        <w:br/>
        <w:br/>
        <w:t xml:space="preserve">  11. El Estado debe garantizar las condiciones de seguridad adecuadas  para</w:t>
        <w:br/>
        <w:t xml:space="preserve">      que B.A., E.A., L.A., N.A.,   J.A.  y  K.A.,  puedan  retornar  a  sus</w:t>
        <w:br/>
        <w:t xml:space="preserve">      lugares de residencia, de ser el caso y si así lo desean, sin que ello</w:t>
        <w:br/>
        <w:t xml:space="preserve">      represente un gasto adicional para los beneficiarios  de  la  presente</w:t>
        <w:br/>
        <w:t xml:space="preserve">      medida, en los términos del párrafo 256 de esta Sentencia.</w:t>
        <w:br/>
        <w:br/>
        <w:t xml:space="preserve">  12. El Estado debe brindar gratuitamente, a través de sus instituciones de</w:t>
        <w:br/>
        <w:t xml:space="preserve">      salud especializadas y de forma inmediata,  adecuada  y  efectiva,  el</w:t>
        <w:br/>
        <w:t xml:space="preserve">      tratamiento psicológico y psiquiátrico  que  requieran  las  víctimas,</w:t>
        <w:br/>
        <w:t xml:space="preserve">      previo consentimiento informado y por el  tiempo  que  sea  necesario,</w:t>
        <w:br/>
        <w:t xml:space="preserve">      incluida la provisión gratuita de medicamentos, en los términos de los</w:t>
        <w:br/>
        <w:t xml:space="preserve">      párrafos 258 y 259 de la presente Sentencia.</w:t>
        <w:br/>
        <w:br/>
        <w:t xml:space="preserve">  13. El Estado debe realizar en un plazo de  seis  meses  a  partir  de  la</w:t>
        <w:br/>
        <w:t xml:space="preserve">      notificación de la presente Sentencia, las publicaciones indicadas  en</w:t>
        <w:br/>
        <w:t xml:space="preserve">      el párrafo 261 de la Sentencia,  en  los  términos  dispuestos  en  el</w:t>
        <w:br/>
        <w:t xml:space="preserve">      mismo.</w:t>
        <w:br/>
        <w:br/>
        <w:br/>
        <w:t xml:space="preserve">  14. El Estado debe presentar  informes  anuales  en  el  que  indique  las</w:t>
        <w:br/>
        <w:t xml:space="preserve">      acciones que se han realizado con el fin de implementar, dentro de  un</w:t>
        <w:br/>
        <w:t xml:space="preserve">      plazo razonable, una política pública efectiva para la  protección  de</w:t>
        <w:br/>
        <w:t xml:space="preserve">      las defensoras y los defensores de derechos humanos, en  los  términos</w:t>
        <w:br/>
        <w:t xml:space="preserve">      de los párrafos 263 y 264 de la presente Sentencia.</w:t>
        <w:br/>
        <w:br/>
        <w:br/>
        <w:t xml:space="preserve">  15. El Estado debe, dentro del plazo de un año a partir de la notificación</w:t>
        <w:br/>
        <w:t xml:space="preserve">      de esta Sentencia, pagar las cantidades fijadas en los párrafos 271  y</w:t>
        <w:br/>
        <w:t xml:space="preserve">      273 de la misma por concepto de indemnizaciones por daños materiales e</w:t>
        <w:br/>
        <w:t xml:space="preserve">      inmateriales, y el reintegro de costas y gastos, en  los  términos  de</w:t>
        <w:br/>
        <w:t xml:space="preserve">      los párrafos 278 y 279 de esta Sentencia.</w:t>
        <w:br/>
        <w:br/>
        <w:t xml:space="preserve">  16. El Estado debe rendir al Tribunal un informe, dentro del plazo  de  un</w:t>
        <w:br/>
        <w:t xml:space="preserve">      año contado a partir de la notificación de esta Sentencia,  sobre  las</w:t>
        <w:br/>
        <w:t xml:space="preserve">      medidas adoptadas para cumplir con la misma.</w:t>
        <w:br/>
        <w:br/>
        <w:t xml:space="preserve">  17.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</w:t>
        <w:br/>
        <w:br/>
        <w:t>Los jueces Roberto F. Caldas y Eduardo  Ferrer  Mac-Gregor  Poisot  hicieron</w:t>
        <w:br/>
        <w:t>conocer a la Corte  su  voto  conjunto  disidente,  el  cual  acompaña  esta</w:t>
        <w:br/>
        <w:t>Sentencia.</w:t>
        <w:br/>
        <w:br/>
        <w:t>Redactada en español en San José, Costa Rica, el 28 de agosto de 2014.</w:t>
        <w:br/>
        <w:br/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br/>
        <w:br/>
        <w:br/>
        <w:t>Eduardo Vio Grossi                                      Eduardo Ferrer  Mac-</w:t>
        <w:br/>
        <w:t>Gregor Poisot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t xml:space="preserve">             VOTO CONJUNTO PARCIALMENTE DISIDENTE DE LOS JUECES</w:t>
        <w:br/>
        <w:t xml:space="preserve">            ROBERTO F. CALDAS Y EDUARDO FERRER MAC-GREGOR POISOT</w:t>
        <w:br/>
        <w:br/>
        <w:t xml:space="preserve">           CASO DEFENSOR DE DERECHOS HUMANOS Y OTROS VS. GUATEMALA</w:t>
        <w:br/>
        <w:br/>
        <w:t xml:space="preserve">                      SENTENCIA DE 28 DE AGOSTO DE 2014</w:t>
        <w:br/>
        <w:t xml:space="preserve">          (EXCEPCIONES PRELIMINARES, FONDO, REPARACIONES Y COSTAS)</w:t>
        <w:br/>
        <w:br/>
        <w:br/>
        <w:t xml:space="preserve">   1. Emitimos el presente voto parcialmente disidente para fundamentar  los</w:t>
        <w:br/>
        <w:t xml:space="preserve">      motivos por los cuales discrepamos  con  lo  decidido  en  los  puntos</w:t>
        <w:br/>
        <w:t xml:space="preserve">      resolutivos 7 y 8 de la Sentencia de 28 de agosto de 2014 en  el  Caso</w:t>
        <w:br/>
        <w:t xml:space="preserve">      Defensor de Derechos Humanos y Otros Vs. Guatemala  (en  adelante  “la</w:t>
        <w:br/>
        <w:t xml:space="preserve">      Sentencia”), dictada por la Corte Interamericana de  Derechos  Humanos</w:t>
        <w:br/>
        <w:t xml:space="preserve">      (en adelante “la  Corte  Interamericana”,  “la  Corte”,  “el  Tribunal</w:t>
        <w:br/>
        <w:t xml:space="preserve">      Interamericano” o “el Tribunal”), en los  cuales  se  declaró  que  la</w:t>
        <w:br/>
        <w:t xml:space="preserve">      Corte  no  contaba  con  elementos  suficientes   para   declarar   un</w:t>
        <w:br/>
        <w:t xml:space="preserve">      incumplimiento por parte del Estado de su deber de proteger la vida de</w:t>
        <w:br/>
        <w:t xml:space="preserve">      A.A., ni la violación de los derechos políticos de  A.A.,  reconocidos</w:t>
        <w:br/>
        <w:t xml:space="preserve">      en los  artículos  4.1  y  23.1,  respectivamente,  de  la  Convención</w:t>
        <w:br/>
        <w:t xml:space="preserve">      Americana  sobre  Derechos  Humanos  (en   adelante   “la   Convención</w:t>
        <w:br/>
        <w:t xml:space="preserve">      Americana” o “el Pacto de San José  de  Costa  Rica”).  A  través  del</w:t>
        <w:br/>
        <w:t xml:space="preserve">      presente voto expondremos las razones por las cuales estimamos que  la</w:t>
        <w:br/>
        <w:t xml:space="preserve">      Corte debió establecer que Guatemala incurrió en una violación de  los</w:t>
        <w:br/>
        <w:t xml:space="preserve">      artículos 4.1 y 23.1 de la  Convención  Americana,  en  perjuicio  del</w:t>
        <w:br/>
        <w:t xml:space="preserve">      defensor de derechos humanos A.A.</w:t>
        <w:br/>
        <w:br/>
        <w:t xml:space="preserve">   2. La Corte en reiteradas ocasiones se ha  referido  a  la  violación  de</w:t>
        <w:br/>
        <w:t xml:space="preserve">      derechos contenidos en la Convención Americana  en  perjuicio  de  las</w:t>
        <w:br/>
        <w:t xml:space="preserve">      defensoras y los defensores de derechos humanos[384], entendiendo  que</w:t>
        <w:br/>
        <w:t xml:space="preserve">      esta calidad radica en la labor que se realiza, con  independencia  de</w:t>
        <w:br/>
        <w:t xml:space="preserve">      que la persona sea un particular o un  funcionario  público[385].  Sin</w:t>
        <w:br/>
        <w:t xml:space="preserve">      embargo, esta  es  la  primera  ocasión  en  la  que  el  Tribunal  ha</w:t>
        <w:br/>
        <w:t xml:space="preserve">      desarrollado el concepto  de  “defensor”  y  “defensora”  de  derechos</w:t>
        <w:br/>
        <w:t xml:space="preserve">      humanos, a la luz de diversas fuentes internacionales[386]. En efecto,</w:t>
        <w:br/>
        <w:t xml:space="preserve">      tal como se desarrolló en la Sentencia objeto del presente voto, las y</w:t>
        <w:br/>
        <w:t xml:space="preserve">      los defensores de derechos humanos son todos aquellos que promuevan  y</w:t>
        <w:br/>
        <w:t xml:space="preserve">      procuran la protección y realización de los  derechos  humanos  y  las</w:t>
        <w:br/>
        <w:t xml:space="preserve">      libertades fundamentales, en el plano nacional e internacional. Dichas</w:t>
        <w:br/>
        <w:t xml:space="preserve">      actividades  deben  ser  practicadas  de  forma  pacífica,  y   pueden</w:t>
        <w:br/>
        <w:t xml:space="preserve">      ejercerse de forma intermitente u  ocasional,  siendo  la  calidad  de</w:t>
        <w:br/>
        <w:t xml:space="preserve">      defensor  o  defensora   de   derechos   humanos   no   necesariamente</w:t>
        <w:br/>
        <w:t xml:space="preserve">      permanente[387].</w:t>
        <w:br/>
        <w:br/>
        <w:t xml:space="preserve">   3. En el caso concreto, la Corte consideró que,  para  el  año  2004,  el</w:t>
        <w:br/>
        <w:t xml:space="preserve">      señor A.A., al igual que su hija B.A., realizaban actividades que  les</w:t>
        <w:br/>
        <w:t xml:space="preserve">      calificaban como defensores de derechos humanos[388]. No obstante,  la</w:t>
        <w:br/>
        <w:t xml:space="preserve">      mayoría del Tribunal Interamericano consideró que  “no  [contaba]  con</w:t>
        <w:br/>
        <w:t xml:space="preserve">      elementos suficientes para acreditar que el Estado tenía o debió tener</w:t>
        <w:br/>
        <w:t xml:space="preserve">      conocimiento de una situación de riesgo real e inmediato para la  vida</w:t>
        <w:br/>
        <w:t xml:space="preserve">      del señor A.A. con anterioridad a su muerte”[389]. Disentimos de dicha</w:t>
        <w:br/>
        <w:t xml:space="preserve">      motivación pues consideramos que el Estado  de  Guatemala  sí  tuvo  o</w:t>
        <w:br/>
        <w:t xml:space="preserve">      debió tener conocimiento de la  situación  de  riesgo  en  la  que  se</w:t>
        <w:br/>
        <w:t xml:space="preserve">      encontraba A.A. y, por tanto, debió proteger su vida y garantizar  así</w:t>
        <w:br/>
        <w:t xml:space="preserve">      sus derechos políticos.</w:t>
        <w:br/>
        <w:br/>
        <w:t xml:space="preserve">   4. Para una mayor claridad, dividiremos  el  presente  voto  en:  (1)  la</w:t>
        <w:br/>
        <w:t xml:space="preserve">      violación del artículo 4.1 de la Convención Americana en perjuicio  de</w:t>
        <w:br/>
        <w:t xml:space="preserve">      A.A. (párrs. 5 a 15);  (2)  la  violación  del  artículo  23.1  de  la</w:t>
        <w:br/>
        <w:t xml:space="preserve">      Convención Americana en perjuicio de A.A. (párrs.  16  a  20);  y  (3)</w:t>
        <w:br/>
        <w:t xml:space="preserve">      Conclusión (párrs. 21-25).</w:t>
        <w:br/>
        <w:br/>
        <w:t xml:space="preserve">  1. La violación del artículo 4.1 de la Convención Americana en perjuicio</w:t>
        <w:br/>
        <w:t xml:space="preserve">                                   de A.A.</w:t>
        <w:br/>
        <w:br/>
        <w:br/>
        <w:br/>
        <w:t xml:space="preserve">   5. En la Sentencia,  la  Corte  Interamericana  hace  explícito  que  “la</w:t>
        <w:br/>
        <w:t xml:space="preserve">      obligación  del  Estado  de  garantizar  los  derechos  a  la  vida  e</w:t>
        <w:br/>
        <w:t xml:space="preserve">      integridad personal de las personas se ve reforzada cuando se trata de</w:t>
        <w:br/>
        <w:t xml:space="preserve">      un defensor o defensora de derechos humanos”[390]. Aunado a  ello,  la</w:t>
        <w:br/>
        <w:t xml:space="preserve">      Corte consideró que, para determinar  si  dicha  obligación  reforzada</w:t>
        <w:br/>
        <w:t xml:space="preserve">      existía en el caso concreto,  debía  establecer  que  las  autoridades</w:t>
        <w:br/>
        <w:t xml:space="preserve">      tenían o debían tener conocimiento de dicho riesgo, y que  no  tomaron</w:t>
        <w:br/>
        <w:t xml:space="preserve">      las medidas necesarias dentro del  ámbito  de  sus  atribuciones  que,</w:t>
        <w:br/>
        <w:t xml:space="preserve">      juzgadas razonablemente, podían esperarse para prevenir o  evitar  ese</w:t>
        <w:br/>
        <w:t xml:space="preserve">      riesgo[391].  Ante  este  carácter  reforzado,  quienes  suscriben  el</w:t>
        <w:br/>
        <w:t xml:space="preserve">      presente voto  consideran  que  existían  elementos  suficientes  para</w:t>
        <w:br/>
        <w:t xml:space="preserve">      concluir que el Estado conoció o al menos debió tener conocimiento  de</w:t>
        <w:br/>
        <w:t xml:space="preserve">      la situación de riesgo real e inmediato para  la  vida  de  A.A.,  los</w:t>
        <w:br/>
        <w:t xml:space="preserve">      cuales exponemos a continuación.</w:t>
        <w:br/>
        <w:br/>
        <w:t xml:space="preserve">   6. En primer lugar, tal como se reconoce en la Sentencia, para  la  fecha</w:t>
        <w:br/>
        <w:t xml:space="preserve">      de los hechos existía un contexto  de  vulnerabilidad  de  las  y  los</w:t>
        <w:br/>
        <w:t xml:space="preserve">      defensores de derechos humanos en Guatemala, especialmente de aquéllas</w:t>
        <w:br/>
        <w:t xml:space="preserve">      y aquéllos que buscaban la protección  o  promoción  de  los  derechos</w:t>
        <w:br/>
        <w:t xml:space="preserve">      económicos, culturales y sociales, así como la verdad y la justicia en</w:t>
        <w:br/>
        <w:t xml:space="preserve">      relación con las violaciones a los derechos humanos cometidas  durante</w:t>
        <w:br/>
        <w:t xml:space="preserve">      el conflicto armado interno que tuvo lugar  entre  1962  y  1996[392].</w:t>
        <w:br/>
        <w:t xml:space="preserve">      Este contexto debió ser tenido en cuenta  para  la  valoración  de  la</w:t>
        <w:br/>
        <w:t xml:space="preserve">      prueba  y   alegatos,   y   la   consecuente   determinación   de   la</w:t>
        <w:br/>
        <w:t xml:space="preserve">      responsabilidad internacional del Estado[393]. A criterio  de  quienes</w:t>
        <w:br/>
        <w:t xml:space="preserve">      suscribimos el presente voto, el señor A.A. se  encontraba  dentro  de</w:t>
        <w:br/>
        <w:t xml:space="preserve">      este grupo vulnerable y existían pruebas suficientes  para  determinar</w:t>
        <w:br/>
        <w:t xml:space="preserve">      que el Estado tuvo o debió  tener  conocimiento  de  la  situación  de</w:t>
        <w:br/>
        <w:t xml:space="preserve">      riesgo en la que se encontraba dicho  defensor  de  derechos  humanos,</w:t>
        <w:br/>
        <w:t xml:space="preserve">      requiriendo una  atención  especial  por  parte  del  Estado  para  la</w:t>
        <w:br/>
        <w:t xml:space="preserve">      protección de sus derechos.</w:t>
        <w:br/>
        <w:br/>
        <w:t xml:space="preserve">   7. En segundo lugar, la familia de A.A. fue señalada de “subversiva”  por</w:t>
        <w:br/>
        <w:t xml:space="preserve">      las fuerzas de seguridad y autoridades estatales; y, por ello, tras la</w:t>
        <w:br/>
        <w:t xml:space="preserve">      desaparición forzada de su hijo, los miembros de dicha familia  fueron</w:t>
        <w:br/>
        <w:t xml:space="preserve">      desplazados tanto dentro de Guatemala como hacia el exterior entre los</w:t>
        <w:br/>
        <w:t xml:space="preserve">      años 1983 y 1987[394], siendo que sólo tras la firma de  los  Acuerdos</w:t>
        <w:br/>
        <w:t xml:space="preserve">      de Paz decidieron volver al país[395]. Esto produjo la responsabilidad</w:t>
        <w:br/>
        <w:t xml:space="preserve">      internacional de Guatemala en  el  caso  de  Gudiel  Álvarez  (“Diario</w:t>
        <w:br/>
        <w:t xml:space="preserve">      Militar”) Vs. Guatemala en perjuicio de los miembros de dicha familia,</w:t>
        <w:br/>
        <w:t xml:space="preserve">      y en particular del señor A.A., y a criterio de quienes suscriben este</w:t>
        <w:br/>
        <w:t xml:space="preserve">      voto, configura igualmente un indicio por el cual el Estado, al menos,</w:t>
        <w:br/>
        <w:t xml:space="preserve">      debió conocer de la situación de vulnerabilidad  especial  en  la  que</w:t>
        <w:br/>
        <w:t xml:space="preserve">      este defensor de  derechos  humanos  se  encontraba;  que  había  sido</w:t>
        <w:br/>
        <w:t xml:space="preserve">      declarado víctima en aquel otro proceso ante esta Corte y que  actuaba</w:t>
        <w:br/>
        <w:t xml:space="preserve">      para buscar el cumplimiento de la sentencia.</w:t>
        <w:br/>
        <w:br/>
        <w:t xml:space="preserve">   8. En tercer lugar, el 26 de noviembre de 2003, poco más de un año  antes</w:t>
        <w:br/>
        <w:t xml:space="preserve">      de la fecha de la muerte de A.A., su hija B.A. presentó  una  denuncia</w:t>
        <w:br/>
        <w:t xml:space="preserve">      ante la Fiscalía Distrital de Santa Lucía Cotzumalguapa; señalando que</w:t>
        <w:br/>
        <w:t xml:space="preserve">      un ex kaibil que guardaba diferencias ideológicas a las de su  familia</w:t>
        <w:br/>
        <w:t xml:space="preserve">      la llamó y amenazó con que a ella y a su  hijo  les  iba  hacer  daño,</w:t>
        <w:br/>
        <w:t xml:space="preserve">      señalando además que dicha persona había amenazado a su hermana en una</w:t>
        <w:br/>
        <w:t xml:space="preserve">      ocasión anterior[396]. La mayoría de la  Corte  Interamericana  valoró</w:t>
        <w:br/>
        <w:t xml:space="preserve">      que la ausencia de referencia expresa al padre en la denuncia  implicó</w:t>
        <w:br/>
        <w:t xml:space="preserve">      que no existían elementos suficientes para aseverar que debió  conocer</w:t>
        <w:br/>
        <w:t xml:space="preserve">      del riesgo contra su vida, fortaleciendo su posición en que B.A. firmó</w:t>
        <w:br/>
        <w:t xml:space="preserve">      y por tanto convalidó el contenido de dicha denuncia[397].</w:t>
        <w:br/>
        <w:br/>
        <w:t xml:space="preserve">   9. Consideramos que  esta  lectura  de  la  Corte  resulta  excesivamente</w:t>
        <w:br/>
        <w:t xml:space="preserve">      formalista. Como ha señalado esta Corte, en un tribunal  internacional</w:t>
        <w:br/>
        <w:t xml:space="preserve">      cuyo fin es la protección de los derechos  humanos,  el  procedimiento</w:t>
        <w:br/>
        <w:t xml:space="preserve">      reviste particularidades propias que le  diferencian  del  proceso  de</w:t>
        <w:br/>
        <w:t xml:space="preserve">      derecho interno. Aquél es menos formal y más flexible  que  éste,  sin</w:t>
        <w:br/>
        <w:t xml:space="preserve">      por ello dejar  de  cuidar  la  seguridad  jurídica  y  el  equilibrio</w:t>
        <w:br/>
        <w:t xml:space="preserve">      procesal de las partes[398]. Así, en el caso concreto, debió valorarse</w:t>
        <w:br/>
        <w:t xml:space="preserve">      las pruebas en su conjunto, a la luz del  contexto  de  vulnerabilidad</w:t>
        <w:br/>
        <w:t xml:space="preserve">      que en el momento de los  hechos  sufrían  las  y  los  defensores  de</w:t>
        <w:br/>
        <w:t xml:space="preserve">      derechos humanos.</w:t>
        <w:br/>
        <w:br/>
        <w:br/>
        <w:br/>
        <w:t xml:space="preserve">  10. Así, respecto a la mencionada denuncia de noviembre de 2003 se observa</w:t>
        <w:br/>
        <w:t xml:space="preserve">      que: (i) tanto la denunciante B.A. como su padre A.A.  ejercían  ambos</w:t>
        <w:br/>
        <w:t xml:space="preserve">      la defensa de los derechos económicos, sociales  y  culturales  en  su</w:t>
        <w:br/>
        <w:t xml:space="preserve">      comunidad al  momento  de  los  hechos  y  buscaban  justicia  por  la</w:t>
        <w:br/>
        <w:t xml:space="preserve">      desaparición forzada de un  miembro  de  su  familia;  (ii)  ambos  se</w:t>
        <w:br/>
        <w:t xml:space="preserve">      encontraban señalados como miembros de una familia “subversiva”; (iii)</w:t>
        <w:br/>
        <w:t xml:space="preserve">      ambos ostentaban cargos de influencia pública al momento de la  muerte</w:t>
        <w:br/>
        <w:t xml:space="preserve">      del  señor  A.A.  (Secretaria  y  Alcalde  Comunitario   del   Consejo</w:t>
        <w:br/>
        <w:t xml:space="preserve">      Comunitario  de  Desarrollo  de  la  aldea  Cruce  de  la   Esperanza,</w:t>
        <w:br/>
        <w:t xml:space="preserve">      respectivamente); y (iv) la amenaza proferida en noviembre de 2003  se</w:t>
        <w:br/>
        <w:t xml:space="preserve">      refería justamente a la elección del Comité Educativo  (COEDUCA)  para</w:t>
        <w:br/>
        <w:t xml:space="preserve">      la Escuela de Autogestión Comunitaria República de  México,  en  donde</w:t>
        <w:br/>
        <w:t xml:space="preserve">      colaboraba junto con su padre y  de  la  cual  había  sido  presidente</w:t>
        <w:br/>
        <w:t xml:space="preserve">      anteriormente el señor A.A.[399]. En  efecto,  dado  el  contexto  del</w:t>
        <w:br/>
        <w:t xml:space="preserve">      caso, se considera  que  es  razonable  concluir  que  dicha  amenaza,</w:t>
        <w:br/>
        <w:t xml:space="preserve">      proferida por un ex kaibil, fue dirigida no sólo en contra de  ella  y</w:t>
        <w:br/>
        <w:t xml:space="preserve">      su hijo, sino en contra de su padre también.</w:t>
        <w:br/>
        <w:br/>
        <w:br/>
        <w:br/>
        <w:t xml:space="preserve">  11. En cuarto lugar, no debe dejarse de lado el conocimiento que tenía  el</w:t>
        <w:br/>
        <w:t xml:space="preserve">      entonces Alcalde Municipal de  Santa  Lucía  Cotzumalguapa  sobre  las</w:t>
        <w:br/>
        <w:t xml:space="preserve">      amenazas en contra de A.A. Mediante declaración de 5 de  diciembre  de</w:t>
        <w:br/>
        <w:t xml:space="preserve">      2010, el Alcalde expresamente reconoció que “[A.A.]  fue  uno  de  los</w:t>
        <w:br/>
        <w:t xml:space="preserve">      líderes comunitarios amenazados”[400],  “pues  su  conocimiento  sobre</w:t>
        <w:br/>
        <w:t xml:space="preserve">      desarrollo  humano,  su  metodología  de  trabajo,  caracterizado  por</w:t>
        <w:br/>
        <w:t xml:space="preserve">      promover la  unidad  comunitaria  y  asesorarse  de  profesionales  en</w:t>
        <w:br/>
        <w:t xml:space="preserve">      diversas disciplinas de la ciencia, causaba en la comunidad aceptación</w:t>
        <w:br/>
        <w:t xml:space="preserve">      y complacencia, por sus obras alcanzadas durante su  dirigencia,  pero</w:t>
        <w:br/>
        <w:t xml:space="preserve">      mucho descontento y coraje en figuras con liderazgos muy marcados  por</w:t>
        <w:br/>
        <w:t xml:space="preserve">      el caudillismo y la corrupción del pasado  y  sobre  todo  ligados  al</w:t>
        <w:br/>
        <w:t xml:space="preserve">      aparato de represión de la época del conflicto  armado  interno”[401].</w:t>
        <w:br/>
        <w:t xml:space="preserve">      Más aún, dos días después de la muerte de A.A., el  Alcalde  Municipal</w:t>
        <w:br/>
        <w:t xml:space="preserve">      reconoció tener conocimiento de “problemas” que  tuvo  el  occiso  con</w:t>
        <w:br/>
        <w:t xml:space="preserve">      M.M., simpatizante del Frente Revolucionario  Guatemalteco,  dado  que</w:t>
        <w:br/>
        <w:t xml:space="preserve">      esté se autodenominaba Alcalde Auxiliar de 3  comunidades,  incluyendo</w:t>
        <w:br/>
        <w:t xml:space="preserve">      la Aldea Cruce de la  Esperanza,  donde  legítimamente  ejercía  dicho</w:t>
        <w:br/>
        <w:t xml:space="preserve">      cargo el señor A.A.[402].   Por  otro  lado,  B.A.,  en  la  audiencia</w:t>
        <w:br/>
        <w:t xml:space="preserve">      pública celebrada ante la Corte, afirmó  haberse  abocado  al  Alcalde</w:t>
        <w:br/>
        <w:t xml:space="preserve">      Municipal para efectuar  sus  denuncias  previo  a  la  muerte  de  su</w:t>
        <w:br/>
        <w:t xml:space="preserve">      padre[403].</w:t>
        <w:br/>
        <w:br/>
        <w:t xml:space="preserve">  12. A pesar del reconocido conocimiento por parte del Alcalde Municipal de</w:t>
        <w:br/>
        <w:t xml:space="preserve">      dicha situación, la mayoría del Tribunal Interamericano  consideró  lo</w:t>
        <w:br/>
        <w:t xml:space="preserve">      anterior insuficiente para  concluir  que  el  Estado  conocía  de  la</w:t>
        <w:br/>
        <w:t xml:space="preserve">      situación de riesgo real  a  la  vida  del  señor  A.A.  Sin  embargo,</w:t>
        <w:br/>
        <w:t xml:space="preserve">      consideramos que el conocimiento del riesgo era claro, y que el Estado</w:t>
        <w:br/>
        <w:t xml:space="preserve">      fue  negligente  en  brindarle  la  protección   necesaria   a   éste,</w:t>
        <w:br/>
        <w:t xml:space="preserve">      especialmente teniendo en cuenta el contexto particular de riesgo para</w:t>
        <w:br/>
        <w:t xml:space="preserve">      las y los defensores de derechos humanos, grupo  dentro  del  cual  se</w:t>
        <w:br/>
        <w:t xml:space="preserve">      encontraba el señor A.A.</w:t>
        <w:br/>
        <w:br/>
        <w:t xml:space="preserve">  13. Finalmente, en quinto lugar, la Corte constató que “la señora B.A.  ha</w:t>
        <w:br/>
        <w:t xml:space="preserve">      sido consistente en declaraciones realizadas con  posterioridad  a  la</w:t>
        <w:br/>
        <w:t xml:space="preserve">      muerte del señor A.A.”, al afirmar que la amenaza había sido proferida</w:t>
        <w:br/>
        <w:t xml:space="preserve">      en contra de ella, su  hijo  y  su  padre[404].  No  obstante,  en  la</w:t>
        <w:br/>
        <w:t xml:space="preserve">      Sentencia se resta todo valor probatorio a dicha congruencia  ante  el</w:t>
        <w:br/>
        <w:t xml:space="preserve">      hecho de que la denuncia se encontraba firmada por ella, no  valorando</w:t>
        <w:br/>
        <w:t xml:space="preserve">      la posibilidad  de  que,  como  alegaron  los  representantes  de  las</w:t>
        <w:br/>
        <w:t xml:space="preserve">      víctimas, pudo haber sido un error de transcripción por parte  de  los</w:t>
        <w:br/>
        <w:t xml:space="preserve">      funcionarios estatales[405] y sin realizar una valoración conjunta con</w:t>
        <w:br/>
        <w:t xml:space="preserve">      los demás elementos existentes en autos, a  la  luz  del  contexto  de</w:t>
        <w:br/>
        <w:t xml:space="preserve">      vulnerabilidad que al momento de los hechos se encontraban las  y  los</w:t>
        <w:br/>
        <w:t xml:space="preserve">      defensores de derechos humanos en Guatemala.</w:t>
        <w:br/>
        <w:br/>
        <w:t xml:space="preserve">  14. En efecto, es pertinente insistir que estos elementos  probatorios  no</w:t>
        <w:br/>
        <w:t xml:space="preserve">      deben ser leídos de forma aislada, sino de forma integral y siempre  a</w:t>
        <w:br/>
        <w:t xml:space="preserve">      la luz del contexto dentro del cual se enmarcan. Por lo tanto, quienes</w:t>
        <w:br/>
        <w:t xml:space="preserve">      suscribimos el presente voto  minoritario  consideramos  que,  de  una</w:t>
        <w:br/>
        <w:t xml:space="preserve">      interpretación integral de dichos elementos, y siempre con  vistas  al</w:t>
        <w:br/>
        <w:t xml:space="preserve">      patrón  de  vulnerabilidad  existente  en  perjuicio  de  las  y   los</w:t>
        <w:br/>
        <w:t xml:space="preserve">      defensores de derechos humanos en Guatemala, no es concebible  afirmar</w:t>
        <w:br/>
        <w:t xml:space="preserve">      que los funcionarios del Estado no tenían suficientes  elementos  para</w:t>
        <w:br/>
        <w:t xml:space="preserve">      tener la convicción de que existía  un  riesgo  real  e  inminente  de</w:t>
        <w:br/>
        <w:t xml:space="preserve">      peligro a la vida de A.A.</w:t>
        <w:br/>
        <w:br/>
        <w:t xml:space="preserve">  15. Con base en lo anterior, teniendo en cuenta que era razonable concluir</w:t>
        <w:br/>
        <w:t xml:space="preserve">      que el Estado conoció o al menos  debió  conocer  dicha  situación  de</w:t>
        <w:br/>
        <w:t xml:space="preserve">      riesgo real e inmediato, y tenía posibilidades razonables de  prevenir</w:t>
        <w:br/>
        <w:t xml:space="preserve">      o evitar ese riesgo,  sí  se  configuraron  los  requisitos  para  que</w:t>
        <w:br/>
        <w:t xml:space="preserve">      surgiera la  responsabilidad  del  Estado  por  incumplimiento  de  su</w:t>
        <w:br/>
        <w:t xml:space="preserve">      obligación positiva de garantizar derechos humanos tomando las medidas</w:t>
        <w:br/>
        <w:t xml:space="preserve">      necesarias para prevenir las violaciones,  como  se  ha  realizado  en</w:t>
        <w:br/>
        <w:t xml:space="preserve">      otros casos[406]. En efecto, el  Estado  falló  en  su  obligación  de</w:t>
        <w:br/>
        <w:t xml:space="preserve">      proteger al defensor de derechos humanos A.A., por lo que se configura</w:t>
        <w:br/>
        <w:t xml:space="preserve">      una violación de garantizar su derecho a la vida por parte del  Estado</w:t>
        <w:br/>
        <w:t xml:space="preserve">      de Guatemala.</w:t>
        <w:br/>
        <w:br/>
        <w:br/>
        <w:br/>
        <w:t xml:space="preserve">  2. La violación del artículo 23.1 de la Convención Americana en perjuicio</w:t>
        <w:br/>
        <w:t xml:space="preserve">                                   de A.A.</w:t>
        <w:br/>
        <w:br/>
        <w:br/>
        <w:br/>
        <w:t xml:space="preserve">  16. La mayoría del Tribunal Interamericano, siguiendo con su  tesis  según</w:t>
        <w:br/>
        <w:t xml:space="preserve">      la cual no existió una violación del derecho a la vida en perjuicio de</w:t>
        <w:br/>
        <w:t xml:space="preserve">      A.A., concluyó como consecuencia de ello que tampoco existió violación</w:t>
        <w:br/>
        <w:t xml:space="preserve">      alguna a sus derechos políticos reconocidos en el artículo  23  de  la</w:t>
        <w:br/>
        <w:t xml:space="preserve">      Convención Americana,  toda  vez  que  “al  no  contar  con  elementos</w:t>
        <w:br/>
        <w:t xml:space="preserve">      suficientes para declarar un incumplimiento por parte del Estado de su</w:t>
        <w:br/>
        <w:t xml:space="preserve">      deber de proteger el derecho a la vida del señor A.A. en el  ejercicio</w:t>
        <w:br/>
        <w:t xml:space="preserve">      de sus labores como defensor  de  derechos  humanos  […],  tampoco  se</w:t>
        <w:br/>
        <w:t xml:space="preserve">      cuenta  con  elementos  suficientes  para  establecer  que  el  Estado</w:t>
        <w:br/>
        <w:t xml:space="preserve">      incumplió  su  deber  de  garantizar  el  ejercicio  de  sus  derechos</w:t>
        <w:br/>
        <w:t xml:space="preserve">      políticos”[407].</w:t>
        <w:br/>
        <w:br/>
        <w:t xml:space="preserve">  17. No obstante, siguiendo con  el  hilo  argumentativo  de  esta  minoría</w:t>
        <w:br/>
        <w:t xml:space="preserve">      disidente, considerando que a criterio de quienes suscriben sí existió</w:t>
        <w:br/>
        <w:t xml:space="preserve">      una violación al derecho a la vida de A.A., se  levanta  el  obstáculo</w:t>
        <w:br/>
        <w:t xml:space="preserve">      previsto en el razonamiento de la Corte, por lo que procedería evaluar</w:t>
        <w:br/>
        <w:t xml:space="preserve">      si existió una violación a los derechos contenidos en el  artículo  23</w:t>
        <w:br/>
        <w:t xml:space="preserve">      de la Convención Americana en su perjuicio.</w:t>
        <w:br/>
        <w:br/>
        <w:t xml:space="preserve">  18. En efecto, tal como se señala  en  la  Sentencia,  los  Estados  deben</w:t>
        <w:br/>
        <w:t xml:space="preserve">      garantizar con medidas positivas que toda persona que formalmente  sea</w:t>
        <w:br/>
        <w:t xml:space="preserve">      titular  de  derechos  políticos  tenga  la  oportunidad   real   para</w:t>
        <w:br/>
        <w:t xml:space="preserve">      ejercerlos, atendiendo las situaciones de particular vulnerabilidad de</w:t>
        <w:br/>
        <w:t xml:space="preserve">      los sujetos de este derecho. Por lo tanto,  es  indispensable  que  el</w:t>
        <w:br/>
        <w:t xml:space="preserve">      Estado genere las  condiciones  y  mecanismos  óptimos  para  que  los</w:t>
        <w:br/>
        <w:t xml:space="preserve">      derechos políticos puedan ser ejercidos de forma efectiva[408]. En  el</w:t>
        <w:br/>
        <w:t xml:space="preserve">      presente caso, la decisión del Tribunal da por acreditado que el señor</w:t>
        <w:br/>
        <w:t xml:space="preserve">      A.A., al momento de su muerte, se desempeñaba  en  un  cargo  político</w:t>
        <w:br/>
        <w:t xml:space="preserve">      como  Alcalde  Comunitario  del  Consejo  Comunitario  de   Desarrollo</w:t>
        <w:br/>
        <w:t xml:space="preserve">      (COCODE) de Cruce de la Esperanza, parte del Sistema  de  Consejos  de</w:t>
        <w:br/>
        <w:t xml:space="preserve">      Desarrollo creado por la República de Guatemala a través de la Ley  de</w:t>
        <w:br/>
        <w:t xml:space="preserve">      Consejos de  Desarrollo  Urbano  y  Rural,  como  medio  principal  de</w:t>
        <w:br/>
        <w:t xml:space="preserve">      participación en la gestión pública[409].</w:t>
        <w:br/>
        <w:br/>
        <w:t xml:space="preserve">  19. Más aún, cabe señalar que el  Alcalde  Municipal  al  momento  de  los</w:t>
        <w:br/>
        <w:t xml:space="preserve">      hechos reconoció que la muerte del señor A.A. “no  fue  algo  aislado,</w:t>
        <w:br/>
        <w:t xml:space="preserve">      pues otros líderes con características de liderazgo  como  don  [A.A.]</w:t>
        <w:br/>
        <w:t xml:space="preserve">      fueron también asesinados o amenazados de abandonar sus  lugares,  por</w:t>
        <w:br/>
        <w:t xml:space="preserve">      promover la participación  con  conocimiento”[410];  señalando  además</w:t>
        <w:br/>
        <w:t xml:space="preserve">      otros casos ocurridos durante el  período  2004-2007  de  violencia  y</w:t>
        <w:br/>
        <w:t xml:space="preserve">      amenazas contra líderes  comunitarios.  Por  otro  lado,  uno  de  los</w:t>
        <w:br/>
        <w:t xml:space="preserve">      señalados por la familia A como sospechosos de su muerte  lo  fue  por</w:t>
        <w:br/>
        <w:t xml:space="preserve">      razón de diferencias relacionadas con  los  cargos  que  ostentaba  el</w:t>
        <w:br/>
        <w:t xml:space="preserve">      señor A.A. En efecto, uno de los sospechosos sostenía diferencias  con</w:t>
        <w:br/>
        <w:t xml:space="preserve">      el señor A.A., pues aquél se identificaba como Alcalde Auxiliar en  la</w:t>
        <w:br/>
        <w:t xml:space="preserve">      comunidad donde realmente ostentaba el cargo este último[411].</w:t>
        <w:br/>
        <w:br/>
        <w:t xml:space="preserve">  20. De este modo, la muerte de A.A., en este contexto particular,  implicó</w:t>
        <w:br/>
        <w:t xml:space="preserve">      la interrupción de sus labores desde el cargo de  Alcalde  Comunitario</w:t>
        <w:br/>
        <w:t xml:space="preserve">      del COCODE de Cruce de la Esperanza de forma definitiva. Por lo tanto,</w:t>
        <w:br/>
        <w:t xml:space="preserve">      esta minoría disidente considera  que,  al  no  protegerlo  contra  el</w:t>
        <w:br/>
        <w:t xml:space="preserve">      riesgo real e inminente a su vida, el  Estado  tampoco  garantizó  las</w:t>
        <w:br/>
        <w:t xml:space="preserve">      condiciones necesarias para que A.A. pudiera continuar en el ejercicio</w:t>
        <w:br/>
        <w:t xml:space="preserve">      de sus derechos políticos desde el cargo político  que  ostentaba.  En</w:t>
        <w:br/>
        <w:t xml:space="preserve">      consecuencia, el Estado incumplió en su perjuicio el artículo 23.1  de</w:t>
        <w:br/>
        <w:t xml:space="preserve">      la Convención Americana,  en  relación  con  el  artículo  1.1  de  la</w:t>
        <w:br/>
        <w:t xml:space="preserve">      misma[412].</w:t>
        <w:br/>
        <w:br/>
        <w:br/>
        <w:br/>
        <w:t xml:space="preserve">                                3. Conclusión</w:t>
        <w:br/>
        <w:br/>
        <w:br/>
        <w:br/>
        <w:t xml:space="preserve">  21. Quienes suscribimos el presente voto estimamos que el Estado incumplió</w:t>
        <w:br/>
        <w:t xml:space="preserve">      con el deber de  protección  que  tenía  sobre  la  vida  de  A.A.  La</w:t>
        <w:br/>
        <w:t xml:space="preserve">      valoración conjunta de las pruebas  antes  señaladas,  a  la  luz  del</w:t>
        <w:br/>
        <w:t xml:space="preserve">      contexto de vulnerabilidad existente al momento  de  los  hechos  para</w:t>
        <w:br/>
        <w:t xml:space="preserve">      defensoras  y  defensores  de  derechos  humanos  en   Guatemala,   en</w:t>
        <w:br/>
        <w:t xml:space="preserve">      particular para  especialistas  en  derechos  económicos,  sociales  y</w:t>
        <w:br/>
        <w:t xml:space="preserve">      culturales, así como aquéllos que buscaban justicia por los abusos del</w:t>
        <w:br/>
        <w:t xml:space="preserve">      pasado, permite observar que el Estado, al menos,  debió  conocer  del</w:t>
        <w:br/>
        <w:t xml:space="preserve">      riesgo real que existía para el señor A.A.</w:t>
        <w:br/>
        <w:br/>
        <w:t xml:space="preserve">  22. Incluso si fuese cierto que la existencia de la amenaza en  contra  de</w:t>
        <w:br/>
        <w:t xml:space="preserve">      B.A. tan sólo se refería a su hijo  y  a  su  persona,  era  razonable</w:t>
        <w:br/>
        <w:t xml:space="preserve">      concluir que el riesgo se extendía a su padre, especialmente  teniendo</w:t>
        <w:br/>
        <w:t xml:space="preserve">      en cuenta que A.A. también trabajaba en la  defensa  de  los  derechos</w:t>
        <w:br/>
        <w:t xml:space="preserve">      económicos,  sociales  y   culturales,   buscaba   justicia   por   la</w:t>
        <w:br/>
        <w:t xml:space="preserve">      desaparición forzada de su hijo y  ostentaba  un  cargo  de  liderazgo</w:t>
        <w:br/>
        <w:t xml:space="preserve">      político de importancia y con influencia en su comunidad.</w:t>
        <w:br/>
        <w:br/>
        <w:t xml:space="preserve">  23.  Asimismo,  resulta  razonable  concluir  que  ante  un  contexto   de</w:t>
        <w:br/>
        <w:t xml:space="preserve">      vulnerabilidad para las  y  los  defensores  de  derechos  humanos  al</w:t>
        <w:br/>
        <w:t xml:space="preserve">      momento  de  los  hechos[413],   esta   “protección   reforzada”   que</w:t>
        <w:br/>
        <w:t xml:space="preserve">      explícitamente se establece en la Sentencia para este grupo vulnerable</w:t>
        <w:br/>
        <w:t xml:space="preserve">      debió operar en beneficio del señor A.A.;  especialmente  teniendo  en</w:t>
        <w:br/>
        <w:t xml:space="preserve">      cuenta el conocimiento por parte de diversas autoridades guatemaltecas</w:t>
        <w:br/>
        <w:t xml:space="preserve">      de amenazas en contra de la familia A y considerando, además, que esta</w:t>
        <w:br/>
        <w:t xml:space="preserve">      Corte Interamericana había declarado víctima al señor A.A. en un  caso</w:t>
        <w:br/>
        <w:t xml:space="preserve">      previo por actos atribuibles al propio Estado[414]; por  lo  que  ante</w:t>
        <w:br/>
        <w:t xml:space="preserve">      todos estos elementos en su conjunto procedía la  protección  especial</w:t>
        <w:br/>
        <w:t xml:space="preserve">      del Estado a su vida.</w:t>
        <w:br/>
        <w:br/>
        <w:t xml:space="preserve">  24. La falta de protección por parte del Estado en  este  caso  derivó  no</w:t>
        <w:br/>
        <w:t xml:space="preserve">      solo en que el señor A.A. fuera privado de su vida, sino también de la</w:t>
        <w:br/>
        <w:t xml:space="preserve">      oportunidad de continuar ejerciendo su liderazgo en su comunidad desde</w:t>
        <w:br/>
        <w:t xml:space="preserve">      un cargo político.</w:t>
        <w:br/>
        <w:br/>
        <w:t xml:space="preserve">  25. Como consecuencia de  lo  anterior,  consideramos  que  este  Tribunal</w:t>
        <w:br/>
        <w:t xml:space="preserve">      Interamericano debió haber declarado la responsabilidad  internacional</w:t>
        <w:br/>
        <w:t xml:space="preserve">      del Estado guatemalteco por la violación de garantizar el derecho a la</w:t>
        <w:br/>
        <w:t xml:space="preserve">      vida y al ejercicio de los  derechos  políticos,  reconocidos  en  los</w:t>
        <w:br/>
        <w:t xml:space="preserve">      artículos 4.1 y 23.1, respectivamente, de la Convención Americana,  en</w:t>
        <w:br/>
        <w:t xml:space="preserve">      relación con el artículo 1.1 de la misma, en perjuicio de A.A.</w:t>
        <w:br/>
        <w:br/>
        <w:br/>
        <w:br/>
        <w:br/>
        <w:br/>
        <w:br/>
        <w:br/>
        <w:br/>
        <w:br/>
        <w:br/>
        <w:br/>
        <w:t xml:space="preserve">      Roberto F. Caldas                      Eduardo Ferrer Mac-Gregor</w:t>
        <w:br/>
        <w:t xml:space="preserve">      Poisot</w:t>
        <w:br/>
        <w:t xml:space="preserve">             Juez                                  Juez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Pablo Saavedra Alessandri</w:t>
        <w:br/>
        <w:br/>
        <w:t xml:space="preserve">      Secretario</w:t>
        <w:br/>
        <w:br/>
        <w:br/>
        <w:br/>
        <w:br/>
        <w:t>-----------------------</w:t>
        <w:br/>
        <w:t>*     La Corte Interamericana ordenó  la  reserva  de  los  nombres  de  las</w:t>
        <w:br/>
        <w:t>presuntas  víctimas  del  presente  caso,   a   solicitud   de   éstas.   En</w:t>
        <w:br/>
        <w:t>consecuencia, la Corte ha elaborado dos versiones  de  esta  Sentencia:  una</w:t>
        <w:br/>
        <w:t>original para efectos de la notificación  a  las  partes  y  a  la  Comisión</w:t>
        <w:br/>
        <w:t>Interamericana  de  Derechos  Humanos,  y  otra  con   iniciales   para   la</w:t>
        <w:br/>
        <w:t>publicación de la misma. La Corte ha realizado las medidas a su  disposición</w:t>
        <w:br/>
        <w:t>para lograr la reserva de las identidades de las personas  mencionadas.  Por</w:t>
        <w:br/>
        <w:t>decisión de la Corte, la presente Sentencia se emite con el nombre  Defensor</w:t>
        <w:br/>
        <w:t>de derechos humanos y otros Vs. Guatemala.</w:t>
        <w:br/>
        <w:t>**    Los jueces Diego García-Sayán y Alberto Pérez Pérez  se  excusaron  de</w:t>
        <w:br/>
        <w:t>conocer de la presente Sentencia, debido  tanto  a  una  excusa  presentada,</w:t>
        <w:br/>
        <w:t>como por motivos de fuerza mayor, respectivamente.</w:t>
        <w:br/>
        <w:t>[1]   El Estado cuestionó la  calidad  de  representantes  de  las  personas</w:t>
        <w:br/>
        <w:t>mencionadas (infra párrs. 13 y 33). Sin  perjuicio  de  la  decisión  de  la</w:t>
        <w:br/>
        <w:t>Corte respecto de este punto, en adelante la  Corte  se  referirá  a  dichas</w:t>
        <w:br/>
        <w:t>personas como “las representantes”.</w:t>
        <w:br/>
        <w:t>[2]    En  el  trámite  ante  la  Comisión,  las  peticionarias  presentaron</w:t>
        <w:br/>
        <w:t>argumentos correspondientes a la presunta violación de los artículos 8 y  16</w:t>
        <w:br/>
        <w:t>de la Convención Americana. No obstante, en el Informe de Fondo la  Comisión</w:t>
        <w:br/>
        <w:t>concluyó que no tenía elementos suficientes  de  hecho  o  de  derecho  para</w:t>
        <w:br/>
        <w:t>pronunciarse respecto de una violación autónoma de dichos  artículos  en  el</w:t>
        <w:br/>
        <w:t>presente caso. En el trámite  ante  la  Corte  la  controversia  no  incluyó</w:t>
        <w:br/>
        <w:t>dichos aspectos, pues ni  la  Comisión  ni  las  representantes  presentaron</w:t>
        <w:br/>
        <w:t>alegatos y el Estado negó su responsabilidad al respecto.</w:t>
        <w:br/>
        <w:t>[3]   A esta audiencia comparecieron: a)  por  la  Comisión  Interamericana:</w:t>
        <w:br/>
        <w:t>José de Jesús Orozco H., Presidente de la Comisión;  Elizabeth  Abi-Mershed,</w:t>
        <w:br/>
        <w:t>Secretaria Ejecutiva Adjunta; Silvia Serrano Guzmán, Asesora, y  Jorge  Meza</w:t>
        <w:br/>
        <w:t>Flores, Asesor;  b)  por  las  representantes  de  las  presuntas  víctimas:</w:t>
        <w:br/>
        <w:t>Claudia Virginia  Samayoa  Pineda;  David  Augusto  Dávila  Navarro;  Ángela</w:t>
        <w:br/>
        <w:t>Méndez Izquierdo, y Luisa Isabel Pineda, y c) por el  Estado:  Rodrigo  José</w:t>
        <w:br/>
        <w:t>Villagrán Sandoval, Agente; César Javier Moreira Cabrera,  Asesor  Jurídico,</w:t>
        <w:br/>
        <w:t>y Francisca Marroquín, Asesora Jurídica.</w:t>
        <w:br/>
        <w:br/>
        <w:t>[4]    Cfr.  Caso  Las  Palmeras  Vs.  Colombia.  Excepciones  Preliminares.</w:t>
        <w:br/>
        <w:t>Sentencia de 4 de febrero de 2000. Serie C No. 67, párr. 34, y  Caso  Brewer</w:t>
        <w:br/>
        <w:t>Carías Vs. Venezuela. Excepciones Preliminares. Sentencia de 26 de  mayo  de</w:t>
        <w:br/>
        <w:t>2014. Serie C No. 278, párr. 100.</w:t>
        <w:br/>
        <w:t>[5]   Cfr. Caso  Castañeda  Gutman  Vs.  México.  Excepciones  Preliminares,</w:t>
        <w:br/>
        <w:t>Fondo, Reparaciones y Costas. Sentencia de 6 de agosto de 2008. Serie C  No.</w:t>
        <w:br/>
        <w:t>184, párr. 39,  y  Caso  Familia  Pacheco  Tineo  Vs.  Bolivia.  Excepciones</w:t>
        <w:br/>
        <w:t>Preliminares, Fondo, Reparaciones y Costas. Sentencia de 25 de noviembre  de</w:t>
        <w:br/>
        <w:t>2013. Serie C No. 272, párr. 15.</w:t>
        <w:br/>
        <w:t>[6]   Cfr. Caso Mendoza y otros  Vs.  Argentina.  Excepciones  Preliminares,</w:t>
        <w:br/>
        <w:t>Fondo y Reparaciones. Sentencia de 14 de mayo  de  2013  Serie  C  No.  260,</w:t>
        <w:br/>
        <w:t>párr. 25, y Caso Familia Pacheco Tineo Vs. Bolivia, supra, párr. 24.</w:t>
        <w:br/>
        <w:t>[7]   El Estado sostuvo en su  escrito  de  contestación  que  “el  presente</w:t>
        <w:br/>
        <w:t>asunto no se debiera de haber  presentado  ante  [esta  Corte],  tomando  en</w:t>
        <w:br/>
        <w:t>consideración que las presuntas violaciones alegadas por la Comisión  y  los</w:t>
        <w:br/>
        <w:t>peticionarios, a los derechos protegidos por  la  Convención  Americana  […]</w:t>
        <w:br/>
        <w:t>involucran circunstancias acaecidas con posterioridad al  reconocimiento  de</w:t>
        <w:br/>
        <w:t>la competencia contenciosa de  dicho  organismo  por  parte  del  Estado  de</w:t>
        <w:br/>
        <w:t>Guatemala, [y] falta aún que se agoten los  recursos  internos  contemplados</w:t>
        <w:br/>
        <w:t>en la legislación guatemalteca”.</w:t>
        <w:br/>
        <w:t>[8]   Cfr. Caso Velásquez Rodríguez Vs. Honduras. Excepciones  Preliminares.</w:t>
        <w:br/>
        <w:t>Sentencia de 26 de junio de 1987. Serie C No. 1, párr.  85,  y  Caso  Brewer</w:t>
        <w:br/>
        <w:t>Carías Vs. Venezuela, supra, párr. 83.</w:t>
        <w:br/>
        <w:t>[9]   Cfr. Caso Velásquez Rodríguez Vs. Honduras. Fondo. Sentencia de 29  de</w:t>
        <w:br/>
        <w:t>julio de 1988. Serie C No. 4, párr. 63, y Caso Brewer Carías Vs.  Venezuela,</w:t>
        <w:br/>
        <w:t>supra, párr. 83</w:t>
        <w:br/>
        <w:t>[10]  Cfr. Caso Velásquez Rodríguez Vs. Honduras. Excepciones  Preliminares,</w:t>
        <w:br/>
        <w:t>supra, párr. 88, y Caso Brewer Carías Vs. Venezuela, supra, párr. 37.</w:t>
        <w:br/>
        <w:t>[11]  Cfr. Caso Herrera Ulloa  Vs.  Costa  Rica.  Excepciones  Preliminares,</w:t>
        <w:br/>
        <w:t>Fondo, Reparaciones y Costas. Sentencia de 2 de julio de 2004. Serie  C  No.</w:t>
        <w:br/>
        <w:t>107, párr. 81, y Caso Brewer Carías Vs. Venezuela, supra, párr. 37.</w:t>
        <w:br/>
        <w:t>[12]  Cfr.  Caso  Reverón  Trujillo  Vs.  Venezuela.  Excepción  Preliminar,</w:t>
        <w:br/>
        <w:t>Fondo, Reparaciones y Costas. Sentencia de 30 de junio de 2009. Serie C  No.</w:t>
        <w:br/>
        <w:t>197, párr. 22, y Caso Brewer Carías Vs. Venezuela, supra, párr. 37.</w:t>
        <w:br/>
        <w:t>[13]  Cfr. Caso  Mémoli  Vs.  Argentina.  Excepciones  Preliminares,  Fondo,</w:t>
        <w:br/>
        <w:t>Reparaciones y Costas. Sentencia de 22 de agosto de 2013. Serie C  No.  265,</w:t>
        <w:br/>
        <w:t>párr. 47, y Caso Brewer Carías Vs. Venezuela, supra, párr. 37.</w:t>
        <w:br/>
        <w:t>[14]  Cfr. Escritos del Estado de Guatemala de 20 de junio y  2  de  octubre</w:t>
        <w:br/>
        <w:t>de 2006 (expediente de trámite ante la Comisión, folios 433 y 400).</w:t>
        <w:br/>
        <w:t>[15]  Cfr.  Escrito  del  Estado  de  Guatemala  de  23  de  julio  de  2008</w:t>
        <w:br/>
        <w:t>(expediente de trámite ante la Comisión, folio 379).</w:t>
        <w:br/>
        <w:t>[16]  Cfr. Escritos del Estado de  Guatemala  de  14  de  noviembre,  27  de</w:t>
        <w:br/>
        <w:t>marzo, 14 de abril, 28 de julio y 3 de  noviembre  de  2009  (expediente  de</w:t>
        <w:br/>
        <w:t>trámite ante la Comisión, folios 358, 331, 321, 287 y 263).</w:t>
        <w:br/>
        <w:t>[17]  Cfr. Escritos del Estado de Guatemala de 14 de abril y 28 de julio  de</w:t>
        <w:br/>
        <w:t>2009 (expediente de trámite ante la Comisión, folios 321 y 287).</w:t>
        <w:br/>
        <w:t>[18]  Cfr. Informe de Admisibilidad No. 109/10 de 8 de septiembre  de  2010,</w:t>
        <w:br/>
        <w:t>párrs. 31 y 34 (expediente de trámite ante la Comisión, folio 251).</w:t>
        <w:br/>
        <w:t>[19]  Según la práctica internacional cuando una  parte  en  un  litigio  ha</w:t>
        <w:br/>
        <w:t>adoptado una actitud determinada  que  redunda  en  deterioro  propio  o  en</w:t>
        <w:br/>
        <w:t>beneficio de la contraria, no puede  luego,  en  virtud  del  principio  del</w:t>
        <w:br/>
        <w:t>estoppel, asumir otra conducta que sea contradictoria con la  primera.  Cfr.</w:t>
        <w:br/>
        <w:t>Caso Velásquez Rodríguez  Vs.  Honduras.  Excepciones  Preliminares,  supra,</w:t>
        <w:br/>
        <w:t>párr. 96, y Caso Mémoli  Vs.  Argentina.  Excepciones  Preliminares,  Fondo,</w:t>
        <w:br/>
        <w:t>Reparaciones y Costas. Sentencia de 22 de agosto de 2013. Serie C  No.  265,</w:t>
        <w:br/>
        <w:t>párr. 34.</w:t>
        <w:br/>
        <w:t>[20]  Cfr. Caso Velásquez Rodríguez Vs. Honduras. Excepciones  Preliminares,</w:t>
        <w:br/>
        <w:t>supra, párr. 96, y Caso Pueblo Indígena  Kichwa  de  Sarayaku  Vs.  Ecuador.</w:t>
        <w:br/>
        <w:t>Fondo y Reparaciones. Sentencia de 27 de junio de 2012.  Serie  C  No.  245,</w:t>
        <w:br/>
        <w:t>párr. 30.</w:t>
        <w:br/>
        <w:t>[21]  Ni en la Convención Americana, ni en  el  Reglamento  de  la  Comisión</w:t>
        <w:br/>
        <w:t>Interamericana actualmente vigente, ni  en  el  Reglamento  de  la  Comisión</w:t>
        <w:br/>
        <w:t>vigente al momento de la emisión del Informe de Fondo,  existe  normatividad</w:t>
        <w:br/>
        <w:t>alguna que disponga que en el Informe de Admisibilidad se  deben  establecer</w:t>
        <w:br/>
        <w:t>todos los derechos presuntamente vulnerados. Aún más, la Corte  ha  indicado</w:t>
        <w:br/>
        <w:t>que la posibilidad de cambiar o  variar  la  calificación  jurídica  de  los</w:t>
        <w:br/>
        <w:t>hechos objeto de un caso concreto es permitida en el marco de un proceso  en</w:t>
        <w:br/>
        <w:t>el Sistema Interamericano. Esto se refleja claramente en  la  jurisprudencia</w:t>
        <w:br/>
        <w:t>constante  de  la  Corte,  según  la  cual  las  presuntas  víctimas  y  sus</w:t>
        <w:br/>
        <w:t>representantes pueden invocar la violación de  otros  derechos  distintos  a</w:t>
        <w:br/>
        <w:t>los comprendidos en el Informe de Fondo, siempre  que  se  mantengan  dentro</w:t>
        <w:br/>
        <w:t>del  marco  fáctico.  Cfr.  Caso  Cinco  Pensionistas   Vs.   Perú.   Fondo,</w:t>
        <w:br/>
        <w:t>Reparaciones y Costas. Sentencia de 28 de febrero de 2003. Serie C  No.  98,</w:t>
        <w:br/>
        <w:t>supra, párr. 155, y Caso Veliz Franco y  otros  Vs.  Guatemala.  Excepciones</w:t>
        <w:br/>
        <w:t>Preliminares, Fondo, Reparaciones y Costas.  Sentencia  de  19  de  mayo  de</w:t>
        <w:br/>
        <w:t>2014. Serie C No. 277, párr. 132.</w:t>
        <w:br/>
        <w:t>[22]  Cfr. Caso Gutiérrez y Familia Vs.  Argentina.  Fondo,  Reparaciones  y</w:t>
        <w:br/>
        <w:t>Costas. Sentencia de 25 de noviembre de 2013. Serie C No. 271  párr.  31,  y</w:t>
        <w:br/>
        <w:t>Caso Familia Pacheco Tineo Vs. Bolivia, supra, párr. 22.</w:t>
        <w:br/>
        <w:t>[23]   Cfr.  Caso  de  la  Masacre  de  Mapiripán   Vs.   Colombia.   Fondo,</w:t>
        <w:br/>
        <w:t>Reparaciones y Costas. Sentencia de 15 de septiembre de 2005,  párr.  58,  y</w:t>
        <w:br/>
        <w:t>Caso Familia Pacheco Tineo Vs. Bolivia, supra, párr. 22.</w:t>
        <w:br/>
        <w:t>[24]  Cfr. Informe de Admisibilidad No. 109/10 de 8 de  septiembre  de  2010</w:t>
        <w:br/>
        <w:t>(expediente del trámite ante la Comisión, folios 247 a 252).</w:t>
        <w:br/>
        <w:t>[25]  Cfr. Informe de Fondo 56/12 de 21 de marzo  de  2012   (expediente  de</w:t>
        <w:br/>
        <w:t>fondo, folios 57 y 63).</w:t>
        <w:br/>
        <w:t>[26]  Cfr. Caso  Yatama  Vs.  Nicaragua.  Excepciones  Preliminares,  Fondo,</w:t>
        <w:br/>
        <w:t>Reparaciones y Costas. Sentencia de 23 de junio de 2005. Serie  C  No.  127,</w:t>
        <w:br/>
        <w:t>párr. 82.</w:t>
        <w:br/>
        <w:t>[27]  Cfr. Caso Yatama Vs. Nicaragua, supra, párr.  86.</w:t>
        <w:br/>
        <w:t>[28]   Cfr.  Caso  Acevedo  Jaramillo  y   otros   Vs.   Perú.   Excepciones</w:t>
        <w:br/>
        <w:t>Preliminares, Fondo, Reparaciones y Costas. Sentencia de  7  de  febrero  de</w:t>
        <w:br/>
        <w:t>2006. Serie C No. 144, párr.  143,  y  Caso  Yatama  Vs.  Nicaragua,  supra,</w:t>
        <w:br/>
        <w:t>párr. 86.</w:t>
        <w:br/>
        <w:t>[29]  Cfr. Caso Loayza Tamayo Vs. Perú. Reparaciones y Costas. Sentencia  de</w:t>
        <w:br/>
        <w:t>27 de noviembre de 1998. Serie C No. 42, párrs. 97 y 98, y Caso  Caso  Vélez</w:t>
        <w:br/>
        <w:t>Loor Vs. Panamá. Excepciones Preliminares,  Fondo,  Reparaciones  y  Costas.</w:t>
        <w:br/>
        <w:t>Sentencia de 23 de noviembre de 2010. Serie C No. 218, párr. 54.</w:t>
        <w:br/>
        <w:t>[30]  Cfr. Caso Loayza Tamayo Vs. Perú, supra, párrs. 98 y 99,  y Caso</w:t>
        <w:br/>
        <w:t>Vélez Loor Vs. Panamá, supra, párr. 54.</w:t>
        <w:br/>
        <w:t>[31]  Cfr. Caso Castillo Páez Vs. Perú. Reparaciones y Costas. Sentencia  de</w:t>
        <w:br/>
        <w:t>27 de noviembre de 1998. Serie C No. 43, párr. 65.</w:t>
        <w:br/>
        <w:t>[32]  Cfr. Escrito de 9 de diciembre de 2005 (expediente  del  trámite  ante</w:t>
        <w:br/>
        <w:t>la Comisión, folios 444 a 449).</w:t>
        <w:br/>
        <w:t>[33]  Escritos de 6 de junio y 19 de septiembre de 2008, 22 de enero, 27  de</w:t>
        <w:br/>
        <w:t>abril, 23 de junio y 22 de octubre de 2009, 5 de enero y 27  de  octubre  de</w:t>
        <w:br/>
        <w:t>2010, 18 de enero y 8 de agosto de 2011, 18 de enero y 14 de  mayo  de  2012</w:t>
        <w:br/>
        <w:t>(expediente del trámite ante la Comisión, folios 1, 37, 294, 298, 339,  366,</w:t>
        <w:br/>
        <w:t>386, 130, 132, 128, 233, 274, 608).</w:t>
        <w:br/>
        <w:t>[34]  Cfr. Escritos de 24 de agosto de 2006, 5 de octubre  de  2010,  14  de</w:t>
        <w:br/>
        <w:t>febrero, 8 de agosto de 2011 y 4 de junio de 2012  (expediente  del  trámite</w:t>
        <w:br/>
        <w:t>ante la Comisión, folios 47, 120, 238, 414 y 526).</w:t>
        <w:br/>
        <w:t>[35]  Cfr.  Escrito  de  mayo  de  2012  (expediente  del  trámite  ante  la</w:t>
        <w:br/>
        <w:t>Comisión, folios 605 a 607).</w:t>
        <w:br/>
        <w:t>[36]  El escrito fue suscrito por D.A., E.A., B.A., F.A., G.A., I.A.,  P.A.,</w:t>
        <w:br/>
        <w:t>O.A., Q.A., Z.A., S.A., R.A., J.A., L.A., M.A. y  N.A.</w:t>
        <w:br/>
        <w:t>[37]        Cfr. Caso Cinco Pensionistas Vs.  Perú.  Fondo,  Reparaciones  y</w:t>
        <w:br/>
        <w:t>Costas. Sentencia de 28 de febrero de 2003. Serie C No.  98,  párr.  153,  y</w:t>
        <w:br/>
        <w:t>Caso J. Vs.  Perú.  Excepción  Preliminar,  Fondo,  Reparaciones  y  Costas.</w:t>
        <w:br/>
        <w:t>Sentencia de 27 de noviembre de 2013. Serie C No. 275, párr. 27.</w:t>
        <w:br/>
        <w:t>[38]  Cfr. Caso Cinco Pensionistas Vs. Perú, supra, párr.  154,  y  Caso  J.</w:t>
        <w:br/>
        <w:t>Vs. Perú, supra, párr. 27.</w:t>
        <w:br/>
        <w:t>[39]        Ver párrafos 56 y 57, 62 a 64, 68 y 69, 71 a 74, 80, 86,  171  y</w:t>
        <w:br/>
        <w:t>172, 187 y 188, 190, y notas al pie de página 68 y 84 del Informe del  Fondo</w:t>
        <w:br/>
        <w:t>56/12 de la Comisión Interamericana.</w:t>
        <w:br/>
        <w:t>[40]   Cfr.  Caso  de  las  Masacres  de  Ituango  Vs.  Colombia.  Excepción</w:t>
        <w:br/>
        <w:t>Preliminar, Fondo, Reparaciones y Costas. Sentencia de 1 de julio  de  2006.</w:t>
        <w:br/>
        <w:t>Serie C No. 148, párr. 98, y Caso J. Vs. Perú, supra, párr. 23.</w:t>
        <w:br/>
        <w:t>[41]  Cfr. Caso García y familiares  Vs.  Guatemala.  Fondo  Reparaciones  y</w:t>
        <w:br/>
        <w:t>Costas. Sentencia de 29 noviembre de 2012, Serie C  No.  258,  párr.  35,  y</w:t>
        <w:br/>
        <w:t>Caso J. Vs. Perú, supra, párr. 24.</w:t>
        <w:br/>
        <w:t>[42]   En  su  escrito  de  solicitudes  y  argumentos  las   representantes</w:t>
        <w:br/>
        <w:t>adicionaron como presuntas víctimas a nueve personas que identificaron  como</w:t>
        <w:br/>
        <w:t>nietos de A.A., a saber: O.A., P.A., Q.A., R.A., S.A., T.A.,  U.A.,  V.A.  y</w:t>
        <w:br/>
        <w:t>W.A.</w:t>
        <w:br/>
        <w:t>[43]  Cabe resaltar que P.A., O.A., Q.A., S.A. y R.A., todos ellos  hermanos</w:t>
        <w:br/>
        <w:t>de  I.A.,  no  fueron  debidamente  identificados  e  individualizados  como</w:t>
        <w:br/>
        <w:t>presuntas víctimas en el Informe de Fondo  de  la  Comisión  Interamericana.</w:t>
        <w:br/>
        <w:t>Cfr. Partidas de nacimiento (expediente de fondo, folios 1684 a 1695).</w:t>
        <w:br/>
        <w:t>[44]  Cfr. Caso  de  la  “Panel  Blanca”  (Paniagua  Morales  y  otros)  Vs.</w:t>
        <w:br/>
        <w:t>Guatemala. Fondo. Sentencia de 8 de marzo de 1998. Serie C  No.  37,  párrs.</w:t>
        <w:br/>
        <w:t>69 a 76, y Caso Norín Catrimán y otros  (Dirigentes,  miembros  y  activista</w:t>
        <w:br/>
        <w:t>del Pueblo Indígena  Mapuche)  Vs.  Chile.  Fondo,  Reparaciones  y  Costas.</w:t>
        <w:br/>
        <w:t>Sentencia de 29 de mayo de 2014. Serie C No. 279, párr. 49.</w:t>
        <w:br/>
        <w:t>[45]  Cfr. Caso  de  la  “Panel  Blanca”  (Paniagua  Morales  y  otros)  Vs.</w:t>
        <w:br/>
        <w:t>Guatemala.  Fondo,  supra,  párr.  38,  y  Caso  Norín  Catrimán   y   otros</w:t>
        <w:br/>
        <w:t>(Dirigentes, miembros y activista del Pueblo Indígena  Mapuche)  Vs.  Chile,</w:t>
        <w:br/>
        <w:t>supra, párr. 49.</w:t>
        <w:br/>
        <w:t>[46]  Cfr. Caso Bámaca Velásquez Vs. Guatemala. Fondo. Sentencia  de  25  de</w:t>
        <w:br/>
        <w:t>noviembre de 2000. Serie C No. 70, párr. 96, y Caso Gutiérrez y Familia  Vs.</w:t>
        <w:br/>
        <w:t>Argentina, supra, párr. 79.</w:t>
        <w:br/>
        <w:t>[47]   Los  objetos  de  estas  declaraciones  y  peritajes  se   encuentran</w:t>
        <w:br/>
        <w:t>establecidos en la Resolución del Presidente de  20  de  diciembre  de  2013</w:t>
        <w:br/>
        <w:t>(supra párr. 8).</w:t>
        <w:br/>
        <w:t>[48]  Cfr. Caso Velásquez Rodríguez. Fondo, supra, párr. 140, y  Caso  Norín</w:t>
        <w:br/>
        <w:t>Catrimán y otros (Dirigentes,  miembros  y  activista  del  Pueblo  Indígena</w:t>
        <w:br/>
        <w:t>Mapuche) Vs. Chile, supra, párr. 54.</w:t>
        <w:br/>
        <w:t>[49]  Las notas de prensa presentadas por la Comisión  son  las  siguientes:</w:t>
        <w:br/>
        <w:t>Prensa libre, “Matan a Héroe Anónimo”,  22  de  diciembre  de  2004;  Prensa</w:t>
        <w:br/>
        <w:t>libre, “Reconocimiento público al trabajo social de 19 héroes anónimos”,  21</w:t>
        <w:br/>
        <w:t>de noviembre de 2002; Nuestro Diario, “El Cruce de la Esperanza, Don  [A.A.]</w:t>
        <w:br/>
        <w:t>ayuda a su comunidad”, 21 de julio de 2003, y Prensa libre, “Los [A]  siguen</w:t>
        <w:br/>
        <w:t>perseguidos”, 30 de enero de  2005  (expediente  de  anexos  al  escrito  de</w:t>
        <w:br/>
        <w:t>sometimiento, folios 1385, 1391 y 1394).</w:t>
        <w:br/>
        <w:t>[50]  Las notas  de  prensa  presentadas  por  las  representantes  son  las</w:t>
        <w:br/>
        <w:t>siguientes: Prensa Libre, “Homenaje a 19 Héroes Anónimos”, 21  de  noviembre</w:t>
        <w:br/>
        <w:t>de 2002; Prensa libre, “Reconocimiento  público  al  trabajo  social  de  19</w:t>
        <w:br/>
        <w:t>Héroes Anónimos”, 21 de noviembre de 2002; Nuestro Diario, “En el  Cruce  De</w:t>
        <w:br/>
        <w:t>La Esperanza, don [A.A.] ayuda a su comunidad”, 21 de julio de 2003;  Prensa</w:t>
        <w:br/>
        <w:t>Libre, “Los [A] siguen perseguidos”, 30 de  enero  de  2005;  Prensa  Libre,</w:t>
        <w:br/>
        <w:t>“Matan a héroe  anónimo”,  22  de  diciembre  de  2004;  Prensa  Libre,  “25</w:t>
        <w:br/>
        <w:t>denuncias para investigar desapariciones”, 30 de enero  de  2005,  y  Prensa</w:t>
        <w:br/>
        <w:t>Libre, Línea directa,  “Sin  área  recreativa”,  22  de  diciembre  de  2002</w:t>
        <w:br/>
        <w:t>(expediente de anexos al escrito de solicitudes y argumentos,  folios  2096,</w:t>
        <w:br/>
        <w:t>2097, 2098, 2124, 2128, 2126, 2197 y 2264).</w:t>
        <w:br/>
        <w:t>[51]  Cfr. Caso Velásquez Rodríguez. Fondo, supra, párr. 146, y  Caso  Norín</w:t>
        <w:br/>
        <w:t>Catrimán y otros (Dirigentes,  miembros  y  activista  del  Pueblo  Indígena</w:t>
        <w:br/>
        <w:t>Mapuche) Vs. Chile, supra, párr. 58.</w:t>
        <w:br/>
        <w:t>[52]        Cfr. Caso Escué  Zapata  Vs.  Colombia.  Fondo,  Reparaciones  y</w:t>
        <w:br/>
        <w:t>Costas. Sentencia de 4 de julio de 2007. Serie C No. 165, párr. 26,  y  Caso</w:t>
        <w:br/>
        <w:t>Norín  Catrimán  y  otros  (Dirigentes,  miembros  y  activista  del  Pueblo</w:t>
        <w:br/>
        <w:t>Indígena Mapuche) Vs. Chile, supra, párr. 59.</w:t>
        <w:br/>
        <w:t>[53]  Los documentos remitidos son los siguientes: i)  Declaration  by  Hina</w:t>
        <w:br/>
        <w:t>Jilani, Former  Special  Representative  of  the  United  Nations  Secretary</w:t>
        <w:br/>
        <w:t>General on Human Rights Defenders, in the case of [Human Rights Defender  et</w:t>
        <w:br/>
        <w:t>al.] Vs. Guatemala; ii) Promotion and Protection of  Human  Rights  -  Human</w:t>
        <w:br/>
        <w:t>Rights Defenders: Report by Ms. Hina Jilani, Special Representative  of  the</w:t>
        <w:br/>
        <w:t>Secretary-General on the situation  of  human  rights  defenders,  submitted</w:t>
        <w:br/>
        <w:t>pursuant  to  Commission  on  Human  Rights  resolution  2000/61-  Addendum-</w:t>
        <w:br/>
        <w:t>Mission to Guatemala, y iii) "Promotion and Protection of all Human  Rights,</w:t>
        <w:br/>
        <w:t>Civil, Political, Economic, Social and Cultural Rights, including the  Right</w:t>
        <w:br/>
        <w:t>to Development: Report of  the  Special  Representative  of  the  Secretary-</w:t>
        <w:br/>
        <w:t>General on the situation of human rights  defenders  Hina  Jilani  Addendum-</w:t>
        <w:br/>
        <w:t>Mission to Guatemala (expediente de fondo, folios 790 a 916).</w:t>
        <w:br/>
        <w:t>[54]  El Estado objetó la presentación de dichos informes, ya que no  fueron</w:t>
        <w:br/>
        <w:t>presentados en el momento procesal oportuno ni  fueron  solicitados  por  la</w:t>
        <w:br/>
        <w:t>Corte.</w:t>
        <w:br/>
        <w:t>[55]  Durante la audiencia pública, el Estado  controvirtió  la  calidad  de</w:t>
        <w:br/>
        <w:t>defensora de derechos humanos de B.A. Los  documentos  presentados  por  las</w:t>
        <w:br/>
        <w:t>representantes son los siguientes: Nota de la Secretaría Presidencial de  la</w:t>
        <w:br/>
        <w:t>Mujer,  de  23  de  junio  de  2009  (expediente  de  fondo,  folio   2074);</w:t>
        <w:br/>
        <w:t>Reconocimientos  otorgados  a  B.A.  como  Representante  Titular   de   las</w:t>
        <w:br/>
        <w:t>Organizaciones de Mujeres ante el Consejo  de  Desarrollo  Departamental  de</w:t>
        <w:br/>
        <w:t>Escuintla (expediente de fondo, folio 2075 a 2081); Hoja de  transmisión  de</w:t>
        <w:br/>
        <w:t>fax de fecha 12 de noviembre de 2003 remitida a MINUGUA por B.A. en  calidad</w:t>
        <w:br/>
        <w:t>de Vicepresidenta de la Red de  Mujeres  de  Escuintla,  adhiriéndose  a  la</w:t>
        <w:br/>
        <w:t>declaración  “Hacia  una  Nueva  Etapa  en  la  Construcción  de   la   Paz”</w:t>
        <w:br/>
        <w:t>(expediente de fondo, folios 2082 a 2085); Reconocimientos otorgados a  B.A.</w:t>
        <w:br/>
        <w:t>relativos  al  fomento  de  la  organización  y  participación   comunitaria</w:t>
        <w:br/>
        <w:t>(expediente de fondo, folios 2086 a 2091), y  Certificado  de  defunción  de</w:t>
        <w:br/>
        <w:t>L.L., (expediente de fondo, folios 2092 y 2093).</w:t>
        <w:br/>
        <w:t>[56]  El Estado señaló  que  se  refería  a  las  siguientes  declaraciones:</w:t>
        <w:br/>
        <w:t>Declaración del entonces  Alcalde  Municipal  de  5  de  diciembre  de  2010</w:t>
        <w:br/>
        <w:t>(expediente de anexos  al  escrito  de  sometimiento,  folios  793  a  797);</w:t>
        <w:br/>
        <w:t>Declaración de un miembro de la CICM de 1 de diciembre de  2010  (expediente</w:t>
        <w:br/>
        <w:t>de anexos al escrito de sometimiento, folios 1346 a  1349);  Declaración  de</w:t>
        <w:br/>
        <w:t>B.A. de 12 de  diciembre  de  2010  (expediente  de  anexos  al  escrito  de</w:t>
        <w:br/>
        <w:t>sometimiento, folios 1351 a 1371), y Declaración de A.A. de  11  de  octubre</w:t>
        <w:br/>
        <w:t>de 2004 (expediente de anexos al escrito  de  sometimiento,  folios  1376  a</w:t>
        <w:br/>
        <w:t>1377). Respecto a la mencionada declaración  de  B.A.,  también  señaló  que</w:t>
        <w:br/>
        <w:t>ésta en su encabezado indica “enero 2005” y que en la misma se incluyen  las</w:t>
        <w:br/>
        <w:t>declaraciones de otras personas que no firmaron el documento. La Corte  toma</w:t>
        <w:br/>
        <w:t>en cuenta que ésta únicamente se encuentra firmada por B.A. con fecha de  12</w:t>
        <w:br/>
        <w:t>de diciembre  de  2010.  Por  tanto,  la  Corte  no  tomará  en  cuenta  los</w:t>
        <w:br/>
        <w:t>testimonios de otras personas incluidas en dicho documento.</w:t>
        <w:br/>
        <w:t>[57]  Dicho documento también fue presentado por las  representantes,  y  el</w:t>
        <w:br/>
        <w:t>Estado lo objetó nuevamente.</w:t>
        <w:br/>
        <w:t>[58]  El Estado objetó cinco documentos anexos al escrito de  solicitudes  y</w:t>
        <w:br/>
        <w:t>argumentos (anexos 1, 7, 10, 17 y 23), manifestando que éstos “no tienen  un</w:t>
        <w:br/>
        <w:t>efecto útil en virtud que no son legibles y las aclaraciones que  rindió  la</w:t>
        <w:br/>
        <w:t>parte peticionario no aclaran el  contenido  de  los  mismos  […]”.  También</w:t>
        <w:br/>
        <w:t>objetó la copia del expediente ante el Ministerio Público MP  001/2005/33263</w:t>
        <w:br/>
        <w:t>presentada, ya que ésta se encontraría incompleta.</w:t>
        <w:br/>
        <w:t>[59]  El Estado objetó 23 documentos referidos en los  pies  de  página  del</w:t>
        <w:br/>
        <w:t>escrito de solicitudes, argumentos y pruebas porque no fueron adjuntadas  al</w:t>
        <w:br/>
        <w:t>mismo (expediente de fondo, folios 360 y 361).</w:t>
        <w:br/>
        <w:t>[60]   El  Estado  objetó  por  estos  motivos  los  siguientes  documentos:</w:t>
        <w:br/>
        <w:t>Programa de Medidas para la Prevención  y  Protección  de  Defensores/as  de</w:t>
        <w:br/>
        <w:t>Derechos Humanos y otros Grupos Vulnerables, Última Versión  Consensuada  en</w:t>
        <w:br/>
        <w:t>el 2009; Propuesta de  Acuerdo  Marco  para  la  Implementación  de  Medidas</w:t>
        <w:br/>
        <w:t>Cautelares y Medidas Provisionales ordenadas por  los  Órganos  del  Sistema</w:t>
        <w:br/>
        <w:t>Interamericano; Medidas de Protección Nacional presentada el 4 de  noviembre</w:t>
        <w:br/>
        <w:t>del 2009 por CALDH, ICCPG, UDEFEGUA y CEJIL, y Análisis de Riesgo  elaborado</w:t>
        <w:br/>
        <w:t>por la URNG (expediente de fondo, folios 363 y 365).</w:t>
        <w:br/>
        <w:t>[61]  El Estado se refirió a  un  documento  identificado  como  “Evaluación</w:t>
        <w:br/>
        <w:t>realizada por CALDJ, ICCPG, UDEFEGUA  y  CEJIL  sobre  la  situación  de  la</w:t>
        <w:br/>
        <w:t>implementación de las medidas cautelares y de Protección  a  nivel  nacional</w:t>
        <w:br/>
        <w:t>en junio del 2009”, así como a otro identificado como  “Análisis  de  Riesgo</w:t>
        <w:br/>
        <w:t>elaborado por la URNG, Claudia Virginia Samayoa en calidad  de  Coordinadora</w:t>
        <w:br/>
        <w:t>de UDEFEGUA, en septiembre del 2006 sobre  todos  los  hechos  de  violencia</w:t>
        <w:br/>
        <w:t>ocurridos entre el 2004 y  2006”.  Respecto  a  este  último  documento,  el</w:t>
        <w:br/>
        <w:t>Estado manifestó  que  no  es  idóneo  para  ilustrar  el  contexto  en  que</w:t>
        <w:br/>
        <w:t>ocurrieron los hechos del presente caso.</w:t>
        <w:br/>
        <w:t>[62]  Cfr. Resolución del Presidente de  fecha  20  de  diciembre  de  2013,</w:t>
        <w:br/>
        <w:t>supra, párr. 8. En similar sentido, véase, Caso Abrill Alosilla y otros  Vs.</w:t>
        <w:br/>
        <w:t>Perú. Fondo, Reparaciones y Costas. Sentencia de 4 de marzo de  2011.  Serie</w:t>
        <w:br/>
        <w:t>C No. 223, párr. 39, y Caso J. Vs. Perú, supra, párr. 46.</w:t>
        <w:br/>
        <w:t>[63]        Resolución de 20 de diciembre  de  2013  del  Presidente  de  la</w:t>
        <w:br/>
        <w:t>Corte, considerando 15, supra párr. 8.</w:t>
        <w:br/>
        <w:t>[64]   Cfr.  Caso  Loayza  Tamayo  Vs.  Perú.  Fondo.  Sentencia  de  17  de</w:t>
        <w:br/>
        <w:t>septiembre de 1997. Serie C No. 33, párr. 43, y Caso Liakat Ali  Alibux  Vs.</w:t>
        <w:br/>
        <w:t>Suriname. Excepciones Preliminares, Fondo, Reparaciones y Costas.  Sentencia</w:t>
        <w:br/>
        <w:t>de 30 de enero de 2014. Serie C No. 276, párr. 31.</w:t>
        <w:br/>
        <w:t>[65]  Cfr., inter alia, Caso Goiburú y otros Vs. Paraguay, supra, párrs.  53</w:t>
        <w:br/>
        <w:t>y  63,  y  Caso  Gudiel  Álvarez  (Diario  Militar)  Vs.  Guatemala.  Fondo,</w:t>
        <w:br/>
        <w:t>Reparaciones y Costas. Sentencia de 20 noviembre de 2012. Serie C  No.  253,</w:t>
        <w:br/>
        <w:t>párr. 52.</w:t>
        <w:br/>
        <w:t>[66]  Cfr. inter alia, Caso Masacre Plan de Sánchez  Vs.  Guatemala.  Fondo.</w:t>
        <w:br/>
        <w:t>Sentencia de 29 de abril de 2004. Serie C No. 105, párr. 42.1 y Caso  Gudiel</w:t>
        <w:br/>
        <w:t>Álvarez (Diario Militar) Vs. Guatemala, supra, párr. 54.</w:t>
        <w:br/>
        <w:t>[67]  Cfr. Comisión de Esclarecimiento Histórico (CEH).  Guatemala,  Memoria</w:t>
        <w:br/>
        <w:t>del Silencio. Capítulo 4, Título  II.  Pág.  42  (expediente  de  anexos  al</w:t>
        <w:br/>
        <w:t>escrito de solicitudes y argumentos, folio 4341).</w:t>
        <w:br/>
        <w:t>[68]  De acuerdo con la  Comisión  de  Esclarecimiento  Histórico  (CEH)  de</w:t>
        <w:br/>
        <w:t>Guatemala, “[e]l Partido Guatemalteco del  Trabajo  (PGT),  Fuerzas  Armadas</w:t>
        <w:br/>
        <w:t>Rebeldes  (FAR),  Organización  del  Pueblo  en  Armas  (ORPA)  y   Ejército</w:t>
        <w:br/>
        <w:t>Guerrillero de los Pobres (EGP), participaron en  el  proceso  unitario  que</w:t>
        <w:br/>
        <w:t>culminó con la creación de la Unidad  Revolucionaria  Nacional  Guatemalteca</w:t>
        <w:br/>
        <w:t>(URNG) el 7 de febrero de  1982,  [no  obstante]  cada  organización  siguió</w:t>
        <w:br/>
        <w:t>manteniendo su propia identidad. […]”.  Cfr.  CEH,  Guatemala,  Memoria  del</w:t>
        <w:br/>
        <w:t>Silencio, Capítulo 2, págs. 235 y 298 (expediente de anexos  al  escrito  de</w:t>
        <w:br/>
        <w:t>solicitudes  y  argumentos,  folios  3214  y  3277).  Con  posterioridad  al</w:t>
        <w:br/>
        <w:t>conflicto, la URNG  se  desarrolló  como  partido  político.  Cfr.  Tribunal</w:t>
        <w:br/>
        <w:t>Supremo Electoral, Memoria de las Elecciones Generales  2003,  Municipio  de</w:t>
        <w:br/>
        <w:t>Santa         Lucía          Cotzumalguapa.          Disponible          en:</w:t>
        <w:br/>
        <w:t>http://216.230.138.139/elecciones2003/SantaLuciaCotz.pdf y Declaración de  5</w:t>
        <w:br/>
        <w:t>de diciembre de 2010 del entonces Alcalde Municipal (anexos  al  escrito  de</w:t>
        <w:br/>
        <w:t>sometimiento, folio 794).</w:t>
        <w:br/>
        <w:t>[69]  Cfr. Acuerdo Global sobre  Derechos  Humanos,  29  de  marzo  de  1994</w:t>
        <w:br/>
        <w:t>(expediente de anexos al escrito de solicitudes y argumentos, folios 2429  a</w:t>
        <w:br/>
        <w:t>2436).</w:t>
        <w:br/>
        <w:t>[70]  Cfr. CIDH, Quinto informe sobre la situación de los  derechos  humanos</w:t>
        <w:br/>
        <w:t>en Guatemala, OEA/Ser.L/V/II.111 Doc. 21 rev. 6 de abril de  2001,  Capítulo</w:t>
        <w:br/>
        <w:t>VI,             párr.             26.             Disponible             en:</w:t>
        <w:br/>
        <w:t>http://www.cidh.org/countryrep/guatemala01sp/indice.htm.</w:t>
        <w:br/>
        <w:t>[71]  Cfr. CIDH. Justicia e Inclusión social: Los desafíos de la  democracia</w:t>
        <w:br/>
        <w:t>en Guatemala. OEA/Ser.L/V/II.118, Doc. 5, rev. 1, 29 de diciembre de  2003.,</w:t>
        <w:br/>
        <w:t>párrs.       173,       176       y        178.        Disponible        en:</w:t>
        <w:br/>
        <w:t>http://www.cidh.org/countryrep/Guatemala2003sp/capitulo3.htm.</w:t>
        <w:br/>
        <w:t>[72]  Cfr. CIDH. Justicia e Inclusión social: Los desafíos de la  democracia</w:t>
        <w:br/>
        <w:t>en Guatemala. OEA/Ser.L/V/II.118, Doc. 5, rev. 1, 29 de diciembre de  2003.,</w:t>
        <w:br/>
        <w:t>párrs.      182      a      184      y       186.       Disponible       en:</w:t>
        <w:br/>
        <w:t>http://www.cidh.org/countryrep/Guatemala2003sp/capitulo3.htm.</w:t>
        <w:br/>
        <w:t>[73]  Cfr. CIDH. Informe Anual. 2004. OEA/Ser.L/V/II.122. Doc. 5 rev. 1,  23</w:t>
        <w:br/>
        <w:t>febrero  de  2005.  Capítulo  V,  Título  III,  párr.  55.  Disponible   en:</w:t>
        <w:br/>
        <w:t>http://www.cidh.oas.org/annualrep/2004sp/cap.5a.htm.</w:t>
        <w:br/>
        <w:t>[74]  Cfr. Comisión de Derechos Humanos  de  las  Naciones  Unidas.  Informe</w:t>
        <w:br/>
        <w:t>presentado por la Sra. Hina Jilani, Representante  Especial  del  Secretario</w:t>
        <w:br/>
        <w:t>General sobra la situación de los defensores de  los  derechos  humanos,  en</w:t>
        <w:br/>
        <w:t>virtud de  la  resolución  2000/61  de  la  Comisión  de  Derechos  Humanos.</w:t>
        <w:br/>
        <w:t>Adición, Misión a Guatemala.  E/CN.4/2003/104/Add.2  (expediente  de  fondo,</w:t>
        <w:br/>
        <w:t>folios 794, 807,  812  y  813).  En  su  informe  de  seguimiento,  de  2009</w:t>
        <w:br/>
        <w:t>(Comisión de Derechos Humanos  de  las  Naciones  Unidas.  Informe  de  Hina</w:t>
        <w:br/>
        <w:t>Jilani, Representante Especial del Secretario General sobre la situación  de</w:t>
        <w:br/>
        <w:t>los defensores  de  los  derechos  humanos.  Adición,  Misión  a  Guatemala.</w:t>
        <w:br/>
        <w:t>A/HRC/10/2/Add. 3 (expediente de fondo, folios 860, 865, 867,  870  y  871),</w:t>
        <w:br/>
        <w:t>la señora Jilani señaló que el número de ataques contra  los  defensores  de</w:t>
        <w:br/>
        <w:t>los derechos humanos se había duplicado “en los últimos cinco años,  con  un</w:t>
        <w:br/>
        <w:t>promedio de un ataque contra los defensores cada dos días”.  Habían  cobrado</w:t>
        <w:br/>
        <w:t>importancia actos como la criminalización de los defensores de los  derechos</w:t>
        <w:br/>
        <w:t>humanos, y destacó que “algunos sectores de  la  clase  política  y  de  los</w:t>
        <w:br/>
        <w:t>medios de información pública” seguían “estigmatizando  y  criminalizando  a</w:t>
        <w:br/>
        <w:t>los defensores de derechos humanos”, lo que hacía que los defensores  fuesen</w:t>
        <w:br/>
        <w:t>“más vulnerables a  los  ataques”.  La  impunidad  seguía  siendo  la  regla</w:t>
        <w:br/>
        <w:t>general. No obstante, señaló algunos progresos, como el  establecimiento  de</w:t>
        <w:br/>
        <w:t>la Política Pública de Prevención y Protección para Defensores  de  Derechos</w:t>
        <w:br/>
        <w:t>Humanos,  Sujetos  Procesales,   Periodistas   y   Comunicadores   Sociales,</w:t>
        <w:br/>
        <w:t>elaborada por la Comisión  Presidencial  Coordinadora  de  la  Política  del</w:t>
        <w:br/>
        <w:t>Ejecutivo en materia de  Derechos  Humanos  (en  adelante,  “COPREDEH”);  la</w:t>
        <w:br/>
        <w:t>creación de la Unidad de Derechos Humanos de la  División  de  Investigación</w:t>
        <w:br/>
        <w:t>del Crimen de la Policía Nacional Civil,  y  la  Instancia  de  Análisis  de</w:t>
        <w:br/>
        <w:t>Ataques contra Defensores de Derechos Humanos en Guatemala.  Señaló  que  la</w:t>
        <w:br/>
        <w:t>Procuraduría de los Derechos Humanos era “una referencia  para  la  sociedad</w:t>
        <w:br/>
        <w:t>civil guatemalteca  y  otras  instituciones”  y  encabezaba  actividades  en</w:t>
        <w:br/>
        <w:t>defensa del derecho a la verdad y de lucha contra las  causas  estructurales</w:t>
        <w:br/>
        <w:t>de la impunidad, por lo que, tanto el personal de la  Procuraduría  como  el</w:t>
        <w:br/>
        <w:t>propio Procurador eran “víctimas de frecuentes ataques  y  amenazas”  .  Por</w:t>
        <w:br/>
        <w:t>último, mencionó a la Fiscalía de Derechos Humanos, la cual “se  encarga[ba]</w:t>
        <w:br/>
        <w:t>de investigar los delitos cometidos contra los defensores  de  los  derechos</w:t>
        <w:br/>
        <w:t>humanos”.  Las  partes  no  aportaron  a  la  Corte  información  sobre  los</w:t>
        <w:br/>
        <w:t>resultados de las iniciativas estatales mencionadas.</w:t>
        <w:br/>
        <w:t>[75]  Cfr. MINUGUA. Informe Final, Asesoría en Derechos Humanos,  Misión  de</w:t>
        <w:br/>
        <w:t>Verificación de las Naciones Unidas en Guatemala, 15 de noviembre  de  2004,</w:t>
        <w:br/>
        <w:t>párrs.      31,      34      y      párr.      81.      Disponible       en:</w:t>
        <w:br/>
        <w:t>http://www.derechoshumanos.net/lesahumanidad/informes/guatemala/Informe-</w:t>
        <w:br/>
        <w:t>Final-Minugua.pdf.</w:t>
        <w:br/>
        <w:t>[76]  Cfr. El rostro del terror.  Análisis  de  los  ataques  en  contra  de</w:t>
        <w:br/>
        <w:t>Defensores de Derechos Humanos del 2000  al  2003  Unidad  de  Defensores  –</w:t>
        <w:br/>
        <w:t>Movimiento Nacional por  los  Derechos  Humanos  (expediente  de  anexos  al</w:t>
        <w:br/>
        <w:t>escrito de solicitudes y argumentos, folio 2459).</w:t>
        <w:br/>
        <w:t>[77]   Cfr.  Y  el  terror  continúa.  Análisis  de  ataques  en  contra  de</w:t>
        <w:br/>
        <w:t>defensores de Derechos Humanos durante el año 2004. Unidad de  Protección  a</w:t>
        <w:br/>
        <w:t>Defensores y Defensoras de Derechos Humanos del Movimiento Nacional por  los</w:t>
        <w:br/>
        <w:t>Derechos  Humanos  (expediente  de  anexos  al  escrito  de  solicitudes   y</w:t>
        <w:br/>
        <w:t>argumentos, folio 2487).</w:t>
        <w:br/>
        <w:t>[78]   Cfr.  Informe  del  Relator  Especial,  Philip  Alston,   sobre   las</w:t>
        <w:br/>
        <w:t>ejecuciones extrajudiciales, sumarias o arbitrarias. Los derechos civiles  y</w:t>
        <w:br/>
        <w:t>políticos, en particular las cuestiones relacionadas con las  desapariciones</w:t>
        <w:br/>
        <w:t>y ejecuciones sumarias. Misión a Guatemala, 21  a  25  de  agosto  de  2006.</w:t>
        <w:br/>
        <w:t>A/HRC/4/20/Add.2,  19  de  febrero  de  2007,  párr.  35.   Disponible   en:</w:t>
        <w:br/>
        <w:t>http://www.acnur.org/biblioteca/pdf/5017.pdf?view=1.</w:t>
        <w:br/>
        <w:t>[79]  Al respecto mencionó  que:  “[u]n  gran  número  de  asesinatos  [iba]</w:t>
        <w:br/>
        <w:t>precedido de amenazas de muerte  o  actos  de  intimidación  que  no  [eran]</w:t>
        <w:br/>
        <w:t>investigados”. Cfr. Consejo de Derechos  Humanos  de  las  Naciones  Unidas.</w:t>
        <w:br/>
        <w:t>Informe  del  Relator  Especial,  Philip  Alston,  sobre   las   ejecuciones</w:t>
        <w:br/>
        <w:t>extrajudiciales, sumarias o arbitrarias. Los derechos civiles  y  políticos,</w:t>
        <w:br/>
        <w:t>en  particular  las  cuestiones  relacionadas  con  las   desapariciones   y</w:t>
        <w:br/>
        <w:t>ejecuciones sumarias. Misión a  Guatemala,  21  a  25  de  agosto  de  2006.</w:t>
        <w:br/>
        <w:t>A/HRC/4/20/Add.2,  19  de  febrero  de  2007,  párr.  36.   Disponible   en:</w:t>
        <w:br/>
        <w:t>http://www.acnur.org/biblioteca/pdf/5017.pdf?view=1</w:t>
        <w:br/>
        <w:t>[80]  Cfr. Informe presentado por la Sra.  Hina  Jilani,  en  virtud  de  la</w:t>
        <w:br/>
        <w:t>resolución 2000/61 de la Comisión de Derechos  Humanos.  Adición,  Misión  a</w:t>
        <w:br/>
        <w:t>Guatemala. E/CN.4/2003/104/Add.2 (expediente de fondo, folio 806).</w:t>
        <w:br/>
        <w:t>[81]  Cfr. El rostro del terror.  Análisis  de  los  ataques  en  contra  de</w:t>
        <w:br/>
        <w:t>Defensores de Derechos Humanos del 2000 al  2003.  Unidad  de  Defensores  –</w:t>
        <w:br/>
        <w:t>Movimiento Nacional por los Derechos Humanos y  Coalición  para  la  CICIACS</w:t>
        <w:br/>
        <w:t>(expediente de anexos al escrito de solicitudes y argumentos, folio 2476).</w:t>
        <w:br/>
        <w:t>[82]  Cfr. Comisión de Esclarecimiento Histórico  (CEH),  Guatemala  Memoria</w:t>
        <w:br/>
        <w:t>del  Silencio,  Casos  ilustrativos,  Anexo  I,  Caso  ilustrativo  No.   13</w:t>
        <w:br/>
        <w:t>(expediente de anexos al escrito de solicitudes y argumentos, folio 4696).</w:t>
        <w:br/>
        <w:t>[83]  De acuerdo al informe Guatemala, memoria del silencio,  “[d]urante  la</w:t>
        <w:br/>
        <w:t>década de los sesenta, la población se  organizó  en  las  ligas  campesinas</w:t>
        <w:br/>
        <w:t>para exigir sus derechos, especialmente los derechos  laborales  […  por  lo</w:t>
        <w:br/>
        <w:t>que en 1978] se cre[ó] el  Comité  de  Unidad  Campesina,   CUC,   la  mayor</w:t>
        <w:br/>
        <w:t>organización campesina del país luego de la contrarrevolución de 1954[.]  Un</w:t>
        <w:br/>
        <w:t>gran número de trabajadores se unió a esta organización e inició  una  serie</w:t>
        <w:br/>
        <w:t>de reivindicaciones, entre ellas, lograr el pago del  salario  mínimo  y  la</w:t>
        <w:br/>
        <w:t>mejora de las condiciones de trabajo en las fincas de la  Costa  Sur”.  Cfr.</w:t>
        <w:br/>
        <w:t>Comisión  de  Esclarecimiento  Histórico  (CEH),   Guatemala   Memoria   del</w:t>
        <w:br/>
        <w:t>Silencio,  Capítulo  1,  pág.  238,  y  Tomo  III,  pág.  379,  párr.   3437</w:t>
        <w:br/>
        <w:t>(expediente de anexos al escrito de solicitudes y argumentos, folios 2936  y</w:t>
        <w:br/>
        <w:t>3883).</w:t>
        <w:br/>
        <w:t>[84]  Cfr. Comisión de Esclarecimiento Histórico  (CEH),  Guatemala  Memoria</w:t>
        <w:br/>
        <w:t>del  Silencio,  Casos  ilustrativos,  Anexo  I,  Caso  ilustrativo  No.   56</w:t>
        <w:br/>
        <w:t>(expediente de anexos al escrito de solicitudes y argumentos, folio 4702).</w:t>
        <w:br/>
        <w:t>[85]  Cfr. Comisión de Esclarecimiento Histórico  (CEH),  Guatemala  Memoria</w:t>
        <w:br/>
        <w:t>del  Silencio,  Casos  ilustrativos,  Anexo  I,  Caso  ilustrativo  No.   74</w:t>
        <w:br/>
        <w:t>(expediente de anexos al escrito de solicitudes y argumentos, folio 4695).</w:t>
        <w:br/>
        <w:t>[86]  Cfr. Declaración de un miembro de la CICM de 1 de  diciembre  de  2010</w:t>
        <w:br/>
        <w:t>(expediente de anexos al escrito de sometimiento, folios 1346 y 1347).</w:t>
        <w:br/>
        <w:t>[87]  Cfr. Comisión de Esclarecimiento Histórico  (CEH),  Guatemala  Memoria</w:t>
        <w:br/>
        <w:t>del  Silencio,  Casos  ilustrativos,  Anexo  I,  Caso  ilustrativo  No.   56</w:t>
        <w:br/>
        <w:t>(expediente de anexos al escrito de solicitudes y argumentos, folio 4704).</w:t>
        <w:br/>
        <w:t>[88]  Cfr. Comisión de Esclarecimiento Histórico  (CEH),  Guatemala  Memoria</w:t>
        <w:br/>
        <w:t>del  Silencio,  Casos  ilustrativos,  Anexo  I,  Caso  ilustrativo  No.   74</w:t>
        <w:br/>
        <w:t>(expediente de anexos al escrito de solicitudes y argumentos, folio 4708).</w:t>
        <w:br/>
        <w:t>[89]  Cfr. Decreto 12-2002 del Congreso de la República de  Guatemala  de  2</w:t>
        <w:br/>
        <w:t>de abril de 2002 (expediente de fondo, folio 948).</w:t>
        <w:br/>
        <w:t>[90]  Cfr. Decreto 11-2002 del Congreso de la República de Guatemala  de  15</w:t>
        <w:br/>
        <w:t>de abril de 2002 (expediente de fondo, folios 1656 y 1657).</w:t>
        <w:br/>
        <w:t>[91]  Cfr. Declaración de 5  de  diciembre  de  2010  del  entonces  Alcalde</w:t>
        <w:br/>
        <w:t>Municipal (expediente de anexos al escrito de sometimiento,  folio  794),  y</w:t>
        <w:br/>
        <w:t>Certificación de Acta 04-2004 de 11 de septiembre  de  2004  (expediente  de</w:t>
        <w:br/>
        <w:t>anexos al escrito de sometimiento, folio 1124).</w:t>
        <w:br/>
        <w:t>[92]  Cfr. Decreto 11-2002 del Congreso de la República de Guatemala  de  15</w:t>
        <w:br/>
        <w:t>de abril de 2002 (expediente de fondo, folios 1656 y 1657).</w:t>
        <w:br/>
        <w:t>[93]   Cfr.  Declaración  de  C.A.  (expediente  de  anexos  al  escrito  de</w:t>
        <w:br/>
        <w:t>sometimiento, disco 1, minutos 1:00, 1:48, 1:58), y Cédula  de  vecindad  de</w:t>
        <w:br/>
        <w:t>A.A. expedida el 12 de diciembre de 1983 (expediente de  anexos  al  escrito</w:t>
        <w:br/>
        <w:t>de sometimiento, folios 805 a 807).</w:t>
        <w:br/>
        <w:t>[94]  Consta del acervo probatorio que el señor A.A.  tuvo  más  nietos,  no</w:t>
        <w:br/>
        <w:t>obstante, se señalan aquellos  identificados  como  presuntas  víctimas  del</w:t>
        <w:br/>
        <w:t>presente caso (supra párr. 81).</w:t>
        <w:br/>
        <w:t>[95]  Las siguientes personas  eran  menores  de  edad  al  momento  de  los</w:t>
        <w:br/>
        <w:t>hechos: J.A.,  nacida  el  1  de  diciembre  de  1992,  hija  de  E.A.  Cfr.</w:t>
        <w:br/>
        <w:t>Certificado de nacimiento (expediente de fondo, folio 1696);   K.A.,  nacido</w:t>
        <w:br/>
        <w:t>el  29  agosto  de  1997,  hijo  de  E.A.  Cfr.  Certificado  de  nacimiento</w:t>
        <w:br/>
        <w:t>(expediente de fondo, folio 1698), y  N.A., nacido el 30  de  septiembre  de</w:t>
        <w:br/>
        <w:t>1990, hijo de B.A.  (expediente de fondo, folio 1704).</w:t>
        <w:br/>
        <w:t>[96]  Cfr. Certificado de servicios de 13 de diciembre de  1962  (expediente</w:t>
        <w:br/>
        <w:t>de anexos al escrito de solicitudes y argumentos, folio 2032).</w:t>
        <w:br/>
        <w:t>[97]  Cfr. Declaración de B.A. de 12 de diciembre  de  2010  (expediente  de</w:t>
        <w:br/>
        <w:t>anexos al escrito de  sometimiento,  folios  1360  y  1361);  Constancia  de</w:t>
        <w:br/>
        <w:t>inscripción en el registro de  ciudadanos  del  Tribunal  Supremo  Electoral</w:t>
        <w:br/>
        <w:t>(expediente de anexos al escrito de solicitudes y argumentos,  folio  2048);</w:t>
        <w:br/>
        <w:t>Declaración de A.A. de 11 de  octubre  de  2004  (expediente  de  anexos  al</w:t>
        <w:br/>
        <w:t>escrito de sometimiento, folio 1376); Declaración de un miembro de  la  CICM</w:t>
        <w:br/>
        <w:t>de 1 de diciembre de 2010 (expediente de anexos al escrito de  sometimiento,</w:t>
        <w:br/>
        <w:t>folio 1348), y Declaración de B.A.  (expediente  de  anexos  al  escrito  de</w:t>
        <w:br/>
        <w:t>sometimiento, disco 1, minutos 3:23 y 09:23).</w:t>
        <w:br/>
        <w:t>[98]  Cfr. Declaración de un miembro de la CICM de 1 de  diciembre  de  2010</w:t>
        <w:br/>
        <w:t>(expediente de anexos al escrito de sometimiento, folio  1348);  Declaración</w:t>
        <w:br/>
        <w:t>de B.A. ante la Fiscalía de Santa Lucía Cotzumalguapa de 10  de  febrero  de</w:t>
        <w:br/>
        <w:t>2005  (expediente  de  anexos  al  escrito  de  sometimiento,  folio   821);</w:t>
        <w:br/>
        <w:t>Declaración de B.A. (anexos al sometimiento, disco 1, minuto 9:23),  y   “En</w:t>
        <w:br/>
        <w:t>el Cruce de la Esperanza Don [A.A.] ayuda a su comunidad”,  Nuestro  Diario,</w:t>
        <w:br/>
        <w:t>publicada el 21 de julio  de  2003  (expediente  de  anexos  al  escrito  de</w:t>
        <w:br/>
        <w:t>solicitudes y argumentos, folio 2098).</w:t>
        <w:br/>
        <w:t>[99]  Cfr. Constancia del Secretario  de  la  Gobernación  Departamental  de</w:t>
        <w:br/>
        <w:t>Escuintla de 16 de agosto de  1978  (expediente  de  anexos  al  escrito  de</w:t>
        <w:br/>
        <w:t>solicitudes y argumentos, folio 2038).</w:t>
        <w:br/>
        <w:t>[100]        Cfr.  Caso  Gudiel  Álvarez  y  otros  (“Diario  Militar”)  Vs.</w:t>
        <w:br/>
        <w:t>Guatemala, supra, párr. 308.</w:t>
        <w:br/>
        <w:t>[101]       Cfr. Licencia especial de A.A. (expediente de anexos al  escrito</w:t>
        <w:br/>
        <w:t>de sometimiento, folio 799).</w:t>
        <w:br/>
        <w:t>[102]       Cfr. Folleto “Capacitación en aspectos de elaboración y  gestión</w:t>
        <w:br/>
        <w:t>de proyectos con enfoque de discapacidad, género  e  interculturalidad  para</w:t>
        <w:br/>
        <w:t>las-os integrantes de AIDOS” de marzo  de  2005  (expediente  de  anexos  al</w:t>
        <w:br/>
        <w:t>escrito de solicitudes y argumentos, folios 2086  a  2087);  Declaración  de</w:t>
        <w:br/>
        <w:t>B.A. de 12 de  diciembre  de  2010  (expediente  de  anexos  al  escrito  de</w:t>
        <w:br/>
        <w:t>sometimiento, folios 1366  y  1367),  y  Declaración  del  entonces  Alcalde</w:t>
        <w:br/>
        <w:t>Municipal de 5 de diciembre de 2010 (expediente  de  anexos  al  escrito  de</w:t>
        <w:br/>
        <w:t>sometimiento, folio 794).</w:t>
        <w:br/>
        <w:t>[103]       Cfr. Contrato de promesa de donación de  10  de  enero  de  2003</w:t>
        <w:br/>
        <w:t>(expediente de anexos al escrito de solicitudes y argumentos, folios 2059  a</w:t>
        <w:br/>
        <w:t>2063); Copia de Partida No. 87 en la que consta la  elección  de  A.A.  como</w:t>
        <w:br/>
        <w:t>Presidente del Comité Educativo COEDUCA (expediente de anexos al escrito  de</w:t>
        <w:br/>
        <w:t>solicitudes  y  argumentos,  folio  2057);  Resolución   de   la   Dirección</w:t>
        <w:br/>
        <w:t>Departamental   de   Educación   Escuintla,   Ministerio    de    Educación,</w:t>
        <w:br/>
        <w:t>D.D.E.E./U.D.E. No. 0456-2001 de 27 de junio de 2001 (expediente  de  anexos</w:t>
        <w:br/>
        <w:t>al escrito de solicitudes y argumentos, folio 2064), y Declaración  de  B.A.</w:t>
        <w:br/>
        <w:t>de 10 de febrero de 2005 (expediente de anexos al escrito  de  sometimiento,</w:t>
        <w:br/>
        <w:t>folio 822).</w:t>
        <w:br/>
        <w:t>[104]       Cfr. Escrito de COEDUCA dirigido a los Ministros de Educación  y</w:t>
        <w:br/>
        <w:t>Salud, de  28  de  marzo  de  2001  (expediente  de  anexos  al  escrito  de</w:t>
        <w:br/>
        <w:t>solicitudes y argumentos, folio 2073).</w:t>
        <w:br/>
        <w:t>[105]        Cfr.  Declaración  del  entonces  Alcalde  Municipal  de  5  de</w:t>
        <w:br/>
        <w:t>diciembre de 2010 (expediente de anexos al escrito  de  sometimiento,  folio</w:t>
        <w:br/>
        <w:t>793), y Tribunal Supremo Electoral,  Memoria  de  las  Elecciones  Generales</w:t>
        <w:br/>
        <w:t>2003,   Municipio   de   Santa   Lucía   Cotzumalguapa.    Disponible    en:</w:t>
        <w:br/>
        <w:t>http://216.230.138.139/elecciones2003/SantaLuciaCotz.pdf.</w:t>
        <w:br/>
        <w:t>[106]        Cfr.  Declaración  del  entonces  Alcalde  Municipal  de  5  de</w:t>
        <w:br/>
        <w:t>diciembre de 2010 (expediente de anexos al escrito  de  sometimiento,  folio</w:t>
        <w:br/>
        <w:t>795).</w:t>
        <w:br/>
        <w:t>[107]       Cfr.  Diploma  como  Héroe  Anónimo  (expediente  de  anexos  al</w:t>
        <w:br/>
        <w:t>escrito de sometimiento, folio 813);  “En  el  Cruce  de  la  Esperanza  Don</w:t>
        <w:br/>
        <w:t>[A.A.] ayuda a su comunidad”, Nuestro Diario, publicada el 21  de  julio  de</w:t>
        <w:br/>
        <w:t>2003 (expediente de anexos al escrito de  solicitudes  y  argumentos,  folio</w:t>
        <w:br/>
        <w:t>2098), y Entrevista de 3  de  febrero  de  2009  (expediente  de  anexos  al</w:t>
        <w:br/>
        <w:t>escrito de solicitudes y argumentos, folio 1913).</w:t>
        <w:br/>
        <w:t>[108]        Cfr.  Declaración  del  entonces  Alcalde  Municipal  de  5  de</w:t>
        <w:br/>
        <w:t>diciembre de  2010  (expediente  de  anexos  al  escrito  de  solicitudes  y</w:t>
        <w:br/>
        <w:t>argumentos, folio 2005). Véase, además, “En el Cruce  de  la  Esperanza  Don</w:t>
        <w:br/>
        <w:t>[A.A.] ayuda a su comunidad”, Nuestro Diario, publicada el 21  de  julio  de</w:t>
        <w:br/>
        <w:t>2003 (expediente de anexos al escrito de  solicitudes  y  argumentos,  folio</w:t>
        <w:br/>
        <w:t>2098).</w:t>
        <w:br/>
        <w:t>[109]       Cfr. Acta No. 02-2003 del Comité del Cultura y  Deportes  de  la</w:t>
        <w:br/>
        <w:t>Aldea Cruce de La Esperanza de 10 de enero de 2003 (expediente de anexos  al</w:t>
        <w:br/>
        <w:t>escrito de sometimiento, folio 1399).</w:t>
        <w:br/>
        <w:t>[110]       Credencial de Vice-Alcalde Comunitario de 24  de  mayo  de  2004</w:t>
        <w:br/>
        <w:t>(expediente de anexos al escrito de solicitudes y argumentos, folios 2079  a</w:t>
        <w:br/>
        <w:t>2080), y Certificado de  acta  de  nombramiento  como  Alcalde  del  Consejo</w:t>
        <w:br/>
        <w:t>Comunitario de Desarrollo de la Aldea Cruce de la Esperanza  (expediente  de</w:t>
        <w:br/>
        <w:t>anexos al sometimiento, folios 1124, 1125 y 1127).</w:t>
        <w:br/>
        <w:t>[111]       Cfr. Certificado  de  acta  de  nombramiento  como  Alcalde  del</w:t>
        <w:br/>
        <w:t>Consejo Comunitario de Desarrollo de la Aldea Cruce de la  Esperanza  de  11</w:t>
        <w:br/>
        <w:t>de septiembre de 2004 (expediente de  anexos  al  escrito  de  sometimiento,</w:t>
        <w:br/>
        <w:t>folios 1124 a 1125).</w:t>
        <w:br/>
        <w:t>[112]        Cfr.  Proyecto  de  drenaje  y  pavimentación  de  la   avenida</w:t>
        <w:br/>
        <w:t>principal (expediente de anexos al  escrito  de  solicitudes  y  argumentos,</w:t>
        <w:br/>
        <w:t>folios 2081 a 2083). Véase, además, Declaración de B.A. de 12  de  diciembre</w:t>
        <w:br/>
        <w:t>de 2010 (expediente de anexos al escrito de  sometimiento,  folio  1367),  y</w:t>
        <w:br/>
        <w:t>Certificado de acta de nombramiento como Alcalde del Consejo Comunitario  de</w:t>
        <w:br/>
        <w:t>Desarrollo de la Aldea Cruce  de  la  Esperanza  (expediente  de  anexos  al</w:t>
        <w:br/>
        <w:t>sometimiento, folio 1124).</w:t>
        <w:br/>
        <w:t>[113]        Cfr.  Declaración  del  entonces  Alcalde  Municipal  de  5  de</w:t>
        <w:br/>
        <w:t>diciembre de 2010 (expediente de anexos al escrito  de  sometimiento,  folio</w:t>
        <w:br/>
        <w:t>795).</w:t>
        <w:br/>
        <w:t>[114]       Cfr. Declaración de A.A. de 11 de octubre  de  2004  (expediente</w:t>
        <w:br/>
        <w:t>de anexos al escrito de sometimiento, folio 1377).</w:t>
        <w:br/>
        <w:t>[115]       Cfr. Adhesión a la declaración: Hacia  Una  Nueva  Etapa  en  la</w:t>
        <w:br/>
        <w:t>Construcción  de  la  Paz  (expediente  de  fondo,  folios  2082  a   2085);</w:t>
        <w:br/>
        <w:t>Declaración del entonces  Alcalde  Municipal  de  5  de  diciembre  de  2010</w:t>
        <w:br/>
        <w:t>(expediente de anexos al escrito de sometimiento, folio 797).</w:t>
        <w:br/>
        <w:t>[116]       Cfr. Carné de Oficial de Organización Social  del  Municipio  de</w:t>
        <w:br/>
        <w:t>Santa Lucía Cotzumalguapa (expediente de anexos al escrito de solicitudes  y</w:t>
        <w:br/>
        <w:t>argumentos, folios 2110 a 2111).</w:t>
        <w:br/>
        <w:t>[117]       Cfr. Declaración de B.A. de 12 de diciembre de 2010  (expediente</w:t>
        <w:br/>
        <w:t>de anexos al escrito de sometimiento, folio 1353).</w:t>
        <w:br/>
        <w:t>[118]       Cfr. Certificación de Actas 04-2004 de 11 de septiembre de  2004</w:t>
        <w:br/>
        <w:t>de la Asamblea General de la Aldea Cruce  de  la  Esperanza  (expediente  de</w:t>
        <w:br/>
        <w:t>anexos al escrito de sometimiento, folio 1125).</w:t>
        <w:br/>
        <w:t>[119]        Cfr.  Caso  Gudiel  Álvarez  y  otros  (“Diario  Militar”)  Vs.</w:t>
        <w:br/>
        <w:t>Guatemala, supra, párrs. 1 y 182, y pies de página 75, 166, 336 y 372.</w:t>
        <w:br/>
        <w:t>[120]        Cfr.  Denuncia  MP60-2003-5418  de  26  de  noviembre  de  2003</w:t>
        <w:br/>
        <w:t>interpuesta ante la Oficina de Atención Permanente de la Fiscalía  de  Santa</w:t>
        <w:br/>
        <w:t>Lucía Cotzumalguapa (expediente de fondo, folios 1311 a 3312), e Informe  de</w:t>
        <w:br/>
        <w:t>5  abril  de   2005   presentado   por   el   Técnico   en   Investigaciones</w:t>
        <w:br/>
        <w:t>Criminalísticas del Ministerio Público, ante el Fiscal del Distrito  Adjunto</w:t>
        <w:br/>
        <w:t>de Santa  Lucía  de  Cotzumalguapa  (expediente  de  anexos  al  escrito  de</w:t>
        <w:br/>
        <w:t>sometimiento, folio 1065). De acuerdo a lo señalado  en  el  Informe  de  la</w:t>
        <w:br/>
        <w:t>Comisión  para  el  Esclarecimiento  Histórico,   Guatemala:   Memoria   del</w:t>
        <w:br/>
        <w:t>Silencio, “los  kaibiles  eran  una  fuerza  especial  contrainsurgente  del</w:t>
        <w:br/>
        <w:t>Ejército de Guatemala, los cuales en diversos operativos ponían en  práctica</w:t>
        <w:br/>
        <w:t>la extrema crueldad de sus métodos  de  entrenamiento”.   Cfr.  Caso  De  la</w:t>
        <w:br/>
        <w:t>Masacre de  las  Dos  Erres  Vs.  Guatemala.  Excepción  Preliminar,  Fondo,</w:t>
        <w:br/>
        <w:t>Reparaciones y Costas. Sentencia de 24 de noviembre de  2009.  Serie  C  No.</w:t>
        <w:br/>
        <w:t>211,  nota 6.</w:t>
        <w:br/>
        <w:t>[121]       Cfr. Acta de comparecencia al Centro de Mediación  de  Escuintla</w:t>
        <w:br/>
        <w:t>de 20 de febrero de 2004 (expediente de anexos al escrito  de  sometimiento,</w:t>
        <w:br/>
        <w:t>folio 1430).</w:t>
        <w:br/>
        <w:t>[122]       Cfr. Informe No. 315ª- 2005 EEC-G 11 y Croquis elaborado  el  29</w:t>
        <w:br/>
        <w:t>de  abril  de  2005  por  el  Técnico  en  Investigaciones   Criminalísticas</w:t>
        <w:br/>
        <w:t>(expediente de anexos al escrito de sometimiento, folio 858).</w:t>
        <w:br/>
        <w:t>[123]        El  Estado  controvirtió  el  número  de  impactos  que  habría</w:t>
        <w:br/>
        <w:t>recibido el señor A.A. Cfr. Necropsia No. 225/04 de 22 de diciembre de  2004</w:t>
        <w:br/>
        <w:t>(expediente de anexos al escrito de sometimiento, folio 941),  y  Ampliación</w:t>
        <w:br/>
        <w:t>con fecha de 10 de  mayo  de  2005  del  Informe  de  Necropsia  No.  225/04</w:t>
        <w:br/>
        <w:t>(expediente de anexos al escrito de sometimiento, folio 880).</w:t>
        <w:br/>
        <w:t>[124]       Cfr. Fotografías anexas a la nota MP60/2004/5417 del  Fiscal  de</w:t>
        <w:br/>
        <w:t>Distrito Adjunto del Ministerio Público de 12 de enero de  2005  (expediente</w:t>
        <w:br/>
        <w:t>de anexos al sometimiento, folios 818 a 820); “Los  A  siguen  perseguidos”,</w:t>
        <w:br/>
        <w:t>Prensa Libre,  30 de enero de 2005  (expediente  de  anexos  al  escrito  de</w:t>
        <w:br/>
        <w:t>sometimiento, folio 1403); Declaración de E.A. ante la Fiscalía  de  Delitos</w:t>
        <w:br/>
        <w:t>cometidos contra los Activistas de Derechos Humanos de 11 de  mayo  de  2005</w:t>
        <w:br/>
        <w:t>(expediente de anexos al escrito de  sometimiento,  folio  865),  e  Informe</w:t>
        <w:br/>
        <w:t>remitido por el Jefe de la Subestación  de  la  Policía  Nacional  Civil  de</w:t>
        <w:br/>
        <w:t>Escuintla al Fiscal Distrital del Ministerio Público de 21 de  diciembre  de</w:t>
        <w:br/>
        <w:t>2004 (expediente de anexos al escrito de sometimiento, folio 1145).</w:t>
        <w:br/>
        <w:t>[125]       Cfr. Declaración de C.A. de 1 de enero de  2005  (expediente  de</w:t>
        <w:br/>
        <w:t>anexos al escrito de sometimiento, disco 1, minutos 24:34 y 25:39).</w:t>
        <w:br/>
        <w:t>[126]       Cfr. Acta de diligencia de levantamiento de  cadáver  de  20  de</w:t>
        <w:br/>
        <w:t>diciembre de 2004 (expediente de anexos al escrito  de  sometimiento,  folio</w:t>
        <w:br/>
        <w:t>939); Declaración ante la Fiscalía Especial de  Derechos  Humanos  de  9  de</w:t>
        <w:br/>
        <w:t>mayo de 2005 (expediente de anexos al escrito de sometimiento,  folio  861),</w:t>
        <w:br/>
        <w:t>e Informe del Jefe de la Subestación de la Policía Nacional ante  el  Fiscal</w:t>
        <w:br/>
        <w:t>Distrital del Ministerio Público de 21 de diciembre de 2004  (expediente  de</w:t>
        <w:br/>
        <w:t>anexos al escrito de sometimiento, folio 940).</w:t>
        <w:br/>
        <w:t>[127]       Cfr. Declaración de C.A. de 1 de enero de  2005  (expediente  de</w:t>
        <w:br/>
        <w:t>anexos al escrito de sometimiento, disco 1, minuto 20:00), y Declaración  de</w:t>
        <w:br/>
        <w:t>E.A.  de  1  de  enero  de  2005  (expediente  de  anexos  al   escrito   de</w:t>
        <w:br/>
        <w:t>sometimiento, disco 1, minuto 37:28).</w:t>
        <w:br/>
        <w:t>[128]       Cfr. Declaración de B.A.de 1 de enero  de  2005  (expediente  de</w:t>
        <w:br/>
        <w:t>anexos al escrito de sometimiento, disco 1, minuto 1:18:53).</w:t>
        <w:br/>
        <w:t>[129]       Cfr. Declaración  de  B.A.  ante  la  Procuraduría  Especial  de</w:t>
        <w:br/>
        <w:t>Derechos  Humanos  en  la  Ciudad  de  Guatemala  de  11  de  mayo  de  2005</w:t>
        <w:br/>
        <w:t>(expediente de anexos al escrito de solicitudes y argumentos,  folio  2222),</w:t>
        <w:br/>
        <w:t>y Testimonio de B.A. de 12 de diciembre de 2010  (expediente  de  anexos  al</w:t>
        <w:br/>
        <w:t>escrito de solicitudes y argumentos, folio 2014).</w:t>
        <w:br/>
        <w:t>[130]        Cfr.  Escrito  de  22  de  diciembre  de  2004   del   Auxiliar</w:t>
        <w:br/>
        <w:t>Departamental de Escuintla  de  la  Procuraduría  de  los  Derechos  Humanos</w:t>
        <w:br/>
        <w:t>(expediente de anexos al escrito de sometimiento, folio 898); Escrito de  23</w:t>
        <w:br/>
        <w:t>de  diciembre  de  2004  del  Auxiliar  Departamental  de  Escuintla  de  la</w:t>
        <w:br/>
        <w:t>Procuraduría de los Derechos Humanos dirigido al Jefe de la Sub Estación  de</w:t>
        <w:br/>
        <w:t>la Policía Nacional  Civil  de  Santa  Lucía  Cotzumalguapa  (expediente  de</w:t>
        <w:br/>
        <w:t>anexos al escrito de sometimiento, folio 899), y Escrito de 23 de  diciembre</w:t>
        <w:br/>
        <w:t>de 2004 del Auxiliar Departamental de Escuintla de la  Procuraduría  de  los</w:t>
        <w:br/>
        <w:t>Derechos Humanos dirigido al Comisario Departamental de la Comisaría  31  de</w:t>
        <w:br/>
        <w:t>la Policía Nacional Civil de Escuintla (expediente de anexos al  escrito  de</w:t>
        <w:br/>
        <w:t>sometimiento, folio 900).</w:t>
        <w:br/>
        <w:t>[131]       Cfr. Declaración de B.A. ante la Fiscalía Especial  de  Derechos</w:t>
        <w:br/>
        <w:t>Humanos de  11  de  mayo  de  2005  (expediente  de  anexos  al  escrito  de</w:t>
        <w:br/>
        <w:t>sometimiento, folio 869); Declaración de B.A. de 17  de  diciembre  de  2010</w:t>
        <w:br/>
        <w:t>(expediente de anexos al escrito de sometimiento, disco 2,  minuto  1:30:8),</w:t>
        <w:br/>
        <w:t>y Declaración del entonces Alcalde Municipal  de  5  de  diciembre  de  2010</w:t>
        <w:br/>
        <w:t>(anexos al escrito de sometimiento, folio 797).</w:t>
        <w:br/>
        <w:t>[132]       Cfr. Declaración de E.A. de 1 de enero de  2005  (expediente  de</w:t>
        <w:br/>
        <w:t>anexos al escrito de sometimiento, disco 1, minuto  47:40);  Declaración  de</w:t>
        <w:br/>
        <w:t>C.A. de 1 de enero de 2005 (anexos al  escrito  de  sometimiento,  disco  1,</w:t>
        <w:br/>
        <w:t>minutos 25:33 y 24:44).</w:t>
        <w:br/>
        <w:t>[133]       Cfr. Declaración de B.A. en audiencia pública de  7  de  febrero</w:t>
        <w:br/>
        <w:t>de 2014. Ver también, Declaración de E.A. de 1 de enero de 2005  (expediente</w:t>
        <w:br/>
        <w:t>de anexos al escrito  de  sometimiento,  disco  1,  minutos  1:40,  47:00  y</w:t>
        <w:br/>
        <w:t>48:05); Declaración de C.A. de 1 de enero de 2005 (expediente de  anexos  al</w:t>
        <w:br/>
        <w:t>escrito  de  sometimiento,  disco  1,  minutos  22:44,   27:22   y   25:33);</w:t>
        <w:br/>
        <w:t>Declaración de B.A. de 17 de diciembre de  2010  (expediente  de  anexos  al</w:t>
        <w:br/>
        <w:t>escrito de sometimiento, disco 2, minuto 1:31:06); Declaración  de  B.A.  de</w:t>
        <w:br/>
        <w:t>12 de diciembre de 2010 (expediente de anexos al  escrito  de  sometimiento,</w:t>
        <w:br/>
        <w:t>folio  1370),  e  Informe  remitido  por  el  Técnico   en   Investigaciones</w:t>
        <w:br/>
        <w:t>Criminalísticas al Fiscal del Distrito  Adjunto  de  la  Fiscalía  de  Santa</w:t>
        <w:br/>
        <w:t>Lucía Cotzumalguapa de 5 de abril de 2005 (expediente de anexos  al  escrito</w:t>
        <w:br/>
        <w:t>de sometimiento, folios 1063 y 1064).</w:t>
        <w:br/>
        <w:t>[134]       Cfr. Declaración de E.A. de 1 de enero de  2005  (expediente  de</w:t>
        <w:br/>
        <w:t>anexos al escrito de sometimiento, disco 1, minuto 48:30).</w:t>
        <w:br/>
        <w:t>[135]       Cfr. Declaración de B.A. de 12 de diciembre de 2010  (expediente</w:t>
        <w:br/>
        <w:t>de anexos al escrito de sometimiento, folio 1371); Declaración de E.A. de  1</w:t>
        <w:br/>
        <w:t>de enero de 2005 (expediente de anexos al escrito de sometimiento, disco  1,</w:t>
        <w:br/>
        <w:t>minutos  47:40 y 48:32), y Declaración  de  C.A.  de  1  de  enero  de  2005</w:t>
        <w:br/>
        <w:t>(expediente de anexos al escrito de sometimiento, disco 1, minuto 27:22).</w:t>
        <w:br/>
        <w:t>[136]       Cfr. Declaración de B.A. de 12 de diciembre de 2010  (expediente</w:t>
        <w:br/>
        <w:t>de anexos al escrito de sometimiento, folio 1370).</w:t>
        <w:br/>
        <w:t>[137]       En su declaración de 12 de diciembre de  2010,  la  señora  B.A.</w:t>
        <w:br/>
        <w:t>indicó que “[a]l momento del asesinato de [su] papá, cada familia  tenía  su</w:t>
        <w:br/>
        <w:t>casa nueva, las cuales ahora están abandonadas, así como  las  tierras,  sin</w:t>
        <w:br/>
        <w:t>ningún beneficio, más que gastos que [le]s generan al mantener los  cuidados</w:t>
        <w:br/>
        <w:t>de limpia y vigilancia”. Cfr. Declaración de B.A.  de  12  de  diciembre  de</w:t>
        <w:br/>
        <w:t>2010 (expediente de anexos al escrito de sometimiento, folio 1370). En  otra</w:t>
        <w:br/>
        <w:t>ocasión, ante la pregunta de indicar su domicilio,  la  señora  B.A.  indicó</w:t>
        <w:br/>
        <w:t>que ese era Escuintla. Cfr. Declaración de  B.A.  de  1  de  enero  de  2005</w:t>
        <w:br/>
        <w:t>(expediente de anexos al escrito de sometimiento,  disco  1,  minuto  0:28).</w:t>
        <w:br/>
        <w:t>Adicionalmente, mediante declaración aportada por las  representantes  a  la</w:t>
        <w:br/>
        <w:t>Comisión, la señora B.A. manifestó que dentro de las  afectaciones  sufridas</w:t>
        <w:br/>
        <w:t>por su madre se encontraba la de no tener un  hogar,  situación  en  la  que</w:t>
        <w:br/>
        <w:t>ella, B.A., se vio obligada a “llevar el peso económico de los traslados  de</w:t>
        <w:br/>
        <w:t>mudanzas, de pagar una renta que hasta  el  momento  la  s[eguía]  pagando”.</w:t>
        <w:br/>
        <w:t>Cfr. Declaración de B.A. de 17 de diciembre de 2010  (expediente  de  anexos</w:t>
        <w:br/>
        <w:t>al escrito de sometimiento, disco 2, minuto 1:36:05). Posteriormente, en  la</w:t>
        <w:br/>
        <w:t>audiencia pública rendida ante esta Corte, la señora B.A. reiteró  que  “[a]</w:t>
        <w:br/>
        <w:t>estas alturas […] no  hemos  tenido  un  lugar  donde  vivir,  hemos  estado</w:t>
        <w:br/>
        <w:t>rentando”. Cfr. Declaración de B.A. en la audiencia pública de 7 de  febrero</w:t>
        <w:br/>
        <w:t>de  2014.  Véase,  además,  Evaluación  psicosocial  5  de  enero  de   2011</w:t>
        <w:br/>
        <w:t>(expediente de anexos al escrito de sometimiento, folio 1425).</w:t>
        <w:br/>
        <w:t>[138]       Cfr. Renuncia presentada el 5 de noviembre de  2007  (expediente</w:t>
        <w:br/>
        <w:t>de anexos al escrito de solicitudes y argumentos, folio  2116);  Acuerdo  de</w:t>
        <w:br/>
        <w:t>Alcaldía Número 201 – 2007 (expediente de anexos al escrito  de  solicitudes</w:t>
        <w:br/>
        <w:t>y argumentos, folio 2117), y Declaración de B.A.  de  1  de  enero  de  2005</w:t>
        <w:br/>
        <w:t>(expediente de anexos al escrito de sometimiento, disco 1, minuto  1:33:07).</w:t>
        <w:br/>
        <w:t>Según el  Alcalde  Municipal  para  el  período  2004  a  2008,  este  cargo</w:t>
        <w:br/>
        <w:t>consistía  en:  “organizar  el  municipio,  dar  capacitación  y   formación</w:t>
        <w:br/>
        <w:t>política constante, tener la información del municipio (plan  de  desarrollo</w:t>
        <w:br/>
        <w:t>municipal) y velar  que  todo  sea  con  enfoque  de  equidad  de  g[é]nero,</w:t>
        <w:br/>
        <w:t>generacional y étnico”. Cfr. Comunicación dirigida por el Alcalde  Municipal</w:t>
        <w:br/>
        <w:t>a la Jefa de Recursos Humanos de 6 de  noviembre  de  2007   (expediente  de</w:t>
        <w:br/>
        <w:t>anexos al escrito de solicitudes y argumentos, folio 2119).</w:t>
        <w:br/>
        <w:t>[139]       Cfr. Diploma otorgado  por  la  Secretaría  de  la  Coordinación</w:t>
        <w:br/>
        <w:t>Ejecutiva  de  la  Presidencia,  el  Programa  Municipios  Democráticos,  el</w:t>
        <w:br/>
        <w:t>Programa de Apoyo a MyPES, la Colectiva para la Defensa de los  Derechos  de</w:t>
        <w:br/>
        <w:t>las Mujeres en Guatemala, la Asociación nacional de  Municipalidades  de  la</w:t>
        <w:br/>
        <w:t>República de Guatemala y la Fundación Guillermo Toriello,  de  26  y  27  de</w:t>
        <w:br/>
        <w:t>julio de 2007 (expediente de fondo, folio 2076).</w:t>
        <w:br/>
        <w:t>[140]       Cfr. Escrito de la Secretaria Presidencial de la Mujer  dirigida</w:t>
        <w:br/>
        <w:t>al Presidente del Consejo Departamental de Desarrollo de  Escuintla,  de  23</w:t>
        <w:br/>
        <w:t>de junio de 2009 (expediente de fondo, folio 2074).</w:t>
        <w:br/>
        <w:t>[141]       Cfr. Reconocimiento otorgado por  la  Auxiliatura  Departamental</w:t>
        <w:br/>
        <w:t>de los Derechos Humanos el 8 de marzo de 2011 (expediente  de  fondo,  folio</w:t>
        <w:br/>
        <w:t>2079).</w:t>
        <w:br/>
        <w:t>[142]        Cfr.  Diploma  otorgado  por  el  Consejo  Nacional   para   el</w:t>
        <w:br/>
        <w:t>Cumplimiento de los Acuerdos de Paz el 25 de marzo de  2011  (expediente  de</w:t>
        <w:br/>
        <w:t>fondo, folio 2080).</w:t>
        <w:br/>
        <w:t>[143]       Cfr. Constancia otorgada por el Instituto de  Fomento  Municipal</w:t>
        <w:br/>
        <w:t>el 19 de marzo de 2012 (expediente de fondo, folio 2081).</w:t>
        <w:br/>
        <w:t>[144]       Cfr. Oficio de remisión realizado por  el  Fiscal  del  Distrito</w:t>
        <w:br/>
        <w:t>Adjunto de Santa Lucía Cotzumalguapa  dirigido  al  Agente  de  la  Fiscalía</w:t>
        <w:br/>
        <w:t>Especial de Derechos Humanos, de 21 de marzo de 2005 (expediente  de  anexos</w:t>
        <w:br/>
        <w:t>al escrito de sometimiento, folio 817).</w:t>
        <w:br/>
        <w:t>[145]       Cfr. Escrito del  Auxiliar  Departamental  de  Escuintla  de  la</w:t>
        <w:br/>
        <w:t>Procuraduría de los Derechos Humanos de 22 de diciembre de 2004  (expediente</w:t>
        <w:br/>
        <w:t>de anexos al escrito de sometimiento, folio 898), y Denuncia  realizada  por</w:t>
        <w:br/>
        <w:t>B.A., de manera anónima, el 22 de diciembre de 2004  (expediente  de  anexos</w:t>
        <w:br/>
        <w:t>al escrito de sometimiento, folios 896 y 897).</w:t>
        <w:br/>
        <w:t>[146]       Cfr. Memorando de investigación  de  23  de  diciembre  de  2004</w:t>
        <w:br/>
        <w:t>realizado por el investigador de la Procuraduría  de  los  Derechos  Humanos</w:t>
        <w:br/>
        <w:t>(expediente de anexos al escrito de sometimiento, folio  901),  y  Memorando</w:t>
        <w:br/>
        <w:t>de 7 de febrero de 2005 realizado por el investigador de la Procuraduría  de</w:t>
        <w:br/>
        <w:t>los Derechos Humanos (expediente  de  anexos  al  escrito  de  sometimiento,</w:t>
        <w:br/>
        <w:t>folio 914).</w:t>
        <w:br/>
        <w:t>[147]       Cfr. Escrito  de  20  de  diciembre  de  2004  del  Jefe  de  la</w:t>
        <w:br/>
        <w:t>Subestación No. 31-43 Escuintla dirigido al Fiscal Distrital del  Ministerio</w:t>
        <w:br/>
        <w:t>Público (expediente de anexos al escrito de sometimiento, folio 940).</w:t>
        <w:br/>
        <w:t>[148]       Cfr.  Diligencia  realizada  por  la  Auxiliar  de  la  Fiscalía</w:t>
        <w:br/>
        <w:t>Distrital  de  Santa  Lucía  Cotzumalguapa,  de  20  de  diciembre  de  2004</w:t>
        <w:br/>
        <w:t>(expediente de anexos al escrito de sometimiento, folio 939).</w:t>
        <w:br/>
        <w:t>[149]       Cfr. Escrito  de  20  de  diciembre  de  2004  del  Jefe  de  la</w:t>
        <w:br/>
        <w:t>Subestación No. 31-43 Escuintla dirigido al Fiscal Distrital del  Ministerio</w:t>
        <w:br/>
        <w:t>Público (expediente de anexos al escrito de sometimiento, folio 940).</w:t>
        <w:br/>
        <w:t>[150]       Cfr. Declaración de 9 de mayo de 2005 realizada  por  el  agente</w:t>
        <w:br/>
        <w:t>de la Policía Nacional Civil que se presentó a la escena del crimen ante  la</w:t>
        <w:br/>
        <w:t>Fiscalía Especial de Derechos Humanos (expediente de anexos  al  escrito  de</w:t>
        <w:br/>
        <w:t>sometimiento, folio 860).</w:t>
        <w:br/>
        <w:t>[151]       Cfr. Diligencia de 20 de diciembre  de  2004  realizado  por  la</w:t>
        <w:br/>
        <w:t>Auxiliar de la Fiscalía Distrital de Santa Lucía  Cotzumalguapa  (expediente</w:t>
        <w:br/>
        <w:t>de anexos  al  escrito  de  sometimiento,  folio  939);  Escrito  de  20  de</w:t>
        <w:br/>
        <w:t>diciembre de 2004 del Jefe de la Subestación No.  31-43  Escuintla  dirigido</w:t>
        <w:br/>
        <w:t>al Fiscal Distrital del Ministerio Público (expediente de anexos al  escrito</w:t>
        <w:br/>
        <w:t>de sometimiento, folio 940), y Declaración de 9 de mayo  de  2005  realizada</w:t>
        <w:br/>
        <w:t>por el agente de la Policía Nacional Civil que se presentó a la  escena  del</w:t>
        <w:br/>
        <w:t>crimen ante la Fiscalía Especial de Derechos Humanos (expediente  de  anexos</w:t>
        <w:br/>
        <w:t>al escrito de sometimiento, folios 860 a 862).</w:t>
        <w:br/>
        <w:t>[152]       Cfr. Necropsia No. 225/04 realizada por la  Médico  forense  del</w:t>
        <w:br/>
        <w:t>Organismo Judicial se Santa Lucía Cotzumalguapa  (expediente  de  anexos  al</w:t>
        <w:br/>
        <w:t>escrito de sometimiento, folio 941).</w:t>
        <w:br/>
        <w:t>[153]       Cfr. Informe realizado  el  21  de  diciembre  de  2004  por  el</w:t>
        <w:br/>
        <w:t>investigador  asignado  del  Servicio  de  Investigación  Criminal   de   la</w:t>
        <w:br/>
        <w:t>Comisaría 31 de la  Policía  Nacional  Civil  de  Escuintla  (expediente  de</w:t>
        <w:br/>
        <w:t>anexos al escrito de sometimiento, folios 916 a 918).</w:t>
        <w:br/>
        <w:t>[154]       Cfr. Declaración de 10 de febrero  de  2005  de  B.A.  realizada</w:t>
        <w:br/>
        <w:t>ante la Auxiliar de la  Fiscalía  Distrital  de  Santa  Lucía  Cotzumalguapa</w:t>
        <w:br/>
        <w:t>(expediente de anexos al escrito de sometimiento, folios 821 a 825).</w:t>
        <w:br/>
        <w:t>[155]       Cfr. Escrito de 12 de enero  de  2005  del  Fiscal  de  Distrito</w:t>
        <w:br/>
        <w:t>Adjunto del Ministerio Público dirigida al  Subdirector  de  Investigaciones</w:t>
        <w:br/>
        <w:t>Criminalísticas de la Sección  Criminal  Operativa  del  Ministerio  Público</w:t>
        <w:br/>
        <w:t>(expediente de anexos al escrito de sometimiento, folio 818), y  Escrito  de</w:t>
        <w:br/>
        <w:t>14 de marzo de  2005  realizado  por  la  Auxiliar  Fiscal  de  Santa  Lucía</w:t>
        <w:br/>
        <w:t>Cotzumalguapa (expediente de anexos al escrito de sometimiento, folio 827).</w:t>
        <w:br/>
        <w:t>[156]        Cfr.  Informe  de  5  de  abril  de  2005  elaborado   por   el</w:t>
        <w:br/>
        <w:t>Investigador de la DICRI (expediente de anexos al escrito  de  sometimiento,</w:t>
        <w:br/>
        <w:t>folios 1060 a 1065).</w:t>
        <w:br/>
        <w:t>[157]       Cfr. Solicitud de diligencias a la  Dirección  de  Investigación</w:t>
        <w:br/>
        <w:t>Criminalística por la Fiscalía de Derechos Humanos de 17  de  mayo  de  2005</w:t>
        <w:br/>
        <w:t>(expediente de anexos  al  escrito  de  sometimiento,  folios  877  a  879);</w:t>
        <w:br/>
        <w:t>Solicitud de diligencias a la Dirección de Investigación Criminalística  por</w:t>
        <w:br/>
        <w:t>la Fiscalía de Derechos Humanos de 1 de marzo de 2006 (expediente de  anexos</w:t>
        <w:br/>
        <w:t>al escrito de sometimiento, folios 948 y 949); Solicitud  de  diligencias  a</w:t>
        <w:br/>
        <w:t>la Dirección de Investigación Criminalística por  la  Fiscalía  de  Derechos</w:t>
        <w:br/>
        <w:t>Humanos de 21 de noviembre de 2006  (expediente  de  anexos  al  escrito  de</w:t>
        <w:br/>
        <w:t>sometimiento, folio 1122);  Solicitud  de  diligencias  a  la  Dirección  de</w:t>
        <w:br/>
        <w:t>Investigación Criminalística por la Fiscalía de Derechos  Humanos  de  8  de</w:t>
        <w:br/>
        <w:t>abril de 2008 (expediente  de  anexos  al  escrito  de  sometimiento,  folio</w:t>
        <w:br/>
        <w:t>1136),  y  Solicitud  de  diligencias  a  la  Dirección   de   Investigación</w:t>
        <w:br/>
        <w:t>Criminalística por la Fiscalía de Derechos Humanos de  24  de  noviembre  de</w:t>
        <w:br/>
        <w:t>2008 (expediente de anexos al escrito de sometimiento, folio 1307).</w:t>
        <w:br/>
        <w:t>[158]       Cfr.  Informe  de  30  de  agosto  de  2005  elaborado  por  los</w:t>
        <w:br/>
        <w:t>Investigadores  de  la  DICRI  (expediente   de   anexos   al   escrito   de</w:t>
        <w:br/>
        <w:t>sometimiento, folios 931 a 934); Informe de 21 de junio  de  2006  elaborado</w:t>
        <w:br/>
        <w:t>por los Investigadores de la DICRI  (expediente  de  anexos  al  escrito  de</w:t>
        <w:br/>
        <w:t>sometimiento, folios 1152 a 1156); Informe de 26 de marzo de 2008  elaborado</w:t>
        <w:br/>
        <w:t>por los Investigadores de la DICRI  (expediente  de  anexos  al  escrito  de</w:t>
        <w:br/>
        <w:t>sometimiento, folios 1169 a 1174); Informe de 10 de abril de 2008  elaborado</w:t>
        <w:br/>
        <w:t>por los Investigadores de la DICRI  (expediente  de  anexos  al  escrito  de</w:t>
        <w:br/>
        <w:t>sometimiento, folios 1177 a 1179),  e  Informe  de  5  de  febrero  de  2009</w:t>
        <w:br/>
        <w:t>elaborado por el Investigador de la DICRI (expediente de anexos  al  escrito</w:t>
        <w:br/>
        <w:t>de sometimiento, folios 1308 a 1309).</w:t>
        <w:br/>
        <w:t>[159]       Cfr. Escrito de la Unidad de  Especialistas  en  la  Escena  del</w:t>
        <w:br/>
        <w:t>Crimen  de  1  de  junio  de  2005  (expediente  de  anexos  al  escrito  de</w:t>
        <w:br/>
        <w:t>sometimiento, folios 888 a 893).</w:t>
        <w:br/>
        <w:t>[160]       Cfr. Necropsia No. 225/04 realizada por la  Médico  Forense  del</w:t>
        <w:br/>
        <w:t>Organismo Judicial de Santa Lucía Cotzumalguapa  (expediente  de  anexos  al</w:t>
        <w:br/>
        <w:t>escrito de  sometimiento,  folio  941);  Escrito  de  5  de  abril  de  2005</w:t>
        <w:br/>
        <w:t>realizado por el Agente Fiscal de la Fiscalía Especial de Delitos  Cometidos</w:t>
        <w:br/>
        <w:t>contra los Activistas de los Derechos Humanos dirigido al Jefe del  Servicio</w:t>
        <w:br/>
        <w:t>Médico Forense del Ministerio Público de la Ciudad de Guatemala  (expediente</w:t>
        <w:br/>
        <w:t>de anexos al escrito de sometimiento, folio 828), y  Comunicación  de  8  de</w:t>
        <w:br/>
        <w:t>abril de 2005 del Médico  Forense  del  Ministerio  Público  dirigida  a  la</w:t>
        <w:br/>
        <w:t>Fiscalía Especial de los Delitos cometidos  contra  los  Activistas  de  los</w:t>
        <w:br/>
        <w:t>Derechos Humanos del Ministerio Público (expediente de anexos al escrito  de</w:t>
        <w:br/>
        <w:t>sometimiento, folio 838).</w:t>
        <w:br/>
        <w:t>[161]       Cfr. Escrito de 19 de abril de  2005  realizado  por  el  Agente</w:t>
        <w:br/>
        <w:t>Fiscal de la Fiscalía de Derechos Humanos dirigido a la Médico  Forense  del</w:t>
        <w:br/>
        <w:t>Organismo Judicial (expediente de anexos al escrito de  sometimiento,  folio</w:t>
        <w:br/>
        <w:t>833), y Ampliación del Informe de Necropsia remitida el 13 de mayo  de  2005</w:t>
        <w:br/>
        <w:t>(expediente de anexos al escrito de sometimiento, folios 880 a 881).</w:t>
        <w:br/>
        <w:t>[162]       Cfr. Escrito de 26 de  julio  de  2006  de  la  Auxiliar  Fiscal</w:t>
        <w:br/>
        <w:t>dirigido  a  la  Médico  Forense  del  Organismo  Judicial  de  Santa  Lucía</w:t>
        <w:br/>
        <w:t>Cotzumalguapa (expediente de anexos al escrito de sometimiento, folio  984);</w:t>
        <w:br/>
        <w:t>Escrito de 26 de julio de 2006 de la Auxiliar Fiscal dirigido  a  la  Médico</w:t>
        <w:br/>
        <w:t>Forense del Organismo Judicial de Santa Lucía Cotzumalguapa  (expediente  de</w:t>
        <w:br/>
        <w:t>anexos al escrito de sometimiento, folio 985), y Escritos de 3 de agosto  de</w:t>
        <w:br/>
        <w:t>2006 remitidos por la Médico Forense a la Auxiliar de  la  Fiscalía  Sección</w:t>
        <w:br/>
        <w:t>de Derechos Humanos  (expediente  de  anexos  al  escrito  de  sometimiento,</w:t>
        <w:br/>
        <w:t>folios 1045 a 1047).</w:t>
        <w:br/>
        <w:t>[163]       Cfr. Escrito de 1 de abril de 2005  realizado  por  el  Auxiliar</w:t>
        <w:br/>
        <w:t>Fiscal de Santa Lucía Cotzumalguapa  dirigido  a  la  Fiscalía  Especial  de</w:t>
        <w:br/>
        <w:t>Derechos Humanos del Ministerio Público (expediente de anexos al escrito  de</w:t>
        <w:br/>
        <w:t>sometimiento, folio 830), y Escrito de 18 de abril de 2005 realizado por  el</w:t>
        <w:br/>
        <w:t>Auxiliar  Fiscal  de  Santa  Lucía  Cotzumalguapa  dirigido  a  la  Fiscalía</w:t>
        <w:br/>
        <w:t>Especial de Derechos Humanos del Ministerio Público  (expediente  de  anexos</w:t>
        <w:br/>
        <w:t>al escrito de sometimiento, folio 852).</w:t>
        <w:br/>
        <w:t>[164]       Cfr. Escrito de 6 de abril de 2005  realizado  por  el  Auxiliar</w:t>
        <w:br/>
        <w:t>Fiscal  del  Ministerio  Público  dirigido  al  Encargado  del  Almacén   de</w:t>
        <w:br/>
        <w:t>Evidencias del Ministerio  Público  (expediente  de  anexos  al  escrito  de</w:t>
        <w:br/>
        <w:t>sometimiento, folio 829), y Escrito de 21 de abril de 2005 realizado por  el</w:t>
        <w:br/>
        <w:t>Auxiliar Fiscal del Ministerio Público dirigido al Encargado del Almacén  de</w:t>
        <w:br/>
        <w:t>Evidencias del Ministerio  Público  (expediente  de  anexos  al  escrito  de</w:t>
        <w:br/>
        <w:t>sometimiento, folio 851).</w:t>
        <w:br/>
        <w:t>[165]       Cfr. Escrito recibido el 13 de junio  de  2006  de  la  Auxiliar</w:t>
        <w:br/>
        <w:t>Fiscal dirigido al Jefe  del  Departamento  de  Balística  del  Departamento</w:t>
        <w:br/>
        <w:t>Técnico Científico del Ministerio Público (expediente de anexos  al  escrito</w:t>
        <w:br/>
        <w:t>de sometimiento, folio 969);  Escrito  recibido  el  12  de  julio  de  2006</w:t>
        <w:br/>
        <w:t>realizado por Auxiliar de  las  Fiscalía  de  Sección  de  Derechos  Humanos</w:t>
        <w:br/>
        <w:t>dirigido al Jefe del Departamento  de  Balística  del  Departamento  Técnico</w:t>
        <w:br/>
        <w:t>Científico del Ministerio  Público  (expediente  de  anexos  al  escrito  de</w:t>
        <w:br/>
        <w:t>sometimiento, folio 981), y Peritaje elaborado el 23 de junio  de  2006  por</w:t>
        <w:br/>
        <w:t>Sección Balística del Departamento Técnico Científico  de  la  Dirección  de</w:t>
        <w:br/>
        <w:t>Investigaciones  Criminalísticas  del  Ministerio  Público  (expediente   de</w:t>
        <w:br/>
        <w:t>anexos al escrito de sometimiento, folios 1175 y 1176).</w:t>
        <w:br/>
        <w:t>[166]       Cfr. Escrito de  1  de  agosto  de  2006  del  Auxiliar  de  las</w:t>
        <w:br/>
        <w:t>Fiscalía de Sección de Derechos Humanos dirigido al Jefe  de  Balística  del</w:t>
        <w:br/>
        <w:t>Gabinete Criminalístico de la Policía Nacional Civil (expediente  de  anexos</w:t>
        <w:br/>
        <w:t>al escrito de sometimiento, folio 986).</w:t>
        <w:br/>
        <w:t>[167]       Cfr. Escrito de 11 de abril de  2005  realizado  por  el  Agente</w:t>
        <w:br/>
        <w:t>Fiscal de la Fiscalía de Derechos Humanos del Ministerio  Público,  dirigido</w:t>
        <w:br/>
        <w:t>al Jefe del  Registro  de  Ciudadanos  de  la  Corte  Superior  Electoral  y</w:t>
        <w:br/>
        <w:t>recibido el 12 de  abril  de  2005  (expediente  de  anexos  al  escrito  de</w:t>
        <w:br/>
        <w:t>sometimiento, folio 834).</w:t>
        <w:br/>
        <w:t>[168]       Cfr.  Informe  de  30  de  agosto  de  2005  elaborado  por  los</w:t>
        <w:br/>
        <w:t>Investigadores  de  la  DICRI  (expediente   de   anexos   al   escrito   de</w:t>
        <w:br/>
        <w:t>sometimiento, folios 931 a 934).</w:t>
        <w:br/>
        <w:t>[169]       Cfr. Escrito de 19 de abril de 2005 del Agente  de  la  Fiscalía</w:t>
        <w:br/>
        <w:t>de Derechos Humanos dirigido al Jefe del Departamento del Control  de  Armas</w:t>
        <w:br/>
        <w:t>y Municiones del Ministerio de Defensa (expediente de anexos al  escrito  de</w:t>
        <w:br/>
        <w:t>sometimiento, folio 850).</w:t>
        <w:br/>
        <w:t>[170]       Cfr. Escrito de 3 de mayo de 2005 del Coronel de Infantería  DEM</w:t>
        <w:br/>
        <w:t>y Jefe del Departamento de  Control  de  Armas  y  Municiones,  dirigido  al</w:t>
        <w:br/>
        <w:t>Agente de la Fiscalía Especial de Derechos Humanos (expediente de anexos  al</w:t>
        <w:br/>
        <w:t>escrito de sometimiento, folio 857).</w:t>
        <w:br/>
        <w:t>[171]       Cfr. Acta  de  diligencia  de  elaboración  de  una  planimetría</w:t>
        <w:br/>
        <w:t>(expediente de anexos al escrito de sometimiento, folio 848).</w:t>
        <w:br/>
        <w:t>[172]        Cfr.  Escrito  de  29  de  abril  de  2005  elaborado  por   el</w:t>
        <w:br/>
        <w:t>Investigadores de la DICRI, dirigido  al  Auxiliar  Fiscal  de  la  Fiscalía</w:t>
        <w:br/>
        <w:t>Especial  de  Derechos  Humanos  (expediente  de  anexos   al   escrito   de</w:t>
        <w:br/>
        <w:t>sometimiento, folios 858 y 859).</w:t>
        <w:br/>
        <w:t>[173]       Cfr. Escrito de 28 de abril de  2005  del  Auxiliar  Fiscal  del</w:t>
        <w:br/>
        <w:t>Ministerio  Público  dirigida   al   Fiscal   Distrital   de   Santa   Lucía</w:t>
        <w:br/>
        <w:t>Cotzumalguapa del Ministerio Público (expediente de  anexos  al  escrito  de</w:t>
        <w:br/>
        <w:t>sometimiento, folio 849).</w:t>
        <w:br/>
        <w:t>[174]       Cfr. Escrito de 4 de mayo de  2005  de  la  Auxiliar  Fiscal  de</w:t>
        <w:br/>
        <w:t>Santa Lucía Cotzumalguapa, dirigido al Auxiliar de la Fiscalía  de  Derechos</w:t>
        <w:br/>
        <w:t>Humanos  del  Ministerio  Público  (expediente  de  anexos  al  escrito   de</w:t>
        <w:br/>
        <w:t>sometimiento, folio 855).</w:t>
        <w:br/>
        <w:t>[175]       Cfr. Declaración de 9 de mayo de 2005 (expediente de  anexos  al</w:t>
        <w:br/>
        <w:t>escrito de sometimiento, folios 860 a 862); Declaración de  11  de  mayo  de</w:t>
        <w:br/>
        <w:t>2005 (expediente de anexos al escrito de sometimiento, folios  863  a  867);</w:t>
        <w:br/>
        <w:t>Declaración de 11 de mayo de  2005  (expediente  de  anexos  al  escrito  de</w:t>
        <w:br/>
        <w:t>sometimiento, folios 868 a  870);  Declaraciones  de  24  de  mayo  de  2006</w:t>
        <w:br/>
        <w:t>(expediente de anexos  al  escrito  de  sometimiento,  folios  954  a  958);</w:t>
        <w:br/>
        <w:t>Declaraciones de 29 de mayo de 2006 (expediente  de  anexos  al  escrito  de</w:t>
        <w:br/>
        <w:t>sometimiento, folios 962 y  963);  Declaración  de  17  de  agosto  de  2006</w:t>
        <w:br/>
        <w:t>(expediente de anexos al escrito  de  sometimiento,  folios  1053  a  1058);</w:t>
        <w:br/>
        <w:t>Declaración de 17 de agosto de 2006 (expediente  de  anexos  al  escrito  de</w:t>
        <w:br/>
        <w:t>sometimiento, folios 1068 a 1073); Declaración  de  17  de  agosto  de  2006</w:t>
        <w:br/>
        <w:t>(expediente de anexos al escrito  de  sometimiento,  folios  1074  a  1080);</w:t>
        <w:br/>
        <w:t>Declaración de 29 de septiembre de 2006 (expediente de anexos al escrito  de</w:t>
        <w:br/>
        <w:t>sometimiento, folios 1104 y 1105), y Declaración de  13  de  marzo  de  2007</w:t>
        <w:br/>
        <w:t>(expediente de anexos al escrito de sometimiento, folios 1165 a 1167).</w:t>
        <w:br/>
        <w:t>[176]       Cfr. Acta donde consta la revisión del  libro  de  actas  de  la</w:t>
        <w:br/>
        <w:t>escuela República de México de 25 de agosto de 2006  (expediente  de  anexos</w:t>
        <w:br/>
        <w:t>al escrito de sometimiento, folios 1081 y 1082).</w:t>
        <w:br/>
        <w:t>[177]       Cfr. Acta de 9 de junio de  2005  de  la  Fiscalía  de  Derechos</w:t>
        <w:br/>
        <w:t>Humanos  del  Ministerio  Público  (expediente  de  anexos  al  escrito   de</w:t>
        <w:br/>
        <w:t>sometimiento, folio 894).</w:t>
        <w:br/>
        <w:t>[178]       Cfr. Comparecencia de 16  de  mayo  de  2006  de  B.A.  ante  el</w:t>
        <w:br/>
        <w:t>Auxiliar Fiscal del Ministerio Público (expediente de anexos al  escrito  de</w:t>
        <w:br/>
        <w:t>sometimiento, folio 951), y Comparecencia de 24 de  mayo  de  2006  de  E.A.</w:t>
        <w:br/>
        <w:t>ante el Auxiliar Fiscal del Ministerio  Público  (expediente  de  anexos  al</w:t>
        <w:br/>
        <w:t>escrito de sometimiento, folio 959).</w:t>
        <w:br/>
        <w:t>[179]        Cfr.  Solicitud  de  la  Fiscalía  de  Derechos  Humanos  a  la</w:t>
        <w:br/>
        <w:t>Dirección  de  Investigaciones  Criminalísticas  de  17  de  mayo  de   2005</w:t>
        <w:br/>
        <w:t>(expediente de anexos al escrito de sometimiento, folio 878).</w:t>
        <w:br/>
        <w:t>[180]       Cfr. Informe remitido el 9 de octubre de 2009  por  el  Auxiliar</w:t>
        <w:br/>
        <w:t>Fiscal a la Fiscalía de Sección de Derechos Humanos  (expediente  de  anexos</w:t>
        <w:br/>
        <w:t>al escrito de contestación, folios 7316 a 7321).</w:t>
        <w:br/>
        <w:t>[181]        Cfr.  Informe  elaborado  el  21  de  junio  de  2006  por  los</w:t>
        <w:br/>
        <w:t>Investigadores  de  la  DICRI  (expediente   de   anexos   al   escrito   de</w:t>
        <w:br/>
        <w:t>sometimiento, folios 1152 a 1156); Informe elaborado el 26 de marzo de  2008</w:t>
        <w:br/>
        <w:t>por los Investigadores de la DICRI  (expediente  de  anexos  al  escrito  de</w:t>
        <w:br/>
        <w:t>sometimiento, folios 1169 a 1174), y Declaración de 10 de abril de  2008  de</w:t>
        <w:br/>
        <w:t>los Investigadores de la DICRI ante  la  Fiscalía  de  Sección  de  Derechos</w:t>
        <w:br/>
        <w:t>humanos (expediente de anexos al escrito  de  sometimiento,  folios  1180  a</w:t>
        <w:br/>
        <w:t>1182).</w:t>
        <w:br/>
        <w:t>[182]       Cfr. Informe de 12 de junio de 2006  presentado  por  el  Agente</w:t>
        <w:br/>
        <w:t>Fiscal a la Secretaría  Ejecutiva  del  Ministerio  Público  (expediente  de</w:t>
        <w:br/>
        <w:t>anexos  al  escrito  de  sometimiento,  folios  965  a  967).  Ver  también,</w:t>
        <w:br/>
        <w:t>Declaración rendida por E.M., un Agente Fiscal asignado  al  caso,  ante  la</w:t>
        <w:br/>
        <w:t>Corte Interamericana en la audiencia pública celebrada el 5  de  febrero  de</w:t>
        <w:br/>
        <w:t>2014.</w:t>
        <w:br/>
        <w:t>[183]       Cfr. Escrito de 1 de agosto de 2006 elaborado por el  Agente  de</w:t>
        <w:br/>
        <w:t>la Fiscalía Especial de Derechos Humanos y remitido al  Auxiliar  Fiscal  de</w:t>
        <w:br/>
        <w:t>la Fiscalía Especial de Derechos Humanos (expediente de  anexos  al  escrito</w:t>
        <w:br/>
        <w:t>de sometimiento, folios 987 a 990). Ver  también,  Declaración  rendida  por</w:t>
        <w:br/>
        <w:t>E.M., un Agente Fiscal asignado al caso, ante la Corte Interamericana en  la</w:t>
        <w:br/>
        <w:t>audiencia pública celebrada el 5 de febrero de 2014.</w:t>
        <w:br/>
        <w:t>[184]       Cfr. Escrito de 19  de  septiembre  de  2006  elaborado  por  la</w:t>
        <w:br/>
        <w:t>Auxiliar de la Fiscalía Especial de Derechos Humanos al Coordinador  General</w:t>
        <w:br/>
        <w:t>de FUNDAZUCAR (expediente  de  anexos  al  escrito  de  sometimiento,  folio</w:t>
        <w:br/>
        <w:t>1085).</w:t>
        <w:br/>
        <w:t>[185]       Cfr. Escrito de 19  de  septiembre  de  2006  elaborado  por  la</w:t>
        <w:br/>
        <w:t>Auxiliar de la Fiscalía Especial de Derechos Humanos al director de  PRONADE</w:t>
        <w:br/>
        <w:t>(expediente de anexos al escrito de sometimiento, folio 1086), y Escrito  de</w:t>
        <w:br/>
        <w:t>6 de octubre de 2006 elaborado por la Auxiliar de la  Fiscalía  Especial  de</w:t>
        <w:br/>
        <w:t>Derechos Humanos al director de PRONADE (expediente de anexos al escrito  de</w:t>
        <w:br/>
        <w:t>sometimiento, folio 1109).</w:t>
        <w:br/>
        <w:t>[186]       Cfr. Escrito de 20  de  septiembre  de  2006  elaborado  por  la</w:t>
        <w:br/>
        <w:t>Auxiliar de la Fiscalía Especial de Derechos Humanos al Director General  de</w:t>
        <w:br/>
        <w:t>Migración (expediente de anexos al escrito de sometimiento, folio  1092),  y</w:t>
        <w:br/>
        <w:t>Escrito elaborado por la  Auxiliar  de  la  Fiscalía  Especial  de  Derechos</w:t>
        <w:br/>
        <w:t>Humanos al Director General de Migración, recibido el 12 de octubre de  2006</w:t>
        <w:br/>
        <w:t>(expediente de anexos al escrito de sometimiento, folio 1107).</w:t>
        <w:br/>
        <w:t>[187]       Cfr. Escrito de 20  de  septiembre  de  2006  elaborado  por  la</w:t>
        <w:br/>
        <w:t>Auxiliar de la Fiscalía Especial de Derechos Humanos al  Jefe  del  Gabinete</w:t>
        <w:br/>
        <w:t>Criminalístico de  la  Policía  Nacional  Civil  (expediente  de  anexos  al</w:t>
        <w:br/>
        <w:t>escrito de sometimiento, folio 1093).</w:t>
        <w:br/>
        <w:t>[188]       Cfr. Comunicación de 19 de septiembre de 2006  dirigida  por  la</w:t>
        <w:br/>
        <w:t>Auxiliar de la Fiscalía Especial de Derechos Humanos  al  Alcalde  Municipal</w:t>
        <w:br/>
        <w:t>de  Santa  Lucía  Cotzumalguapa  (expediente  de  anexos   al   escrito   de</w:t>
        <w:br/>
        <w:t>sometimiento, folio 1100).</w:t>
        <w:br/>
        <w:t>[189]       Cfr. Escrito de 27  de  septiembre  de  2006  elaborado  por  la</w:t>
        <w:br/>
        <w:t>Auxiliar de la Fiscalía  Especial  de  Derechos  Humanos  al  Encargado  del</w:t>
        <w:br/>
        <w:t>Programa de Naciones Unidas para el  Desarrollo  (expediente  de  anexos  al</w:t>
        <w:br/>
        <w:t>escrito de sometimiento, folio 1099).</w:t>
        <w:br/>
        <w:t>[190]       Cfr. Escrito de 27 de septiembre de 2006 de la  Auxiliar  de  la</w:t>
        <w:br/>
        <w:t>Fiscalía de Sección de  Derechos  Humanos,  dirigida  a  la  Presidenta  del</w:t>
        <w:br/>
        <w:t>Comité de la Escuela de Autogestión Comunitaria de  Cruce  de  la  Esperanza</w:t>
        <w:br/>
        <w:t>(expediente de anexos al escrito de sometimiento, folio 1106), y Escrito  de</w:t>
        <w:br/>
        <w:t>19 de octubre de 2006 realizada por la Auxiliar de la  Fiscalía  de  Sección</w:t>
        <w:br/>
        <w:t>de Derechos Humanos, dirigida a la Presidenta del Comité de  la  Escuela  de</w:t>
        <w:br/>
        <w:t>Autogestión Comunitaria de Cruce de la Esperanza (expediente  de  anexos  al</w:t>
        <w:br/>
        <w:t>escrito de sometimiento, folio 1119).</w:t>
        <w:br/>
        <w:t>[191]       Cfr. Escrito de 9 de octubre de 2006 elaborado por  la  Auxiliar</w:t>
        <w:br/>
        <w:t>de la Fiscalía Especial de Derechos  Humanos  al  Director  de  Registro  de</w:t>
        <w:br/>
        <w:t>Ciudadanos del Tribunal Supremo Electoral (expediente de anexos  al  escrito</w:t>
        <w:br/>
        <w:t>de sometimiento, folio 1108).</w:t>
        <w:br/>
        <w:t>[192]       Cfr. Escrito de 10 de octubre de 2006 elaborado por la  Auxiliar</w:t>
        <w:br/>
        <w:t>de la Fiscalía Especial de Derechos  Humanos  al  Reverendo  Párroco  de  la</w:t>
        <w:br/>
        <w:t>Parroquia Santa Lucía Cotzumalguapa (expediente  de  anexos  al  escrito  de</w:t>
        <w:br/>
        <w:t>sometimiento, folio 1112).</w:t>
        <w:br/>
        <w:t>[193]       Cfr. Escrito  de  20  de  septiembre  de  2006  emitida  por  el</w:t>
        <w:br/>
        <w:t>Coordinador General de PRONADE/FUNDAZUCAR (expediente de anexos  al  escrito</w:t>
        <w:br/>
        <w:t>de sometimiento, folios 1088 a 1091).</w:t>
        <w:br/>
        <w:t>[194]       Cfr. Escrito de  21  de  septiembre  de  2006  remitido  por  el</w:t>
        <w:br/>
        <w:t>Director Nacional de PRONADE  al  Auxiliar  Fiscal  del  Ministerio  Público</w:t>
        <w:br/>
        <w:t>(expediente de anexos al escrito de sometimiento, folios  1095  y  1096),  y</w:t>
        <w:br/>
        <w:t>Escrito de 10 de octubre de  2006  remitido  por  el  Director  Nacional  de</w:t>
        <w:br/>
        <w:t>PRONADE al Auxiliar Fiscal del Ministerio Público (expediente de  anexos  al</w:t>
        <w:br/>
        <w:t>escrito de sometimiento, folio 1111).</w:t>
        <w:br/>
        <w:t>[195]       Cfr. Escrito de 27  de  septiembre  de  2006  elaborado  por  la</w:t>
        <w:br/>
        <w:t>Dirección  General  de  Migración  (expediente  de  anexos  al  escrito   de</w:t>
        <w:br/>
        <w:t>sometimiento, folios 1101 a 1103),  y  Escrito  de  1  de  octubre  de  2006</w:t>
        <w:br/>
        <w:t>elaborado por la Dirección General de Migración  (expediente  de  anexos  al</w:t>
        <w:br/>
        <w:t>escrito de sometimiento, folios 1114 a 1118).</w:t>
        <w:br/>
        <w:t>[196]       Cfr. Memorándum de 19 de octubre de 2006 realizado por  el  Jefe</w:t>
        <w:br/>
        <w:t>de Gabinete Criminalístico y  el  encargado  de  la  Sección  Dactiloscópica</w:t>
        <w:br/>
        <w:t>(expediente de anexos al escrito de sometimiento, folio 1120).</w:t>
        <w:br/>
        <w:t>[197]       Cfr. Escrito de 21 de noviembre de 2006  del  Alcalde  Municipal</w:t>
        <w:br/>
        <w:t>dirigido a la Auxiliar  de  la  Fiscalía  de  Sección  de  Derechos  Humanos</w:t>
        <w:br/>
        <w:t>(expediente de anexos al escrito de sometimiento, folios 1123 a 1128).</w:t>
        <w:br/>
        <w:t>[198]       Cfr. Constancia de bautismo  de  la  Parroquia  de  Santa  Lucía</w:t>
        <w:br/>
        <w:t>Cotzumalguapa (expediente  de  anexos  al  escrito  de  sometimiento,  folio</w:t>
        <w:br/>
        <w:t>1129).</w:t>
        <w:br/>
        <w:t>[199]       Cfr. Declaración de 10 de abril de 2008 del Investigador  de  la</w:t>
        <w:br/>
        <w:t>DICRI ante la Fiscalía de Sección de Derechos humanos (expediente de  anexos</w:t>
        <w:br/>
        <w:t>al escrito de sometimiento, folios 1180 a 1182).</w:t>
        <w:br/>
        <w:t>[200]       Cfr. Informe de 9 de octubre de 2009  emitido  por  el  Auxiliar</w:t>
        <w:br/>
        <w:t>Fiscal a la Fiscalía de Sección de Derechos Humanos  (expediente  de  anexos</w:t>
        <w:br/>
        <w:t>al escrito de contestación, folios 7316 a 7321).</w:t>
        <w:br/>
        <w:t>[201]       Cfr. Solicitud presentada el 16 de junio de 2008 por  el  Agente</w:t>
        <w:br/>
        <w:t>Fiscal ante el Juzgado de Primera Instancia Penal, Narcoactividad y  Delitos</w:t>
        <w:br/>
        <w:t>contra el ambiente del Municipio de Santa  Lucía  Cotzumalguapa  (expediente</w:t>
        <w:br/>
        <w:t>de anexos al escrito de sometimiento, folios 1183 a 1188).</w:t>
        <w:br/>
        <w:t>[202]       El 31 de agosto de  2005  la  Auxiliar  Fiscal  de  la  Fiscalía</w:t>
        <w:br/>
        <w:t>Especial de Derechos Humanos del Ministerio Público solicitó al  Juzgado  de</w:t>
        <w:br/>
        <w:t>Primera Instancia Penal, Narcoactividad y  Delitos  contra  el  Ambiente  de</w:t>
        <w:br/>
        <w:t>Santa Lucía Cotzumalguapa, el control jurisdiccional del  caso.  Ante  dicha</w:t>
        <w:br/>
        <w:t>solicitud,  el  Juzgado  de  Primera  Instancia  Penal   tomó   el   control</w:t>
        <w:br/>
        <w:t>jurisdiccional del caso el 1 de septiembre  de  2005,  abrió  el  número  de</w:t>
        <w:br/>
        <w:t>causa C-475/2005 y lo remitió a la Fiscalía el  8  de  septiembre  de  2005.</w:t>
        <w:br/>
        <w:t>Cfr. Escrito de 31 de agosto de  2005  presentado  por  la  Auxiliar  de  la</w:t>
        <w:br/>
        <w:t>Fiscalía Especial de Derechos Humanos ante el Juzgado de  Primera  Instancia</w:t>
        <w:br/>
        <w:t>Penal,  Narcoactividad  y  Delitos  contra  el  Ambiente  de   Santa   Lucía</w:t>
        <w:br/>
        <w:t>Cotzumalguapa (expediente de anexos al escrito de sometimiento,  folios  942</w:t>
        <w:br/>
        <w:t>a 943); Acta de 7 de septiembre de 2005 (expediente de anexos al escrito  de</w:t>
        <w:br/>
        <w:t>sometimiento, folios 944 y 945), y Escrito de 8 de septiembre  de  2005  del</w:t>
        <w:br/>
        <w:t>encargado de la oficina de atención permanente de la Fiscalía  Municipal  de</w:t>
        <w:br/>
        <w:t>Santa Lucía Cotzumalguapa (expediente de anexos al escrito de  sometimiento,</w:t>
        <w:br/>
        <w:t>folios 937 y 938).</w:t>
        <w:br/>
        <w:t>[203]       Cfr. Resolución de 16 de junio de 2008 emitida por la  Jueza  de</w:t>
        <w:br/>
        <w:t>Primera Instancia Penal, Narcoactividad y Delitos  contra  el  ambiente  del</w:t>
        <w:br/>
        <w:t>Municipio de Santa Lucía Cotzumalguapa (expediente de anexos al  escrito  de</w:t>
        <w:br/>
        <w:t>sometimiento, folios 1273 a 1276 y 1294 a 1296).</w:t>
        <w:br/>
        <w:t>[204]       Cfr. Diligencia de inspección, allanamiento y registro de 17  de</w:t>
        <w:br/>
        <w:t>junio de 2008 (expediente de anexos al escrito de sometimiento, folios  1291</w:t>
        <w:br/>
        <w:t>a 1293); Diligencia de inspección, allanamiento y registro de  17  de  junio</w:t>
        <w:br/>
        <w:t>de 2008 (expediente de anexos al escrito  de  sometimiento,  folios  1296  y</w:t>
        <w:br/>
        <w:t>1297); Diligencia de inspección, allanamiento y registro de 17 de  junio  de</w:t>
        <w:br/>
        <w:t>2008 (expediente de anexos al escrito de sometimiento, folios 1300 y  1301),</w:t>
        <w:br/>
        <w:t>y Diligencia de inspección, allanamiento y registro de 17 de junio  de  2008</w:t>
        <w:br/>
        <w:t>(expediente de anexos al escrito de sometimiento, folios 1304 a 1306).</w:t>
        <w:br/>
        <w:t>[205]       Cfr. Informe de 17 de junio de 2008 elaborado por el jefe de  la</w:t>
        <w:br/>
        <w:t>Subestación 31-43 de la Policía Nacional Civil de Santa Lucía  Cotzumalguapa</w:t>
        <w:br/>
        <w:t>(expediente de anexos al escrito de sometimiento, folio 1286), e Informe  de</w:t>
        <w:br/>
        <w:t>17 de junio de 2008 elaborado por el jefe de  la  Subestación  31-43  de  la</w:t>
        <w:br/>
        <w:t>Policía Nacional Civil de Santa Lucía Cotzumalguapa  (expediente  de  anexos</w:t>
        <w:br/>
        <w:t>al escrito de sometimiento, folio 1287).</w:t>
        <w:br/>
        <w:t>[206]       Cfr. Informe de 2 de abril  de  2009  elaborado  por  el  Agente</w:t>
        <w:br/>
        <w:t>Fiscal dirigido al Coordinador de  la  Secretaría  de  Coordinación  Técnica</w:t>
        <w:br/>
        <w:t>(expediente de anexos al escrito de sometimiento, folios  1320  y  1321),  e</w:t>
        <w:br/>
        <w:t>Informe de 2 de abril de 2009 elaborado por el Agente Fiscal dirigido  a  la</w:t>
        <w:br/>
        <w:t>Fiscalía Sección de la Fiscalía de Derechos Humanos  (expediente  de  anexos</w:t>
        <w:br/>
        <w:t>al escrito de sometimiento, folios 1326 y 1327).</w:t>
        <w:br/>
        <w:t>[207]       Cfr. Informe de 9 de octubre de 2009 elaborado por  el  Auxiliar</w:t>
        <w:br/>
        <w:t>Fiscal dirigido a la Fiscalía de Sección de Derechos Humanos (expediente  de</w:t>
        <w:br/>
        <w:t>anexos al escrito de contestación, folios 7316 a 7321).</w:t>
        <w:br/>
        <w:t>[208]       Cfr. Certificado de defunción  de  L.L.  (expediente  de  fondo,</w:t>
        <w:br/>
        <w:t>folio 2092).</w:t>
        <w:br/>
        <w:t>[209]        Cfr.  Escrito  de  22  de  diciembre  de  2004   del   Auxiliar</w:t>
        <w:br/>
        <w:t>Departamental de Escuintla  de  la  Procuraduría  de  los  Derechos  Humanos</w:t>
        <w:br/>
        <w:t>(expediente de anexos al escrito de sometimiento, folio 898); Escrito  de  5</w:t>
        <w:br/>
        <w:t>de enero de 2005 del Auxiliar Departamental de Escuintla de la  Procuraduría</w:t>
        <w:br/>
        <w:t>de los Derechos Humanos dirigido al Comisario Departamental  de  la  Policía</w:t>
        <w:br/>
        <w:t>Nacional Civil (expediente de  anexos  al  escrito  de  sometimiento,  folio</w:t>
        <w:br/>
        <w:t>906), y Escrito de 25  de  enero  de  2005  del  Auxiliar  Departamental  de</w:t>
        <w:br/>
        <w:t>Escuintla de la Procuraduría de los Derechos Humanos dirigido al  Gobernador</w:t>
        <w:br/>
        <w:t>Departamental  de  Escuintla   (expediente   de   anexos   al   escrito   de</w:t>
        <w:br/>
        <w:t>sometimiento, folio 911).</w:t>
        <w:br/>
        <w:t>[210]       Cfr. Memorando  de  7  de  febrero  de  2005  realizado  por  el</w:t>
        <w:br/>
        <w:t>investigador de la Procuraduría  de  los  Derechos  Humanos  (expediente  de</w:t>
        <w:br/>
        <w:t>anexos al escrito de sometimiento, folios 913 a 918).</w:t>
        <w:br/>
        <w:t>[211]       Cfr. Memorando de investigación  de  23  de  diciembre  de  2004</w:t>
        <w:br/>
        <w:t>realizado por el investigador de la Procuraduría  de  los  Derechos  Humanos</w:t>
        <w:br/>
        <w:t>(expediente de anexos  al  escrito  de  sometimiento,  folios  901  a  905);</w:t>
        <w:br/>
        <w:t>Memorando  de  investigación  de  3  de  enero  de  2005  realizado  por  el</w:t>
        <w:br/>
        <w:t>investigador de la Procuraduría  de  los  Derechos  Humanos  (expediente  de</w:t>
        <w:br/>
        <w:t>anexos  al  escrito  de  sometimiento,  folios  907  a  909);  Memorando  de</w:t>
        <w:br/>
        <w:t>investigación de 7 de febrero de 2005 realizado por el  investigador  de  la</w:t>
        <w:br/>
        <w:t>Procuraduría de los Derechos Humanos (expediente de  anexos  al  escrito  de</w:t>
        <w:br/>
        <w:t>sometimiento, folios 913 a 915), y  Memorando  de  investigación  de  22  de</w:t>
        <w:br/>
        <w:t>marzo de 2005 realizado por  el  investigador  de  la  Procuraduría  de  los</w:t>
        <w:br/>
        <w:t>Derechos Humanos (expediente de anexos al escrito  de  sometimiento,  folios</w:t>
        <w:br/>
        <w:t>924 y 925)</w:t>
        <w:br/>
        <w:t>[212]        Cfr.  Memorando  de  investigación  de  22  de  marzo  de  2005</w:t>
        <w:br/>
        <w:t>realizado por el investigador de la Procuraduría  de  los  Derechos  Humanos</w:t>
        <w:br/>
        <w:t>(expediente de anexos al escrito de sometimiento, folios 924 y 925).</w:t>
        <w:br/>
        <w:t>[213]       Cfr. Acta de diligencia de 7 de junio de 2005 realizada  por  la</w:t>
        <w:br/>
        <w:t>oficial  primero  de  la  Auxiliatura  Departamental  de  Escuintla  de   la</w:t>
        <w:br/>
        <w:t>Procuraduría de los Derechos Humanos (expediente de  anexos  al  escrito  de</w:t>
        <w:br/>
        <w:t>sometimiento, folio 926).</w:t>
        <w:br/>
        <w:t>[214]       Cfr. Decisión de 8 de  junio  de  2005  del  Procurador  de  los</w:t>
        <w:br/>
        <w:t>Derechos Humanos (expediente de anexos al escrito  de  sometimiento,  folios</w:t>
        <w:br/>
        <w:t>927 y 928).</w:t>
        <w:br/>
        <w:t>[215]       Cfr. Informe remitido el 20 de julio de  2009  por  el  Auxiliar</w:t>
        <w:br/>
        <w:t>Fiscal a la Fiscalía de Sección de Derechos Humanos  (expediente  de  anexos</w:t>
        <w:br/>
        <w:t>al escrito de sometimiento, folios 7316 a 7321), y Escrito  de  denuncia  de</w:t>
        <w:br/>
        <w:t>B.A.  de  21  de  enero  de  2005  (expediente  de  anexos  al  escrito   de</w:t>
        <w:br/>
        <w:t>contestación, folio 1405).</w:t>
        <w:br/>
        <w:t>[216]       Cfr. Escrito remitido el 23 de junio de 2008 a  la  Fiscalía  de</w:t>
        <w:br/>
        <w:t>Sección  de  Derechos  Humanos  (expediente  de   anexos   al   escrito   de</w:t>
        <w:br/>
        <w:t>sometimiento, folio 1284).</w:t>
        <w:br/>
        <w:t>[217]            El artículo 4.1 de la Convención Americana  establece  que:</w:t>
        <w:br/>
        <w:t>“Toda persona tiene derecho a que se respete su vida.  Este  derecho  estará</w:t>
        <w:br/>
        <w:t>protegido por la ley y, en general, a partir del momento de  la  concepción.</w:t>
        <w:br/>
        <w:t>Nadie puede ser privado de la vida arbitrariamente”.</w:t>
        <w:br/>
        <w:t>[218]            El artículo 5.1 de la Convención Americana  establece  que:</w:t>
        <w:br/>
        <w:t>“Toda persona tiene derecho a que se respete su integridad física,  psíquica</w:t>
        <w:br/>
        <w:t>y moral”.</w:t>
        <w:br/>
        <w:t>[219]       Valle Jaramillo y otros  Vs.  Colombia.  Fondo,  Reparaciones  y</w:t>
        <w:br/>
        <w:t>Costas. Sentencia de 27 de noviembre de 2008. Serie  C.  192,  párr.  87,  y</w:t>
        <w:br/>
        <w:t>Caso Castillo González, Fondo. Sentencia de 27 de noviembre de  2012.  Serie</w:t>
        <w:br/>
        <w:t>C No. 256, párr. 124.</w:t>
        <w:br/>
        <w:t>[220]       Cfr. Organización de  Estados  Americanos,  “Defensores  de  los</w:t>
        <w:br/>
        <w:t>derechos humanos en las Américas”: Apoyo a las tareas  que  desarrollan  las</w:t>
        <w:br/>
        <w:t>personas, grupos y organizaciones de la sociedad civil para la  promoción  y</w:t>
        <w:br/>
        <w:t>protección de los derechos humanos en  las  Américas,  AG/Res.  1671  (XXIX-</w:t>
        <w:br/>
        <w:t>O/99)     de     7     de     junio     de     1999,     disponible      en:</w:t>
        <w:br/>
        <w:t>http://www.oas.org/dil/esp/ag01249s08.doc; AG/Res. 1711 (XXX-O/00) de  5  de</w:t>
        <w:br/>
        <w:t>junio de 2000, disponible  en:  http://www.oas.org/dil/esp/ag01511s07.doc  y</w:t>
        <w:br/>
        <w:t>AG/Res.  2412  (XXXVIII-O/08)  de  3  de  junio  de  2008,  disponible   en:</w:t>
        <w:br/>
        <w:t>https://www.oas.org/dil/esp/AGRES_2412.doc.</w:t>
        <w:br/>
        <w:t>[221]       Cfr.  Caso  Luna  López  Vs.  Honduras.  Fondo,  Reparaciones  y</w:t>
        <w:br/>
        <w:t>Costas. Sentencia de 10 de octubre de 2013. Serie C No. 269, párr. 122.</w:t>
        <w:br/>
        <w:t>[222]       Cfr. Valle Jaramillo y otros  Vs.  Colombia,  supra,  párr.  88;</w:t>
        <w:br/>
        <w:t>Caso Kawas Fernández Vs. Honduras. Fondo, Reparaciones y  Costas.  Sentencia</w:t>
        <w:br/>
        <w:t>de 3 de abril de 2009. Serie C No. 196, párr. 147, y  Caso  Fleury  y  otros</w:t>
        <w:br/>
        <w:t>Vs. Haití. Fondo y Reparaciones. Sentencia  de  23  de  noviembre  de  2011.</w:t>
        <w:br/>
        <w:t>Serie C No. 236, párr. 80.</w:t>
        <w:br/>
        <w:t>[223]       Cfr. Caso Kawas Fernández Vs. Honduras, supra, párr. 147.</w:t>
        <w:br/>
        <w:t>[224]       La  Alta  Comisionada  de  Naciones  Unidas  para  los  Derechos</w:t>
        <w:br/>
        <w:t>Humanos ha sugerido que la calidad  de  defensora  o  defensor  de  derechos</w:t>
        <w:br/>
        <w:t>humanos se determine de acuerdo con las acciones realizadas por  la  persona</w:t>
        <w:br/>
        <w:t>y no otras calidades. Para ser considerada  dentro  de  esta  categoría,  la</w:t>
        <w:br/>
        <w:t>persona debe proteger o promover cualquier derecho o  derechos  a  favor  de</w:t>
        <w:br/>
        <w:t>personas o grupos de personas. Véase, Oficina de  las  Naciones  Unidas  del</w:t>
        <w:br/>
        <w:t>Alto Comisionado para los Derechos Humanos, Los Defensores de  los  Derechos</w:t>
        <w:br/>
        <w:t>Humanos: Protección del Derecho a Defender los Derechos Humanos, Fact  Sheet</w:t>
        <w:br/>
        <w:t>No.  29,  UN   publications,   Geneva,   2004,   pág.   8.   Disponible   en</w:t>
        <w:br/>
        <w:t>http://www.ohchr.org/Documents/Publications/FactSheet29sp.pdf,  y  Relatoría</w:t>
        <w:br/>
        <w:t>Especial sobre la Situación de los Defensores de Derechos Humanos,  “Who  is</w:t>
        <w:br/>
        <w:t>a                 Defender”,                  Disponible                 en:</w:t>
        <w:br/>
        <w:t>http://www.ohchr.org/EN/Issues/SRHRDefenders/Pages/Defender.aspx.</w:t>
        <w:br/>
        <w:t>[225]       Las Directrices de la Unión Europea sobre los defensores de  los</w:t>
        <w:br/>
        <w:t>derechos humanos han definido la figura de los defensores  y  defensoras  de</w:t>
        <w:br/>
        <w:t>derechos humanos como “personas, grupos e instituciones de la  sociedad  que</w:t>
        <w:br/>
        <w:t>promueven y protegen los derechos humanos  y  las  libertades  fundamentales</w:t>
        <w:br/>
        <w:t>universalmente  reconocidos”.  Véase,   Consejo   de   la   Unión   Europea.</w:t>
        <w:br/>
        <w:t>Directrices de la  Unión  Europea  sobre  los  defensores  de  los  derechos</w:t>
        <w:br/>
        <w:t>humanos,   8   de   diciembre   de   2008,   párr.   3.    Disponible    en:</w:t>
        <w:br/>
        <w:t>http://www.consilium.europa.eu/uedocs/cmsUpload/16332-re02.es08.pdf.</w:t>
        <w:br/>
        <w:t>[226]       La Asamblea Parlamentaria del Consejo de Europa ha señalado  que</w:t>
        <w:br/>
        <w:t>“los defensores  de  derechos  humanos  son  todas  aquellas  personas  que,</w:t>
        <w:br/>
        <w:t>individual o conjuntamente con otros, actúan para promover  o  proteger  los</w:t>
        <w:br/>
        <w:t>derechos humanos. Son sus actividades en este  campo  las  que  los  definen</w:t>
        <w:br/>
        <w:t>como defensores de los derechos humanos”. Véase, Asamblea Parlamentaria  del</w:t>
        <w:br/>
        <w:t>Consejo de Europa, The situation of human rights  defenders  in  Council  of</w:t>
        <w:br/>
        <w:t>Europe member states, Resolución  1660,  28  de  abril  de  2009,  punto  2.</w:t>
        <w:br/>
        <w:t>Disponible           en:            http://assembly.coe.int/ASP/XRef/X2H-DW-</w:t>
        <w:br/>
        <w:t>XSL.asp?fileid=17727&amp;lang=en.</w:t>
        <w:br/>
        <w:t>[227]       La Comisión Interamericana ha señalado que “toda persona que  de</w:t>
        <w:br/>
        <w:t>cualquier forma promueva o procure la realización de los derechos humanos  y</w:t>
        <w:br/>
        <w:t>las libertades fundamentales reconocidos a nivel nacional  o  internacional,</w:t>
        <w:br/>
        <w:t>debe ser  considerada  como  defensor  de  derechos  humanos”.  Véase  CIDH,</w:t>
        <w:br/>
        <w:t>Informe sobre la Situación de las Defensoras y Defensores  de  los  Derechos</w:t>
        <w:br/>
        <w:t>Humanos en las Américas. OEA/Ser.L/V/II.124 Doc. 5 rev.  1  de  marzo  2006,</w:t>
        <w:br/>
        <w:t>párr.                  13,                  disponible                   en:</w:t>
        <w:br/>
        <w:t>http://www.cidh.org/countryrep/defensores/defensorescap1-4.htm#UNIDAD,     y</w:t>
        <w:br/>
        <w:t>Segundo informe sobre la situación de las defensoras  y  defensores  de  los</w:t>
        <w:br/>
        <w:t>derechos  humanos  en  las  Américas,  OEA/Ser.L/V/II.  Doc.66,  párr.   12,</w:t>
        <w:br/>
        <w:t>disponible                                                               en:</w:t>
        <w:br/>
        <w:t>http://www.oas.org/es/cidh/defensores/docs/pdf/defensores2011.pdf.    Véase,</w:t>
        <w:br/>
        <w:t>además, CIDH, Garantías para la independencia de las  y  los  operadores  de</w:t>
        <w:br/>
        <w:t>justicia, de 5 de diciembre de 2013, párr. 2. En dicho informe, la  Comisión</w:t>
        <w:br/>
        <w:t>señaló que: “[t]al y como lo ha expresado la Relatora Especial  de  Naciones</w:t>
        <w:br/>
        <w:t>Unidas sobre la Situación de Defensores de Derechos Humanos,  cuando  las  y</w:t>
        <w:br/>
        <w:t>los operadores de justicia contribuyen a que se logre el acceso  efectivo  a</w:t>
        <w:br/>
        <w:t>la justicia y realizan ‘un esfuerzo especial  en  un  proceso  para  que  se</w:t>
        <w:br/>
        <w:t>imparta justicia de manera independiente e imparcial y  garantizar  así  los</w:t>
        <w:br/>
        <w:t>derechos de las víctimas, puede decirse que actúan como  defensores  de  los</w:t>
        <w:br/>
        <w:t>derechos humanos’. Bajo dicha perspectiva,  en  el  ámbito  de  la  Comisión</w:t>
        <w:br/>
        <w:t>Interamericana, la Relatoría  sobre  Defensores  y  Defensoras  de  Derechos</w:t>
        <w:br/>
        <w:t>Humanos ha sido el punto  focal  encargado  de  realizar  el  seguimiento  y</w:t>
        <w:br/>
        <w:t>monitoreo respecto de la situación de operadoras y  operadores  de  justicia</w:t>
        <w:br/>
        <w:t>reconociendo la función  esencial  que  realizan  para  la  defensa  de  los</w:t>
        <w:br/>
        <w:t>derechos humanos en su condición de garantes del  derecho  de  acceso  a  la</w:t>
        <w:br/>
        <w:t>justicia”.                          Disponible                           en:</w:t>
        <w:br/>
        <w:t>http://www.oas.org/es/cidh/defensores/docs/pdf/Operadores-de-Justicia-</w:t>
        <w:br/>
        <w:t>2013.pdf.</w:t>
        <w:br/>
        <w:t>[228]       En igual sentido véase:  Declaración  sobre  los  Defensores  de</w:t>
        <w:br/>
        <w:t>Derechos      Humanos,       artículo       12.3,       disponible       en:</w:t>
        <w:br/>
        <w:t>http://www.ohchr.org/SP/Issues/SRHRDefenders/Pages/Declaration.aspx;</w:t>
        <w:br/>
        <w:t>Consejo de la Unión Europea, Directrices  de  la  Unión  Europea  sobre  los</w:t>
        <w:br/>
        <w:t>defensores de los derechos humanos. 8 de diciembre de 2008, supra, párr.  3,</w:t>
        <w:br/>
        <w:t>y Oficina de las Naciones Unidas del  Alto  Comisionado  para  los  Derechos</w:t>
        <w:br/>
        <w:t>Humanos, “Los Defensores de los Derechos Humanos: Protección del  Derecho  a</w:t>
        <w:br/>
        <w:t>Defender los Derechos Humanos”, Fact Sheet No. 29, supra, pág. 11.</w:t>
        <w:br/>
        <w:t>[229]        En  su  peritaje,  la  señora  Hina  Jilani  sostuvo  que:  “la</w:t>
        <w:br/>
        <w:t>condición de defensor de los derechos humanos no es permanente,  en  algunos</w:t>
        <w:br/>
        <w:t>casos sí  porque  hay  organizaciones  no  gubernamentales  que  se  dedican</w:t>
        <w:br/>
        <w:t>únicamente a esa actividad, a nivel nacional o internacional.   Sin  embargo</w:t>
        <w:br/>
        <w:t>no  podemos  negarle  esa  condición  a  quienes  hayan  actuado  de  manera</w:t>
        <w:br/>
        <w:t>momentánea  para  promover  los  derechos  humanos”.  Véase,  además,   Alto</w:t>
        <w:br/>
        <w:t>Comisionado para los  Derechos  Humanos,  Los  Defensores  de  los  Derechos</w:t>
        <w:br/>
        <w:t>Humanos: Protección del Derecho a Defender los Derechos Humanos, Fact  Sheet</w:t>
        <w:br/>
        <w:t>No. 29, supra, págs. 8 a 9,  donde  se  señala  que:  “[m]uchas  actividades</w:t>
        <w:br/>
        <w:t>profesionales no  siempre  suponen  un  trabajo  a  favor  de  los  derechos</w:t>
        <w:br/>
        <w:t>humanos, pero pueden tener una  vinculación  ocasional  con  ellos”.  Cuando</w:t>
        <w:br/>
        <w:t>dichas actividades se realizan de manera que suponga  un  apoyo  concreto  a</w:t>
        <w:br/>
        <w:t>los derechos humanos, puede decirse que las personas que las llevan  a  cabo</w:t>
        <w:br/>
        <w:t>actúan  como  defensores  de  los  derechos  humanos.  Asimismo,   “[m]uchas</w:t>
        <w:br/>
        <w:t>personas actúan como defensoras  de  los  derechos  humanos  fuera  de  todo</w:t>
        <w:br/>
        <w:t>contexto profesional o laboral”. Lo importante  es  considerar  cómo  actúan</w:t>
        <w:br/>
        <w:t>esas personas en apoyo  de  los  derechos   humanos  y,  en  algunos  casos,</w:t>
        <w:br/>
        <w:t>determinar si se realiza un “esfuerzo especial”  para  promover  o  proteger</w:t>
        <w:br/>
        <w:t>los derechos humanos.</w:t>
        <w:br/>
        <w:t>[230]       La Corte constató, además, que para el 12 de noviembre de  2003,</w:t>
        <w:br/>
        <w:t>la señora B.A. se desempeñaba como Vicepresidenta de la Red  de  Mujeres  de</w:t>
        <w:br/>
        <w:t>Escuintla (supra párr. 89), sin embargo, no cuenta con información  respecto</w:t>
        <w:br/>
        <w:t>a las actividades que  desarrolla  o  desarrollaba  dicha  organización,  ni</w:t>
        <w:br/>
        <w:t>sobre las actividades que la señora B.A. realizaba como  su  Vicepresidenta.</w:t>
        <w:br/>
        <w:br/>
        <w:t>[231]       La Corte recuerda que en 2009  fue  elegida  como  Representante</w:t>
        <w:br/>
        <w:t>Titular de las Organizaciones de Mujeres ante el  Consejo  Departamental  de</w:t>
        <w:br/>
        <w:t>Desarrollo de Escuintla (supra párr. 100).</w:t>
        <w:br/>
        <w:t>[232]       Alegó que: i) si bien se puso  en  conocimiento  del  Centro  de</w:t>
        <w:br/>
        <w:t>Mediación del Organismo Judicial las presuntas amenazas a B.A. recibidas  en</w:t>
        <w:br/>
        <w:t>diciembre de 2003, tal hecho no había sido investigado; ii)   la  mencionada</w:t>
        <w:br/>
        <w:t>amenaza recibida en el año  de  2003  por  parte  de  un  presunto  exkaibil</w:t>
        <w:br/>
        <w:t>tampoco fue investigada; iii) con posterioridad a la muerte del  señor  A.A.</w:t>
        <w:br/>
        <w:t>la familia  fue  objeto  de  amenazas,  hostigamiento  y  vigilancia  en  su</w:t>
        <w:br/>
        <w:t>domicilio,  sin  embargo,  dichos  hechos   no   habían   sido   debidamente</w:t>
        <w:br/>
        <w:t>investigados ni los familiares habrían recibido  protección  del  Estado,  a</w:t>
        <w:br/>
        <w:t>pesar que habían sido  puestos  en  conocimiento  de  las  autoridades;  iv)</w:t>
        <w:br/>
        <w:t>respecto a los hechos relacionados con el supuesto atentado de 14  de  enero</w:t>
        <w:br/>
        <w:t>de 2005 en contra de B.A., no se habían  realizado  diligencias  importantes</w:t>
        <w:br/>
        <w:t>para su respectiva investigación; y v) si  bien  el  Estado  había  indicado</w:t>
        <w:br/>
        <w:t>haber ofrecido iniciar una solicitud de protección a la familia A, la  misma</w:t>
        <w:br/>
        <w:t>habría sido ofrecida en el año 2008.</w:t>
        <w:br/>
        <w:t>[233]       Cfr. Caso Velásquez Rodríguez Vs. Honduras. Fondo, supra,  párr.</w:t>
        <w:br/>
        <w:t>163, y Caso Gutiérrez y familia Vs. Argentina, supra, párr. 76.</w:t>
        <w:br/>
        <w:t>[234]       Cfr. Caso de los  “Niños  de  la  Calle”  (Villagrán  Morales  y</w:t>
        <w:br/>
        <w:t>otros) Vs. Guatemala,  supra,  párr.  139,  y  Caso  Castillo  González  Vs.</w:t>
        <w:br/>
        <w:t>Venezuela, supra, párr. 122.</w:t>
        <w:br/>
        <w:t>[235]       Cfr. Caso Velásquez Rodríguez Vs. Honduras. Fondo, supra,  párr.</w:t>
        <w:br/>
        <w:t>166, y Caso Luna López Vs. Honduras, supra, párr. 118.</w:t>
        <w:br/>
        <w:t>[236]       Cfr. Caso de la Masacre de Mapiripán Vs. Colombia, supra,  párr.</w:t>
        <w:br/>
        <w:t>111, y Caso Luna López Vs. Honduras, supra, párr. 120.</w:t>
        <w:br/>
        <w:t>[237]       Cfr. Caso de la Masacre de Pueblo  Bello  Vs.  Colombia,  Fondo,</w:t>
        <w:br/>
        <w:t>Reparaciones y Costas. Sentencia de 31 de enero de 2006. Serie  C  No.  140,</w:t>
        <w:br/>
        <w:t>párr.123, y Caso  Luna  López  Vs.  Honduras,  supra,  párr.  123.  En  este</w:t>
        <w:br/>
        <w:t>sentido, la Corte Europea de Derechos Humanos  ha  entendido  que:  “[…]  no</w:t>
        <w:br/>
        <w:t>todo alegado riesgo a  la  vida  impone  a  las  autoridades  la  obligación</w:t>
        <w:br/>
        <w:t>convencional de tomar medidas operativas  para  prevenir  que  aquel  riesgo</w:t>
        <w:br/>
        <w:t>llegue a materializarse. Para que surja esa obligación  positiva,  debe  ser</w:t>
        <w:br/>
        <w:t>establecido que al momento de los hechos las autoridades  sabían,  o  debían</w:t>
        <w:br/>
        <w:t>haber sabido, de la existencia de un riesgo real e inmediato  para  la  vida</w:t>
        <w:br/>
        <w:t>de un individuo identificado […] respecto de actos criminales  de  terceros,</w:t>
        <w:br/>
        <w:t>y que tales autoridades no tomaron las medidas dentro  del  alcance  de  sus</w:t>
        <w:br/>
        <w:t>poderes que, juzgadas razonablemente, podían  esperarse  para  evitar  dicho</w:t>
        <w:br/>
        <w:t>riesgo […]”.  (Traducción  de  la  Secretaría)  Cfr.  TEDH,  Caso  Kiliç  v.</w:t>
        <w:br/>
        <w:t>Turquía, No. 22492/93,  Sentencia de 28 marzo de  2000, párrs. 62  y  63,  y</w:t>
        <w:br/>
        <w:t>TEDH, Osman v. Reino Unido, No. 23452/94, Sentencia  de 28 octubre de  1998,</w:t>
        <w:br/>
        <w:t>párrs. 115 y 116.</w:t>
        <w:br/>
        <w:t>[238]       Cfr.  Caso de la Masacre de Pueblo Bello  Vs.  Colombia,  supra,</w:t>
        <w:br/>
        <w:t>párr. 123, y Caso Suárez  Peralta  Vs.  Ecuador.  Excepciones  Preliminares,</w:t>
        <w:br/>
        <w:t>Fondo, Reparaciones y Costas. Sentencia de 21 de mayo de 2013. Serie  C  No.</w:t>
        <w:br/>
        <w:t>261, párr. 129.</w:t>
        <w:br/>
        <w:t>[239] Cfr. Caso de la Masacre de Pueblo Bello  Vs.  Colombia,  supra,  párr.</w:t>
        <w:br/>
        <w:t>111, y Caso Castillo González vs. Venezuela, supra, párr. 123.</w:t>
        <w:br/>
        <w:t>[240]       Cfr. Caso Luna López Vs. Honduras, supra, párr. 123.</w:t>
        <w:br/>
        <w:t>[241]       Cfr. CIDH, Informe  sobre  la  Situación  de  las  Defensoras  y</w:t>
        <w:br/>
        <w:t>Defensores de Derechos Humanos en las Américas, supra, párr. 46.</w:t>
        <w:br/>
        <w:t>[242]       Cfr. Caso García y Familiares Vs. Guatemala, supra, párr. 182.</w:t>
        <w:br/>
        <w:t>[243] Cfr.  Caso  Nogueira  de  Carvalho  y  otro  Vs.  Brasil.  Excepciones</w:t>
        <w:br/>
        <w:t>Preliminares y Fondo. Sentencia de 28 de Noviembre  de  2006.  Serie  C  No.</w:t>
        <w:br/>
        <w:t>161, párr. 77, y Caso Luna López Vs.  Honduras,  supra,  párr.  123.  Véase,</w:t>
        <w:br/>
        <w:t>además,  Grupo de Trabajo sobre Detención  Arbitraria  de  Naciones  Unidas,</w:t>
        <w:br/>
        <w:t>Opinión  No.  39/2012  (Bielorrusia),  UN  Doc.  A/HRC/WGAD/2012/39,  23  de</w:t>
        <w:br/>
        <w:t>noviembre  de   2012,   párr.   45,   disponible   en:   http://daccess-dds-</w:t>
        <w:br/>
        <w:t>ny.un.org/doc/UNDOC/GEN/G12/183/17/PDF/G1218317.pdf?OpenElement.</w:t>
        <w:br/>
        <w:t>En el mismo sentido, véase, ONU, Declaración sobre el derecho y el deber  de</w:t>
        <w:br/>
        <w:t>los individuos, los grupos y las instituciones de promover  y  proteger  los</w:t>
        <w:br/>
        <w:t>derechos humanos y las libertades fundamentales universalmente  reconocidos,</w:t>
        <w:br/>
        <w:t>supra,  artículo  12.2:  “El  Estado  garantizará  la  protección  por   las</w:t>
        <w:br/>
        <w:t>autoridades  competentes  de  toda  persona,  individual  o  colectivamente,</w:t>
        <w:br/>
        <w:t>frente a toda violencia, amenaza, represalia,  discriminación,  negativa  de</w:t>
        <w:br/>
        <w:t>hecho o de derecho, presión o cualquier otra  acción  arbitraria  resultante</w:t>
        <w:br/>
        <w:t>del  ejercicio  legítimo  de  los  derechos  mencionados  en   la   presente</w:t>
        <w:br/>
        <w:t>Declaración”, y Resoluciones 1818/01 de 17 de mayo de 2001 y  1842/02  de  4</w:t>
        <w:br/>
        <w:t>de junio de 2002 de la  Asamblea  General  de  la  Organización  de  Estados</w:t>
        <w:br/>
        <w:t>Americanos, Defensores de derechos humanos en  las  Américas:  Apoyo  a  las</w:t>
        <w:br/>
        <w:t>tareas que desarrollan las personas, grupos y organizaciones de la  sociedad</w:t>
        <w:br/>
        <w:t>civil para la  promoción  y  protección  de  los  derechos  humanos  en  las</w:t>
        <w:br/>
        <w:t>Américas, mediante las cuales resolvió: “Exhortar a los Estados  Miembros  a</w:t>
        <w:br/>
        <w:t>que intensifiquen los esfuerzos para la adopción de las  medidas  necesarias</w:t>
        <w:br/>
        <w:t>para garantizar la vida, la integridad personal y la libertad  de  expresión</w:t>
        <w:br/>
        <w:t>de los mismos, de acuerdo con su legislación nacional y de  conformidad  con</w:t>
        <w:br/>
        <w:t>los principios y normas reconocidos internacionalmente”.</w:t>
        <w:br/>
        <w:t>[244]       Cfr. Caso de la Masacre de Pueblo  Bello  Vs.  Colombia,  supra,</w:t>
        <w:br/>
        <w:t>párr. 123, y Caso Luna López Vs. Honduras, supra, párr. 124.</w:t>
        <w:br/>
        <w:t>[245]       Mutatis mutandis, Caso Luna López  Vs.  Honduras,  supra,  párr.</w:t>
        <w:br/>
        <w:t>125.</w:t>
        <w:br/>
        <w:t>[246]       Cfr. Entrevista realizada el 23 de diciembre de 2004 a B.A.  por</w:t>
        <w:br/>
        <w:t>el  Investigador  asignado  de  la  Procuraduría  de  los  Derechos  Humanos</w:t>
        <w:br/>
        <w:t>(expediente de anexos al escrito de  sometimiento,  folio  902);  Entrevista</w:t>
        <w:br/>
        <w:t>realizada el 25 de enero de 2005 a B.A. por  el  Investigador  de  la  DICRI</w:t>
        <w:br/>
        <w:t>(expediente de anexos al escrito de sometimiento, folio  1063);  Declaración</w:t>
        <w:br/>
        <w:t>de 10  de  febrero  de  2005  de  B.A.  ante  la  Fiscalía  de  Santa  Lucía</w:t>
        <w:br/>
        <w:t>Cotzumalguapa (expediente de anexos al escrito de sometimiento, folio  823),</w:t>
        <w:br/>
        <w:t>y  Declaración  privada  de  B.A.   (expediente  de  anexos  al  escrito  de</w:t>
        <w:br/>
        <w:t>sometimiento, disco 2, minuto 59:23 a 1:00); Declaración de B.A. rendida  en</w:t>
        <w:br/>
        <w:t>la audiencia pública ante la Corte Interamericana el 5 de febrero de 2014.</w:t>
        <w:br/>
        <w:t>[247]       Cfr. Declaración del entonces Alcalde Municipal de  Santa  Lucía</w:t>
        <w:br/>
        <w:t>Cotzumalguapa de 5 de diciembre de 2010 (anexos al  sometimiento  del  caso,</w:t>
        <w:br/>
        <w:t>folios 794 a 795).</w:t>
        <w:br/>
        <w:t>[248]       Cfr. Informe de la Auxiliatura Departamental de Escuintla de  la</w:t>
        <w:br/>
        <w:t>Procuraduría de los Derechos Humanos de 23 de diciembre de 2004  (expediente</w:t>
        <w:br/>
        <w:t>de anexos al escrito de sometimiento, folio 903).</w:t>
        <w:br/>
        <w:t>[249]        Cfr.  Caso  Juan  Humberto  Sánchez  Vs.  Honduras.   Excepción</w:t>
        <w:br/>
        <w:t>Preliminar, Fondo, Reparaciones y Costas. Sentencia de 7 de junio  de  2003.</w:t>
        <w:br/>
        <w:t>Serie C No. 99, párr. 186, y  Caso  Veliz  Franco  y  otros  Vs.  Guatemala.</w:t>
        <w:br/>
        <w:t>Excepciones Preliminares, Fondo, Reparaciones y Costas. Sentencia de  19  de</w:t>
        <w:br/>
        <w:t>mayo de 2014. Serie C No. 277, párr. 234.</w:t>
        <w:br/>
        <w:t>[250]       Cfr. Entrevista de 21 de diciembre de 2004 realizada a B.A.  por</w:t>
        <w:br/>
        <w:t>el agente investigador asignado del Servicio de  Investigación  Criminal  de</w:t>
        <w:br/>
        <w:t>la Comisaría 31 de la Policía Nacional Civil  de  Escuintla  (expediente  de</w:t>
        <w:br/>
        <w:t>anexos al escrito de sometimiento, folio 917); Denuncia realizada  por  B.A.</w:t>
        <w:br/>
        <w:t>el  22  de  diciembre  de  2004  ante  el  Auxiliar  Departamental   de   la</w:t>
        <w:br/>
        <w:t>Procuraduría de los Derechos Humanos (expediente de  anexos  al  escrito  de</w:t>
        <w:br/>
        <w:t>sometimiento, folios 896 y 897); Entrevista  de  23  de  diciembre  de  2004</w:t>
        <w:br/>
        <w:t>realizada a B.A. por el investigador de  la  Procuraduría  de  los  Derechos</w:t>
        <w:br/>
        <w:t>Humanos (expediente de anexos al  escrito  de  sometimiento,  folios  901  y</w:t>
        <w:br/>
        <w:t>902);  Entrevista  de  25  de  enero  de  2005  realizada  a  B.A.  por   el</w:t>
        <w:br/>
        <w:t>Investigador de la DICRI (expediente de anexos al escrito  de  sometimiento,</w:t>
        <w:br/>
        <w:t>folios 1062 y 1063); Declaración de B.A. ante la Auxiliar de la Fiscalía  de</w:t>
        <w:br/>
        <w:t>Santa Lucía Cotzumalguapa de 10 de febrero de 2005 (expediente de anexos  al</w:t>
        <w:br/>
        <w:t>escrito de sometimiento, folios 823 y 824), y Declaración de  B.A.  ante  el</w:t>
        <w:br/>
        <w:t>Auxiliar de  la  Fiscalía  de  Derechos  Humanos  de  11  de  mayo  de  2005</w:t>
        <w:br/>
        <w:t>(expediente de anexos al escrito de sometimiento, folio 870).</w:t>
        <w:br/>
        <w:t>[251]       Cfr. Entrevista de 25 de enero de 2005 realizada a B.A.  por  el</w:t>
        <w:br/>
        <w:t>Investigador de la DICRI (expediente de anexos al escrito  de  sometimiento,</w:t>
        <w:br/>
        <w:t>folios 1063 y 1064); Declaración de B.A. ante el Auxiliar de la Fiscalía  de</w:t>
        <w:br/>
        <w:t>Derechos Humanos de 11 de mayo de 2005 (expediente de anexos al  escrito  de</w:t>
        <w:br/>
        <w:t>sometimiento, folios 868 y 869), y Declaración de E.A. ante el Agente de  la</w:t>
        <w:br/>
        <w:t>Fiscalía de Derechos Humanos de 11 de mayo de 2005 (expediente de anexos  al</w:t>
        <w:br/>
        <w:t>escrito de sometimiento, folio 866).</w:t>
        <w:br/>
        <w:t>[252]       Cfr. Declaración de B.A. ante el  Auxiliar  de  la  Fiscalía  de</w:t>
        <w:br/>
        <w:t>Derechos Humanos de 11 de mayo de 2005 (expediente de anexos al  escrito  de</w:t>
        <w:br/>
        <w:t>sometimiento, folios 868 y 869).</w:t>
        <w:br/>
        <w:t>[253]        Escrito  remitido  el  17  de  marzo  de  2005   del   Auxiliar</w:t>
        <w:br/>
        <w:t>Departamental de Escuintla  de  la  Procuraduría  de  los  Derechos  Humanos</w:t>
        <w:br/>
        <w:t>dirigido al Ministro  de  la  Defensa  Nacional  (expediente  de  anexos  al</w:t>
        <w:br/>
        <w:t>escrito de sometimiento, folio 921).</w:t>
        <w:br/>
        <w:t>[254]       Cfr. Escrito remitido el 28 de marzo de 2005  realizado  por  el</w:t>
        <w:br/>
        <w:t>Ministro de la Defensa Nacional dirigido al  Auxiliar  Departamental  de  la</w:t>
        <w:br/>
        <w:t>Procuraduría de los Derechos Humanos de Escuintla (expediente de  anexos  al</w:t>
        <w:br/>
        <w:t>escrito de sometimiento, folio 923).</w:t>
        <w:br/>
        <w:t>[255]       Cfr. Caso Vélez Restrepo y Familiares  Vs.  Colombia.  Excepción</w:t>
        <w:br/>
        <w:t>Preliminar, Fondo, Reparaciones y Costas. Sentencia de 3  de  septiembre  de</w:t>
        <w:br/>
        <w:t>2012. Serie C No. 248, párr. 201, y Caso Luna  López  Vs.  Honduras,  supra,</w:t>
        <w:br/>
        <w:t>párr. 127.</w:t>
        <w:br/>
        <w:t>[256]       De conformidad con lo manifestado por  la  señora  B.A.,  en  un</w:t>
        <w:br/>
        <w:t>primer momento, la policía no les brindó protección, ya  que  “tenían  pocos</w:t>
        <w:br/>
        <w:t>vehículos, […]  no  tenían  combustible  y  […]  era  demasiado  para  ellos</w:t>
        <w:br/>
        <w:t>estar[l]os protegiendo, [ya] que ellos se debían a toda una población”,  sin</w:t>
        <w:br/>
        <w:t>embargo, la Corte no cuenta con mayores elementos de prueba para  tener  por</w:t>
        <w:br/>
        <w:t>acreditado este extremo. Cfr. Declaración de B.A. (expediente de  anexos  al</w:t>
        <w:br/>
        <w:t>escrito de sometimiento, disco 2, minuto 1:28).</w:t>
        <w:br/>
        <w:t>[257]       En este sentido, en el marco de implementación  de  sus  medidas</w:t>
        <w:br/>
        <w:t>provisionales, la  Corte  ha  señalado  que  los  Estados  tienen  el  deber</w:t>
        <w:br/>
        <w:t>particular de proteger a aquellas personas que  trabajen  en  organizaciones</w:t>
        <w:br/>
        <w:t>no gubernamentales, así como de otorgar garantías efectivas  y  adecuadas  a</w:t>
        <w:br/>
        <w:t>los defensores de derechos humanos para que éstos  realicen  libremente  sus</w:t>
        <w:br/>
        <w:t>actividades, evitando acciones que limiten u obstaculicen su  trabajo.  Cfr.</w:t>
        <w:br/>
        <w:t>Caso Del Internado Judicial De Monagas (“La  Pica”).  Medidas  Provisionales</w:t>
        <w:br/>
        <w:t>respecto de Venezuela. Resolución de la  Corte  Interamericana  de  Derechos</w:t>
        <w:br/>
        <w:t>Humanos de 9 de febrero de 2006, considerando decimocuarto, y Asunto  Asunto</w:t>
        <w:br/>
        <w:t>Danilo Rueda. Medidas Provisionales respecto de Colombia. Resolución  de  la</w:t>
        <w:br/>
        <w:t>Corte  Interamericana  de  Derechos  Humanos  de  28  de   mayo   de   2014,</w:t>
        <w:br/>
        <w:t>considerando decimosexto.</w:t>
        <w:br/>
        <w:t>[258]       Al respecto, la Corte toma en cuenta el  análisis  especializado</w:t>
        <w:br/>
        <w:t>realizado por la Comisión Interamericana de Derechos Humanos,  a  través  su</w:t>
        <w:br/>
        <w:t>la Relatoría sobre los Derechos  de  Defensoras  y  Defensores  de  Derechos</w:t>
        <w:br/>
        <w:t>Humanos de la Comisión Interamericana de Derechos  Humanos,  en  su  Segundo</w:t>
        <w:br/>
        <w:t>Informe sobre la Situación  de  las  Defensoras  y  Defensores  de  Derechos</w:t>
        <w:br/>
        <w:t>Humanos en las Américas (2012), pág. 232, párr. 521.</w:t>
        <w:br/>
        <w:t>[259] Cfr. Caso Nogueira  de  Cavalho  y  otros  Vs.  Brasil,  supra,  párr.</w:t>
        <w:br/>
        <w:br/>
        <w:br/>
        <w:br/>
        <w:br/>
        <w:br/>
        <w:t xml:space="preserve">                                          párr. 77, y Caso  Luna  López  Vs.</w:t>
        <w:br/>
        <w:t>Honduras, supra, párr. 127.</w:t>
        <w:br/>
        <w:t>[260]        Cfr.  Peritaje  mediante  afidávit  de  Luis   Enrique   Eguren</w:t>
        <w:br/>
        <w:t>Fernández de 23 de enero  de  2014  (expediente  de  fondo,  folio  683),  y</w:t>
        <w:br/>
        <w:t>Segundo Informe sobre  la  Situación  de  las  Defensoras  y  Defensores  de</w:t>
        <w:br/>
        <w:t>Derechos Humanos en las Américas (2012), párr. 493. En determinados casos  y</w:t>
        <w:br/>
        <w:t>según las circunstancias específicas, también debe ser objeto de  evaluación</w:t>
        <w:br/>
        <w:t>la seguridad de los familiares de los defensores y las defensoras, así  como</w:t>
        <w:br/>
        <w:t>incluirse  o  extender  la  solicitada  protección  a  éstos.  Cfr.  Informe</w:t>
        <w:br/>
        <w:t>presentado  por  la  Sra.  Margaret  Sekaggya,  Representante  Especial  del</w:t>
        <w:br/>
        <w:t>Secretario General  sobre  los  defensores  de  los  derechos  humanos,  13°</w:t>
        <w:br/>
        <w:t>periodo de sesiones de la Comisión de Derechos humanos, 30 de  diciembre  de</w:t>
        <w:br/>
        <w:t>2009,  párr.  61;  Informe  presentado  por  la  Sra.   Margaret   Sekaggya,</w:t>
        <w:br/>
        <w:t>Representante Especial del Secretario General sobre los  defensores  de  los</w:t>
        <w:br/>
        <w:t>derechos humanos, 25°  periodo  de  sesiones  de  la  Comisión  de  Derechos</w:t>
        <w:br/>
        <w:t>Humanos, 23 de diciembre  de  2013,  párr.  88;  Naciones  Unidas,  Asamblea</w:t>
        <w:br/>
        <w:t>General, Resolución aprobada por el Consejo de Derechos Humanos  en  el  13°</w:t>
        <w:br/>
        <w:t>periodo de sesiones, 15 de  abril  de  2010,  y  Naciones  Unidas,  Asamblea</w:t>
        <w:br/>
        <w:t>General, Resolución aprobada por el Consejo de Derechos Humanos  en  el  68°</w:t>
        <w:br/>
        <w:t>periodo de sesiones,  30 de enero de 2014, párr. 19.</w:t>
        <w:br/>
        <w:t>[261]        Cfr.  Peritaje  mediante  afidávit  de  Luis   Enrique   Eguren</w:t>
        <w:br/>
        <w:t>Fernández de 23 de enero  de  2014  (expediente  de  fondo,  folio  683),  y</w:t>
        <w:br/>
        <w:t>Segundo Informe sobre  la  Situación  de  las  Defensoras  y  Defensores  de</w:t>
        <w:br/>
        <w:t>Derechos Humanos en las Américas de la CIDH (2012), pág. 233, párr. 524.</w:t>
        <w:br/>
        <w:t>[262]       Cfr. Declaración pericial rendida por Hina Jilani ante la  Corte</w:t>
        <w:br/>
        <w:t>Interamericana en la audiencia pública celebrada el 5 de  febrero  de  2014;</w:t>
        <w:br/>
        <w:t>Segundo Informe sobre  la  Situación  de  las  Defensoras  y  Defensores  de</w:t>
        <w:br/>
        <w:t>Derechos Humanos en las Américas de la CIDH (2012),  pág.  229,  párr.  512;</w:t>
        <w:br/>
        <w:t>Informe presentado por la Sra.  Margaret  Sekaggya,  Representante  Especial</w:t>
        <w:br/>
        <w:t>del Secretario General sobre los defensores de  los  derechos  humanos,  63°</w:t>
        <w:br/>
        <w:t>periodo de sesiones de la Comisión de Derechos  humanos,  14  de  agosto  de</w:t>
        <w:br/>
        <w:t>2008, Mensajes  clave  en  relación  con  los  defensores  de  los  derechos</w:t>
        <w:br/>
        <w:t>humanos,  párr.  9;  Informe  presentado  por  la  Sra.  Margaret  Sekaggya,</w:t>
        <w:br/>
        <w:t>Representante Especial del Secretario General sobre los  defensores  de  los</w:t>
        <w:br/>
        <w:t>derechos humanos, 16°  periodo  de  sesiones  de  la  Comisión  de  Derechos</w:t>
        <w:br/>
        <w:t>humanos, 20 de diciembre de  2010,  párr.  110;  Naciones  Unidas,  Asamblea</w:t>
        <w:br/>
        <w:t>General, Resolución aprobada el 18 de diciembre de 2013 (68/181).  Promoción</w:t>
        <w:br/>
        <w:t>de la Declaración sobre el Derecho y el Deber de los Individuos, los  Grupos</w:t>
        <w:br/>
        <w:t>y las Instituciones de Promover  y  Proteger  los  Derechos  Humanos  y  las</w:t>
        <w:br/>
        <w:t>Libertades  Fundamentales  Universalmente  Reconocidos:  protección  de  las</w:t>
        <w:br/>
        <w:t>defensoras de los derechos humanos. págs. 4 a 8; Naciones  Unidas,  Asamblea</w:t>
        <w:br/>
        <w:t>General, Resolución aprobada por el Consejo de Derechos Humanos  en  el  68°</w:t>
        <w:br/>
        <w:t>periodo de sesiones, 30 de enero de 2014, párr. 19; Consejo  Europeo,  junio</w:t>
        <w:br/>
        <w:t>de 2004, Directrices de  la  Unión  Europea  sobre  los  defensores  de  los</w:t>
        <w:br/>
        <w:t>derechos humanos. Introducción, párr. 6, y Conclusión  del  Consejo  Europeo</w:t>
        <w:br/>
        <w:t>sobre el primer examen de la aplicación de “Directrices de la Unión  Europea</w:t>
        <w:br/>
        <w:t>sobre los defensores de los derechos humanos”, 7 de junio de 2006,  Misiones</w:t>
        <w:br/>
        <w:t>de la UE, a iniciativa y/o bajo la  coordinación  de  la  residencia  local,</w:t>
        <w:br/>
        <w:t>párr. 33.</w:t>
        <w:br/>
        <w:t>[263]       Cfr. Informe sobre la Situación de las Defensoras  y  Defensores</w:t>
        <w:br/>
        <w:t>de Derechos Humanos en las Américas de la CIDH (2006), párr. 339.</w:t>
        <w:br/>
        <w:t>[264]       Cfr. Declaración pericial rendida por Hina Jilani ante la  Corte</w:t>
        <w:br/>
        <w:t>Interamericana en la audiencia pública celebrada el 5 de  febrero  de  2014.</w:t>
        <w:br/>
        <w:t>Asimismo,  las  medidas  de  protección  no  deben  ser  brindadas  por  los</w:t>
        <w:br/>
        <w:t>funcionarios  de  seguridad   que,   según   los   beneficiarios,   estarían</w:t>
        <w:br/>
        <w:t>involucrados en los hechos denunciados. Cfr. Informe sobre la  Situación  de</w:t>
        <w:br/>
        <w:t>las Defensoras y Defensores de Derechos Humanos en las Américas de  la  CIDH</w:t>
        <w:br/>
        <w:t>(2006), párr. 134, y Segundo Informe sobre la Situación de las Defensoras  y</w:t>
        <w:br/>
        <w:t>Defensores de Derechos Humanos en las Américas de la CIDH (2012), pág.  233,</w:t>
        <w:br/>
        <w:t>párr. 525. También, es importante destacar que los programas  de  protección</w:t>
        <w:br/>
        <w:t>a  testigos  no  deben  utilizarse  como  sustitutos  de  los  programas  de</w:t>
        <w:br/>
        <w:t>protección de los defensores y defensoras de derechos humanos. Cfr.  Informe</w:t>
        <w:br/>
        <w:t>presentado  por  la  Sra.  Margaret  Sekaggya,  Representante  Especial  del</w:t>
        <w:br/>
        <w:t>Secretario General  sobre  los  defensores  de  los  derechos  humanos,  13°</w:t>
        <w:br/>
        <w:t>periodo de sesiones de la Comisión de Derechos humanos, 30 de  diciembre  de</w:t>
        <w:br/>
        <w:t>2009, párr. 73.</w:t>
        <w:br/>
        <w:t>[265]       Cfr. Informe sobre la Situación de las Defensoras  y  Defensores</w:t>
        <w:br/>
        <w:t>de Derechos Humanos en las Américas de la CIDH (2006), párr. 134.</w:t>
        <w:br/>
        <w:t>[266]       La Corte se ha pronunciado con base en el principio  iura  novit</w:t>
        <w:br/>
        <w:t>curia,  sólidamente  respaldado  en  la  jurisprudencia  internacional,   en</w:t>
        <w:br/>
        <w:t>reiteradas ocasiones. Cfr., entre  otros  casos:  Caso  de  la  "Masacre  de</w:t>
        <w:br/>
        <w:t>Mapiripán" Vs. Colombia. Excepciones  preliminares.  Sentencia  7  de  marzo</w:t>
        <w:br/>
        <w:t>2005. Serie C No. 122, párr. 28; Caso "Instituto de Reeducación  del  Menor"</w:t>
        <w:br/>
        <w:t>Vs.  Paraguay.  Excepciones  Preliminares,  Fondo,  Reparaciones  y  Costas.</w:t>
        <w:br/>
        <w:t>Sentencia de 2 de septiembre de 2004. Serie C No. 112,  párrs.  124  a  126;</w:t>
        <w:br/>
        <w:t>Caso de los Hermanos  Gómez  Paquiyauri  Vs.  Perú.  Fondo,  Reparaciones  y</w:t>
        <w:br/>
        <w:t>Costas. Sentencia de 8 de julio de 2004. Serie C No. 110,  párr.  178;  Caso</w:t>
        <w:br/>
        <w:t>Herrera Ulloa Vs. Costa Rica. Excepciones Preliminares, Fondo,  Reparaciones</w:t>
        <w:br/>
        <w:t>y Costas. Sentencia de 2 de julio de 2004. Serie C No. 107, párr. 142;  Caso</w:t>
        <w:br/>
        <w:t>Maritza Urrutia Vs. Guatemala. Fondo, Reparaciones y  Costas.  Sentencia  de</w:t>
        <w:br/>
        <w:t>27 de noviembre de 2003. Serie C No. 103, párr. 134; Caso Myrna  Mack  Chang</w:t>
        <w:br/>
        <w:t>Vs. Guatemala. Fondo, Reparaciones y Costas. Sentencia de  25  de  noviembre</w:t>
        <w:br/>
        <w:t>de 2003. Serie C No. 101, párr. 128, y Caso "Cinco Pensionistas"  Vs.  Perú.</w:t>
        <w:br/>
        <w:t>Fondo, Reparaciones y Costas. Sentencia de 28 de febrero de  2003.  Serie  C</w:t>
        <w:br/>
        <w:t>No. 98, párr. 153.</w:t>
        <w:br/>
        <w:t>[267]       El artículo 19 de la Convención  Americana  estable  que:  “Todo</w:t>
        <w:br/>
        <w:t>niño tiene derecho a las medidas de protección que  su  condición  de  menor</w:t>
        <w:br/>
        <w:t>requieren por parte de  su  familia,  de  la  sociedad  y  del  Estado”.  Al</w:t>
        <w:br/>
        <w:t>respecto,  la  Corte  Interamericana  ha  considerado   que,   en   términos</w:t>
        <w:br/>
        <w:t>generales, se entiende por niño y niña “a toda persona que  no  ha  cumplido</w:t>
        <w:br/>
        <w:t>18 años de edad”. Condición Jurídica y Derechos Humanos  del  Niño.  Opinión</w:t>
        <w:br/>
        <w:t>Consultiva OC-17/02 del 28 de agosto de 2002. Serie A No. 17,  párr.  42,  y</w:t>
        <w:br/>
        <w:t>Caso Furlan y Familiares Vs.  Argentina.  Excepciones  Preliminares,  Fondo,</w:t>
        <w:br/>
        <w:t>Reparaciones y Costas. Sentencia de 31 de agosto de 2012. Serie C  No.  246,</w:t>
        <w:br/>
        <w:t>párr. 123. La Corte reitera que revisten especial gravedad los casos en  los</w:t>
        <w:br/>
        <w:t>cuales las víctimas de violaciones  a  los  derechos  humanos  son  niños  y</w:t>
        <w:br/>
        <w:t>niñas, quienes son titulares de los derechos establecidos en  la  Convención</w:t>
        <w:br/>
        <w:t>Americana, además  de  contar  con  las  medidas  especiales  de  protección</w:t>
        <w:br/>
        <w:t>contempladas en su artículo 19, las cuales deben  ser  definidas  según  las</w:t>
        <w:br/>
        <w:t>circunstancias particulares de cada caso  concreto.  Cfr.  Caso  Gelman  Vs.</w:t>
        <w:br/>
        <w:t>Uruguay, supra, párr. 121, y Caso Furlan y Familiares Vs. Argentina,  supra,</w:t>
        <w:br/>
        <w:t>párr. 125.</w:t>
        <w:br/>
        <w:t>[268]            El artículo 22.1 de la Convención Americana establece  que:</w:t>
        <w:br/>
        <w:t>“1. Toda persona que se halle legalmente  en  el  territorio  de  un  Estado</w:t>
        <w:br/>
        <w:t>tiene derecho a circular por el mismo y, a residir en él con sujeción a  las</w:t>
        <w:br/>
        <w:t>disposiciones legales”.</w:t>
        <w:br/>
        <w:t>[269]  Cfr.  Caso  de  la  Comunidad  Moiwana  Vs.   Suriname.   Excepciones</w:t>
        <w:br/>
        <w:t>Preliminares, Fondo, Reparaciones y Costas. Sentencia 15 de junio  de  2005.</w:t>
        <w:br/>
        <w:t>Serie C No. 124, párr. 110, y Caso Familia  Barrios  Vs.  Venezuela.  Fondo,</w:t>
        <w:br/>
        <w:t>Reparaciones y Costas. Sentencia de 24 de noviembre de  2011.  Serie  C  No.</w:t>
        <w:br/>
        <w:t>237, párr. 162.</w:t>
        <w:br/>
        <w:t>[270] Cfr. Caso de la Comunidad Moiwana Vs. Suriname, supra,  párr.  110,  y</w:t>
        <w:br/>
        <w:t>Caso Ricardo Canese Vs. Paraguay. Fondo, Reparaciones  y  Costas.  Sentencia</w:t>
        <w:br/>
        <w:t>de 31 de agosto de 2004. Serie  C  No.111,  párr.  115.   Véase,  Comité  de</w:t>
        <w:br/>
        <w:t>Derechos Humanos de Naciones Unidas, Observación  General No.  27  de  2  de</w:t>
        <w:br/>
        <w:t>noviembre de 1999, párrs. 1, 4, 5 y 19.</w:t>
        <w:br/>
        <w:t>[271]       Cfr. Caso de la Masacre de Mapiripán Vs. Colombia, supra,  párr.</w:t>
        <w:br/>
        <w:t>188, y Caso de las Comunidades Afrodescendientes Desplazadas  de  la  Cuenca</w:t>
        <w:br/>
        <w:t>del Río Cacarica (Operación Génesis) Vs Colombia. Excepciones  Preliminares,</w:t>
        <w:br/>
        <w:t>Fondo, Reparaciones y Costas. Sentencia de 20 de noviembre de 2013. Serie  C</w:t>
        <w:br/>
        <w:t>No.270, párr. 219.</w:t>
        <w:br/>
        <w:t>[272]       Cfr. Caso de la Comunidad Moiwana Vs.  Suriname,  supra,  párrs.</w:t>
        <w:br/>
        <w:t>119  y  120,  y  Caso  Masacres  de  Río  Negro  Vs.  Guatemala.   Excepción</w:t>
        <w:br/>
        <w:t>Preliminar, Fondo, Reparaciones y Costas. Sentencia de 4  de  septiembre  de</w:t>
        <w:br/>
        <w:t>2012. Serie C No. 250, párr. 175.</w:t>
        <w:br/>
        <w:t>[273]       Cfr. Caso Valle Jaramillo y otros  Vs.  Colombia,  supra,  párr.</w:t>
        <w:br/>
        <w:t>139, y Caso Masacres de Río Negro Vs. Guatemala, supra, párr. 175.</w:t>
        <w:br/>
        <w:t>[274]       Cfr. Caso Familia Barrios Vs. Venezuela, supra, párr. 162.</w:t>
        <w:br/>
        <w:t>[275]       Cfr. Caso de la Comunidad Moiwana Vs.  Suriname,  supra,  párrs.</w:t>
        <w:br/>
        <w:t>119 y 120, y Caso Vélez Restrepo y Familiares  Vs.  Colombia,  supra,  párr.</w:t>
        <w:br/>
        <w:t>220.</w:t>
        <w:br/>
        <w:t>[276]       Cfr. Caso Masacres de  El  Mozote  y  lugares  aledaños  Vs.  El</w:t>
        <w:br/>
        <w:t>Salvador. Fondo, Reparaciones y Costas. Sentencia de 25 de octubre  de  2012</w:t>
        <w:br/>
        <w:t>Serie C No. 252, párr. 188, y  Caso  de  las  Comunidades  Afrodescendientes</w:t>
        <w:br/>
        <w:t>Desplazadas de la Cuenca del Río Cacarica (Operación Génesis) Vs.  Colombia,</w:t>
        <w:br/>
        <w:t>supra, párr. 220.</w:t>
        <w:br/>
        <w:t>[277]       Cfr. Entrevista a B.A.de 5  de  abril  de  2005  (expediente  de</w:t>
        <w:br/>
        <w:t>anexos al escrito de sometimiento, folios 1063 y 1064); Declaración de  B.A.</w:t>
        <w:br/>
        <w:t>ante la Fiscalía Especial  de  Derechos  Humanos  de  11  de  mayo  de  2005</w:t>
        <w:br/>
        <w:t>(expediente de anexos  al  escrito  de  sometimiento,  folios  868  a  869);</w:t>
        <w:br/>
        <w:t>Testimonio escrito de B.A.  de  12  de  diciembre  de  2010  (expediente  de</w:t>
        <w:br/>
        <w:t>anexos al escrito de sometimiento, folios 1351, 1352 y 1368), y  Declaración</w:t>
        <w:br/>
        <w:t>de B.A. ante la Corte Interamericana en la audiencia pública celebrada el  5</w:t>
        <w:br/>
        <w:t>de febrero de 2014.</w:t>
        <w:br/>
        <w:t>[278]       Cfr. Declaración de B.A. de 17 de diciembre de 2010  (expediente</w:t>
        <w:br/>
        <w:t>de anexos al escrito de sometimiento, disco 2, minuto 1:31:06);  Declaración</w:t>
        <w:br/>
        <w:t>de E.A. de  1  de  enero  de  2005  (expediente  de  anexos  al  escrito  de</w:t>
        <w:br/>
        <w:t>sometimiento, disco 1, minuto 47:40); Declaración de C.A. de 1 de  enero  de</w:t>
        <w:br/>
        <w:t>2005 (expediente de anexos al  escrito  de  sometimiento,  disco  1,  minuto</w:t>
        <w:br/>
        <w:t>24:44); Testimonio de B.A.  de  12  de  diciembre  de  2010  (expediente  de</w:t>
        <w:br/>
        <w:t>anexos al escrito de sometimiento, folios 1368 y  1370),  y  Declaración  de</w:t>
        <w:br/>
        <w:t>B.A. ante la Corte Interamericana en la audiencia pública celebrada el 5  de</w:t>
        <w:br/>
        <w:t>febrero de 2014.</w:t>
        <w:br/>
        <w:t>[279]       Cfr. Declaración de B.A. ante  la  Corte  Interamericana  en  la</w:t>
        <w:br/>
        <w:t>audiencia pública celebrada el 5 de febrero de 2014; Declaración de E.A.  de</w:t>
        <w:br/>
        <w:t>1 de enero de 2005 (expediente de anexos al escrito de  sometimiento,  disco</w:t>
        <w:br/>
        <w:t>1, minuto 48:05);  Declaración de C.A. de 1 de enero de 2005 (expediente  de</w:t>
        <w:br/>
        <w:t>anexos  al  escrito  de  sometimiento,  disco  1,  minutos  24:44;   48:05);</w:t>
        <w:br/>
        <w:t>Declaración de B.A. de 17 de diciembre de  2010  (expediente  de  anexos  al</w:t>
        <w:br/>
        <w:t>escrito de sometimiento, disco 2, minuto 1:31:06);Declaración de B.A. de  12</w:t>
        <w:br/>
        <w:t>de diciembre de 2010 (expediente  de  anexos  al  escrito  de  sometimiento,</w:t>
        <w:br/>
        <w:t>folio 1370), y Entrevista a B.A. de  5  de  abril  de  2005  (expediente  de</w:t>
        <w:br/>
        <w:t>anexos al escrito de sometimiento, folios 1063 y 1064).</w:t>
        <w:br/>
        <w:t>[280]       Cfr. Declaración rendida por B.A. ante la  Corte  Interamericana</w:t>
        <w:br/>
        <w:t>en la audiencia pública.</w:t>
        <w:br/>
        <w:t>[281]        Cfr.  Registros  Migratorios  (expediente  de   anexos   a   la</w:t>
        <w:br/>
        <w:t>contestación, folios 7626 a 7932).</w:t>
        <w:br/>
        <w:t>[282]       Cfr. Constancia de  solicitud  de  la  condición  de  refugiados</w:t>
        <w:br/>
        <w:t>(expediente de anexos al escrito de sometimiento, folio 1412).</w:t>
        <w:br/>
        <w:t>[283]       Cfr. Carné de regularización de B.A. otorgado el 6 de  julio  de</w:t>
        <w:br/>
        <w:t>2005 (expediente de anexos al escrito de  solicitudes  y  argumentos,  folio</w:t>
        <w:br/>
        <w:t>2112); Carné de regularización de C.A. (expediente de anexos al  escrito  de</w:t>
        <w:br/>
        <w:t>solicitudes y argumentos, folio 2114), y Documento  migratorio  a  L.A.  por</w:t>
        <w:br/>
        <w:t>parte del Subdirector de Regulación Migratoria  de  Chiapas  (expediente  de</w:t>
        <w:br/>
        <w:t>anexos al escrito de solicitudes y argumentos, folio 2108).</w:t>
        <w:br/>
        <w:t>[284]       Cfr. Declaración rendida por B.A. ante la  Corte  Interamericana</w:t>
        <w:br/>
        <w:t>en la audiencia pública celebrada el 5 de febrero de 2014.</w:t>
        <w:br/>
        <w:t>[285]       Cfr. Escrito de 2 de octubre  de  2006  (expediente  de  trámite</w:t>
        <w:br/>
        <w:t>ante la Comisión Interamericana, folios 400 y 401).</w:t>
        <w:br/>
        <w:t>[286]            Cfr. Escrito de 23 de junio de 2009 (expediente de  trámite</w:t>
        <w:br/>
        <w:t>ante la Comisión Interamericana, folio 298); Escrito de 27 de marzo de  2009</w:t>
        <w:br/>
        <w:t>(expediente de trámite ante la Comisión Interamericana, folio 331);  Escrito</w:t>
        <w:br/>
        <w:t>de  14  de  abril  de  2009  (expediente  de  trámite   ante   la   Comisión</w:t>
        <w:br/>
        <w:t>Interamericana, folios 320 y  321),  y  Escrito  de  17  de  junio  de  2011</w:t>
        <w:br/>
        <w:t>(expediente de trámite ante la Comisión Interamericana, folio 100).</w:t>
        <w:br/>
        <w:t>[287]       Cfr. Escrito de 6 de junio de 2008 (expediente de  trámite  ante</w:t>
        <w:br/>
        <w:t>la Comisión Interamericana, folio  386);  Escrito  de  6  de  mayo  de  2009</w:t>
        <w:br/>
        <w:t>(expediente de trámite ante la Comisión Interamericana, folio 294);  Escrito</w:t>
        <w:br/>
        <w:t>de  23  de  junio  de  2009  (expediente  de  trámite   ante   la   Comisión</w:t>
        <w:br/>
        <w:t>Interamericana, folio 298), y Escrito de 8 de agosto de 2011 (expediente  de</w:t>
        <w:br/>
        <w:t>trámite ante la Comisión Interamericana, folio 37).</w:t>
        <w:br/>
        <w:t>[288]        Cfr.  Caso  Gudiel  Álvarez  y  otros  (“Diario  Militar”)  Vs.</w:t>
        <w:br/>
        <w:t>Guatemala, supra, párr. 308.</w:t>
        <w:br/>
        <w:t>[289] Cfr. Caso Yatama Vs. Nicaragua, supra, párr. 201, y  Caso  Luna  López</w:t>
        <w:br/>
        <w:t>Vs. Honduras, supra, párr. 142.</w:t>
        <w:br/>
        <w:t>[290]       Cfr.  Caso  Chitay  Nech  y  otros  Vs.  Guatemala.  Excepciones</w:t>
        <w:br/>
        <w:t>Preliminares, Fondo, Reparaciones y Costas.  Sentencia  de  25  de  mayo  de</w:t>
        <w:br/>
        <w:t>2010, Serie C No. 212, párr. 107, y Caso Luna  López  Vs.  Honduras,  supra,</w:t>
        <w:br/>
        <w:t>párr. 142.</w:t>
        <w:br/>
        <w:t>[291]       Véase, Caso  Manuel  Cepeda  Vargas  Vs.  Colombia.  Excepciones</w:t>
        <w:br/>
        <w:t>Preliminares, Fondo, Reparaciones y Costas.  Sentencia  de  26  de  mayo  de</w:t>
        <w:br/>
        <w:t>2010. Serie C No. 213, párr. 173, y Caso Chitay Nech y otros Vs.  Guatemala,</w:t>
        <w:br/>
        <w:t>supra, párr. 106.</w:t>
        <w:br/>
        <w:t>[292] Cfr. Caso Yatama, supra, párr. 195, y Caso Luna  López  Vs.  Honduras,</w:t>
        <w:br/>
        <w:t>supra, párr. 143.</w:t>
        <w:br/>
        <w:t>[293] Cfr. Caso Yatama, supra, párr. 200, y Caso Luna  López  Vs.  Honduras,</w:t>
        <w:br/>
        <w:t>supra, párr. 143.</w:t>
        <w:br/>
        <w:t>[294]       Cfr. Decreto 11-2002, Ley de Consejos  de  Desarrollo  Urbano  y</w:t>
        <w:br/>
        <w:t>Rural, artículos 13, 14, 16 y 17 (expediente de fondo, folios 1656 a 1662).</w:t>
        <w:br/>
        <w:t>[295]       Cfr. Declaración de B.A. de 12 de diciembre de 2010  (expediente</w:t>
        <w:br/>
        <w:t>de anexos al escrito de sometimiento, folio 1353).</w:t>
        <w:br/>
        <w:t>[296]       Cfr. Caso  Cantoral  Huamaní  y  García  Santa  Cruz  Vs.  Perú.</w:t>
        <w:br/>
        <w:t>Excepción Preliminar, Fondo, Reparaciones  y  Costas.  Sentencia  de  10  de</w:t>
        <w:br/>
        <w:t>julio de 2007. Serie C No. 167, párr. 147, y Caso Luna López  Vs.  Honduras,</w:t>
        <w:br/>
        <w:t>supra, párr. 141.</w:t>
        <w:br/>
        <w:t>[297]       El artículo 8.1 de la Convención Americana  establece  que:  “1.</w:t>
        <w:br/>
        <w:t>Toda persona tiene derecho a ser oída, con las debidas  garantías  y  dentro</w:t>
        <w:br/>
        <w:t>de un plazo razonable, por un juez o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carácter”.</w:t>
        <w:br/>
        <w:t>[298]       El artículo 25.1 de la Convención Americana establece  que:  “1.</w:t>
        <w:br/>
        <w:t>Toda persona tiene derecho a un recurso sencillo  y  rápido 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oficiales”.</w:t>
        <w:br/>
        <w:t>[299]        Cfr.  Caso  Fairén  Garbi  y  Solís  Corrales   Vs.   Honduras.</w:t>
        <w:br/>
        <w:t>Excepciones Preliminares. Sentencia de 26 de junio de 1987. Serie C  No.  2,</w:t>
        <w:br/>
        <w:t>párr. 90, y Caso Liakat Ali Alibux Vs. Suriname, supra, párr. 30.</w:t>
        <w:br/>
        <w:t>[300]       Cfr. Caso Godínez Cruz Vs. Honduras.  Excepciones  Preliminares.</w:t>
        <w:br/>
        <w:t>Sentencia de 26 de junio de 1987. Serie C No. 3, párr.  92,  y  Caso  Liakat</w:t>
        <w:br/>
        <w:t>Ali Alibux Vs. Suriname, supra, párr. 30.</w:t>
        <w:br/>
        <w:t>[301]        Cfr.  Caso  Velásquez  Rodríguez  Vs.   Honduras.   Excepciones</w:t>
        <w:br/>
        <w:t>Preliminares, supra, párr. 91,  y  Caso  Liakat  Ali  Alibux  Vs.  Suriname,</w:t>
        <w:br/>
        <w:t>supra, párr. 30.</w:t>
        <w:br/>
        <w:t>[302]       Cfr. Caso Bulacio Vs. Argentina. Fondo, Reparaciones  y  Costas.</w:t>
        <w:br/>
        <w:t>Sentencia de 18 de septiembre de 2003. Serie C No. 100, párr.  114,  y  Caso</w:t>
        <w:br/>
        <w:t>Osorio Rivera  y  Familiares  Vs.  Perú.  Excepciones  Preliminares,  Fondo,</w:t>
        <w:br/>
        <w:t>Reparaciones y Costas.</w:t>
        <w:br/>
        <w:t>Sentencia de 26 de noviembre de 2013. Serie C No. 274, párr. 200.</w:t>
        <w:br/>
        <w:t>[303]       Cfr. Caso Velásquez Rodríguez. Fondo, supra, párr. 177,  y  Caso</w:t>
        <w:br/>
        <w:t>García y Familiares Vs. Guatemala, supra, párr.132.</w:t>
        <w:br/>
        <w:t>[304]       Cfr. Caso Velásquez Rodríguez Vs. Honduras. Fondo, supra,  párr.</w:t>
        <w:br/>
        <w:t>177, y Caso García y Familiares Vs. Guatemala, supra, párr. 132.</w:t>
        <w:br/>
        <w:t>[305]        Cfr.  Caso  Juan  Humberto  Sánchez  Vs.  Honduras.   Excepción</w:t>
        <w:br/>
        <w:t>Preliminar, Fondo, Reparaciones y Costas. Sentencia de 7 de junio  de  2003.</w:t>
        <w:br/>
        <w:t>Serie C No. 99, párr. 127, y Caso García y Familiares Vs. Guatemala,  supra,</w:t>
        <w:br/>
        <w:t>párr. 135.</w:t>
        <w:br/>
        <w:t>[306]       Caso Velásquez Rodríguez Vs. Honduras. Fondo, supra, párr.  177,</w:t>
        <w:br/>
        <w:t>y Caso Luna López Vs. Honduras, supra, párr. 155.</w:t>
        <w:br/>
        <w:t>[307] Cfr. Caso de  las  Hermanas  Serrano  Cruz  Vs.  El  Salvador.  Fondo,</w:t>
        <w:br/>
        <w:t>Reparaciones y Costas. Sentencia de 1 de marzo de 2005.  Serie  C  No.  120,</w:t>
        <w:br/>
        <w:t>párr. 83, y Caso Albán Cornejo y otros. Vs. Ecuador.  Fondo  Reparaciones  y</w:t>
        <w:br/>
        <w:t>Costas. Sentencia de 22 de noviembre de 2007. Serie C No. 171, párr. 62.</w:t>
        <w:br/>
        <w:t>[308]       Cfr. Caso Ivcher  Bronstein  Vs.  Perú.  Fondo,  Reparaciones  y</w:t>
        <w:br/>
        <w:t>Costas. Sentencia de 6 de febrero de 2001. Serie C  No.  74,  párr.  105,  y</w:t>
        <w:br/>
        <w:t>Caso Barbani Duarte y otros  Vs.  Uruguay.  Fondo,  Reparaciones  y  Costas.</w:t>
        <w:br/>
        <w:t>Sentencia de 13 de octubre de 2011. Serie C No. 234, párr. 118.</w:t>
        <w:br/>
        <w:t>[309]        Cfr.  Caso  Garibaldi  Vs.  Brasil.  Excepciones  Preliminares,</w:t>
        <w:br/>
        <w:t>Fondo, Reparaciones y Costas. Sentencia de 23 de septiembre de  2009.  Serie</w:t>
        <w:br/>
        <w:t>C No. 203, párr. 120, y Caso Rosendo Cantú y Otra  Vs.  México.  Excepciones</w:t>
        <w:br/>
        <w:t>Preliminares, Fondo, Reparaciones y Costas. Sentencia de  31  de  agosto  de</w:t>
        <w:br/>
        <w:t>2010. Serie C No. 216, párr. 159.</w:t>
        <w:br/>
        <w:t>[310]       Cfr. Mutatis mutandis,  Caso  Almonacid  Arellano  y  otros  Vs.</w:t>
        <w:br/>
        <w:t>Chile. Excepciones Preliminares, Fondo, Reparaciones y Costas. Sentencia  de</w:t>
        <w:br/>
        <w:t>26 de septiembre de 2006. Serie C No. 154, párr. 150, y Caso Masacre De  las</w:t>
        <w:br/>
        <w:t>Dos Erres Vs. Guatemala, supra, párr. 232.</w:t>
        <w:br/>
        <w:t>[311]       Cfr. Caso Juan Humberto  Sánchez  Vs.  Honduras,  supra,   párr.</w:t>
        <w:br/>
        <w:t>127, y Caso Luna López Vs. Honduras, supra, párr. 159.</w:t>
        <w:br/>
        <w:t>[312]       Cfr. Caso Luna López Vs. Honduras,  supra,  párr.  151,  y  Caso</w:t>
        <w:br/>
        <w:t>Castillo González y otros Vs. Venezuela, supra, párr. 152.</w:t>
        <w:br/>
        <w:t>[313]       Cfr. Caso Juan Humberto Sánchez Vs. Honduras, supra, párr.  127,</w:t>
        <w:br/>
        <w:t>y Caso Castillo González y otros, supra, párr. 152.</w:t>
        <w:br/>
        <w:t>[314]       Cfr. Caso González y  otras  (“Campo  Algodonero”)  Vs.  México.</w:t>
        <w:br/>
        <w:t>Excepción Preliminar, Fondo, Reparaciones  y  Costas.  Sentencia  de  16  de</w:t>
        <w:br/>
        <w:t>noviembre de 2009. Serie C  No.205,  párr.  301,  citando  Manual  sobre  la</w:t>
        <w:br/>
        <w:t>Prevención  e  Investigación  Efectiva   de   Ejecuciones   Extrajudiciales,</w:t>
        <w:br/>
        <w:t>Arbitrarias y Sumarias de Naciones Unidas, Doc. E/ST/CSDHA/.12 (1991).</w:t>
        <w:br/>
        <w:t>[315]       Cfr. Caso González y  otras  (“Campo  Algodonero”)  Vs.  México,</w:t>
        <w:br/>
        <w:t>supra, párr.  301,  citando  Manual  sobre  la  Prevención  e  Investigación</w:t>
        <w:br/>
        <w:t>Efectiva de Ejecuciones Extrajudiciales, Arbitrarias y Sumarias de  Naciones</w:t>
        <w:br/>
        <w:t>Unidas, Doc. E/ST/CSDHA/.12 (1991).</w:t>
        <w:br/>
        <w:t>[316]       Cfr. Caso González y  otras  (“Campo  Algodonero”)  Vs.  México,</w:t>
        <w:br/>
        <w:t>supra, párr. 305.</w:t>
        <w:br/>
        <w:t>[317]       Cfr. Escrito  de  20  de  diciembre  de  2004  del  Jefe  de  la</w:t>
        <w:br/>
        <w:t>Subestación No. 31-43 Escuintla dirigido al Fiscal Distrital del  Ministerio</w:t>
        <w:br/>
        <w:t>Público (expediente de  anexos  al  escrito  de  sometimiento,  folio  940);</w:t>
        <w:br/>
        <w:t>Escrito de 4  de  mayo  de  2005  de  la  Auxiliar  Fiscal  de  Santa  Lucía</w:t>
        <w:br/>
        <w:t>Cotzumalguapa, dirigido al Auxiliar de la Fiscalía de Derechos  Humanos  del</w:t>
        <w:br/>
        <w:t>Ministerio Público (expediente de anexos al escrito de  sometimiento,  folio</w:t>
        <w:br/>
        <w:t>855), y Declaración de un agente de la Policía Nacional Civil de 9  de  mayo</w:t>
        <w:br/>
        <w:t>de 2005 (expediente de anexos al  escrito  de  sometimiento,  folios  860  a</w:t>
        <w:br/>
        <w:t>862).</w:t>
        <w:br/>
        <w:t>[318]       Cfr. Ampliación del Informe de Necropsia remitida el 13 de  mayo</w:t>
        <w:br/>
        <w:t>de 2005 (expediente de anexos al  escrito  de  sometimiento,  folios  880  a</w:t>
        <w:br/>
        <w:t>881).</w:t>
        <w:br/>
        <w:t>[319]       Cfr. Declaración de un agente de la Policía Nacional Civil de  9</w:t>
        <w:br/>
        <w:t>de mayo de 2005 (expediente de anexos al  escrito  de  sometimiento,  folios</w:t>
        <w:br/>
        <w:t>860 a 862).</w:t>
        <w:br/>
        <w:t>[320]       Cfr. Escrito  de  20  de  diciembre  de  2004  del  Jefe  de  la</w:t>
        <w:br/>
        <w:t>Subestación No. 31-43 Escuintla dirigido al Fiscal Distrital del  Ministerio</w:t>
        <w:br/>
        <w:t>Público (expediente de anexos al escrito de sometimiento, folio 940).</w:t>
        <w:br/>
        <w:t>[321]       Cfr. Certificado de defunción  del  señor  A.A.  (expediente  de</w:t>
        <w:br/>
        <w:t>anexos al escrito de sometimiento, folio 847).</w:t>
        <w:br/>
        <w:t>[322]       Cfr. Informe realizado el 21 de diciembre  de  2004  (expediente</w:t>
        <w:br/>
        <w:t>de anexos al escrito de sometimiento, folios 916 a 918);  Diligencia  de  20</w:t>
        <w:br/>
        <w:t>de diciembre de 2004 realizado por la Auxiliar de la Fiscalía  Distrital  de</w:t>
        <w:br/>
        <w:t>Santa Lucía Cotzumalguapa (expediente de anexos al escrito de  sometimiento,</w:t>
        <w:br/>
        <w:t>folio 939); Certificado de  defunción  de  A.A.  (expediente  de  anexos  al</w:t>
        <w:br/>
        <w:t>escrito de sometimiento, folio 847), y Ampliación de  Necropsia  N.  225/04,</w:t>
        <w:br/>
        <w:t>Medicatura forense,  Organismo  de  Investigación  Judicial  (expediente  de</w:t>
        <w:br/>
        <w:t>anexos al escrito de sometimiento, folios 880 y 881).</w:t>
        <w:br/>
        <w:t>[323]       En este sentido, durante la audiencia pública, un Agente  Fiscal</w:t>
        <w:br/>
        <w:t>asignado al caso  explicó  que,  de  conformidad  con  la  Ley  Jurisdicción</w:t>
        <w:br/>
        <w:t>Voluntaria, el Decreto Ley 107,  “establece  que  para  hacer  ese  tipo  de</w:t>
        <w:br/>
        <w:t>rectificaciones se debe seguir un procedimiento especial. Recuerdo  […]  que</w:t>
        <w:br/>
        <w:t>nuestra ley procesal civil, establecía en su oportunidad  en  cuanto  a  ese</w:t>
        <w:br/>
        <w:t>tipo de rectificaciones que las rectificaciones de  forma  no  [sic]  podían</w:t>
        <w:br/>
        <w:t>ser rectificadas de oficio y que las rectificaciones de fondo debían de  ser</w:t>
        <w:br/>
        <w:t>autorizadas  por  un  juez,  en  virtud  de  eso  no  se  hizo  nada”.  Cfr.</w:t>
        <w:br/>
        <w:t>Declaración rendida por E.M., un Agente Fiscal asignado  al  caso,  ante  la</w:t>
        <w:br/>
        <w:t>Corte Interamericana en la audiencia pública celebrada el 5  de  febrero  de</w:t>
        <w:br/>
        <w:t>2014.</w:t>
        <w:br/>
        <w:t>[324]       Cfr. Caso de las Hermanas Serrano Cruz Vs. El  Salvador,  supra,</w:t>
        <w:br/>
        <w:t>párrs. 88 y 105, y Caso Masacres de El Mozote  y  lugares  aledaños  Vs.  El</w:t>
        <w:br/>
        <w:t>Salvador, supra, párr. 257.</w:t>
        <w:br/>
        <w:t>[325]       Cfr.  mutatis  mutandis,  Caso  Kawas  Fernández  Vs.  Honduras,</w:t>
        <w:br/>
        <w:t>supra, párr. 96.</w:t>
        <w:br/>
        <w:t>[326]       Cfr. Caso Cantoral Huamaní y García Santa Cruz Vs. Perú,  supra,</w:t>
        <w:br/>
        <w:t>párr. 87, y Caso Gutiérrez y Familia Vs. Argentina, supra, párr. 78.</w:t>
        <w:br/>
        <w:t>[327]       Cfr. Caso Nogueira de Carvalho y otro Vs. Brasil,  supra,  párr.</w:t>
        <w:br/>
        <w:t>80.</w:t>
        <w:br/>
        <w:t>[328]       Cfr. Caso Ibsen  Cárdenas  e  Ibsen  Peña  Vs.  Bolivia.  Fondo,</w:t>
        <w:br/>
        <w:t>Reparaciones y Costas. Sentencia de 1 de septiembre  de  2010  Serie  C  No.</w:t>
        <w:br/>
        <w:t>217, párr. 172. La impunidad ha sido definida por la Corte como la falta  en</w:t>
        <w:br/>
        <w:t>su  conjunto  de  investigación,  persecución,  captura,  enjuiciamiento   y</w:t>
        <w:br/>
        <w:t>condena de los responsables de las  violaciones  de  los  derechos  humanos.</w:t>
        <w:br/>
        <w:t>Cfr. Caso de la “Panel Blanca” (Paniagua Morales  y  otros)  Vs.  Guatemala.</w:t>
        <w:br/>
        <w:t>Excepciones Preliminares. Sentencia del 25 de enero de  1996.  Serie  C  No.</w:t>
        <w:br/>
        <w:t>23, párr. 173, y Caso Manuel Cepeda Vargas Vs. Colombia, supra, nota 184.</w:t>
        <w:br/>
        <w:t>[329]        Cfr. Declaración rendida por E.M., un  Agente  Fiscal  asignado</w:t>
        <w:br/>
        <w:t>al caso, ante la Corte Interamericana en la audiencia pública  celebrada  el</w:t>
        <w:br/>
        <w:t>5 de febrero de 2014, e Informe elaborado por el Agente de  la  Fiscalía  de</w:t>
        <w:br/>
        <w:t>Derechos Humanos dirigido a la  Comisión  Presidencial  Coordinadora  de  la</w:t>
        <w:br/>
        <w:t>Política del Ejecutivo en materia de Derechos Humanos (expediente de  anexos</w:t>
        <w:br/>
        <w:t>al escrito de solicitudes y argumentos, folios  7322  a  7327).  Durante  la</w:t>
        <w:br/>
        <w:t>audiencia pública, un Agente Fiscal asignado a la investigación  expuso  los</w:t>
        <w:br/>
        <w:t>elementos que había tenido  para  confirmar  o  desechar  dichas  hipótesis.</w:t>
        <w:br/>
        <w:t>Sobre la primera hipótesis, indicó  que  “no  apareció  ningún  testigo  que</w:t>
        <w:br/>
        <w:t>pudiera sustentar esa hipótesis, más que las declaraciones referenciales  de</w:t>
        <w:br/>
        <w:t>la señora [B.A.] y de su hermana [E.A.]”. Acerca de  la  segunda  hipótesis,</w:t>
        <w:br/>
        <w:t>señaló  que  “los  mismos  informes  de  las  entidades  financieras  y  las</w:t>
        <w:br/>
        <w:t>declaraciones de los maestros decían  que  efectivamente  no  había  ninguna</w:t>
        <w:br/>
        <w:t>malversación y que la administración del  señor  [A.A.]  había  vencido  dos</w:t>
        <w:br/>
        <w:t>años antes de su muerte”. Respecto a la tercera hipótesis, explicó  que  las</w:t>
        <w:br/>
        <w:t>diversas diligencias investigativas practicadas “nos hace a nosotros  crear,</w:t>
        <w:br/>
        <w:t>la hipótesis de que la muerte del señor [A.A.] fue  por  haber  observado  y</w:t>
        <w:br/>
        <w:t>ser potencialmente testigo de un asesinato”.</w:t>
        <w:br/>
        <w:t>[330]       Cfr. Informe de 12 de junio de 2006  presentado  por  el  Agente</w:t>
        <w:br/>
        <w:t>Fiscal a la Secretaría  Ejecutiva  del  Ministerio  Público  (expediente  de</w:t>
        <w:br/>
        <w:t>anexos al escrito de sometimiento, folios 965 a 967).</w:t>
        <w:br/>
        <w:t>[331]       Cfr. Escrito de 1 de marzo de 2006  elaborado  por  el  Auxiliar</w:t>
        <w:br/>
        <w:t>Fiscal de la Fiscalía  de  Derechos  Humanos  dirigido  a  los  Técnicos  en</w:t>
        <w:br/>
        <w:t>investigaciones  Criminalísticas  del  Ministerio   Público  (expediente  de</w:t>
        <w:br/>
        <w:t>anexos al escrito de sometimiento, folios 948 a 949).</w:t>
        <w:br/>
        <w:t>[332]        Cfr. Entrevista a B.A. realizada  por  el  agente  investigador</w:t>
        <w:br/>
        <w:t>asignado del Servicio de Investigación Criminal de la  Comisaría  31  de  la</w:t>
        <w:br/>
        <w:t>Policía Nacional Civil de Escuintla el 21 de diciembre de  2004  (expediente</w:t>
        <w:br/>
        <w:t>de anexos al escrito de sometimiento, folios 916 a 918); Denuncia  realizada</w:t>
        <w:br/>
        <w:t>por B.A. de manera anónima el 22 de diciembre de 2004 (expediente de  anexos</w:t>
        <w:br/>
        <w:t>al escrito de sometimiento, folios 896 y 897); Entrevista a  B.A.  realizada</w:t>
        <w:br/>
        <w:t>por el Investigador asignado de la Procuraduría de los Derechos  Humanos  el</w:t>
        <w:br/>
        <w:t>23 de diciembre de 2004 (expediente de anexos al  escrito  de  sometimiento,</w:t>
        <w:br/>
        <w:t>folios 901 a 905); Entrevista a B.A. realizada por  el  Investigador  de  la</w:t>
        <w:br/>
        <w:t>DICRI  el  25  de  enero  de  2005  (expediente  de  anexos  al  escrito  de</w:t>
        <w:br/>
        <w:t>sometimiento, folios 1060 a 1065);  Declaración  de  B.A.realizada  ante  la</w:t>
        <w:br/>
        <w:t>Auxiliar de la Fiscalía Distrital de Santa  Lucía  Cotzumalguapa  el  10  de</w:t>
        <w:br/>
        <w:t>febrero de 2005 (expediente de anexos al  escrito  de  sometimiento,  folios</w:t>
        <w:br/>
        <w:t>821 a 825), y Declaración de B.A. realizada ante el Auxiliar de la  Fiscalía</w:t>
        <w:br/>
        <w:t>de Derechos Humanos de 11 de mayo de 2005 (expediente de anexos  al  escrito</w:t>
        <w:br/>
        <w:t>de sometimiento, folios 868 a 870).</w:t>
        <w:br/>
        <w:t>[333]       Cfr. Memorando de investigación  de  23  de  diciembre  de  2004</w:t>
        <w:br/>
        <w:t>realizado por el Investigador asignado de la Procuraduría  de  los  Derechos</w:t>
        <w:br/>
        <w:t>Humanos (expediente de anexos al  escrito  de  sometimiento,  folios  901  a</w:t>
        <w:br/>
        <w:t>905).</w:t>
        <w:br/>
        <w:t>[334]       Cfr. Informe de 5 de abril de  2006  presentado  al  Fiscal  del</w:t>
        <w:br/>
        <w:t>Distrito Adjunto de la Fiscalía de Santa Lucía Cotzumalguapa (expediente  de</w:t>
        <w:br/>
        <w:t>anexos al escrito de sometimiento, folios 1060 a 1065).</w:t>
        <w:br/>
        <w:t>[335]       Cfr. Informe de 5 de abril de  2006  presentado  al  Fiscal  del</w:t>
        <w:br/>
        <w:t>Distrito Adjunto de la Fiscalía de Santa Lucía Cotzumalguapa (expediente  de</w:t>
        <w:br/>
        <w:t>anexos al escrito de sometimiento, folios 1060 a 1065).</w:t>
        <w:br/>
        <w:t>[336]       Cfr. Informe de 5 de abril de  2006  presentado  al  Fiscal  del</w:t>
        <w:br/>
        <w:t>Distrito Adjunto de la Fiscalía de Santa Lucía Cotzumalguapa (expediente  de</w:t>
        <w:br/>
        <w:t>anexos al escrito de sometimiento, folios 1060 a 1065).</w:t>
        <w:br/>
        <w:t>[337]       Al respecto, no se citó a declarar a L.L. y  M.M.  a  pesar  que</w:t>
        <w:br/>
        <w:t>mediante informe de 5  de  abril  de  2005  el  Técnico  en  Investigaciones</w:t>
        <w:br/>
        <w:t>Criminalísticas de la DICRI adjuntó la denuncia penal interpuesta el  26  de</w:t>
        <w:br/>
        <w:t>noviembre de 2003 por la señora B.A. en contra de L.L. y sugirió  al  Fiscal</w:t>
        <w:br/>
        <w:t>de Santa Lucía Cotzumalguapa  “citar  por  los  medios  correspondientes  al</w:t>
        <w:br/>
        <w:t>señor [L.L.]”. Más aún, a pesar de dicha sugerencia, el 17 de mayo  de  2005</w:t>
        <w:br/>
        <w:t>el Auxiliar Fiscal solicitó dirigir  la  investigación  “únicamente  a  [la]</w:t>
        <w:br/>
        <w:t>plena identificación” de ambas personas. En este  punto,  una  vez  que  los</w:t>
        <w:br/>
        <w:t>Técnicos de Investigación Criminalística de la DICRI  proporcionaron  el  30</w:t>
        <w:br/>
        <w:t>de agosto de 2005 al Auxiliar Fiscal la identificación, asientos  de  cédula</w:t>
        <w:br/>
        <w:t>y actividad  laboral  de  dichas  personas,  tampoco  fueron  citadas.  Cfr.</w:t>
        <w:br/>
        <w:t>Informe de 5 de abril de 2006 presentado al Fiscal del Distrito  Adjunto  de</w:t>
        <w:br/>
        <w:t>la Fiscalía de Santa Lucía Cotzumalguapa (expediente de  anexos  al  escrito</w:t>
        <w:br/>
        <w:t>de  sometimiento,  folios  1060  a  1065);  Solicitud  de   diligencias   al</w:t>
        <w:br/>
        <w:t>Departamento de Investigación Criminalística por  la  Fiscalía  de  Derechos</w:t>
        <w:br/>
        <w:t>Humanos, de  17  de  mayo  de  2005  (expediente  de  anexo  al  escrito  de</w:t>
        <w:br/>
        <w:t>sometimiento, folios 877 a 879); Informe de 30 de agosto de  2005  elaborado</w:t>
        <w:br/>
        <w:t>por Técnicos  en  investigaciones  criminalísticas  del  Ministerio  Público</w:t>
        <w:br/>
        <w:t>(expediente de anexos al escrito de  sometimiento,  folios  931  a  934),  e</w:t>
        <w:br/>
        <w:t>Informe de 1 de marzo de 2006 de la Auxiliar  de  la  Fiscalía  de  Derechos</w:t>
        <w:br/>
        <w:t>Humanos dirigido a los Técnicos en  Investigaciones  Criminalísticas  de  la</w:t>
        <w:br/>
        <w:t>DICRI (expediente de anexos al escrito de sometimiento, folios 948 a 949).</w:t>
        <w:br/>
        <w:t>[338]       Cfr. Declaración rendida por E.M., un Agente Fiscal asignado  al</w:t>
        <w:br/>
        <w:t>caso, ante la Corte Interamericana en la audiencia pública  celebrada  el  5</w:t>
        <w:br/>
        <w:t>de febrero de 2014.</w:t>
        <w:br/>
        <w:t>[339]       Cfr.  Solicitud  de  la  Fiscalía  de  Derechos  Humanos  a  los</w:t>
        <w:br/>
        <w:t>Técnicos  en  Investigaciones  Criminalísticas  de  1  de  marzo   de   2006</w:t>
        <w:br/>
        <w:t>(expediente de anexos al escrito de sometimiento, folio 948);  Solicitud  de</w:t>
        <w:br/>
        <w:t>la  Fiscalía  de  Derechos  Humanos  a  los  Técnicos   en   Investigaciones</w:t>
        <w:br/>
        <w:t>Criminalísticas de 21 de noviembre de 2006 (expediente de anexos al  escrito</w:t>
        <w:br/>
        <w:t>de sometimiento, folio 1122); Solicitud de la Fiscalía de  Derechos  Humanos</w:t>
        <w:br/>
        <w:t>a los Técnicos en Investigaciones Criminalísticas de  8  de  abril  de  2008</w:t>
        <w:br/>
        <w:t>(expediente de anexos al escrito de sometimiento, folio  1135);  Informe  de</w:t>
        <w:br/>
        <w:t>los Técnicos en Investigaciones Criminalísticas a la  Fiscalía  de  Derechos</w:t>
        <w:br/>
        <w:t>Humanos de 10  de  abril  de  2008  (expediente  de  anexos  al  escrito  de</w:t>
        <w:br/>
        <w:t>sometimiento, folios 1177 a  1178);  Resolución  de  16  de  junio  de  2008</w:t>
        <w:br/>
        <w:t>emitida por la Jueza de Primera Instancia Penal,  Narcoactividad  y  Delitos</w:t>
        <w:br/>
        <w:t>contra el ambiente del Municipio de Santa  Lucía  Cotzumalguapa  (expediente</w:t>
        <w:br/>
        <w:t>de anexos al escrito de sometimiento, folios 1273 a 1276), y Diligencias  de</w:t>
        <w:br/>
        <w:t>inspección, allanamiento y registro de 17 de junio de  2008  (expediente  de</w:t>
        <w:br/>
        <w:t>anexos al escrito de sometimiento, folios 1291 a 1306).</w:t>
        <w:br/>
        <w:t>[340]       Consta en la prueba que el 3 de febrero de 2009 y  una  vez  que</w:t>
        <w:br/>
        <w:t>fue  solicitado  por  la  Auxiliar  Fiscal,  el  Investigador  de  la  DICRI</w:t>
        <w:br/>
        <w:t>entrevistó al “Chelelo”, quien únicamente proporcionó información  sobre  el</w:t>
        <w:br/>
        <w:t>señor A.A., y que el 24 de febrero de 2009 los Investigadores  de  la  DICRI</w:t>
        <w:br/>
        <w:t>informaron sobre el trabajo, forma de vida y relaciones laborales de  aquél.</w:t>
        <w:br/>
        <w:t>Cfr. Solicitud de  la  Fiscalía  de  Derechos  Humanos  a  los  Técnicos  en</w:t>
        <w:br/>
        <w:t>Investigaciones Criminalísticas de  24  noviembre  de  2008  (expediente  de</w:t>
        <w:br/>
        <w:t>anexos al escrito de sometimiento, folio 1307), e Informe  de  los  Técnicos</w:t>
        <w:br/>
        <w:t>en Investigaciones Criminalísticas a la Fiscalía de Derechos Humanos  de  24</w:t>
        <w:br/>
        <w:t>de febrero de 2009 (expediente de anexos al escrito de sometimiento,  folios</w:t>
        <w:br/>
        <w:t>1308 a 1309).</w:t>
        <w:br/>
        <w:t>[341]       Cfr.  Solicitud  de  la  Fiscalía  de  Derechos  Humanos  a  los</w:t>
        <w:br/>
        <w:t>Técnicos en Investigaciones Criminalísticas  de  21  de  noviembre  de  2006</w:t>
        <w:br/>
        <w:t>(expediente de anexos al escrito de sometimiento, folio  1122);  Informe  de</w:t>
        <w:br/>
        <w:t>los Técnicos en Investigaciones Criminalísticas a la  Fiscalía  de  Derechos</w:t>
        <w:br/>
        <w:t>Humanos de 26  de  marzo  de  2008  (expediente  de  anexos  al  escrito  de</w:t>
        <w:br/>
        <w:t>sometimiento,  folios  1169  a   1174);   Informe   de   los   Técnicos   en</w:t>
        <w:br/>
        <w:t>Investigaciones Criminalísticas a la Fiscalía de Derechos Humanos de  10  de</w:t>
        <w:br/>
        <w:t>abril de 2008 (expediente de anexos al escrito de sometimiento, folios  1177</w:t>
        <w:br/>
        <w:t>y 1178), y Diligencia de inspección, allanamiento y registro de 17 de  junio</w:t>
        <w:br/>
        <w:t>de 2008 (expediente de anexos al escrito  de  sometimiento,  folios  1304  a</w:t>
        <w:br/>
        <w:t>1306).</w:t>
        <w:br/>
        <w:t>[342]       Cfr. Caso Myrna Mack Chang Vs. Guatemala. Fondo, Reparaciones  y</w:t>
        <w:br/>
        <w:t>Costas. Sentencia de 25 de noviembre de 2003. Serie C No. 101, párr. 199,  y</w:t>
        <w:br/>
        <w:t>Caso Gutiérrez y Familia Vs. Argentina, supra, párr. 118</w:t>
        <w:br/>
        <w:t>[343]       Cfr. Caso Kawas Fernández Vs.  Honduras,  supra,  párr.  106,  y</w:t>
        <w:br/>
        <w:t>Caso Gutiérrez y Familia Vs. Argentina. supra, párr. 118.</w:t>
        <w:br/>
        <w:t>[344]       Cfr. Caso De La Masacre de las Dos Erres, supra,  párr.  234,  y</w:t>
        <w:br/>
        <w:t>Caso Gutiérrez y Familia Vs. Argentina. supra, párr. 119.</w:t>
        <w:br/>
        <w:t>[345]       Cfr.  Caso  Baldeón  García  Vs.  Perú.  Fondo,  Reparaciones  y</w:t>
        <w:br/>
        <w:t>Costas. Sentencia de 6 de abril de 2006. Serie C No. 147, párr. 95,  y  Caso</w:t>
        <w:br/>
        <w:t>Gutiérrez y Familia Vs. Argentina. supra, párr. 119.</w:t>
        <w:br/>
        <w:t>[346]       En este punto, la Corte considera pertinente recordar  que  es</w:t>
        <w:br/>
        <w:t>legítimo  el  uso  de  la  prueba  circunstancial,  los  indicios  y   las</w:t>
        <w:br/>
        <w:t>presunciones,  siempre  que  de  ellos   puedan   inferirse   conclusiones</w:t>
        <w:br/>
        <w:t>consistentes sobre los hechos. Cfr. Caso Velásquez Rodriguez Vs. Honduras,</w:t>
        <w:br/>
        <w:t>Fondo, supra, párrs. 130, y Caso de la Corte Suprema de Justicia (Quintana</w:t>
        <w:br/>
        <w:t>Coello y otros) Vs. Ecuador. Excepción Preliminar, Fondo,  Reparaciones  y</w:t>
        <w:br/>
        <w:t>Costas. Sentencia de 23 de agosto de 2013. Serie C No. 266, párr. 173.</w:t>
        <w:br/>
        <w:t>[347]        Cfr.  Oficio  16-2004  de  la  Fiscalía  Distrital,  Ministerio</w:t>
        <w:br/>
        <w:t>Público, Santa Lucía, Cotzumalguapa de 21 de diciembre de  2004  (expediente</w:t>
        <w:br/>
        <w:t>de anexos al escrito de sometimiento, folios 916 a 918).</w:t>
        <w:br/>
        <w:t>[348]       Cfr. Informe elaborado el 21 de junio de 2006 por  los  Técnicos</w:t>
        <w:br/>
        <w:t>en Investigaciones Criminalísticas del  Ministerio  Público  (expediente  de</w:t>
        <w:br/>
        <w:t>anexos al escrito de sometimiento, folios 1152 a 1156).</w:t>
        <w:br/>
        <w:t>[349]       Cfr. Informe elaborado el 21 de junio de 2006 por  los  Técnicos</w:t>
        <w:br/>
        <w:t>en Investigaciones Criminalísticas del  Ministerio  Público  (expediente  de</w:t>
        <w:br/>
        <w:t>anexos al escrito de sometimiento, folios 1152 a 1156).</w:t>
        <w:br/>
        <w:t>[350]       Cfr. Declaración de 13 de marzo de 2007  (expediente  de  anexos</w:t>
        <w:br/>
        <w:t>al escrito de sometimiento, folios 1211 a 1213).</w:t>
        <w:br/>
        <w:t>[351]       Cfr. Declaración rendida ante fedatario público de  M.I.  de  16</w:t>
        <w:br/>
        <w:t>de enero de 2014 (expediente de fondo, folios 654 a 662).</w:t>
        <w:br/>
        <w:t>[352]       Cfr. Declaración de un agente de la Policía  Nacional  Civil  de</w:t>
        <w:br/>
        <w:t>Santa Lucía Cotzumalguapa (expediente de anexos al escrito de  sometimiento,</w:t>
        <w:br/>
        <w:t>folios 860 a 862); Entrevista realizada por los Investigadores de  la  DICRI</w:t>
        <w:br/>
        <w:t>de 20 de enero de 2005 (expediente de anexos  al  escrito  de  sometimiento,</w:t>
        <w:br/>
        <w:t>folios 1060 a 1065); Entrevista  realizada  por  los  Investigadores  de  la</w:t>
        <w:br/>
        <w:t>DICRI  de  26  de  julio  de  2005  (expediente  de  anexos  al  escrito  de</w:t>
        <w:br/>
        <w:t>sometimiento, folio 932); Entrevista realizada por los Investigadores de  la</w:t>
        <w:br/>
        <w:t>DICRI  de  26  de  julio  de  2005  (expediente  de  anexos  al  escrito  de</w:t>
        <w:br/>
        <w:t>sometimiento, folio 933); Entrevista realizada por los Investigadores de  la</w:t>
        <w:br/>
        <w:t>DICRI  de  26  de  julio  de  2005  (expediente  de  anexos  al  escrito  de</w:t>
        <w:br/>
        <w:t>sometimiento, folio 933); Entrevista realizada por los Investigadores de  la</w:t>
        <w:br/>
        <w:t>DICRI  de  24  de  mayo  de  2006  (expediente  de  anexos  al  escrito   de</w:t>
        <w:br/>
        <w:t>sometimiento, folio 1153), y Entrevista realizada por los Investigadores  de</w:t>
        <w:br/>
        <w:t>la DICRI de 24  de  mayo  de  2006  (expediente  de  anexos  al  escrito  de</w:t>
        <w:br/>
        <w:t>sometimiento, folio 1153).</w:t>
        <w:br/>
        <w:t>[353]       Cfr. Declaración rendida por E.M., un Agente Fiscal asignado  al</w:t>
        <w:br/>
        <w:t>caso, ante la Corte Interamericana en la audiencia pública  celebrada  el  5</w:t>
        <w:br/>
        <w:t>de febrero de 2014.</w:t>
        <w:br/>
        <w:t>[354]       Cfr. Declaración rendida por E.M., un Agente Fiscal asignado  al</w:t>
        <w:br/>
        <w:t>caso, ante la Corte Interamericana en la audiencia pública  celebrada  el  5</w:t>
        <w:br/>
        <w:t>de febrero de 2014.</w:t>
        <w:br/>
        <w:t>[355]       Cfr. Informe  Anual  Circunstanciado  2004,  Procurador  de  los</w:t>
        <w:br/>
        <w:t>Derechos  Humanos  Guatemala,  enero  de  2005,  p.  210.   Disponible   en:</w:t>
        <w:br/>
        <w:t>http://www.pdh.org.gt/archivos/descargas/Documentos/Informes%20Anuales/infor</w:t>
        <w:br/>
        <w:t>me2004.pdf.</w:t>
        <w:br/>
        <w:t>[356]       Cfr. Caso Chitay Nech y otros Vs. Guatemala, supra,  párr.  174.</w:t>
        <w:br/>
        <w:t>Citando, entre otros, CIDH, Justicia e Inclusión Social: Los Desafíos de  la</w:t>
        <w:br/>
        <w:t>Democracia en Guatemala, OEA/Ser.L/V/II.118, Doc. 5 rev. 1, 29 de  diciembre</w:t>
        <w:br/>
        <w:t>de                   2003                   Disponible                   en:</w:t>
        <w:br/>
        <w:t>http://www.cidh.oas.org/pdf%20files/GUATEMALA.2003.pdf.</w:t>
        <w:br/>
        <w:t>[357]       Consta en el expediente que COPREDEH solicitó información  sobre</w:t>
        <w:br/>
        <w:t>la razón por la que el  Ministerio  Público  no  había  ofrecido  protección</w:t>
        <w:br/>
        <w:t>judicial al testigo aportado por la familia de A.A. En respuesta,  el  2  de</w:t>
        <w:br/>
        <w:t>abril de 2009 el Agente Fiscal informó: “Por un lado[,] esta institución  no</w:t>
        <w:br/>
        <w:t>tiene competencia  para  decidir  sobre  protección  de  tipo  judicial  que</w:t>
        <w:br/>
        <w:t>compete directamente al organismo judicial[.] [P]or otro  lado[,]  para  que</w:t>
        <w:br/>
        <w:t>una persona sea considerada dentro del Programa  de  Protección  a  Testigos</w:t>
        <w:br/>
        <w:t>debe reunirse los requisitos  de  dicho  reglamento,  entre  estos:  que  la</w:t>
        <w:br/>
        <w:t>declaración de este testigo sea  decisiva  para  la  orden  de  aprehensión,</w:t>
        <w:br/>
        <w:t>acusación o lograr una condena de alg[ú]n sindicado  por  haber  presenciado</w:t>
        <w:br/>
        <w:t>directamente los hechos  y  que  manifieste  y  se  comprueba  que  por  ese</w:t>
        <w:br/>
        <w:t>testimonio  tiene  riesgo[.]  [E]n  el  presente  caso  ningún  apersona  ha</w:t>
        <w:br/>
        <w:t>declarado haber observado el  hecho  directamente  donde  fallece  el  señor</w:t>
        <w:br/>
        <w:t>[A.A.], razón por la que no se [ha] incluido a  ninguna  persona  dentro  de</w:t>
        <w:br/>
        <w:t>ese programa”. Cfr. Informe de 2 de abril de 2009  dirigido  al  Coordinador</w:t>
        <w:br/>
        <w:t>de la Secretaría de Coordinación Técnica (expediente de  anexos  al  escrito</w:t>
        <w:br/>
        <w:t>de sometimiento, folios 1320 y 1321), e  Informe  de  2  de  abril  de  2009</w:t>
        <w:br/>
        <w:t>dirigido  a  la  Fiscalía  Sección  de  la  Fiscalía  de  Derechos   Humanos</w:t>
        <w:br/>
        <w:t>(expediente de anexos al escrito de sometimiento, folios 1326 y 1327).</w:t>
        <w:br/>
        <w:t>[358]            El artículo 63.1 de la Convención Americana establece  que: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t>[359]            Cfr. Caso Velásquez Rodríguez Vs. Honduras. Reparaciones  y</w:t>
        <w:br/>
        <w:t>Costas. Sentencia de 21 de julio de 1989. Serie C No. 7, párr.  25,  y  Caso</w:t>
        <w:br/>
        <w:t>Norín  Catrimán  y  otros  (Dirigentes,  miembros  y  activista  del  Pueblo</w:t>
        <w:br/>
        <w:t>Indígena Mapuche) Vs. Chile, supra, párr. 412.</w:t>
        <w:br/>
        <w:t>[360]            Cfr. Caso Velásquez Rodríguez Vs. Honduras. Reparaciones y</w:t>
        <w:br/>
        <w:t>Costas, supra, párrs. 25 a 27, y Caso Norín Catrimán y otros (Dirigentes,</w:t>
        <w:br/>
        <w:t>miembros y activista del Pueblo Indígena Mapuche) Vs. Chile, supra, párr.</w:t>
        <w:br/>
        <w:t>415.</w:t>
        <w:br/>
        <w:t>[361]            Cfr. Caso Ticona Estrada y otros Vs. Bolivia. Fondo,</w:t>
        <w:br/>
        <w:t>Reparaciones y Costas. Sentencia de 27 de noviembre de 2008. Serie C No.</w:t>
        <w:br/>
        <w:t>191, párr. 110, y Caso Norín Catrimán y otros (Dirigentes, miembros y</w:t>
        <w:br/>
        <w:t>activista del Pueblo Indígena Mapuche) Vs. Chile, supra, párr. 414.</w:t>
        <w:br/>
        <w:t>[362]       Cfr. Caso Liakat Ali Alibux Vs. Suriname, supra, párr. 140.</w:t>
        <w:br/>
        <w:t>[363] Cfr. Caso De la Masacre de las Dos Erres Vs. Guatemala,  supra,  párr.</w:t>
        <w:br/>
        <w:t>231, y Caso Veliz Franco y otros Vs. Guatemala, supra, párr. 251.</w:t>
        <w:br/>
        <w:t>[364]       Cfr. Caso  Montero  Aranguren  y  otros  (Retén  de  Catia)  Vs.</w:t>
        <w:br/>
        <w:t>Venezuela. Fondo, Reparaciones y Costas. Sentencia de 5 de  julio  de  2006.</w:t>
        <w:br/>
        <w:t>Serie C No. 150, párr. 139,  y  Caso  Gutiérrez  y  Familia  Vs.  Argentina,</w:t>
        <w:br/>
        <w:t>supra, párr. 233.</w:t>
        <w:br/>
        <w:t>[365] Cfr. Caso Valle Jaramillo y otros Vs. Colombia, supra,  párr.  233,  y</w:t>
        <w:br/>
        <w:t>Caso De la Masacre de las Dos Erres Vs. Guatemala,  supra, párr. 256.</w:t>
        <w:br/>
        <w:t>[366]       Cfr. Caso Cabrera García y Montiel Flores Vs. México.  Excepción</w:t>
        <w:br/>
        <w:t>Preliminar, Fondo, Reparaciones y Costas. Sentencia de 26  de  noviembre  de</w:t>
        <w:br/>
        <w:t>2010. Serie C No. 220, párr. 215, y Caso J. Vs. Perú, supra, párr. 392.</w:t>
        <w:br/>
        <w:t>[367]       Cfr. Evaluación psicosocial de H.M.  (expediente  de  anexos  al</w:t>
        <w:br/>
        <w:t>escrito de sometimiento, folios 1412 a 1428). En cuanto a  la  objeción  del</w:t>
        <w:br/>
        <w:t>Estado en sentido que el “peritaje psicosocial [de la señora  H.M.]  no  fue</w:t>
        <w:br/>
        <w:t>realizado con la profundidad que amerita un peritaje de esta naturaleza,  ya</w:t>
        <w:br/>
        <w:t>que 22 entrevistas a igual número de personas de entre 1 y 2  horas  no  son</w:t>
        <w:br/>
        <w:t>suficientes para determinar el daño psicosocial que pudo  haber  sufrido  la</w:t>
        <w:br/>
        <w:t>familia de [A.A.]”, la Corte constata que el Estado no  indicó  los  motivos</w:t>
        <w:br/>
        <w:t>por los cuales dicha metodología sería insuficiente, ni aportó  pruebas  que</w:t>
        <w:br/>
        <w:t>fundamenten dicha aseveración, por lo que considera  que  dichos  argumentos</w:t>
        <w:br/>
        <w:t>son improcedentes.</w:t>
        <w:br/>
        <w:t>[368]        Cfr. Evaluación psicosocial de H.M. (expediente  de  anexos  al</w:t>
        <w:br/>
        <w:t>escrito de sometimiento, folios 1425 y 1426).</w:t>
        <w:br/>
        <w:t>[369]       Cfr. Caso Cantoral Benavides Vs. Perú.  Reparaciones  y  Costas.</w:t>
        <w:br/>
        <w:t>Sentencia de 3 de diciembre de 2001. Serie C No. 88, párr. 51, y Caso  Norín</w:t>
        <w:br/>
        <w:t>Catrimán y otros (Dirigentes,  miembros  y  activista  del  Pueblo  Indígena</w:t>
        <w:br/>
        <w:t>Mapuche) Vs. Chile, supra, párrs. 425 y 426.</w:t>
        <w:br/>
        <w:t>[370]        Cfr.  Caso  Gudiel  Álvarez  y  otros  ("Diario  Militar")  Vs.</w:t>
        <w:br/>
        <w:t>Guatemala, supra, párr. 339 y Anexo.</w:t>
        <w:br/>
        <w:t>[371]       Cfr. Caso Cantoral Benavides, supra, párr. 79, y Caso Luna</w:t>
        <w:br/>
        <w:t>López Vs. Honduras, supra, párr. 230.</w:t>
        <w:br/>
        <w:t>[372]       Cfr. Caso Luna López Vs. Honduras, supra, párr. 243.</w:t>
        <w:br/>
        <w:t>[373]       Cfr. Declaración rendida por B.A. ante la  Corte  Interamericana</w:t>
        <w:br/>
        <w:t>en la audiencia pública celebrada el  5  de  febrero  de  2014;  Declaración</w:t>
        <w:br/>
        <w:t>escrita de B.A. de 12 de diciembre de 2010 (expediente de anexos al  escrito</w:t>
        <w:br/>
        <w:t>de sometimiento, folios 1351, 1352 y 1368); Declaración de B.A.  (expediente</w:t>
        <w:br/>
        <w:t>de   anexos  al  escrito  de  sometimiento,  disco   2,   minuto   1:05:17);</w:t>
        <w:br/>
        <w:t>Declaración de E.A. (expediente  de   anexos  al  escrito  de  sometimiento,</w:t>
        <w:br/>
        <w:t>disco 1, minuto 42:39), y Declaración de C.A.   (expediente  de   anexos  al</w:t>
        <w:br/>
        <w:t>escrito de sometimiento, disco 2, minuto 1:05:17).</w:t>
        <w:br/>
        <w:t>[374]        Cfr.  Caso  Bámaca  Velásquez  Vs.  Guatemala.  Reparaciones  y</w:t>
        <w:br/>
        <w:t>Costas. Sentencia de 22 de febrero de 2002. Serie C  No.  91,  párr.  43,  y</w:t>
        <w:br/>
        <w:t>Caso Norín Catrimán y otros (Dirigentes, miembros  y  activista  del  Pueblo</w:t>
        <w:br/>
        <w:t>Indígena Mapuche) Vs. Chile, supra, párr. 441.</w:t>
        <w:br/>
        <w:t>[375]       Cfr. Caso de los  “Niños  de  la  Calle”  (Villagrán  Morales  y</w:t>
        <w:br/>
        <w:t>otros) Vs. Guatemala. Reparaciones y Costas. Sentencia  de  26  de  mayo  de</w:t>
        <w:br/>
        <w:t>2001. Serie C No. 77, párr. 84, y Caso Norín Catrimán y  otros  (Dirigentes,</w:t>
        <w:br/>
        <w:t>miembros y activista del Pueblo Indígena Mapuche) Vs.  Chile,  supra,  párr.</w:t>
        <w:br/>
        <w:t>441.</w:t>
        <w:br/>
        <w:t>[376]       Cfr. Caso Cantoral Benavides Vs. Perú.  Reparaciones  y  Costas,</w:t>
        <w:br/>
        <w:t>supra, párr. 53, y Caso Vélez Loor  Vs.  Panamá.  Excepciones  Preliminares,</w:t>
        <w:br/>
        <w:t>Fondo, Reparaciones y Costas. Sentencia de 23 de noviembre de 2010  Serie  C</w:t>
        <w:br/>
        <w:t>No. 218, párr. 310.</w:t>
        <w:br/>
        <w:t>[377]       Cfr. Caso de la “Panel Blanca” (Paniagua Morales  y  otros)  Vs.</w:t>
        <w:br/>
        <w:t>Guatemala. Reparaciones y Costas. Sentencia de 25 de mayo de 2001.  Serie  C</w:t>
        <w:br/>
        <w:t>No. 76, párr. 79, y Caso Veliz Franco y  otros  Vs.  Guatemala.  Excepciones</w:t>
        <w:br/>
        <w:t>Preliminares, Fondo, Reparaciones y Costas.  Sentencia  de  19  de  mayo  de</w:t>
        <w:br/>
        <w:t>2014. Serie C No. 277, párr. 295.</w:t>
        <w:br/>
        <w:t>[378]       Cfr. Declaración de C.A.  (expediente de anexos  al  escrito  de</w:t>
        <w:br/>
        <w:t>sometimiento, folios 1423 y 1424).</w:t>
        <w:br/>
        <w:t>[379]       Solicitaron el  reintegro  de  USD  $785,00  por  el  costo  del</w:t>
        <w:br/>
        <w:t>hospedaje en San José, Costa Rica, desde el 2  hasta  el  7  de  febrero  de</w:t>
        <w:br/>
        <w:t>2014;  “USD  $  1.410,51  por  [el]  desplazamiento  de  la  víctima  y  sus</w:t>
        <w:br/>
        <w:t>representantes en avión desde Guatemala hasta San José”; “USD $  159,29  por</w:t>
        <w:br/>
        <w:t>[el] desplazamiento interno en bus y taxi en la ciudad de San José”; “USD  $</w:t>
        <w:br/>
        <w:t>410,92 por alimentación desde el 2 al 7 de febrero” de  2014;  USD  $  88,36</w:t>
        <w:br/>
        <w:t>por impuestos de salida de Costa Rica, y USD $ 139,26 por concepto de  envío</w:t>
        <w:br/>
        <w:t>desde España del peritaje de Luis Enrique Eguren.</w:t>
        <w:br/>
        <w:t>[380]       Cfr. Caso Garrido y  Baigorria  Vs.  Argentina.  Reparaciones  y</w:t>
        <w:br/>
        <w:t>Costas. Sentencia de 27 de agosto de 1998. Serie C No. 39, párr. 39, y  Caso</w:t>
        <w:br/>
        <w:t>Norín  Catrimán  y  otros  (Dirigentes,  miembros  y  activista  del  Pueblo</w:t>
        <w:br/>
        <w:t>Indígena Mapuche) Vs. Chile, supra, párr. 449.</w:t>
        <w:br/>
        <w:t>[381]       Cfr. Caso Garrido y Baigorria.  Reparaciones  y  Costas,  supra,</w:t>
        <w:br/>
        <w:t>párr. 82, y Caso Norín Catrimán y otros (Dirigentes,  miembros  y  activista</w:t>
        <w:br/>
        <w:t>del Pueblo Indígena Mapuche) Vs. Chile, supra, párr. 450.</w:t>
        <w:br/>
        <w:t>[382]        Incluye  costos  de  alojamiento,   transporte,   alimentación,</w:t>
        <w:br/>
        <w:t>impuesto de salida de San José, Costa Rica, y envío de  paquetería.  Totales</w:t>
        <w:br/>
        <w:t>comprobados: Q15.534,23 quetzales guatemaltecos (aproximasta Rica,  y  envío</w:t>
        <w:br/>
        <w:t>de  paquetería.  Totales  comprobados:  Q15.534,23  quetzales  guatemaltecos</w:t>
        <w:br/>
        <w:t>(aproximadamente  USD   $1.990,63);   USD   $997,50;   ₡172.352,00   colones</w:t>
        <w:br/>
        <w:t>costarricenses    (aproximadamente    USD    $312,89),     €101,65     euros</w:t>
        <w:br/>
        <w:t>(aproximadamente USD $138,20). La Corte no tomará en cuenta  un  recibo  sin</w:t>
        <w:br/>
        <w:t>fecha de USD $38,72, un presunto  recibo  de  alimentación  de  fecha  4  de</w:t>
        <w:br/>
        <w:t>febrero de 2014 que se  encuentre  ilegible,  así  como  un  comprobante  de</w:t>
        <w:br/>
        <w:t>compra de dólares.</w:t>
        <w:br/>
        <w:t>[383]       Cfr. Caso Ibsen Cárdenas e Ibsen Peña Vs. Bolivia, supra,  párr.</w:t>
        <w:br/>
        <w:t xml:space="preserve"> 291, y Caso Norín Catrimán y otros (Dirigentes, miembros  y  activista  del</w:t>
        <w:br/>
        <w:t>Pueblo Indígena Mapuche) Vs. Chile, supra, párr. 454.</w:t>
        <w:br/>
        <w:br/>
        <w:t>[384]        Cfr.  Caso  Valle  Jaramillo  y  otros  Vs.  Colombia.   Fondo,</w:t>
        <w:br/>
        <w:t>Reparaciones y Costas. Sentencia de 27 de noviembre de  2008.  Serie  C  No.</w:t>
        <w:br/>
        <w:t>192; Caso Kawas  Fernández  Vs.  Honduras.  Fondo,  Reparaciones  y  Costas.</w:t>
        <w:br/>
        <w:t>Sentencia de 3 de abril de 2009. Serie C No. 196,  y  Caso  Luna  López  Vs.</w:t>
        <w:br/>
        <w:t>Honduras. Fondo, Reparaciones y Costas. Sentencia de 10 de octubre de  2013.</w:t>
        <w:br/>
        <w:t>Serie C No. 269.</w:t>
        <w:br/>
        <w:br/>
        <w:br/>
        <w:t>[385]       Cfr.  Caso  Luna  López  Vs.  Honduras.  Fondo,  Reparaciones  y</w:t>
        <w:br/>
        <w:t>Costas. Sentencia de 10 de octubre de 2013. Serie C No. 269, párr. 122.</w:t>
        <w:br/>
        <w:br/>
        <w:br/>
        <w:t>[386]       Cfr. párr. 129 de la Sentencia.</w:t>
        <w:br/>
        <w:br/>
        <w:br/>
        <w:t>[387]       Cfr. párr. 129 de la Sentencia.</w:t>
        <w:br/>
        <w:br/>
        <w:br/>
        <w:t>[388]       Cfr. párrs. 130 a 132 de la Sentencia.</w:t>
        <w:br/>
        <w:br/>
        <w:br/>
        <w:t>[389]       Párr. 149 de la Sentencia.</w:t>
        <w:br/>
        <w:br/>
        <w:br/>
        <w:t>[390]       Párr. 142 de la Sentencia.</w:t>
        <w:br/>
        <w:br/>
        <w:br/>
        <w:t>[391]       Cfr. párr. 143 de la Sentencia.</w:t>
        <w:br/>
        <w:br/>
        <w:br/>
        <w:t>[392]       Cfr. párr. 78 de la Sentencia.</w:t>
        <w:br/>
        <w:br/>
        <w:br/>
        <w:t>[393]       Cfr. párr. 73 de la Sentencia.</w:t>
        <w:br/>
        <w:br/>
        <w:br/>
        <w:t>[394]       Cfr. párr. 83 de la Sentencia, y Caso  Gudiel  Álvarez  y  otros</w:t>
        <w:br/>
        <w:t>(“Diario Militar”) Vs. Guatemala. Fondo Reparaciones y Costas. Sentencia  de</w:t>
        <w:br/>
        <w:t>20 noviembre de 2012. Serie C No. 253, párr. 308.</w:t>
        <w:br/>
        <w:br/>
        <w:br/>
        <w:t>[395]        Cfr.  Caso  Gudiel  Álvarez  y  otros  (“Diario  Militar”)  Vs.</w:t>
        <w:br/>
        <w:t>Guatemala. Fondo Reparaciones y Costas, supra, párr. 308.</w:t>
        <w:br/>
        <w:br/>
        <w:br/>
        <w:t>[396]       Cfr. párr. 91 de la Sentencia.</w:t>
        <w:br/>
        <w:br/>
        <w:br/>
        <w:t>[397]            Cfr. párr. 146 de la Sentencia.</w:t>
        <w:br/>
        <w:br/>
        <w:br/>
        <w:t>[398]       Cfr. Caso Loayza Tamayo Vs. Perú.  Fondo.  Sentencia  de  17  de</w:t>
        <w:br/>
        <w:t>septiembre de 1997. Serie C No. 33, párr.  42,  y  Caso  Ríos  y  otros  Vs.</w:t>
        <w:br/>
        <w:t>Venezuela.  Excepciones  Preliminares,   Fondo,   Reparaciones   y   Costas.</w:t>
        <w:br/>
        <w:t>Sentencia de 28 de enero de 2009. Serie C No. 194, párr. 95.</w:t>
        <w:br/>
        <w:br/>
        <w:br/>
        <w:t>[399]       Cfr. párrs. 84 y 91 de la Sentencia.</w:t>
        <w:br/>
        <w:br/>
        <w:br/>
        <w:t>[400]       Párr. 147 de la Sentencia.</w:t>
        <w:br/>
        <w:br/>
        <w:br/>
        <w:t>[401]       Declaración del entonces Alcalde Municipal de 5 de diciembre  de</w:t>
        <w:br/>
        <w:t>2010 (expediente de anexos al escrito de sometimiento, folios 794 y 795).</w:t>
        <w:br/>
        <w:br/>
        <w:br/>
        <w:t>[402]       Cfr. párr. 148 de la Sentencia.</w:t>
        <w:br/>
        <w:br/>
        <w:br/>
        <w:t>[403]       Cfr. Declaración rendida por B.A. ante la  Corte  Interamericana</w:t>
        <w:br/>
        <w:t>en la audiencia pública celebrada el 5 de febrero de 2014.</w:t>
        <w:br/>
        <w:br/>
        <w:br/>
        <w:t>[404]       Cfr. párr. 146 de la Sentencia; Entrevista realizada  el  23  de</w:t>
        <w:br/>
        <w:t>diciembre de 2004 a B.A. por el  investigador  del  Procurador  de  Derechos</w:t>
        <w:br/>
        <w:t>Humanos (expediente de  anexos  al  escrito  de  sometimiento,  folio  902);</w:t>
        <w:br/>
        <w:t>Entrevista realizada el 25 de enero  de  2005  a  B.A.  por  el  técnico  en</w:t>
        <w:br/>
        <w:t>investigaciones  criminalísticas  del  Ministerio  Público  (expediente   de</w:t>
        <w:br/>
        <w:t>anexos al escrito  de  sometimiento,  folio  1063);  Declaración  de  10  de</w:t>
        <w:br/>
        <w:t>febrero de 2005 de B.A.  ante  la  Fiscalía  de  Santa  Lucía  Cotzumalguapa</w:t>
        <w:br/>
        <w:t>(expediente de anexos al escrito de sometimiento,  folio  823);  Declaración</w:t>
        <w:br/>
        <w:t>privada de diciembre de 2010 (anexos al escrito de  sometimiento,  disco  2,</w:t>
        <w:br/>
        <w:t>minuto 59:23  a  1:00),  y  Declaración  rendida  por  B.A.  ante  la  Corte</w:t>
        <w:br/>
        <w:t>Interamericana en la audiencia pública celebrada el 5 de febrero de 2014.</w:t>
        <w:br/>
        <w:br/>
        <w:br/>
        <w:t>[405]       Cfr. párr. 146 de la Sentencia.</w:t>
        <w:br/>
        <w:br/>
        <w:br/>
        <w:t>[406]       Mutatis mutandis, Caso Luna López Vs.  Honduras,  párrs.  124  y</w:t>
        <w:br/>
        <w:t>138.</w:t>
        <w:br/>
        <w:br/>
        <w:br/>
        <w:t>[407]       Párr. 189 de la Sentencia.</w:t>
        <w:br/>
        <w:br/>
        <w:br/>
        <w:t>[408]       Cfr. párr. 186 de la Sentencia.</w:t>
        <w:br/>
        <w:br/>
        <w:br/>
        <w:t>[409]       Cfr. párr. 187 de la Sentencia.</w:t>
        <w:br/>
        <w:br/>
        <w:br/>
        <w:t>[410] Declaración del entonces Alcalde Municipal de 5 de diciembre  de  2010</w:t>
        <w:br/>
        <w:t>(expediente de anexos al escrito de sometimiento, folio 796).</w:t>
        <w:br/>
        <w:br/>
        <w:br/>
        <w:t>[411]       Cfr. párr. 148 de la Sentencia.</w:t>
        <w:br/>
        <w:br/>
        <w:br/>
        <w:t>[412]       En otro caso guatemalteco, la Corte sí  reconoció  la  violación</w:t>
        <w:br/>
        <w:t>de los derechos políticos en conexión con el derecho a la vida, entre  otros</w:t>
        <w:br/>
        <w:t>derechos.  En  el  caso  del  líder  indígena  Florencio  Chitay  Nech,  que</w:t>
        <w:br/>
        <w:t>desempeñó cargos municipales durante la época del conflicto  armado  interno</w:t>
        <w:br/>
        <w:t>y que fue víctima de desaparición  forzada,  la  Corte  declaró  violado  el</w:t>
        <w:br/>
        <w:t>artículo 23 de la Convención Americana. Cfr. Caso Chitay Nech  y  otros  Vs.</w:t>
        <w:br/>
        <w:t>Guatemala.  Excepciones  Preliminares,   Fondo,   Reparaciones   y   Costas.</w:t>
        <w:br/>
        <w:t>Sentencia de 25 de mayo de 2010. Serie C No. 212, párrs. 104 a 117.</w:t>
        <w:br/>
        <w:br/>
        <w:br/>
        <w:t>[413]       Cfr. párr. 78 de la Sentencia.</w:t>
        <w:br/>
        <w:br/>
        <w:br/>
        <w:t>[414]       Cfr. Caso Gudiel Álvarez y otros (“Diario Militar”) Vs.</w:t>
        <w:br/>
        <w:t>Guatemala. Fondo Reparaciones y Costas.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