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t>Corte Interamericana de Derechos Humanos</w:t>
        <w:br/>
        <w:br/>
        <w:br/>
        <w:t xml:space="preserve">                        Caso El Amparo Vs. Venezuela</w:t>
        <w:br/>
        <w:br/>
        <w:br/>
        <w:t xml:space="preserve">                    Sentencia de 14 de septiembre de 1996</w:t>
        <w:br/>
        <w:t xml:space="preserve">                           (Reparaciones y Costas)</w:t>
        <w:br/>
        <w:br/>
        <w:br/>
        <w:t>En el caso El Amparo,</w:t>
        <w:br/>
        <w:br/>
        <w:br/>
        <w:t>la Corte Interamericana de Derechos Humanos, integrada  por  los  siguientes</w:t>
        <w:br/>
        <w:t>jueces:</w:t>
        <w:br/>
        <w:br/>
        <w:br/>
        <w:t xml:space="preserve">      Héctor Fix-Zamudio, Presidente</w:t>
        <w:br/>
        <w:t xml:space="preserve">      Hernán Salgado Pesantes, Vicepresidente</w:t>
        <w:br/>
        <w:t xml:space="preserve">      Alejandro Montiel Argüello, Juez</w:t>
        <w:br/>
        <w:t xml:space="preserve">      Alirio Abreu Burelli, Juez</w:t>
        <w:br/>
        <w:t xml:space="preserve">      Antônio A. Cançado Trindade, Juez</w:t>
        <w:br/>
        <w:br/>
        <w:br/>
        <w:br/>
        <w:br/>
        <w:t>presentes, además,</w:t>
        <w:br/>
        <w:br/>
        <w:br/>
        <w:t xml:space="preserve">      Manuel E. Ventura Robles, Secretario</w:t>
        <w:br/>
        <w:t xml:space="preserve">      Víctor Ml. Rodríguez Rescia, Secretario adjunto interino</w:t>
        <w:br/>
        <w:br/>
        <w:br/>
        <w:br/>
        <w:br/>
        <w:t>de  acuerdo  con  los  artículos  45  y  46  del  Reglamento  de  la   Corte</w:t>
        <w:br/>
        <w:t>Interamericana  de  Derechos  Humanos  (en  adelante  “el  Reglamento”),  en</w:t>
        <w:br/>
        <w:t>relación con el artículo 63.1 de  la  Convención  Americana  sobre  Derechos</w:t>
        <w:br/>
        <w:t>Humanos (en adelante “la Convención”  o  “la  Convención  Americana”)  y  en</w:t>
        <w:br/>
        <w:t>cumplimiento de la sentencia de 18 de  enero  de  1995  dicta  la  siguiente</w:t>
        <w:br/>
        <w:t>sentencia  sobre  reparaciones  en  el  presente  caso  introducido  por  la</w:t>
        <w:br/>
        <w:t>Comisión Interamericana de Derechos Humanos (en  adelante  “la  Comisión”  o</w:t>
        <w:br/>
        <w:t>“la Comisión Interamericana”) contra la República de Venezuela (en  adelante</w:t>
        <w:br/>
        <w:t>“Venezuela”, “el Estado” o “el Gobierno”).</w:t>
        <w:br/>
        <w:br/>
        <w:br/>
        <w:t xml:space="preserve">                                      I</w:t>
        <w:br/>
        <w:br/>
        <w:t>1.    El presente caso fue sometido a la Corte  Interamericana  de  Derechos</w:t>
        <w:br/>
        <w:t>Humanos (en  adelante  “la  Corte”  o  “la  Corte  Interamericana”)  por  la</w:t>
        <w:br/>
        <w:t>Comisión Interamericana mediante demanda de fecha 14 de enero de  1994,  con</w:t>
        <w:br/>
        <w:t>la que acompañó el informe No. 29/93 del 12 de octubre de 1993.  Se  originó</w:t>
        <w:br/>
        <w:t>en una denuncia (No. 10.602) contra Venezuela, recibida en la Secretaría  de</w:t>
        <w:br/>
        <w:t>la Comisión el 10 de agosto de 1990.</w:t>
        <w:br/>
        <w:br/>
        <w:t>2.    En dicha demanda la Comisión afirmó que Venezuela violó los  artículos</w:t>
        <w:br/>
        <w:t>2 (Deber de Adoptar Disposiciones de  Derecho  Interno),  4  (Derecho  a  la</w:t>
        <w:br/>
        <w:t>Vida), 5 (Derecho a la Integridad Personal), 8.1 (Garantías Judiciales),  24</w:t>
        <w:br/>
        <w:t>(Igualdad ante la Ley),  25  (Protección  Judicial)  y  1.1  (Obligación  de</w:t>
        <w:br/>
        <w:t>Respetar los Derechos) de la Convención Americana por la muerte de  José  R.</w:t>
        <w:br/>
        <w:t>Araujo, Luis A.  Berrío,  Moisés  A.  Blanco,  Julio  P.  Ceballos,  Antonio</w:t>
        <w:br/>
        <w:t>Eregua, Rafael M. Moreno, José Indalecio Guerrero, Arín O. Maldonado,  Justo</w:t>
        <w:br/>
        <w:t>Mercado, Pedro Mosquera, José Puerta, Marino  Torrealba,  José  Torrealba  y</w:t>
        <w:br/>
        <w:t>Marino Rivas, ocurrida en el Canal  “La  Colorada”,  Distrito  Páez,  Estado</w:t>
        <w:br/>
        <w:t>Apure, Venezuela.</w:t>
        <w:br/>
        <w:br/>
        <w:t>Asimismo, en dicho escrito alegó la violación de los artículos 5, 8.1, 24  y</w:t>
        <w:br/>
        <w:t>25 de la Convención en perjuicio de Wolmer Gregorio Pinilla y  José  Augusto</w:t>
        <w:br/>
        <w:t>Arias, únicos sobrevivientes de los actos arriba mencionados.</w:t>
        <w:br/>
        <w:br/>
        <w:t>3.    Este caso, agrega la demanda, se refiere a  hechos  que  ocurrieron  a</w:t>
        <w:br/>
        <w:t>partir del 29 de octubre de 1988.  Ese día dieciséis pescadores  del  pueblo</w:t>
        <w:br/>
        <w:t>de “El Amparo”, Venezuela, se dirigían al Canal “La Colorada” a  través  del</w:t>
        <w:br/>
        <w:t>río Arauca, ubicado en el Estado Apure  para  participar  en  un  “paseo  de</w:t>
        <w:br/>
        <w:t>pesca”.   Aproximadamente  a  las  11:20  a.m.,  cuando  algunos  pescadores</w:t>
        <w:br/>
        <w:t>bajaban de la embarcación, miembros  militares  y  policiales  del  "Comando</w:t>
        <w:br/>
        <w:t>Específico José Antonio Páez" (CEJAP), abrieron fuego contra  ellos  matando</w:t>
        <w:br/>
        <w:t>a catorce de los dieciséis pescadores.</w:t>
        <w:br/>
        <w:br/>
        <w:t>4.    El 1 de agosto de  1994  el  Estado  remitió  su  contestación  de  la</w:t>
        <w:br/>
        <w:t>demanda y, por medio  de  nota  del  11  de  enero  de  1995,  reafirmó  que</w:t>
        <w:br/>
        <w:t>Venezuela  “no  contend[ía]  los  hechos  referidos  en  la  demanda  y  que</w:t>
        <w:br/>
        <w:t>acept[aba] la responsabilidad internacional del Estado”.</w:t>
        <w:br/>
        <w:br/>
        <w:t>5.    El 18 de enero de 1995 la Corte dictó sentencia en la cual dispuso:</w:t>
        <w:br/>
        <w:br/>
        <w:t xml:space="preserve">     1.     Toma nota del reconocimiento de responsabilidad efectuado por la</w:t>
        <w:br/>
        <w:t xml:space="preserve">     República de Venezuela y decide que ha cesado la controversia acerca de</w:t>
        <w:br/>
        <w:t xml:space="preserve">     los hechos que dieron origen al presente caso.</w:t>
        <w:br/>
        <w:br/>
        <w:br/>
        <w:t xml:space="preserve">     2.     Decide que la República de Venezuela está obligada a reparar los</w:t>
        <w:br/>
        <w:t xml:space="preserve">     daños y pagar una justa indemnización a las víctimas  sobrevivientes  y</w:t>
        <w:br/>
        <w:t xml:space="preserve">     los familiares de los fallecidos.</w:t>
        <w:br/>
        <w:br/>
        <w:br/>
        <w:t xml:space="preserve">     3.     Decide  que  las  reparaciones  y  la  forma  y  cuantía  de  la</w:t>
        <w:br/>
        <w:t xml:space="preserve">     indemnización serán fijadas por la República de Venezuela y la Comisión</w:t>
        <w:br/>
        <w:t xml:space="preserve">     Interamericana de Derechos Humanos, de  común  acuerdo,  dentro  de  un</w:t>
        <w:br/>
        <w:t xml:space="preserve">     plazo de seis meses contados  a  partir  de  la  notificación  de  esta</w:t>
        <w:br/>
        <w:t xml:space="preserve">     sentencia.</w:t>
        <w:br/>
        <w:br/>
        <w:br/>
        <w:t xml:space="preserve">     4.     Se reserva la facultad de revisar y aprobar  el  acuerdo  y,  en</w:t>
        <w:br/>
        <w:t xml:space="preserve">     caso de no llegar  a  él,  la  Corte  determinará  el  alcance  de  las</w:t>
        <w:br/>
        <w:t xml:space="preserve">     reparaciones y el monto de las indemnizaciones y costas, para  lo  cual</w:t>
        <w:br/>
        <w:t xml:space="preserve">     deja abierto el procedimiento (Caso El Amparo, Sentencia de 18 de enero</w:t>
        <w:br/>
        <w:t xml:space="preserve">     de 1995.  Serie C No. 19, Parte resolutiva).</w:t>
        <w:br/>
        <w:br/>
        <w:br/>
        <w:t xml:space="preserve">                                     II</w:t>
        <w:br/>
        <w:br/>
        <w:t>6.    La  Corte  es  competente,  de  acuerdo  con  el  artículo  62  de  la</w:t>
        <w:br/>
        <w:t>Convención, para decidir sobre el pago de  reparaciones,  indemnizaciones  y</w:t>
        <w:br/>
        <w:t>costas en el presente caso,  en  razón  de  que  el  9  de  agosto  de  1977</w:t>
        <w:br/>
        <w:t>Venezuela ratificó la Convención  y  el  24  de  junio  de  1981  aceptó  la</w:t>
        <w:br/>
        <w:t>competencia contenciosa de la Corte.</w:t>
        <w:br/>
        <w:br/>
        <w:br/>
        <w:br/>
        <w:t xml:space="preserve">                                     III</w:t>
        <w:br/>
        <w:br/>
        <w:t>7.    El plazo estipulado en el punto 3 de la sentencia de la  Corte  venció</w:t>
        <w:br/>
        <w:t>el 18 de julio de 1995 sin haber ésta recibido noticias de  que  se  hubiese</w:t>
        <w:br/>
        <w:t>producido un acuerdo.  Por lo tanto y, de conformidad con  dicha  sentencia,</w:t>
        <w:br/>
        <w:t>le corresponde a la Corte determinar el alcance de  las  reparaciones  y  el</w:t>
        <w:br/>
        <w:t>monto de las indemnizaciones y costas.</w:t>
        <w:br/>
        <w:br/>
        <w:t>8.    Mediante Resolución de 21 de septiembre  de  1995,  la  Corte  decidió</w:t>
        <w:br/>
        <w:t>iniciar el procedimiento de reparaciones, indemnizaciones y costas y  otorgó</w:t>
        <w:br/>
        <w:t>plazo a la Comisión hasta el 3 de noviembre de 1995  para  que  ofreciera  y</w:t>
        <w:br/>
        <w:t>presentara  las  pruebas  de  que   dispusiere   sobre   las   reparaciones,</w:t>
        <w:br/>
        <w:t>indemnizaciones y costas en este caso,  fecha  en  la  cual  se  recibió  la</w:t>
        <w:br/>
        <w:t>información correspondiente.  Además, la Corte otorgó al Estado plazo  hasta</w:t>
        <w:br/>
        <w:t>el 2 de enero de  1996  para  que  presentara  sus  observaciones  sobre  el</w:t>
        <w:br/>
        <w:t>escrito de la Comisión, las cuales fueron recibidas en esa fecha.</w:t>
        <w:br/>
        <w:br/>
        <w:t>9.    El 27 de enero de 1996, la Corte celebró una audiencia pública  en  su</w:t>
        <w:br/>
        <w:t>sede para conocer los puntos de vista de las partes sobre las  reparaciones,</w:t>
        <w:br/>
        <w:t>indemnizaciones y costas.</w:t>
        <w:br/>
        <w:br/>
        <w:br/>
        <w:br/>
        <w:t>Comparecieron:</w:t>
        <w:br/>
        <w:br/>
        <w:t>Por el Estado de Venezuela:</w:t>
        <w:br/>
        <w:br/>
        <w:t xml:space="preserve">      Asdrúbal Aguiar-Aranguren, agente,</w:t>
        <w:br/>
        <w:t xml:space="preserve">      Ildegar Pérez Segnini, agente alterno,</w:t>
        <w:br/>
        <w:t xml:space="preserve">      Guillermo Quintero, asesor,</w:t>
        <w:br/>
        <w:t xml:space="preserve">      Rodolfo Enrique Piza Rocafort, asesor,</w:t>
        <w:br/>
        <w:t xml:space="preserve">      Raymond Aguiar, observador.</w:t>
        <w:br/>
        <w:br/>
        <w:t>Por la Comisión Interamericana:</w:t>
        <w:br/>
        <w:br/>
        <w:br/>
        <w:t xml:space="preserve">      Claudio Grossman, delegado,</w:t>
        <w:br/>
        <w:t xml:space="preserve">      Oscar Luján Fappiano, delegado,</w:t>
        <w:br/>
        <w:t xml:space="preserve">      Milton Castillo, abogado,</w:t>
        <w:br/>
        <w:t xml:space="preserve">      Juan Méndez, asistente,</w:t>
        <w:br/>
        <w:t xml:space="preserve">      Ligia Bolívar, asistente,</w:t>
        <w:br/>
        <w:t xml:space="preserve">      Walter Márquez, asistente.</w:t>
        <w:br/>
        <w:br/>
        <w:br/>
        <w:t>10.   En la audiencia pública  sobre  reparaciones  el  Gobierno  aportó  la</w:t>
        <w:br/>
        <w:t>siguiente prueba documental:  dos  hojas  relativas  a  los  indicadores  de</w:t>
        <w:br/>
        <w:t>desarrollo  humano  en  el  Estado   de   Apure;   un   folleto   denominado</w:t>
        <w:br/>
        <w:t>“Estimaciones de Pobreza al  30/06/94”  y  un  folleto  denominado  “Algunos</w:t>
        <w:br/>
        <w:t>indicadores sociales  por  entidad  federal,  período  1990-1994”.   Durante</w:t>
        <w:br/>
        <w:t>dicha audiencia la Comisión aportó dos certificaciones judiciales  relativas</w:t>
        <w:br/>
        <w:t>a los poderes concedidos por los familiares de las víctimas; un escrito  que</w:t>
        <w:br/>
        <w:t>contenía la exposición del representante del Gobierno de Venezuela  ante  la</w:t>
        <w:br/>
        <w:t>Comisión; documentos  varios  incluyendo  recortes  periodísticos  y  varios</w:t>
        <w:br/>
        <w:t>referentes a reuniones de  los  abogados  del  caso  con  los  familiares  y</w:t>
        <w:br/>
        <w:t>sobrevivientes; un libro denominado “Comandos del crimen: la masacre  de  El</w:t>
        <w:br/>
        <w:t>Amparo” y un escrito dirigido al Secretario de la Corte sobre los  distintos</w:t>
        <w:br/>
        <w:t>actos del procedimiento.</w:t>
        <w:br/>
        <w:br/>
        <w:t>11.    Mediante  comunicación  de  29  de  abril  de  1996,  la  Secretaría,</w:t>
        <w:br/>
        <w:t>siguiendo instrucciones del Presidente de la Corte, solicitó a  la  Comisión</w:t>
        <w:br/>
        <w:t>la aclaración de su posición relativa  a  varios  aspectos  sobre  el  lucro</w:t>
        <w:br/>
        <w:t>cesante y daño emergente en el caso.  La  Comisión  aclaró  su  posición  al</w:t>
        <w:br/>
        <w:t>acoger los escritos de los representantes de las víctimas  de  13  y  29  de</w:t>
        <w:br/>
        <w:t>mayo de 1996.  En vista de que estas  notas  presentaban  discrepancias  con</w:t>
        <w:br/>
        <w:t>las anteriores presentadas por la  Comisión  y  los  representantes  de  las</w:t>
        <w:br/>
        <w:t>víctimas, se reiteró aclaratoria a la Comisión, la cual  respondió  mediante</w:t>
        <w:br/>
        <w:t>nota de 13 de septiembre de 1996  que  hacía  suyas  las  observaciones  del</w:t>
        <w:br/>
        <w:t>escrito de los representantes de las víctimas del 4 de septiembre  de  1996,</w:t>
        <w:br/>
        <w:t>“siendo por tanto, el criterio de [la Corte] el  que  decida  finalmente  lo</w:t>
        <w:br/>
        <w:t>que mejor corresponda”.</w:t>
        <w:br/>
        <w:br/>
        <w:br/>
        <w:t xml:space="preserve">                                     IV</w:t>
        <w:br/>
        <w:br/>
        <w:t>12.   Con el fin de determinar el monto  de  las  indemnizaciones  en  forma</w:t>
        <w:br/>
        <w:t>adecuada y  apegada  a  los  aspectos  técnicos  respectivos,  se  consideró</w:t>
        <w:br/>
        <w:t>pertinente utilizar los  servicios  profesionales  de  un  perito  actuario.</w:t>
        <w:br/>
        <w:t>Para dichos efectos se designó al Licenciado Eduardo  Zumbado  J.,  actuario</w:t>
        <w:br/>
        <w:t>asesor de San José, Costa Rica, cuyos  dictámenes  fueron  recibidos  en  la</w:t>
        <w:br/>
        <w:t>Secretaría de la Corte los días 5 y 9 de agosto de  1996.   El  actuario  se</w:t>
        <w:br/>
        <w:t>limitó en sus dictámenes a hacer las operaciones  aritméticas  con  base  en</w:t>
        <w:br/>
        <w:t>los datos que se contienen en los alegatos de las partes y las  pruebas  que</w:t>
        <w:br/>
        <w:t>obran en el expediente.</w:t>
        <w:br/>
        <w:br/>
        <w:br/>
        <w:t xml:space="preserve">                                      V</w:t>
        <w:br/>
        <w:br/>
        <w:t>13.   Venezuela reconoció su responsabilidad en este caso, lo que  significa</w:t>
        <w:br/>
        <w:t>que se tienen por ciertos los hechos expuestos en la demanda de 14 de  enero</w:t>
        <w:br/>
        <w:t>de 1994, siendo éste el sentido de la sentencia dictada por la Corte  el  18</w:t>
        <w:br/>
        <w:t>de enero de 1995.  No obstante, existen  diferencias  entre  las  partes  en</w:t>
        <w:br/>
        <w:t>torno al alcance de las reparaciones y al monto  de  las  indemnizaciones  y</w:t>
        <w:br/>
        <w:t>costas, y la controversia sobre esta materia será decidida por la  Corte  en</w:t>
        <w:br/>
        <w:t>la presente sentencia.</w:t>
        <w:br/>
        <w:br/>
        <w:t>14.   En materia de  reparaciones  es  aplicable  el  artículo  63.1  de  la</w:t>
        <w:br/>
        <w:t>Convención Americana que prescribe lo siguiente:</w:t>
        <w:br/>
        <w:br/>
        <w:t xml:space="preserve">      1.    Cuando decida que  hubo  violación  de  un  derecho  o  libertad</w:t>
        <w:br/>
        <w:t xml:space="preserve">      protegidos en esta Convención, la Corte dispondrá que se garantice  al</w:t>
        <w:br/>
        <w:t xml:space="preserve">      lesionado en el goce de su derecho o libertad conculcados.   Dispondrá</w:t>
        <w:br/>
        <w:t xml:space="preserve">      asimismo, si ello fuera procedente, que se reparen  las  consecuencias</w:t>
        <w:br/>
        <w:t xml:space="preserve">      de la medida o situación que ha configurado  la  vulneración  de  esos</w:t>
        <w:br/>
        <w:t xml:space="preserve">      derechos y el pago de una justa indemnización a la parte lesionada.</w:t>
        <w:br/>
        <w:br/>
        <w:t>Lo  dispuesto  en  este  artículo  corresponde  a  uno  de  los   principios</w:t>
        <w:br/>
        <w:t>fundamentales  del  derecho  internacional,  tal   como   lo   reconoce   la</w:t>
        <w:br/>
        <w:t>jurisprudencia (Factory at Chorzów,  Jurisdiction,  Judgment  No.  8,  1927,</w:t>
        <w:br/>
        <w:t>P.C.I.J., Series A, No. 9, pág. 21 y Factory at  Chorzów,  Merits,  Judgment</w:t>
        <w:br/>
        <w:t>No. 13, 1928, P.C.I.J., Series A, No. 17, pág. 29; Reparation  for  Injuries</w:t>
        <w:br/>
        <w:t>Suffered in the Service of the  United  Nations,  Advisory  Opinion,  I.C.J.</w:t>
        <w:br/>
        <w:t>Reports 1949, pág. 184).  Así lo ha  aplicado  esta  Corte  (Caso  Velásquez</w:t>
        <w:br/>
        <w:t>Rodríguez,  Indemnización  Compensatoria  (art.  63.1  Convención  Americana</w:t>
        <w:br/>
        <w:t>sobre Derechos Humanos), Sentencia de 21 de julio de 1989.   Serie C No.  7,</w:t>
        <w:br/>
        <w:t>párr.  25;  Caso  Godínez  Cruz,  Indemnización  Compensatoria,  (art.  63.1</w:t>
        <w:br/>
        <w:t>Convención Americana sobre Derechos Humanos), Sentencia de 21  de  julio  de</w:t>
        <w:br/>
        <w:t>1989.  Serie C No. 8, párr. 23; Caso Aloeboetoe y otros, Reparaciones  (art.</w:t>
        <w:br/>
        <w:t>63.1 Convención Americana  sobre  Derechos  Humanos),  Sentencia  de  10  de</w:t>
        <w:br/>
        <w:t>septiembre de 1993.  Serie C No. 15, párr. 43).</w:t>
        <w:br/>
        <w:br/>
        <w:t>15.   Por lo anterior, la obligación de reparación se rige  por  el  derecho</w:t>
        <w:br/>
        <w:t>internacional  en   todos  los  aspectos,   como   por   ejemplo,   alcance,</w:t>
        <w:br/>
        <w:t>modalidades, beneficiarios, entre otros,  que no pueden ser  modificados  ni</w:t>
        <w:br/>
        <w:t>suspendidos por el Estado obligado invocando para ello disposiciones  de  su</w:t>
        <w:br/>
        <w:t>derecho interno (Caso Aloeboetoe y otros.   Reparaciones,  supra  14,  párr.</w:t>
        <w:br/>
        <w:t>44).</w:t>
        <w:br/>
        <w:br/>
        <w:t>16.   Por no ser posible la “restitutio in integrum” en  caso  de  violación</w:t>
        <w:br/>
        <w:t>del derecho a la vida,  resulta  necesario  buscar  formas  sustitutivas  de</w:t>
        <w:br/>
        <w:t>reparación en favor de los familiares y dependientes de las  víctimas,  como</w:t>
        <w:br/>
        <w:t>la indemnización pecuniaria.  Esta indemnización se refiere  primeramente  a</w:t>
        <w:br/>
        <w:t>los perjuicios sufridos y como esta Corte ha expresado anteriormente,  éstos</w:t>
        <w:br/>
        <w:t>comprenden tanto el daño material como  el  moral  (cf.  Caso  Aloeboetoe  y</w:t>
        <w:br/>
        <w:t>otros, Reparaciones, supra 14, párrs. 47 y 49).</w:t>
        <w:br/>
        <w:br/>
        <w:br/>
        <w:t xml:space="preserve">                                     VI</w:t>
        <w:br/>
        <w:br/>
        <w:t>17.   En cuanto al daño material, en sus escritos de 3 de noviembre de  1995</w:t>
        <w:br/>
        <w:t>y 29 de mayo de 1996 y en la audiencia pública de 27 de enero de 1996  sobre</w:t>
        <w:br/>
        <w:t>reparaciones, la Comisión se refirió al “daño  emergente”  y  consideró  que</w:t>
        <w:br/>
        <w:t>éste incluía los gastos efectuados por los familiares de las  víctimas  para</w:t>
        <w:br/>
        <w:t>obtener informaciones acerca de ellas  y  los  realizados  para  buscar  sus</w:t>
        <w:br/>
        <w:t>cadáveres y efectuar gestiones ante las autoridades venezolanas.</w:t>
        <w:br/>
        <w:br/>
        <w:t>18.   El monto total solicitado por la Comisión “es de US$240,000  para  las</w:t>
        <w:br/>
        <w:t>14 familias y los 2 sobrevivientes a ser dividido en  partes  iguales”.   En</w:t>
        <w:br/>
        <w:t>su escrito de 3 de noviembre de 1995  y  durante  la  audiencia  pública  la</w:t>
        <w:br/>
        <w:t>Comisión señaló que los representantes de las víctimas habían expresado  que</w:t>
        <w:br/>
        <w:t>“[e]l Estado de Venezuela reconoc[ió]  como  cierta  esta  suma  y  renuncia</w:t>
        <w:br/>
        <w:t>expresamente a la posibilidad de exigir comprobantes”, pero  no  presentaron</w:t>
        <w:br/>
        <w:t>prueba de dicha afirmación.  Por  el  contrario,  en  la  audiencia  pública</w:t>
        <w:br/>
        <w:t>celebrada ante esta  Corte,  el  Estado  calificó  la  suma  reclamada  como</w:t>
        <w:br/>
        <w:t>“astronómica“ y “desproporcionada”.</w:t>
        <w:br/>
        <w:br/>
        <w:t>19.   En su escrito de 29 de mayo de 1996 la  Comisión  sostuvo  que  “[l]as</w:t>
        <w:br/>
        <w:t>condiciones de vida de las víctimas y sus familiares,  impidi[eron]  que  se</w:t>
        <w:br/>
        <w:t>conservaran los comprobantes respectivos.  Ello motiva la  necesidad  de  un</w:t>
        <w:br/>
        <w:t>cálculo estimativo de los mismos”.</w:t>
        <w:br/>
        <w:br/>
        <w:t>20.   El Estado, en escrito de 2 de enero de 1996 hizo un  análisis  de  las</w:t>
        <w:br/>
        <w:t>cantidades  solicitadas  por  la  Comisión  y  manifestó   que   no   fueron</w:t>
        <w:br/>
        <w:t>presentadas  las  “pruebas  específicas  sobre  los  gastos   verdaderamente</w:t>
        <w:br/>
        <w:t>efectuados para obtener informaciones acerca  de  las  víctimas”  y  que  el</w:t>
        <w:br/>
        <w:t>monto era evidentemente “desproporcionado” y no se adecuaba a la realidad.</w:t>
        <w:br/>
        <w:br/>
        <w:t>21.   Aún cuando no se ha presentado prueba alguna sobre  el  monto  de  los</w:t>
        <w:br/>
        <w:t>gastos, la Corte considera equitativo conceder a cada una  de  las  familias</w:t>
        <w:br/>
        <w:t>de las  víctimas  fallecidas  y  a  cada  uno  de  los  sobrevivientes,  una</w:t>
        <w:br/>
        <w:t>indemnización de US$2.000,00 como compensación por los gastos incurridos  en</w:t>
        <w:br/>
        <w:t>sus distintas gestiones en el país.</w:t>
        <w:br/>
        <w:br/>
        <w:br/>
        <w:br/>
        <w:t xml:space="preserve">                                     VII</w:t>
        <w:br/>
        <w:br/>
        <w:t>22.   Para  llegar  a  un  monto  adecuado  sobre  el  resto  de  los  daños</w:t>
        <w:br/>
        <w:t>materiales sufridos por  las  víctimas,  la  Comisión  tomó  en  cuenta  “el</w:t>
        <w:br/>
        <w:t>salario mínimo rural para la fecha en que  sucedieron  los  hechos  (octubre</w:t>
        <w:br/>
        <w:t>1988), incorporando los ajustes por incremento general  de  sueldos  durante</w:t>
        <w:br/>
        <w:t>el  período,  así  como  la  indexación  correspondiente  por  concepto   de</w:t>
        <w:br/>
        <w:t>inflación.  La expectativa de vida utilizada es de 69  años”.   La  Comisión</w:t>
        <w:br/>
        <w:t>llegó a una  cifra  de  aproximadamente  US$5.500,00  para  cada  víctima  y</w:t>
        <w:br/>
        <w:t>US$2.800,00 para los dos sobrevivientes.</w:t>
        <w:br/>
        <w:br/>
        <w:t>23.   El Estado por su parte expresó, en escrito de 2 de enero de 1996,  que</w:t>
        <w:br/>
        <w:t>no existía “sustento probatorio en relación con  cada  uno  de  los  que  se</w:t>
        <w:br/>
        <w:t>proponen como beneficiarios (causahabientes), salvo para  las  víctimas,  ni</w:t>
        <w:br/>
        <w:t>mucho menos en relación con el monto solicitado para  cada  uno  de  ellos”.</w:t>
        <w:br/>
        <w:t>Agregó que los montos solicitados no guardaban “relación ni  proporción  con</w:t>
        <w:br/>
        <w:t>las  condiciones  de  los  afectados  y  de  sus  familiares,  ni  con   las</w:t>
        <w:br/>
        <w:t>condiciones de la zona geográfica en que habitan,  ni  con  las  condiciones</w:t>
        <w:br/>
        <w:t>generales -económicas y sociales- de la República de Venezuela”.</w:t>
        <w:br/>
        <w:br/>
        <w:t>24.   Durante la audiencia pública de 27 de enero de 1996 el Delegado de  la</w:t>
        <w:br/>
        <w:t>Comisión expresó que “[l]o que estamos  reclamando,  $5.000  aproximadamente</w:t>
        <w:br/>
        <w:t>para cada una de las víctimas o familiares de las  víctimas,  estimamos  que</w:t>
        <w:br/>
        <w:t>es una suma razonable, por el tiempo transcurrido”.  En la  misma  audiencia</w:t>
        <w:br/>
        <w:t>un representante de las víctimas expresó que las cifras consignadas  por  la</w:t>
        <w:br/>
        <w:t>Comisión  eran  muy  bajas,  porque  se  hizo  una  estimación  conservadora</w:t>
        <w:br/>
        <w:t>respecto de la capacidad de ingresos de las víctimas y además hubo un  error</w:t>
        <w:br/>
        <w:t>de cálculo, por lo que se pidió se practicara un estudio actuarial.</w:t>
        <w:br/>
        <w:br/>
        <w:t>25.   El 29 de abril de 1996  el  Presidente  solicitó  a  la  Comisión  una</w:t>
        <w:br/>
        <w:t>aclaratoria  de  algunos  datos  sobre  la  materia,   los   cuales   fueron</w:t>
        <w:br/>
        <w:t>suministrados por escritos de 13  y  29  de  mayo  de  1996.   La  Comisión,</w:t>
        <w:br/>
        <w:t>además, en el  primero  de  dichos  escritos,  señaló  que  hubo  “un  error</w:t>
        <w:br/>
        <w:t>material de los cálculos de lucro cesante de las  víctimas”  y  modificó  la</w:t>
        <w:br/>
        <w:t>cantidad solicitada a un monto que varía entre US$67.000,00 y  US$197.000,00</w:t>
        <w:br/>
        <w:t>para cada una de las víctimas y aproximadamente US$5.000,00  para  cada  uno</w:t>
        <w:br/>
        <w:t>de los dos sobrevivientes.  La Comisión también  manifestó  que  el  salario</w:t>
        <w:br/>
        <w:t>básico  rural  correspondiente  al  mes  de  octubre  de  1988  “ascendía  a</w:t>
        <w:br/>
        <w:t>Bolívares 1.700.  Asimismo, cabe consignar que en la misma fecha el tipo  de</w:t>
        <w:br/>
        <w:t>cambio era de 37.14 Bs/US$”.</w:t>
        <w:br/>
        <w:br/>
        <w:t>26.   Mediante comunicación de 14 de junio de 1996 el Gobierno presentó  sus</w:t>
        <w:br/>
        <w:t>observaciones sobre las citadas comunicaciones de la Comisión de 13 y 29  de</w:t>
        <w:br/>
        <w:t>mayo, y expresó que “no se trata de un simple error  material,  sino  de  un</w:t>
        <w:br/>
        <w:t>nuevo cálculo que eleva en más de 1.000%,  los  cálculos  planteados  en  la</w:t>
        <w:br/>
        <w:t>oportunidad procesal  correspondiente,  por  los  propios  abogados  de  las</w:t>
        <w:br/>
        <w:t>víctimas y avalados por los Delegados de la Comisión” y que el  Gobierno  de</w:t>
        <w:br/>
        <w:t>buena fe “avaló el monto solicitado formalmente  por  lucro  cesante  en  la</w:t>
        <w:br/>
        <w:t>audiencia celebrada el 27 de enero pasado”.   Hizo  notar  que  sólo  varios</w:t>
        <w:br/>
        <w:t>meses después “se modifican radicalmente los cálculos...y se proponen  ahora</w:t>
        <w:br/>
        <w:t>cifras astronómicas”.</w:t>
        <w:br/>
        <w:br/>
        <w:t>27.   Posteriormente los representantes de las víctimas y de sus  familiares</w:t>
        <w:br/>
        <w:t>suministraron a esta Corte información respecto de  la  edad  de  éstas,  la</w:t>
        <w:br/>
        <w:t>expectativa de vida y el salario básico rural.  Asimismo,  estimaron  en  un</w:t>
        <w:br/>
        <w:t>20% el total de los ingresos de cada persona como gastos individuales.</w:t>
        <w:br/>
        <w:br/>
        <w:t>28.   Con base en la información recibida y los cálculos efectuados  por  el</w:t>
        <w:br/>
        <w:t>actuario designado ad effectum, la Corte calculó que  la  indemnización  que</w:t>
        <w:br/>
        <w:t>corresponde otorgar a cada una de las víctimas o sus familias,  se  basa  en</w:t>
        <w:br/>
        <w:t>la edad que tenían aquéllas al momento de la  muerte  y  los  años  que  les</w:t>
        <w:br/>
        <w:t>faltaban para llegar a la edad en que se calcula la cifra de la  expectativa</w:t>
        <w:br/>
        <w:t>normal de vida en Venezuela o el tiempo que permanecieron  sin  trabajar  en</w:t>
        <w:br/>
        <w:t>el caso de los dos sobrevivientes.  La Corte basó sus cálculos tomando  como</w:t>
        <w:br/>
        <w:t>salario base un monto no menor al costo de  la  canasta  alimentaría  básica</w:t>
        <w:br/>
        <w:t>por ser una cantidad superior al salario básico  rural  al  momento  de  los</w:t>
        <w:br/>
        <w:t>hechos.  Una vez efectuado dicho cálculo, se le  aplicó  una  deducción  del</w:t>
        <w:br/>
        <w:t>25% por gastos personales, como lo ha hecho en otros casos.  A ese monto  se</w:t>
        <w:br/>
        <w:t>le sumaron los intereses corrientes desde la fecha de los  hechos  hasta  el</w:t>
        <w:br/>
        <w:t>presente.</w:t>
        <w:br/>
        <w:br/>
        <w:t>29.   Con base en esta fórmula la  Corte  considera  que  cada  una  de  las</w:t>
        <w:br/>
        <w:t>familias de las víctimas fallecidas  debe  recibir  como  indemnización  los</w:t>
        <w:br/>
        <w:t>siguientes montos:</w:t>
        <w:br/>
        <w:br/>
        <w:br/>
        <w:t xml:space="preserve">              NOMBRE   US$ DOLARES</w:t>
        <w:br/>
        <w:t xml:space="preserve">              Julio Pastor Ceballos    $23.953,79</w:t>
        <w:br/>
        <w:t xml:space="preserve">              Moisés A. Blanco    $28.303,94</w:t>
        <w:br/>
        <w:t xml:space="preserve">              José I. Guerrero    $23.139,44</w:t>
        <w:br/>
        <w:t xml:space="preserve">              Marino E. Vivas     $26.838,00</w:t>
        <w:br/>
        <w:t xml:space="preserve">              José G. Torrealba   $28.535,66</w:t>
        <w:br/>
        <w:t xml:space="preserve">              José Mariano Torrealba   $23.139,44</w:t>
        <w:br/>
        <w:t xml:space="preserve">              José Ramón Puerta   $27.416,52</w:t>
        <w:br/>
        <w:t xml:space="preserve">              Arín Ovadía Maldonado    $23.558,79</w:t>
        <w:br/>
        <w:t xml:space="preserve">              Rigo J. Araujo      $26.145,70</w:t>
        <w:br/>
        <w:t xml:space="preserve">              Pedro I. Mosquera   $27.235,10</w:t>
        <w:br/>
        <w:t xml:space="preserve">              Luis A. Berrío      $25.006,34</w:t>
        <w:br/>
        <w:t xml:space="preserve">              Rafael Magín Moreno $23.139,44</w:t>
        <w:br/>
        <w:t xml:space="preserve">              Carlos A.  Eregua   $28.641,52</w:t>
        <w:br/>
        <w:t xml:space="preserve">              Justo Mercado $26.145,70</w:t>
        <w:br/>
        <w:br/>
        <w:t>30.   Respecto a los dos sobrevivientes,  Wolmer  Gregorio  Pinilla  y  José</w:t>
        <w:br/>
        <w:t>Augusto  Arias,  la  Corte  ha  acordado  conceder  una   indemnización   de</w:t>
        <w:br/>
        <w:t>US$4.566,41 a cada uno de  ellos  como  compensación  por  no  haber  podido</w:t>
        <w:br/>
        <w:t>trabajar durante dos años.</w:t>
        <w:br/>
        <w:br/>
        <w:br/>
        <w:t xml:space="preserve">                                    VIII</w:t>
        <w:br/>
        <w:br/>
        <w:t>31.   En cuanto al daño moral, en su escrito de 3 de noviembre de  1995,  la</w:t>
        <w:br/>
        <w:t>Comisión  citó,  para  definirlo,  el  párrafo  87  de   la   sentencia   de</w:t>
        <w:br/>
        <w:t>Reparaciones en el caso Aloeboetoe y otros, y los párrafos 40  y  siguientes</w:t>
        <w:br/>
        <w:t>de  la  sentencia  de  indemnización  compensatoria  en  el  caso  Velásquez</w:t>
        <w:br/>
        <w:t>Rodríguez y expresó que para este caso “la suma estimada por el  daño  moral</w:t>
        <w:br/>
        <w:t>es de US$125,000 por familia --fundamentada en las sentencias  de  Velásquez</w:t>
        <w:br/>
        <w:t>y Godínez--  a  ser  distribuida  equitativamente  entre  las  familias,  en</w:t>
        <w:br/>
        <w:t>atención al número de miembros.   Con  respecto  a  los  sobrevivientes,  se</w:t>
        <w:br/>
        <w:t>realizó un cálculo por la mitad  [US$62.500,00)].   La  suma  global  es  de</w:t>
        <w:br/>
        <w:t>US$1'875.000”.  En la audiencia pública el delegado expresó  que  no  debían</w:t>
        <w:br/>
        <w:t>vincularse el daño moral con los daños materiales.  Manifestó  que  el  daño</w:t>
        <w:br/>
        <w:t>moral “de una víctima  no  puede  estar  en  una  relación  directa  con  la</w:t>
        <w:br/>
        <w:t>posición social o la situación económica de la víctima”.</w:t>
        <w:br/>
        <w:br/>
        <w:t>32.   En su escrito de 2 de enero de 1996 el Estado, por su  parte,  citó  a</w:t>
        <w:br/>
        <w:t>esta Corte y a la  Corte  Europea  de  Derechos  Humanos  y  alegó  que  “el</w:t>
        <w:br/>
        <w:t>reconocimiento  de  una  violación  por  parte  del   mismo   Tribunal,   es</w:t>
        <w:br/>
        <w:t>normalmente una reparación equitativa por todos los daños  causados”  y  con</w:t>
        <w:br/>
        <w:t>más razón en  el  presente  caso,  ya  que  el  mismo  Estado  reconoció  su</w:t>
        <w:br/>
        <w:t>responsabilidad unilateralmente.  En  cuanto  al  monto  solicitado  por  la</w:t>
        <w:br/>
        <w:t>Comisión  para  indemnizar  los  daños  morales,  el  Estado  lo   consideró</w:t>
        <w:br/>
        <w:t>“excesiv[o] y totalmente desproporcionad[o] con los daños materiales  y  con</w:t>
        <w:br/>
        <w:t>las condiciones generales del presente proceso y de sus víctimas”.</w:t>
        <w:br/>
        <w:br/>
        <w:t>33.   La Corte observa que si bien es cierto que la Comisión se  apoyó  para</w:t>
        <w:br/>
        <w:t>calcular el daño moral en las estimaciones que hizo esta Corte en los  casos</w:t>
        <w:br/>
        <w:t>Velásquez Rodríguez y Godínez Cruz en sentencias de 21  de  julio  de  1989,</w:t>
        <w:br/>
        <w:t>también lo es que en la sentencia de Reparaciones en el  caso  Aloeboetoe  y</w:t>
        <w:br/>
        <w:t>otros, los montos fueron  diversos  (US$29.070,00  para  cada  una  de  seis</w:t>
        <w:br/>
        <w:t>familias y US$38.155,00 para la séptima, a los  cuales  se  agregaron  otras</w:t>
        <w:br/>
        <w:t>obligaciones de hacer por parte del Estado).</w:t>
        <w:br/>
        <w:br/>
        <w:t>34.    La  Corte  estima  que  la  jurisprudencia,  aún  cuando   sirve   de</w:t>
        <w:br/>
        <w:t>orientación para establecer principios en esta materia, no  puede  invocarse</w:t>
        <w:br/>
        <w:t>como un criterio unívoco  a  seguir  sino  que  debe  analizarse  cada  caso</w:t>
        <w:br/>
        <w:t>particular.  A lo anterior cabría agregar  que  en  el  presente  juicio,  a</w:t>
        <w:br/>
        <w:t>semejanza del caso Aloeboetoe y otros y a diferencia de los casos  Velásquez</w:t>
        <w:br/>
        <w:t>Rodríguez y Godínez Cruz, el Estado ha reconocido los hechos  y  asumido  su</w:t>
        <w:br/>
        <w:t>responsabilidad.</w:t>
        <w:br/>
        <w:br/>
        <w:t>35.   Por  otra  parte,  son  muchos  los  casos  en  que  otros  tribunales</w:t>
        <w:br/>
        <w:t>internacionales han acordado que la sentencia de condena per  se  constituye</w:t>
        <w:br/>
        <w:t>una suficiente indemnización del daño moral,  tal  como  se  desprende,  por</w:t>
        <w:br/>
        <w:t>ejemplo, de la jurisprudencia  de  la  Corte  Europea  de  Derechos  Humanos</w:t>
        <w:br/>
        <w:t>(arrêt Kruslin du 24 avril 1990, série  A  nº176-A  p.  24  par.  39;  arrêt</w:t>
        <w:br/>
        <w:t>McCallum du 30 août 1990, série A nº183, p. 27 par. 37; arrêt Wassink du  27</w:t>
        <w:br/>
        <w:t>septembre 1990, série A nº185-A, p. 15 par. 41; arrêt  Koendjbiharie  du  25</w:t>
        <w:br/>
        <w:t>octobre 1990, série A nº185-B, p. 42 par. 35;  arrêt  Darby  du  23  octobre</w:t>
        <w:br/>
        <w:t>1990, série A nº187 p. 14 par. 40; arrêt Lala c. Pays-Bas  du  22  septembre</w:t>
        <w:br/>
        <w:t>1994, série A nº297-A p. 15 par. 38;  arrêt  Pelladoah  c.  Pays-Bas  du  22</w:t>
        <w:br/>
        <w:t>septembre 1994, série A nº 297-B p. 36, par. 44; arrêt Kroon  et  autres  c.</w:t>
        <w:br/>
        <w:t>Pays-Bas du 27 octobre 1994, série A nº297-C p. 59 par. 45; arrêt  Boner  c.</w:t>
        <w:br/>
        <w:t>Royaume-Uni du 28 octobre 1994, série A nº300-B p. 76 par.  46;  arrêt  Ruiz</w:t>
        <w:br/>
        <w:t>Torija c. Espagne du 9 décembre 1994, serie A nº303-A p. 13 par.  33;  arrêt</w:t>
        <w:br/>
        <w:t>B. contre Autriche du 28 mars 1990, série A nº175, p.  20,  par.  59).   Sin</w:t>
        <w:br/>
        <w:t>embargo, esta Corte considera que aún  cuando  una  sentencia  condenatoria,</w:t>
        <w:br/>
        <w:t>puede constituir en sí misma  una forma de reparación y satisfacción  moral,</w:t>
        <w:br/>
        <w:t>haya habido o no reconocimiento de responsabilidad por parte del Estado,  en</w:t>
        <w:br/>
        <w:t>el presente caso, ésta no sería suficiente dada la  específica  gravedad  de</w:t>
        <w:br/>
        <w:t>la violación al derecho a la vida y  al  sufrimiento  moral  causado  a  las</w:t>
        <w:br/>
        <w:t>víctimas y sus familias, las cuales deben ser  indemnizadas  conforme  a  la</w:t>
        <w:br/>
        <w:t>equidad.</w:t>
        <w:br/>
        <w:br/>
        <w:t>36.   Como esta Corte ya lo ha establecido, “[e]l  daño  moral  infligido  a</w:t>
        <w:br/>
        <w:t>las víctimas... resulta evidente pues es propio de la naturaleza humana  que</w:t>
        <w:br/>
        <w:t>toda persona sometida a las agresiones y vejámenes  mencionados  experimente</w:t>
        <w:br/>
        <w:t>un sufrimiento moral.  La Corte estima que  no  se  requieren  pruebas  para</w:t>
        <w:br/>
        <w:t>llegar a esta conclusión.” (Caso Aloeboetoe y  otros.   Reparaciones,  supra</w:t>
        <w:br/>
        <w:t>14, párr. 52).</w:t>
        <w:br/>
        <w:br/>
        <w:t>37.   De acuerdo con lo anterior la  Corte,  tomando  en  cuenta  todas  las</w:t>
        <w:br/>
        <w:t>circunstancias peculiares del caso, ha llegado a la  conclusión  que  es  de</w:t>
        <w:br/>
        <w:t>justicia conceder a cada una de las familias de los fallecidos y a cada  uno</w:t>
        <w:br/>
        <w:t>de los sobrevivientes una indemnización de US$20.000,00.</w:t>
        <w:br/>
        <w:br/>
        <w:br/>
        <w:t xml:space="preserve">                                     IX</w:t>
        <w:br/>
        <w:br/>
        <w:t>38.   La Corte ha expresado en casos anteriores que la indemnización que  se</w:t>
        <w:br/>
        <w:t>debe pagar por haber sido alguien arbitrariamente privado de su vida  es  un</w:t>
        <w:br/>
        <w:t>derecho que corresponde a quienes  resultan  directamente  perjudicados  por</w:t>
        <w:br/>
        <w:t>ese hecho.</w:t>
        <w:br/>
        <w:br/>
        <w:t>39.   A  petición  de  la  Corte  la  Comisión,  con  apoyo  en  información</w:t>
        <w:br/>
        <w:t>suministrada por diferentes representantes de las víctimas, presentó  listas</w:t>
        <w:br/>
        <w:t>distintas con los nombres de las personas que, según alega, son  los  hijos,</w:t>
        <w:br/>
        <w:t>padres y cónyuges de las víctimas.  Por esa razón, no ha sido posible  a  la</w:t>
        <w:br/>
        <w:t>Corte elaborar una lista exacta de los  sucesores  de  las  víctimas  en  el</w:t>
        <w:br/>
        <w:t>momento de la muerte de éstos debido a la existencia  de  contradicciones  e</w:t>
        <w:br/>
        <w:t>imprecisiones en la información aportada,  debiendo  la  Corte  cotejar  las</w:t>
        <w:br/>
        <w:t>diversas listas que se  recibieron  de  la  Comisión  y  de  los  diferentes</w:t>
        <w:br/>
        <w:t>representantes de las víctimas, para determinar  la  lista  que  se  detalla</w:t>
        <w:br/>
        <w:t>infra párrafo  42.</w:t>
        <w:br/>
        <w:br/>
        <w:t>40.   Como igualmente ha dicho la Corte anteriormente, es regla común en  la</w:t>
        <w:br/>
        <w:t>mayoría de las legislaciones que los  sucesores  de  una  persona  sean  sus</w:t>
        <w:br/>
        <w:t>hijos.  También se acepta  generalmente  que  el  cónyuge  participa  en  el</w:t>
        <w:br/>
        <w:t>patrimonio adquirido durante  el  matrimonio,  y  algunas  legislaciones  le</w:t>
        <w:br/>
        <w:t>otorgan además, un derecho sucesorio junto con los hijos (Caso Aloeboetoe  y</w:t>
        <w:br/>
        <w:t>otros.  Reparaciones, supra 14, párr. 62).  Sin embargo, la Corte toma  nota</w:t>
        <w:br/>
        <w:t>que una de las víctimas, Julio Pastor Ceballos, tenía tanto esposa como  una</w:t>
        <w:br/>
        <w:t>compañera e hijos con ambas.  En este caso la Corte  considera  de  justicia</w:t>
        <w:br/>
        <w:t>dividir la indemnización correspondiente entre las dos.</w:t>
        <w:br/>
        <w:br/>
        <w:br/>
        <w:t xml:space="preserve">                                      X</w:t>
        <w:br/>
        <w:br/>
        <w:t>41.   La Corte pasa a examinar lo concerniente  a  la  distribución  de  los</w:t>
        <w:br/>
        <w:t>montos  acordados  por  los  diferentes  conceptos  y  considera  equitativo</w:t>
        <w:br/>
        <w:t>adoptar los siguientes criterios que mantienen concordancia con lo  resuelto</w:t>
        <w:br/>
        <w:t>en ocasiones anteriores (Caso Aloeboetoe y otros.  Reparaciones,  supra  14,</w:t>
        <w:br/>
        <w:t>párr. 97).</w:t>
        <w:br/>
        <w:br/>
        <w:t xml:space="preserve">      a.    La reparación del daño material se  repartirá  de  la  siguiente</w:t>
        <w:br/>
        <w:t>manera:  un tercio a la esposa y dos tercios a los hijos  entre  quienes  se</w:t>
        <w:br/>
        <w:t>dividirá la cuota en partes iguales.</w:t>
        <w:br/>
        <w:br/>
        <w:t xml:space="preserve">      b.    La reparación del daño moral se  adjudicará,  una  mitad  a  los</w:t>
        <w:br/>
        <w:t>hijos, una cuarta parte a la esposa y una cuarta parte a los padres.</w:t>
        <w:br/>
        <w:br/>
        <w:t xml:space="preserve">      c.    Si no hubiera esposa pero sí compañera, la parte que le  hubiera</w:t>
        <w:br/>
        <w:t>correspondido a aquella la recibirá ésta.</w:t>
        <w:br/>
        <w:br/>
        <w:t xml:space="preserve">      d.    En  cuanto  al  daño  material,  si  no  hubiera  ni  esposa  ni</w:t>
        <w:br/>
        <w:t>compañera, se adjudicará esta parte a los padres.  En cuanto al daño  moral,</w:t>
        <w:br/>
        <w:t>si no hubiera ni esposa ni compañera se acrecerá con esta parte la cuota  de</w:t>
        <w:br/>
        <w:t>los hijos.</w:t>
        <w:br/>
        <w:br/>
        <w:t xml:space="preserve">      e.    En caso de falta de padres su porción la recibirán los hijos  de</w:t>
        <w:br/>
        <w:t>las víctimas y, si sólo viviere uno de los padres, éste  recibirá  el  total</w:t>
        <w:br/>
        <w:t>de la porción correspondiente.</w:t>
        <w:br/>
        <w:br/>
        <w:t xml:space="preserve">      f.    La indemnización por reembolso  de  gastos  se  entregará  a  la</w:t>
        <w:br/>
        <w:t>esposa o a la compañera.</w:t>
        <w:br/>
        <w:br/>
        <w:t xml:space="preserve">      g.    Las dos víctimas sobrevivientes recibirán la  totalidad  de  las</w:t>
        <w:br/>
        <w:t>indemnizaciones que les corresponden.</w:t>
        <w:br/>
        <w:br/>
        <w:t>42.   La Corte, tomando en cuenta la información del expediente, elaboró  la</w:t>
        <w:br/>
        <w:t>siguiente lista de beneficiarios con derecho a indemnización:</w:t>
        <w:br/>
        <w:br/>
        <w:t>1)  Julio Pastor Ceballos</w:t>
        <w:br/>
        <w:br/>
        <w:t xml:space="preserve">    PADRES:</w:t>
        <w:br/>
        <w:t xml:space="preserve">    Mercedes Durán de Ceballos</w:t>
        <w:br/>
        <w:t xml:space="preserve">    Ramón A. Ceballos (aparece en una de las listas de  los  representantes</w:t>
        <w:br/>
        <w:t xml:space="preserve">         de las víctimas como padre)</w:t>
        <w:br/>
        <w:br/>
        <w:br/>
        <w:t xml:space="preserve">    ESPOSA:</w:t>
        <w:br/>
        <w:t xml:space="preserve">    Emperatriz Vargas (no figura en una de las listas de los representantes</w:t>
        <w:br/>
        <w:t xml:space="preserve">    de las víctimas)</w:t>
        <w:br/>
        <w:br/>
        <w:br/>
        <w:t xml:space="preserve">    COMPAÑERA:</w:t>
        <w:br/>
        <w:t xml:space="preserve">    Florinda  Velandia1  (no  figura  en  una  de   las   listas   de   los</w:t>
        <w:br/>
        <w:t xml:space="preserve">    representantes de las víctimas)</w:t>
        <w:br/>
        <w:br/>
        <w:br/>
        <w:t xml:space="preserve">    HIJOS:</w:t>
        <w:br/>
        <w:t xml:space="preserve">    Carmen Ceballos</w:t>
        <w:br/>
        <w:t xml:space="preserve">    Yris Ceballos</w:t>
        <w:br/>
        <w:t xml:space="preserve">    Zulma Ceballos</w:t>
        <w:br/>
        <w:t xml:space="preserve">    Julio R. Ceballos</w:t>
        <w:br/>
        <w:t xml:space="preserve">    Dedora Ceballos</w:t>
        <w:br/>
        <w:t xml:space="preserve">    María Aurelia Ceballos</w:t>
        <w:br/>
        <w:t xml:space="preserve">    Jorge Luis Ceballos *</w:t>
        <w:br/>
        <w:t xml:space="preserve">    Zaida Ceballos *</w:t>
        <w:br/>
        <w:t xml:space="preserve">    Xiomara Ceballos *</w:t>
        <w:br/>
        <w:t xml:space="preserve">    Luz Ceballos *</w:t>
        <w:br/>
        <w:br/>
        <w:t>2)  Moisés A. Blanco</w:t>
        <w:br/>
        <w:br/>
        <w:br/>
        <w:t xml:space="preserve">    MADRE:</w:t>
        <w:br/>
        <w:t xml:space="preserve">    María Isabel Blanco</w:t>
        <w:br/>
        <w:br/>
        <w:br/>
        <w:t xml:space="preserve">    HIJOS:</w:t>
        <w:br/>
        <w:t xml:space="preserve">    Moisés Blanco (no figura en una de las listas de los representantes  de</w:t>
        <w:br/>
        <w:t xml:space="preserve">    las víctimas)</w:t>
        <w:br/>
        <w:t xml:space="preserve">    Jasmir Blanco (no figura en una de las listas de los representantes  de</w:t>
        <w:br/>
        <w:t xml:space="preserve">    las víctimas)</w:t>
        <w:br/>
        <w:br/>
        <w:br/>
        <w:t>3)  José I. Guerrero</w:t>
        <w:br/>
        <w:br/>
        <w:br/>
        <w:t xml:space="preserve">    MADRE:</w:t>
        <w:br/>
        <w:t xml:space="preserve">    María Concepción Guerrero</w:t>
        <w:br/>
        <w:br/>
        <w:br/>
        <w:t xml:space="preserve">     HIJOS:</w:t>
        <w:br/>
        <w:t xml:space="preserve">     Virginia Carrillo (no figura en una de las listas de los representantes</w:t>
        <w:br/>
        <w:t xml:space="preserve">     de las víctimas)</w:t>
        <w:br/>
        <w:t xml:space="preserve">     Soraida Guerrero</w:t>
        <w:br/>
        <w:t xml:space="preserve">     Ana L. Guerrero (no figura en una de las listas de  los  representantes</w:t>
        <w:br/>
        <w:t xml:space="preserve">     de las víctimas)</w:t>
        <w:br/>
        <w:t xml:space="preserve">    María Concepción Guerrero B. (aparece en  una  de  las  listas  de  los</w:t>
        <w:br/>
        <w:t xml:space="preserve">         representantes de las víctimas como otra hija más)</w:t>
        <w:br/>
        <w:br/>
        <w:br/>
        <w:t>4)  Marino E. Vivas</w:t>
        <w:br/>
        <w:br/>
        <w:br/>
        <w:t xml:space="preserve">    MADRE:</w:t>
        <w:br/>
        <w:t xml:space="preserve">    Leticia Vivas</w:t>
        <w:br/>
        <w:br/>
        <w:br/>
        <w:t xml:space="preserve">    ESPOSA:</w:t>
        <w:br/>
        <w:t xml:space="preserve">    Noira  Modesta  López  (no  figura  en  una  de  las  listas   de   los</w:t>
        <w:br/>
        <w:t xml:space="preserve">    representantes de las víctimas)</w:t>
        <w:br/>
        <w:br/>
        <w:br/>
        <w:t xml:space="preserve">    HIJOS:</w:t>
        <w:br/>
        <w:t xml:space="preserve">    Betty X. Vivas</w:t>
        <w:br/>
        <w:t xml:space="preserve">    Rafael Vivas (aparece como otro hijo más en una de las  listas  de  los</w:t>
        <w:br/>
        <w:t xml:space="preserve">    representantes de las víctimas)</w:t>
        <w:br/>
        <w:br/>
        <w:br/>
        <w:t>5)  José G. Torrealba</w:t>
        <w:br/>
        <w:br/>
        <w:br/>
        <w:t xml:space="preserve">    PADRES:</w:t>
        <w:br/>
        <w:t xml:space="preserve">    María Felipa Bello de Torrealba</w:t>
        <w:br/>
        <w:t xml:space="preserve">    José  Mariano  Torrealba  (aparece  en  una  de  las  listas   de   los</w:t>
        <w:br/>
        <w:t xml:space="preserve">    representantes de las víctimas como padre)</w:t>
        <w:br/>
        <w:br/>
        <w:br/>
        <w:t>6)  José Mariano Torrealba</w:t>
        <w:br/>
        <w:br/>
        <w:br/>
        <w:t xml:space="preserve">    ESPOSA:</w:t>
        <w:br/>
        <w:t xml:space="preserve">    María  Felipa  Bello  de  Torrealba  (aparece  en   las   listas   como</w:t>
        <w:br/>
        <w:t xml:space="preserve">    beneficiaria de dos víctimas  diferentes,  José  G.  Torrealba  y  José</w:t>
        <w:br/>
        <w:t xml:space="preserve">    Mariano Torrealba)</w:t>
        <w:br/>
        <w:br/>
        <w:br/>
        <w:t xml:space="preserve">    HIJOS:</w:t>
        <w:br/>
        <w:t xml:space="preserve">    José Enrique Torrealba</w:t>
        <w:br/>
        <w:t xml:space="preserve">    María Adelaida Torrealba</w:t>
        <w:br/>
        <w:t xml:space="preserve">    José Omar Torrealba</w:t>
        <w:br/>
        <w:t xml:space="preserve">    José Jasmin Torrealba</w:t>
        <w:br/>
        <w:t xml:space="preserve">    Rosa Candelaria Torrealba</w:t>
        <w:br/>
        <w:t xml:space="preserve">    Bladimir  José  Torrealba  (aparece  en  una  de  las  listas  de   los</w:t>
        <w:br/>
        <w:t xml:space="preserve">         representantes de las víctimas como otro hijo más)</w:t>
        <w:br/>
        <w:br/>
        <w:br/>
        <w:t>7)  José Ramón Puerta</w:t>
        <w:br/>
        <w:br/>
        <w:br/>
        <w:t xml:space="preserve">    PADRES:</w:t>
        <w:br/>
        <w:t xml:space="preserve">    Ana Cristina Ascanio</w:t>
        <w:br/>
        <w:t xml:space="preserve">    José Melquíades Puerta</w:t>
        <w:br/>
        <w:br/>
        <w:br/>
        <w:t>8)  Arin Ovadía Maldonado</w:t>
        <w:br/>
        <w:br/>
        <w:br/>
        <w:t xml:space="preserve">    MADRE:</w:t>
        <w:br/>
        <w:t xml:space="preserve">    María A. Maldonado</w:t>
        <w:br/>
        <w:br/>
        <w:br/>
        <w:t>9)  Rigo J. Araujo</w:t>
        <w:br/>
        <w:br/>
        <w:br/>
        <w:t xml:space="preserve">    MADRE:</w:t>
        <w:br/>
        <w:t xml:space="preserve">    Claudia A. Araujo (en una de las listas de los  representantes  de  las</w:t>
        <w:br/>
        <w:t xml:space="preserve">         víctimas el nombre de la madre aparece como Ana Gregoria)</w:t>
        <w:br/>
        <w:br/>
        <w:br/>
        <w:t>10)  Pedro I.  Mosquera</w:t>
        <w:br/>
        <w:br/>
        <w:br/>
        <w:t xml:space="preserve">    MADRE:</w:t>
        <w:br/>
        <w:t xml:space="preserve">    Carmen Mosquera</w:t>
        <w:br/>
        <w:br/>
        <w:br/>
        <w:t xml:space="preserve">    ESPOSA:</w:t>
        <w:br/>
        <w:t xml:space="preserve">    Ana E. Cedeño (no aparece en una de las listas de los representantes de</w:t>
        <w:br/>
        <w:t xml:space="preserve">         las víctimas)</w:t>
        <w:br/>
        <w:br/>
        <w:br/>
        <w:t xml:space="preserve">    HIJO:</w:t>
        <w:br/>
        <w:t xml:space="preserve">    Pedro I. Mosquera</w:t>
        <w:br/>
        <w:t xml:space="preserve">    William Mosquera (aparece en las listas de los  representantes  de  las</w:t>
        <w:br/>
        <w:t xml:space="preserve">         víctimas, pero no en la de la Comisión  Interamericana,  como  otro</w:t>
        <w:br/>
        <w:t xml:space="preserve">         hijo)</w:t>
        <w:br/>
        <w:br/>
        <w:br/>
        <w:t>11)  Luis A. Berrío</w:t>
        <w:br/>
        <w:br/>
        <w:br/>
        <w:t xml:space="preserve">    PADRES:</w:t>
        <w:br/>
        <w:t xml:space="preserve">    Wana Matilada de Berrío</w:t>
        <w:br/>
        <w:t xml:space="preserve">    Pedro Vicente Bravo (aparece en una de las listas de los representantes</w:t>
        <w:br/>
        <w:t xml:space="preserve">         de las víctimas como el padre y la Corte también tomó nota  de  que</w:t>
        <w:br/>
        <w:t xml:space="preserve">         lleva un apellido diferente)</w:t>
        <w:br/>
        <w:br/>
        <w:br/>
        <w:t xml:space="preserve">    ESPOSA:</w:t>
        <w:br/>
        <w:t xml:space="preserve">    Teresa Pérez</w:t>
        <w:br/>
        <w:br/>
        <w:br/>
        <w:t xml:space="preserve">    HIJOS:</w:t>
        <w:br/>
        <w:t xml:space="preserve">    María E. Berrío</w:t>
        <w:br/>
        <w:t xml:space="preserve">    Mercedes Berrío</w:t>
        <w:br/>
        <w:t xml:space="preserve">    Luisa Berrío</w:t>
        <w:br/>
        <w:t xml:space="preserve">    Consuelo Berrío (no aparece en una de las listas de los  representantes</w:t>
        <w:br/>
        <w:t xml:space="preserve">         de las víctimas)</w:t>
        <w:br/>
        <w:t xml:space="preserve">    Nelson Berrío</w:t>
        <w:br/>
        <w:t xml:space="preserve">    José Berrío</w:t>
        <w:br/>
        <w:t xml:space="preserve">    Carmen Berrío</w:t>
        <w:br/>
        <w:t xml:space="preserve">    Elluz Berrío</w:t>
        <w:br/>
        <w:br/>
        <w:br/>
        <w:t>12)  Rafael Magín Moreno</w:t>
        <w:br/>
        <w:br/>
        <w:br/>
        <w:t xml:space="preserve">    MADRE:</w:t>
        <w:br/>
        <w:t xml:space="preserve">    Victoria Moreno</w:t>
        <w:br/>
        <w:br/>
        <w:br/>
        <w:t xml:space="preserve">    COMPAÑERA:</w:t>
        <w:br/>
        <w:t xml:space="preserve">    Rosa T. Eregua (no aparece en una de las listas de  los  representantes</w:t>
        <w:br/>
        <w:t xml:space="preserve">         de las víctimas y en otra lista  aparece  como  beneficiaria  de  2</w:t>
        <w:br/>
        <w:t xml:space="preserve">         víctimas diferentes: Rafael Magín Moreno y Carlos E. Eregua)</w:t>
        <w:br/>
        <w:br/>
        <w:br/>
        <w:t xml:space="preserve">    HIJOS:</w:t>
        <w:br/>
        <w:t xml:space="preserve">    Magín Moreno</w:t>
        <w:br/>
        <w:t xml:space="preserve">    Roger Eregua (no aparece en una de las listas de los representantes  de</w:t>
        <w:br/>
        <w:t xml:space="preserve">         las víctimas)</w:t>
        <w:br/>
        <w:t xml:space="preserve">    Rafael Moreno (no aparece en una de las listas de los representantes de</w:t>
        <w:br/>
        <w:t xml:space="preserve">         las víctimas)</w:t>
        <w:br/>
        <w:br/>
        <w:br/>
        <w:br/>
        <w:br/>
        <w:br/>
        <w:br/>
        <w:t>13)  Carlos A. Eregua</w:t>
        <w:br/>
        <w:br/>
        <w:br/>
        <w:t xml:space="preserve">    MADRE:</w:t>
        <w:br/>
        <w:t xml:space="preserve">    Rosa T. Eregua</w:t>
        <w:br/>
        <w:br/>
        <w:br/>
        <w:t>14)  Justo Mercado</w:t>
        <w:br/>
        <w:br/>
        <w:br/>
        <w:t xml:space="preserve">    COMPAÑERA:</w:t>
        <w:br/>
        <w:t xml:space="preserve">    Doris Salazar</w:t>
        <w:br/>
        <w:br/>
        <w:br/>
        <w:t xml:space="preserve">    HIJOS:</w:t>
        <w:br/>
        <w:t xml:space="preserve">    José Salazar</w:t>
        <w:br/>
        <w:t xml:space="preserve">    María Salazar (no aparece en una de las listas de los representantes de</w:t>
        <w:br/>
        <w:t xml:space="preserve">         las víctimas)</w:t>
        <w:br/>
        <w:t xml:space="preserve">    Geraldo Salazar (no aparece en una de las listas de los  representantes</w:t>
        <w:br/>
        <w:t xml:space="preserve">         de las víctimas)</w:t>
        <w:br/>
        <w:t xml:space="preserve">    Juan Salazar (no aparece en una de las listas de los representantes  de</w:t>
        <w:br/>
        <w:t xml:space="preserve">         las víctimas)</w:t>
        <w:br/>
        <w:t xml:space="preserve">    Petra Salazar</w:t>
        <w:br/>
        <w:br/>
        <w:br/>
        <w:t>15)  Wolmer Gregorio Pinilla (Sobreviviente)</w:t>
        <w:br/>
        <w:br/>
        <w:br/>
        <w:t>16)  José Augusto Arias (Sobreviviente)</w:t>
        <w:br/>
        <w:br/>
        <w:t>En  el  caso  de  las  discrepancias  antes  anotadas  el  derecho   a   las</w:t>
        <w:br/>
        <w:t>indemnizaciones correspondientes queda sujeto a la  presentación  por  parte</w:t>
        <w:br/>
        <w:t>de los interesados de la documentación sustentatoria  ante  el  Gobierno  de</w:t>
        <w:br/>
        <w:t>Venezuela.</w:t>
        <w:br/>
        <w:br/>
        <w:br/>
        <w:t xml:space="preserve">                                     XI</w:t>
        <w:br/>
        <w:br/>
        <w:t>43.   Respecto a la forma de dar cumplimiento a la  presente  sentencia,  el</w:t>
        <w:br/>
        <w:t>Estado deberá pagar, dentro de un  plazo  de  seis  meses  a  partir  de  su</w:t>
        <w:br/>
        <w:t>notificación, las indemnizaciones  acordadas  en  favor  de  los  familiares</w:t>
        <w:br/>
        <w:t>mayores de edad y de  las  víctimas  sobrevivientes  y,  si  alguno  hubiere</w:t>
        <w:br/>
        <w:t>fallecido antes del pago, a sus herederos.</w:t>
        <w:br/>
        <w:br/>
        <w:t>44.   En los escritos de la Comisión y en la  audiencia  pública  de  27  de</w:t>
        <w:br/>
        <w:t>enero de 1996, ésta siempre ha calculado la  indemnización  en  unidades  de</w:t>
        <w:br/>
        <w:t>dólares estadounidenses.  En su comunicación de  14  de  junio  de  1996  el</w:t>
        <w:br/>
        <w:t>Gobierno reiteró que los cálculos “deben plantearse en bolívares, que es  la</w:t>
        <w:br/>
        <w:t>moneda  nacional  de  la  República   de   Venezuela   donde   residen   los</w:t>
        <w:br/>
        <w:t>causahabientes”.</w:t>
        <w:br/>
        <w:br/>
        <w:t>45.   En relación con lo anterior, la Corte  declara  que  el  Estado  puede</w:t>
        <w:br/>
        <w:t>cumplir esta obligación mediante el pago en  dólares  estadounidenses  o  en</w:t>
        <w:br/>
        <w:t>una suma equivalente en moneda nacional venezolana.   Para  determinar  esta</w:t>
        <w:br/>
        <w:t>equivalencia se utilizará el tipo de cambio del dólar  estadounidense  y  de</w:t>
        <w:br/>
        <w:t>la moneda venezolana en la plaza de Nueva York el día anterior al del pago.</w:t>
        <w:br/>
        <w:br/>
        <w:t>46.   En lo que respecta a la indemnización a favor de los menores  de  edad</w:t>
        <w:br/>
        <w:t>el Gobierno constituirá fideicomisos en una institución bancaria  venezolana</w:t>
        <w:br/>
        <w:t>solvente y segura, dentro de un plazo de seis meses, en las condiciones  más</w:t>
        <w:br/>
        <w:t>favorables  que  permitan  la  legislación  y  la  práctica  bancarias,   en</w:t>
        <w:br/>
        <w:t>beneficio de cada uno de esos menores, quienes  recibirán  mensualmente  los</w:t>
        <w:br/>
        <w:t>intereses respectivos.  Al cumplir la mayoría  de  edad  o  haber  contraído</w:t>
        <w:br/>
        <w:t>matrimonio,  recibirán  el  total  que  les   corresponde.    En   caso   de</w:t>
        <w:br/>
        <w:t>fallecimiento, el derecho se transmitirá a los herederos.</w:t>
        <w:br/>
        <w:br/>
        <w:t>47.   En el supuesto de que alguno de los mayores de edad no  se  presentare</w:t>
        <w:br/>
        <w:t>a recibir el pago de la parte de la indemnización  que  le  corresponde,  el</w:t>
        <w:br/>
        <w:t>Estado depositará la suma  debida  en  un  fideicomiso  en  las  condiciones</w:t>
        <w:br/>
        <w:t>indicadas en el párrafo anterior, y hará todo esfuerzo para localizar a  esa</w:t>
        <w:br/>
        <w:t>persona.  Si después de diez años de constituido el fideicomiso  la  persona</w:t>
        <w:br/>
        <w:t>o sus herederos no lo hubieren reclamado, la suma será devuelta al Estado  y</w:t>
        <w:br/>
        <w:t>se considerará cumplida esta sentencia respecto a ella.   Lo  anterior  será</w:t>
        <w:br/>
        <w:t>aplicable  también  a  los  fideicomisos  constituidos  en  favor   de   los</w:t>
        <w:br/>
        <w:t>familiares menores de edad.</w:t>
        <w:br/>
        <w:br/>
        <w:t>48.   El  pago  de  las  indemnizaciones  estará  exento  de  todo  impuesto</w:t>
        <w:br/>
        <w:t>actualmente existente o que pueda decretarse en el futuro.</w:t>
        <w:br/>
        <w:br/>
        <w:t>49.   En caso de que el Gobierno incurriese en mora deberá pagar un  interés</w:t>
        <w:br/>
        <w:t>sobre el total del capital adeudado, que corresponderá al  interés  bancario</w:t>
        <w:br/>
        <w:t>corriente en Venezuela a la fecha del pago.</w:t>
        <w:br/>
        <w:br/>
        <w:br/>
        <w:t xml:space="preserve">                                     XII</w:t>
        <w:br/>
        <w:br/>
        <w:t>50.   Dentro de las reparaciones no pecuniarias y costas, en su  escrito  de</w:t>
        <w:br/>
        <w:t>3 de noviembre de 1995,  la  Comisión  solicitó  que  el  Estado  venezolano</w:t>
        <w:br/>
        <w:t>convocara a una conferencia de prensa y  la  posterior  publicación  en  los</w:t>
        <w:br/>
        <w:t>diarios nacionales del reconocimiento, ante la opinión pública, de  que  los</w:t>
        <w:br/>
        <w:t>hechos  acaecidos  el  29  de  octubre  de  1988  en  “El   Amparo”   fueron</w:t>
        <w:br/>
        <w:t>responsabilidad del Estado, así como “[l]a declaración de que nunca  más  se</w:t>
        <w:br/>
        <w:t>tolerarán hechos como los del caso y  la  creación  de  una  fundación  cuyo</w:t>
        <w:br/>
        <w:t>objeto será la  promoción  y  difusión  del  derecho  internacional  de  los</w:t>
        <w:br/>
        <w:t>derechos humanos en la región donde ocurrieron los  hechos”;  pero  no  hizo</w:t>
        <w:br/>
        <w:t>suyas las peticiones de los representantes de las víctimas en cuanto  a  “la</w:t>
        <w:br/>
        <w:t>publicación de la sentencia en los principales diarios internacionales”.</w:t>
        <w:br/>
        <w:br/>
        <w:t>51.   En su escrito de 3  de  enero  de  1996  el  Estado  expresó  que  las</w:t>
        <w:br/>
        <w:t>reparaciones  no  pecuniarias  solicitadas  por  la  Comisión   no   estaban</w:t>
        <w:br/>
        <w:t>conformes “ni con la jurisprudencia internacional  en  general,  ni  con  la</w:t>
        <w:br/>
        <w:t>jurisprudencia  de  la  Corte  Interamericana  en  particular”.   El  Estado</w:t>
        <w:br/>
        <w:t>consideró que la satisfacción solicitada por la Comisión para  las  víctimas</w:t>
        <w:br/>
        <w:t>y sus familiares estaba comprendida en la pretensión relativa  a  los  daños</w:t>
        <w:br/>
        <w:t>morales, y alegó que “[e]l honor  y  la  fama  de  las  víctimas  y  de  sus</w:t>
        <w:br/>
        <w:t>familiares han quedado plenamente reestablecidos por el conocimiento  de  la</w:t>
        <w:br/>
        <w:t>sentencia sobre  el  fondo  de  la  Corte...  y  por  el  reconocimiento  de</w:t>
        <w:br/>
        <w:t>responsabilidad -anterior y posterior- de la República de Venezuela por  los</w:t>
        <w:br/>
        <w:t>hechos acaecidos”.</w:t>
        <w:br/>
        <w:br/>
        <w:t>52.   En su escrito mencionado  de  3  de  noviembre  de  1995  la  Comisión</w:t>
        <w:br/>
        <w:t>solicitó la reforma del  Código  de  Justicia  Militar,  específicamente  el</w:t>
        <w:br/>
        <w:t>artículo 54.2 y .3, así como de los reglamentos e  instrucciones  castrenses</w:t>
        <w:br/>
        <w:t>en tanto y en cuanto sean incompatibles con la Convención.   Dicho  artículo</w:t>
        <w:br/>
        <w:t>dispone en su parte conducente que:  “[s]on atribuciones del  Presidente  de</w:t>
        <w:br/>
        <w:t>la República, como funcionario de justicia militar:... 2.   Ordenar  que  no</w:t>
        <w:br/>
        <w:t>se  abra  juicio  militar  en  casos  determinados,  cuando  así  lo  estime</w:t>
        <w:br/>
        <w:t>conveniente a los intereses de la Nación.  3.  Ordenar el sobreseimiento  de</w:t>
        <w:br/>
        <w:t>los juicios militares,  cuando  así  lo  juzgue  conveniente,  en  cualquier</w:t>
        <w:br/>
        <w:t>estado de la causa”.</w:t>
        <w:br/>
        <w:br/>
        <w:t>53.   En el mismo escrito la Comisión solicitó la investigación  y  “sanción</w:t>
        <w:br/>
        <w:t>efectiva a los autores materiales e intelectuales, cómplices y  encubridores</w:t>
        <w:br/>
        <w:t>de los hechos que dieron origen al presente caso.”</w:t>
        <w:br/>
        <w:br/>
        <w:t>54.   En su escrito de 3 de enero de 1996, también citado anteriormente,  el</w:t>
        <w:br/>
        <w:t>Estado alegó que la petición de la Comisión no  guardaba  relación  con  los</w:t>
        <w:br/>
        <w:t>hechos ni con la responsabilidad del Estado por estimar que  la  restitución</w:t>
        <w:br/>
        <w:t>supone el restablecimiento de la situación al estado anterior a  los  hechos</w:t>
        <w:br/>
        <w:t>que  dieron  lugar  a  la  responsabilidad.   Expresó  que  “[n]ada  de   lo</w:t>
        <w:br/>
        <w:t>solicitado  por  la  Comisión  a  este  propósito  puede   representar   una</w:t>
        <w:br/>
        <w:t>restitución en el sentido apuntado.  El Código de Justicia  militar  no  es,</w:t>
        <w:br/>
        <w:t>por sí mismo,  incompatible  con  la  Convención  Americana  sobre  Derechos</w:t>
        <w:br/>
        <w:t>Humanos”.</w:t>
        <w:br/>
        <w:br/>
        <w:t>55.   Con respecto a la investigación y sanción efectiva de los  autores  de</w:t>
        <w:br/>
        <w:t>los hechos el Estado manifestó que “es  evidente  que  la  Sentencia  de  la</w:t>
        <w:br/>
        <w:t>Corte Interamericana no  puede  ir  más  allá  de  las  indemnizaciones  que</w:t>
        <w:br/>
        <w:t>correspondan, sin  afectar  al  mismo  tiempo  los  derechos  de   supuestos</w:t>
        <w:br/>
        <w:t>implicados.  La  indemnización  a  las  víctimas  y  a  sus  familiares,  el</w:t>
        <w:br/>
        <w:t>reconocimiento de la responsabilidad internacional del Estado  venezolano  y</w:t>
        <w:br/>
        <w:t>la misma Sentencia condenatoria  de  la  Corte  Interamericana  de  Derechos</w:t>
        <w:br/>
        <w:t>Humanos, son el medio idóneo para reparar  -hasta  donde  sea  posible-  los</w:t>
        <w:br/>
        <w:t>daños causados a las víctimas y a sus familiares”.</w:t>
        <w:br/>
        <w:br/>
        <w:t>56.   En resumen, la Comisión concreta las reparaciones  no  pecuniarias  en</w:t>
        <w:br/>
        <w:t>la  reforma  del  Código  de  Justicia  Militar  y  de  los  reglamentos   e</w:t>
        <w:br/>
        <w:t>instrucciones castrenses que resulten incompatibles con  la  Convención;  la</w:t>
        <w:br/>
        <w:t>investigación y sanción efectiva a los autores materiales  e  intelectuales,</w:t>
        <w:br/>
        <w:t>cómplices y encubridores de los hechos que dieron origen al  presente  caso;</w:t>
        <w:br/>
        <w:t>la satisfacción a las víctimas mediante la restitución de su honor  y  fama,</w:t>
        <w:br/>
        <w:t>y el  establecimiento  inequívoco  de  los  hechos;  la  satisfacción  a  la</w:t>
        <w:br/>
        <w:t>comunidad internacional mediante la  declaración  de  que  no  se  tolerarán</w:t>
        <w:br/>
        <w:t>hechos como los del caso; y la creación de una fundación para  la  promoción</w:t>
        <w:br/>
        <w:t>y la difusión del Derecho  internacional  de  los  derechos  humanos  en  la</w:t>
        <w:br/>
        <w:t>región donde ocurrieron los hechos.</w:t>
        <w:br/>
        <w:br/>
        <w:t>57.   Por su parte, el Estado alega que los artículos impugnados del  Código</w:t>
        <w:br/>
        <w:t>de Justicia Militar no han sido aplicados en el presente  caso  y  son  sólo</w:t>
        <w:br/>
        <w:t>una habilitación al Presidente de la República; que la  satisfacción  a  las</w:t>
        <w:br/>
        <w:t>víctimas se consuma por el reconocimiento de responsabilidad  por  Venezuela</w:t>
        <w:br/>
        <w:t>y que  las  reparaciones  no  patrimoniales  no  están  de  acuerdo  con  la</w:t>
        <w:br/>
        <w:t>jurisprudencia  internacional  en  general  ni  con  la  de  esta  Corte  en</w:t>
        <w:br/>
        <w:t>particular.</w:t>
        <w:br/>
        <w:br/>
        <w:t>58.   En relación con lo anterior, la Corte  considera  que,  efectivamente,</w:t>
        <w:br/>
        <w:t>el artículo 54 del citado Código que concede al Presidente de  la  República</w:t>
        <w:br/>
        <w:t>la facultad de ordenar que no se abra juicio militar en  casos  determinados</w:t>
        <w:br/>
        <w:t>cuando lo estime conveniente a los intereses  de  la  Nación  y  ordenar  el</w:t>
        <w:br/>
        <w:t>sobreseimiento de los juicios militares en cualquier estado de la causa,  no</w:t>
        <w:br/>
        <w:t>ha sido aplicado en el presente caso.  Las autoridades  militares  iniciaron</w:t>
        <w:br/>
        <w:t>y siguieron un proceso contra los responsables  del  caso  El  Amparo  y  el</w:t>
        <w:br/>
        <w:t>Presidente de la República nunca ordenó que no se siguiera  proceso  ni  que</w:t>
        <w:br/>
        <w:t>se sobreseyera.</w:t>
        <w:br/>
        <w:br/>
        <w:t>59.   En la Opinión Consultiva OC-14/94 esta Corte dispuso:</w:t>
        <w:br/>
        <w:br/>
        <w:t xml:space="preserve">            La jurisdicción  contenciosa  de  la  Corte  se  ejerce  con  la</w:t>
        <w:br/>
        <w:t xml:space="preserve">      finalidad  de  proteger  los  derechos  y   libertades   de   personas</w:t>
        <w:br/>
        <w:t xml:space="preserve">      determinadas y no con la de resolver casos abstractos.  No  existe  en</w:t>
        <w:br/>
        <w:t xml:space="preserve">      la Convención disposición alguna que permita a la Corte decidir, en el</w:t>
        <w:br/>
        <w:t xml:space="preserve">      ejercicio de su competencia contenciosa, si una ley que no ha afectado</w:t>
        <w:br/>
        <w:t xml:space="preserve">      aún los derechos y libertades protegidos de individuos determinados es</w:t>
        <w:br/>
        <w:t xml:space="preserve">      contraria a la Convención.  Como antes se dijo, la Comisión sí  podría</w:t>
        <w:br/>
        <w:t xml:space="preserve">      hacerlo y en esa forma daría cumplimiento a su  función  principal  de</w:t>
        <w:br/>
        <w:t xml:space="preserve">      promover la observancia y defensa de los  derechos  humanos.   También</w:t>
        <w:br/>
        <w:t xml:space="preserve">      podría hacerlo la Corte en  ejercicio  de  su  función  consultiva  en</w:t>
        <w:br/>
        <w:t xml:space="preserve">      aplicación  del  artículo  64.2  de  la  Convención   (Responsabilidad</w:t>
        <w:br/>
        <w:t xml:space="preserve">      internacional por expedición y aplicación de leyes violatorias  de  la</w:t>
        <w:br/>
        <w:t xml:space="preserve">      Convención (arts. 1 y 2 Convención Americana sobre Derechos  Humanos),</w:t>
        <w:br/>
        <w:t xml:space="preserve">      Opinión Consultiva OC-14/94 del 9 de diciembre de 1994.  Serie  A  No.</w:t>
        <w:br/>
        <w:t xml:space="preserve">      14, párr. 49).</w:t>
        <w:br/>
        <w:br/>
        <w:br/>
        <w:t>60.   La Corte, de  acuerdo  con  lo  expresado  en  la  Opinión  Consultiva</w:t>
        <w:br/>
        <w:t>citada, se abstiene de pronunciarse en  abstracto  sobre  la  compatibilidad</w:t>
        <w:br/>
        <w:t>del  Código  de  Justicia  Militar  de  Venezuela  y   sus   reglamentos   e</w:t>
        <w:br/>
        <w:t>instrucciones con la Convención Americana, y por lo tanto  no  cabe  ordenar</w:t>
        <w:br/>
        <w:t>al Estado de Venezuela la reforma solicitada por la Comisión.</w:t>
        <w:br/>
        <w:br/>
        <w:t>61.   Respecto a la continuación del proceso para la  investigación  de  los</w:t>
        <w:br/>
        <w:t>hechos y la sanción de las personas responsables, esa es una obligación  que</w:t>
        <w:br/>
        <w:t>corresponde al Estado  siempre  que  haya  ocurrido  una  violación  de  los</w:t>
        <w:br/>
        <w:t>derechos humanos y esa obligación debe ser cumplida  seriamente  y  no  como</w:t>
        <w:br/>
        <w:t>una mera formalidad.</w:t>
        <w:br/>
        <w:br/>
        <w:t>62.   En cuanto a las otras reparaciones  no  pecuniarias  que  solicitó  la</w:t>
        <w:br/>
        <w:t>Comisión, la Corte estima que el reconocimiento de  responsabilidad  que  ha</w:t>
        <w:br/>
        <w:t>hecho Venezuela, la sentencia sobre el fondo de este caso de 18 de enero  de</w:t>
        <w:br/>
        <w:t>1995 (cf. Caso El Amparo, supra 5) y la presente sentencia dictada por  esta</w:t>
        <w:br/>
        <w:t>misma Corte, constituyen, per se, una adecuada reparación.</w:t>
        <w:br/>
        <w:br/>
        <w:br/>
        <w:t xml:space="preserve">                                    XIII</w:t>
        <w:br/>
        <w:br/>
        <w:t>63.   En relación con la condena en costas solicitada por  la  Comisión,  la</w:t>
        <w:br/>
        <w:t>Corte ha declarado en ocasiones anteriores que aquella no  puede  exigir  el</w:t>
        <w:br/>
        <w:t>reintegro de los gastos que le exige  su  modalidad  interna  de  trabajo  a</w:t>
        <w:br/>
        <w:t>través de la imposición de costas (Caso Aloeboetoe  y  otros,  Reparaciones,</w:t>
        <w:br/>
        <w:t>supra 14, párrs. 110 a 115).</w:t>
        <w:br/>
        <w:br/>
        <w:br/>
        <w:t xml:space="preserve">                                     XIV</w:t>
        <w:br/>
        <w:br/>
        <w:t>64.   Por tanto,</w:t>
        <w:br/>
        <w:br/>
        <w:br/>
        <w:t>La Corte,</w:t>
        <w:br/>
        <w:br/>
        <w:br/>
        <w:t>por unanimidad,</w:t>
        <w:br/>
        <w:br/>
        <w:t>1.    Fija en US$722.332,20 el total de las indemnizaciones  debidas  a  los</w:t>
        <w:br/>
        <w:t>familiares de las víctimas y a las víctimas sobrevivientes a que se  refiere</w:t>
        <w:br/>
        <w:t>este caso.  Este pago deberá ser hecho por el  Estado  de  Venezuela  en  el</w:t>
        <w:br/>
        <w:t>plazo de seis meses a contar de la fecha  de  notificación  de  la  presente</w:t>
        <w:br/>
        <w:t>sentencia y en la forma y  condiciones  que  se  expresan  en  los  párrafos</w:t>
        <w:br/>
        <w:t>precedentes.</w:t>
        <w:br/>
        <w:br/>
        <w:br/>
        <w:t>por unanimidad,</w:t>
        <w:br/>
        <w:br/>
        <w:br/>
        <w:t>2.    Ordena el establecimiento de fideicomisos según  lo  previsto  en  los</w:t>
        <w:br/>
        <w:t>párrafos 46 y 47 de esta Sentencia.</w:t>
        <w:br/>
        <w:br/>
        <w:br/>
        <w:br/>
        <w:t>por unanimidad,</w:t>
        <w:br/>
        <w:br/>
        <w:br/>
        <w:t>3.    Decide que el Estado de Venezuela no podrá gravar con impuesto  alguno</w:t>
        <w:br/>
        <w:t>el pago de las indemnizaciones.</w:t>
        <w:br/>
        <w:br/>
        <w:br/>
        <w:t>por unanimidad,</w:t>
        <w:br/>
        <w:br/>
        <w:br/>
        <w:t>4.    Decide que el Estado  de  Venezuela  está  obligado  a  continuar  las</w:t>
        <w:br/>
        <w:t>investigaciones de los hechos a que se  refiere  este  caso  y  sancionar  a</w:t>
        <w:br/>
        <w:t>quienes resulten responsables.</w:t>
        <w:br/>
        <w:br/>
        <w:br/>
        <w:t>por cuatro votos contra uno,</w:t>
        <w:br/>
        <w:br/>
        <w:br/>
        <w:t>5.     Declara  que  no  proceden  las  reparaciones   no   pecuniarias   ni</w:t>
        <w:br/>
        <w:t>pronunciamiento alguno sobre la conformidad del Código de  Justicia  Militar</w:t>
        <w:br/>
        <w:t>y los reglamentos e instrucciones castrenses  con  la  Convención  Americana</w:t>
        <w:br/>
        <w:t>sobre Derechos Humanos.</w:t>
        <w:br/>
        <w:br/>
        <w:t>Disiente el Juez Cançado Trindade.</w:t>
        <w:br/>
        <w:br/>
        <w:br/>
        <w:t>por unanimidad,</w:t>
        <w:br/>
        <w:br/>
        <w:br/>
        <w:t>6.    Resuelve que supervisará el cumplimiento  de  esta  sentencia  y  sólo</w:t>
        <w:br/>
        <w:t>después dará por concluido el caso.</w:t>
        <w:br/>
        <w:br/>
        <w:br/>
        <w:t>por unanimidad,</w:t>
        <w:br/>
        <w:br/>
        <w:br/>
        <w:t>7.    Declara que no hay condena en costas.</w:t>
        <w:br/>
        <w:br/>
        <w:t>El Juez Cançado Trindade hizo conocer a la Corte su Voto Disidente, el  cual</w:t>
        <w:br/>
        <w:t>acompañará a esta sentencia.</w:t>
        <w:br/>
        <w:br/>
        <w:br/>
        <w:t>Redactada en castellano e inglés, haciendo fe el  texto  en  castellano,  en</w:t>
        <w:br/>
        <w:t>San José, Costa Rica, el día 14 de septiembre de 1996.</w:t>
        <w:br/>
        <w:br/>
        <w:br/>
        <w:br/>
        <w:t xml:space="preserve">                           (f) Héctor Fix-Zamudio</w:t>
        <w:br/>
        <w:t xml:space="preserve">                                 Presidente</w:t>
        <w:br/>
        <w:br/>
        <w:br/>
        <w:t>Hernán Salgado Pesantes     Alejandro Montiel Argüello</w:t>
        <w:br/>
        <w:br/>
        <w:br/>
        <w:t>Alirio Abreu Burelli   Antônio A. Cançado Trindade</w:t>
        <w:br/>
        <w:br/>
        <w:br/>
        <w:br/>
        <w:br/>
        <w:t xml:space="preserve">                          Manuel E. Ventura Robles</w:t>
        <w:br/>
        <w:t xml:space="preserve">                                 Secretario</w:t>
        <w:br/>
        <w:br/>
        <w:br/>
        <w:t>Leída en sesión pública en la sede de la Corte en San José, Costa  Rica,  el</w:t>
        <w:br/>
        <w:t>día 20 de septiembre de 1996.</w:t>
        <w:br/>
        <w:br/>
        <w:br/>
        <w:br/>
        <w:t>Comuníquese y ejecútese,</w:t>
        <w:br/>
        <w:br/>
        <w:br/>
        <w:br/>
        <w:t xml:space="preserve">      Héctor Fix-Zamudio</w:t>
        <w:br/>
        <w:t xml:space="preserve">      Presidente</w:t>
        <w:br/>
        <w:br/>
        <w:br/>
        <w:br/>
        <w:t>Manuel E. Ventura Robles</w:t>
        <w:br/>
        <w:t xml:space="preserve">      Secretario</w:t>
        <w:br/>
        <w:br/>
        <w:t xml:space="preserve">                VOTO DISIDENTE DEL JUEZ A.A. CANÇADO TRINDADE</w:t>
        <w:br/>
        <w:br/>
        <w:br/>
        <w:br/>
        <w:t>1.    Lamento no poder acompañar  la  mayoría  de  la  Corte  en  cuanto  al</w:t>
        <w:br/>
        <w:t>criterio por ésta adoptado en los párrafos 60 y 62 y la  decisión  por  ésta</w:t>
        <w:br/>
        <w:t>tomada  en  el  punto  resolutivo  n.  5  de  la  presente  Sentencia  sobre</w:t>
        <w:br/>
        <w:t>reparaciones. En mi Voto Razonado en la Sentencia anterior (del 18 de  enero</w:t>
        <w:br/>
        <w:t>de 1995) en el mismo caso  El  Amparo,  sostuve  que  la  Corte  debería  en</w:t>
        <w:br/>
        <w:t>aquella etapa del proceso (reconocimiento de responsabilidad  efectuado  por</w:t>
        <w:br/>
        <w:t>la República de Venezuela)  haber  expresamente  reservado  la  facultad  de</w:t>
        <w:br/>
        <w:t>también examinar y decidir  sobre  la  solicitud  original  de  la  Comisión</w:t>
        <w:br/>
        <w:t>Interamericana de Derechos Humanos acerca de la incompatibilidad o no de  la</w:t>
        <w:br/>
        <w:t>vigencia del artículo 54 (2)  y  (3)  del  Código  de  Justicia  Militar  de</w:t>
        <w:br/>
        <w:t>Venezuela con el objeto y fin de  la  Convención  Americana  sobre  Derechos</w:t>
        <w:br/>
        <w:t>Humanos. Como, en la presente Sentencia,  la  Corte  decidió  abstenerse  de</w:t>
        <w:br/>
        <w:t>pronunciarse sobre la materia, me veo en la obligación de presentar mi  Voto</w:t>
        <w:br/>
        <w:t>Disidente.</w:t>
        <w:br/>
        <w:br/>
        <w:br/>
        <w:t>2.    El señalamiento por la Corte de que lo dispuesto en el artículo  54(2)</w:t>
        <w:br/>
        <w:t>y (3) del Código de Justicia Militar1 "no ha sido aplicado  en  el  presente</w:t>
        <w:br/>
        <w:t>caso" (párrafo 58), no la  priva  de  su  competencia  para  proceder  a  la</w:t>
        <w:br/>
        <w:t>determinación  de  la  incompatibilidad  o  no  de  aquellas   disposiciones</w:t>
        <w:br/>
        <w:t>legales2  con  la  Convención  Americana  sobre  Derechos  Humanos.  En   mi</w:t>
        <w:br/>
        <w:t>entendimiento, la propia existencia de una disposición legal  puede  per  se</w:t>
        <w:br/>
        <w:t>crear una situación que afecta directamente los derechos protegidos  por  la</w:t>
        <w:br/>
        <w:t>Convención Americana. Una ley puede ciertamente  violar  estos  derechos  en</w:t>
        <w:br/>
        <w:t>razón de  su  propia  existencia,  y,  en  la  ausencia  de  una  medida  de</w:t>
        <w:br/>
        <w:t>aplicación  o  ejecución,  por  la  amenaza   real   a   la(s)   persona(s),</w:t>
        <w:br/>
        <w:t>representada por la situación creada por dicha ley.</w:t>
        <w:br/>
        <w:br/>
        <w:br/>
        <w:t>3.    No me parece necesario esperar la ocurrencia de un  daño  (material  o</w:t>
        <w:br/>
        <w:t>moral) para que una ley pueda  ser  impugnada;  puede  serlo  sin  que  esto</w:t>
        <w:br/>
        <w:t>represente un examen o determinación in  abstracto  de  su  incompatibilidad</w:t>
        <w:br/>
        <w:t>con la Convención. Si fuera necesario aguardar  la  aplicación  efectiva  de</w:t>
        <w:br/>
        <w:t>una  ley  ocasionando  un  daño,  no  habría  como  sostener  el  deber   de</w:t>
        <w:br/>
        <w:t>prevención. Una ley puede, por su propia existencia  y  en  la  ausencia  de</w:t>
        <w:br/>
        <w:t>medidas de ejecución, afectar los derechos protegidos en la medida  en  que,</w:t>
        <w:br/>
        <w:t>por ejemplo, por su vigencia priva a las víctimas o a sus familiares  de  un</w:t>
        <w:br/>
        <w:t>recurso efectivo  ante  los  jueces  o  tribunales  nacionales  competentes,</w:t>
        <w:br/>
        <w:t>independientes e imparciales, así como de las  garantías  judiciales  plenas</w:t>
        <w:br/>
        <w:t>(en los términos de los artículos 25 y 8 de la Convención Americana).</w:t>
        <w:br/>
        <w:br/>
        <w:br/>
        <w:t>4.    Al abstenerse de pronunciarse sobre  la  materia,  la  Corte  dejó  de</w:t>
        <w:br/>
        <w:t>proceder,  como   le   competía,   al   examen   o   determinación   de   la</w:t>
        <w:br/>
        <w:t>incompatibilidad de la vigencia del artículo  54(2)  y  (3)  del  Código  de</w:t>
        <w:br/>
        <w:t>Justicia Militar de Venezuela con los deberes generales  consagrados  en  la</w:t>
        <w:br/>
        <w:t>Convención  Americana  de  garantizar  los  derechos  en  ella   reconocidos</w:t>
        <w:br/>
        <w:t>(artículo  1)  y  de  adoptar  disposiciones  de  derecho  interno  (medidas</w:t>
        <w:br/>
        <w:t>legislativas o de otro carácter) que fueren necesarias para hacer  efectivos</w:t>
        <w:br/>
        <w:t>tales derechos (artículo 2). Considero  la  Corte  plenamente  habilitada  a</w:t>
        <w:br/>
        <w:t>pronunciarse  sobre  este  punto  específico,  aún  ante  la   invocada   no</w:t>
        <w:br/>
        <w:t>aplicación de las referidas disposiciones del Código de Justicia Militar  en</w:t>
        <w:br/>
        <w:t>el cas d'espèce.</w:t>
        <w:br/>
        <w:br/>
        <w:br/>
        <w:t>5.     Fue  necesario  esperar  muchos  años  para  que  se   admitiera   la</w:t>
        <w:br/>
        <w:t>posibilidad de plantear  la  cuestión  de  la  incompatibilidad  de  medidas</w:t>
        <w:br/>
        <w:t>legislativas   y   prácticas   administrativas    con    las    obligaciones</w:t>
        <w:br/>
        <w:t>convencionales  internacionales  en  materia  de  derechos  humanos,  en  el</w:t>
        <w:br/>
        <w:t>contexto de  casos  concretos3  .  La  jurisprudencia  internacional  en  el</w:t>
        <w:br/>
        <w:t>presente dominio, en los planos tanto regional como global, ha  evolucionado</w:t>
        <w:br/>
        <w:t>a punto de admitir  hoy  día  que  un  individuo  puede,  bajo  determinadas</w:t>
        <w:br/>
        <w:t>condiciones, reivindicar ser víctima de una violación  de  derechos  humanos</w:t>
        <w:br/>
        <w:t>perpetrada  por  la  simple  existencia  de  medidas   permitidas   por   la</w:t>
        <w:br/>
        <w:t>legislación, sin que hayan  sido  a  él  aplicadas4  .  Puede  efectivamente</w:t>
        <w:br/>
        <w:t>hacerlo ante el simple riesgo de ser directamente afectado por  una  ley5  ,</w:t>
        <w:br/>
        <w:t>ante la amenaza continua representada por el mantenimiento en  vigor  de  la</w:t>
        <w:br/>
        <w:t>legislación impugnada6 . Se reconoce  actualmente  que  un  individuo  puede</w:t>
        <w:br/>
        <w:t>efectivamente impugnar una ley  que  todavía  no  ha  sido  aplicada  en  su</w:t>
        <w:br/>
        <w:t>perjuicio, bastando para esto que dicha ley sea aplicable en forma  tal  que</w:t>
        <w:br/>
        <w:t>el riesgo o amenaza que él sufra sus efectos sea real, sea algo más que  una</w:t>
        <w:br/>
        <w:t>simple posibilidad teórica7</w:t>
        <w:br/>
        <w:br/>
        <w:t>6.     Un  entendimiento  en  contrario  minaría  el  deber  de  prevención,</w:t>
        <w:br/>
        <w:t>consagrado en la jurisprudencia de esta Corte. Se  ha  precisado  el  amplio</w:t>
        <w:br/>
        <w:t>alcance de tal deber, el cual  abarca  todas  las  medidas,  legislativas  y</w:t>
        <w:br/>
        <w:t>administrativas y otras,  que  promuevan  la  salvaguarda  de  los  derechos</w:t>
        <w:br/>
        <w:t>humanos y que aseguren que  las  violaciones  de  éstos  sean  efectivamente</w:t>
        <w:br/>
        <w:t>tratadas como hechos ilícitos acarreando sanciones para sus responsables8  .</w:t>
        <w:br/>
        <w:t>La reparación, como  concepto  genérico,  abarca  también  estos  elementos,</w:t>
        <w:br/>
        <w:t>además de las indemnizaciones debidas a las víctimas. La  reparación  plena,</w:t>
        <w:br/>
        <w:t>que en el presente contexto se configura como la reacción  del  ordenamiento</w:t>
        <w:br/>
        <w:t>jurídico  de  protección  a  los  hechos   violatorios   de   los   derechos</w:t>
        <w:br/>
        <w:t>garantizados, tiene un amplio alcance. Incluye, a la par  de  la  restitutio</w:t>
        <w:br/>
        <w:t>in integrum (restablecimiento  de  la  situación  anterior  de  la  víctima,</w:t>
        <w:br/>
        <w:t>siempre que posible) y las indemnizaciones (a la luz del  principio  general</w:t>
        <w:br/>
        <w:t>del   neminem   laedere),   la   rehabilitación,   la   satisfacción   y   -</w:t>
        <w:br/>
        <w:t>significativamente - la garantía de no repetición de los hechos  violatorios</w:t>
        <w:br/>
        <w:t>(el deber de prevención).</w:t>
        <w:br/>
        <w:br/>
        <w:br/>
        <w:t>7.    A partir del momento en que se constatan violaciones de  los  derechos</w:t>
        <w:br/>
        <w:t>humanos protegidos,  el  examen  de  la  incompatibilidad  de  disposiciones</w:t>
        <w:br/>
        <w:t>legales de derecho  interno  con  la  Convención  Americana  sobre  Derechos</w:t>
        <w:br/>
        <w:t>Humanos deja, a mi modo de ver, de  ser  una  cuestión  abstracta.  Una  ley</w:t>
        <w:br/>
        <w:t>puede per se configurarse incompatible con la Convención  en  la  medida  en</w:t>
        <w:br/>
        <w:t>que, por ejemplo, inhiba el ejercicio de los derechos protegidos, aún en  la</w:t>
        <w:br/>
        <w:t>ausencia de una medida  de  aplicación.  Una  ley  puede  per  se  revelarse</w:t>
        <w:br/>
        <w:t>incompatible con la Convención en la medida en que, por ejemplo, no  imponga</w:t>
        <w:br/>
        <w:t>limites precisos al poder discrecional atribuido a las autoridades  públicas</w:t>
        <w:br/>
        <w:t>de interferir en el ejercicio de los derechos protegidos9 .  Una  ley  puede</w:t>
        <w:br/>
        <w:t>per se mostrarse incompatible con la Convención en la  medida  en  que,  por</w:t>
        <w:br/>
        <w:t>ejemplo,  dificulte las investigaciones en curso, u  ocasione  obstrucciones</w:t>
        <w:br/>
        <w:t>en el proceso judicial, o conlleve a la impunidad de  los  responsables  por</w:t>
        <w:br/>
        <w:t>las violaciones de los derechos humanos.</w:t>
        <w:br/>
        <w:br/>
        <w:br/>
        <w:t>8.    El cuestionamiento de  la  compatibilidad  con  la  Convención  de  la</w:t>
        <w:br/>
        <w:t>vigencia de una ley que per se crea  una  situación  legal  que  afecta  los</w:t>
        <w:br/>
        <w:t>derechos humanos protegidos es una cuestión concreta. En  mi  entendimiento,</w:t>
        <w:br/>
        <w:t>es la existencia de víctimas10 la  que  provee  el  criterio  decisivo  para</w:t>
        <w:br/>
        <w:t>distinguir el examen simplemente in abstracto de una disposición  legal,  de</w:t>
        <w:br/>
        <w:t>la  determinación  de  la  incompatibilidad  de  dicha  disposición  con  la</w:t>
        <w:br/>
        <w:t>Convención  Americana  sobre  Derechos  Humanos  en  el  marco  de  un  caso</w:t>
        <w:br/>
        <w:t>concreto,  como  el  de  El  Amparo.  La  existencia   de   víctimas   torna</w:t>
        <w:br/>
        <w:t>jurídicamente inconsecuente la distinción entre la ley y su  aplicación,  en</w:t>
        <w:br/>
        <w:t>el contexto del caso concreto.</w:t>
        <w:br/>
        <w:br/>
        <w:br/>
        <w:t>9.    En la presente Sentencia sobre reparaciones, la decisión de  la  Corte</w:t>
        <w:br/>
        <w:t>de abstenerse de pronunciarse sobre la incompatibilidad de la  vigencia  del</w:t>
        <w:br/>
        <w:t>artículo 54(2) y (3) del Código de Justicia Militar de  Venezuela11  con  la</w:t>
        <w:br/>
        <w:t>Convención Americana sobre Derechos Humanos (punto resolutivo  n.  5)  busca</w:t>
        <w:br/>
        <w:t>fundamentarse (párrafos 59-60) en un obiter dictum de su Opinión  Consultiva</w:t>
        <w:br/>
        <w:t>(sobre la Responsabilidad  Internacional  por  Expedición  y  Aplicación  de</w:t>
        <w:br/>
        <w:t>Leyes Violatorias de la Convención, OC-14/94), del 09 de diciembre de  1994,</w:t>
        <w:br/>
        <w:t>según el cual "no existe en la Convención disposición alguna que  permita  a</w:t>
        <w:br/>
        <w:t>la Corte decidir, en el ejercicio de su competencia contenciosa, si una  ley</w:t>
        <w:br/>
        <w:t>que no ha afectado aún los derechos y libertades  protegidos  de  individuos</w:t>
        <w:br/>
        <w:t>determinados es contraria a la Convención"12 . La Corte deja de responder  a</w:t>
        <w:br/>
        <w:t>la cuestión previa si una ley, por su propia  existencia,  afecta,  o  puede</w:t>
        <w:br/>
        <w:t>afectar, los derechos protegidos por la Convención.</w:t>
        <w:br/>
        <w:br/>
        <w:br/>
        <w:t>10.   Un órgano de protección  internacional  de  los  derechos  humanos  no</w:t>
        <w:br/>
        <w:t>debe, a mi juicio, partir de la premisa  de  que  una  ley,  por  su  propia</w:t>
        <w:br/>
        <w:t>existencia, "no ha afectado aún" los derechos protegidos, debiéndose por  lo</w:t>
        <w:br/>
        <w:t>tanto aguardar medidas de ejecución que acarreen la ocurrencia de  un  daño.</w:t>
        <w:br/>
        <w:t>No debe hacerlo aún más cuando toda la evolución del  ordenamiento  jurídico</w:t>
        <w:br/>
        <w:t>de protección13 se orienta y se inclina hoy día claramente en otro  sentido.</w:t>
        <w:br/>
        <w:t>La decisión de la Corte sobre este punto específico, basada en  el  referido</w:t>
        <w:br/>
        <w:t>obiter dictum de su Opinión Consultiva OC-14/94, colide, a mi modo  de  ver,</w:t>
        <w:br/>
        <w:t>con la letra y el espíritu  del  artículo  62(1)  y  (3)  de  la  Convención</w:t>
        <w:br/>
        <w:t>Americana, en virtud del cual la competencia  contenciosa  de  la  Corte  se</w:t>
        <w:br/>
        <w:t>extiende a todos los casos relativos a la  interpretación  y  aplicación  de</w:t>
        <w:br/>
        <w:t>las disposiciones de la Convención. Estas últimas incluyen  los  deberes  de</w:t>
        <w:br/>
        <w:t>los Estados Partes de garantizar los derechos reconocidos y  de  adecuar  su</w:t>
        <w:br/>
        <w:t>derecho interno a la normativa de la Convención para tornar efectivos  tales</w:t>
        <w:br/>
        <w:t>derechos.</w:t>
        <w:br/>
        <w:br/>
        <w:t>11.   Por consiguiente, la determinación de la incompatibilidad de  una  ley</w:t>
        <w:br/>
        <w:t>interna con la Convención no es prerrogativa exclusiva del ejercicio  de  la</w:t>
        <w:br/>
        <w:t>competencia consultiva de la Corte. La  diferencia  reside  en  que,  en  el</w:t>
        <w:br/>
        <w:t>ejercicio de la competencia consultiva (artículo 64(2)  de  la  Convención),</w:t>
        <w:br/>
        <w:t>la Corte puede emitir opiniones sobre la incompatibilidad o no  de  una  ley</w:t>
        <w:br/>
        <w:t>interna (e inclusive de un  proyecto  de  ley14  )   con  la  Convención  in</w:t>
        <w:br/>
        <w:t>abstracto, mientras que, en el ejercicio de la competencia  contenciosa,  la</w:t>
        <w:br/>
        <w:t>Corte puede determinar, a solicitud de una parte, la incompatibilidad  o  no</w:t>
        <w:br/>
        <w:t>de una ley  interna  con  la  Convención  en  las  circunstancias  del  caso</w:t>
        <w:br/>
        <w:t>concreto. La Convención Americana efectivamente autoriza  la  Corte,  en  el</w:t>
        <w:br/>
        <w:t>ejercicio de su competencia contenciosa, a determinar si una ley,  impugnada</w:t>
        <w:br/>
        <w:t>por la parte demandante, y que por su propia existencia afecta los  derechos</w:t>
        <w:br/>
        <w:t>protegidos, es o no contraria  a  la  Convención  Americana  sobre  Derechos</w:t>
        <w:br/>
        <w:t>Humanos. La Corte tiene la competencia  ratione  materiae,  y  debía,  pues,</w:t>
        <w:br/>
        <w:t>haber procedido a esta determinación y a la fijación  de  sus  consecuencias</w:t>
        <w:br/>
        <w:t>jurídicas.</w:t>
        <w:br/>
        <w:br/>
        <w:br/>
        <w:br/>
        <w:br/>
        <w:t xml:space="preserve">      Antônio Augusto Cançado Trindade</w:t>
        <w:br/>
        <w:t xml:space="preserve">      Juez</w:t>
        <w:br/>
        <w:br/>
        <w:br/>
        <w:br/>
        <w:br/>
        <w:t>Manuel E. Ventura Robles</w:t>
        <w:br/>
        <w:t xml:space="preserve">        Secretario</w:t>
        <w:br/>
        <w:br/>
        <w:br/>
        <w:br/>
        <w:br/>
        <w:t xml:space="preserve">  1  Todos los nombres con asteriscos son hijos de Julio Pastor Ceballos  y</w:t>
        <w:br/>
        <w:t>Florinda Velandia</w:t>
        <w:br/>
        <w:t xml:space="preserve">  1 . El artículo 54 del Código de Justicia Militar otorga al Presidente de</w:t>
        <w:br/>
        <w:t>la República, como "funcionario de justicia militar",  las  atribuciones  de</w:t>
        <w:br/>
        <w:t>ordenar que "no se abra juicio militar en casos determinados, cuando así  lo</w:t>
        <w:br/>
        <w:t>estime conveniente" a los intereses nacionales (inciso 2), y de ordenar  "el</w:t>
        <w:br/>
        <w:t>sobreseimiento de los juicios militares, cuando así lo  juzgue  conveniente,</w:t>
        <w:br/>
        <w:t>en cualquier estado de la causa" (inciso 3).</w:t>
        <w:br/>
        <w:t xml:space="preserve">  2 . Y los reglamentos e instrucciones castrenses.</w:t>
        <w:br/>
        <w:t xml:space="preserve">  3 . A ejemplo de lo ocurrido,  v.g.,  en  los  casos  Kjeldsen  (1972)  e</w:t>
        <w:br/>
        <w:t>Donnelly (1973) ante la Comisión Europea de Derechos Humanos.</w:t>
        <w:br/>
        <w:t xml:space="preserve">  4 . Corte Europea de Derechos Humanos, caso Klass y Otros, Sentencia  del</w:t>
        <w:br/>
        <w:t>06.09.1978, pár. 34.</w:t>
        <w:br/>
        <w:t xml:space="preserve">  5 . Corte  Europea  de  Derechos  Humanos,  caso  Marckx,  Sentencia  del</w:t>
        <w:br/>
        <w:t>13.06.1979, pár. 27; Corte Europea de  Derechos  Humanos,  caso  Johnston  y</w:t>
        <w:br/>
        <w:t>Otros, Sentencia del 18.12.1986, pár. 42.</w:t>
        <w:br/>
        <w:t xml:space="preserve">  6 . Corte Europea  de  Derechos  Humanos,  caso  Dudgeon,  Sentencia  del</w:t>
        <w:br/>
        <w:t>22.10.1981, párrs. 41 y 63. En el caso De Jong, Baljet y van den  Brink,  la</w:t>
        <w:br/>
        <w:t>Corte Europea se refirió a  su  jurisprudence  constante  ("well-established</w:t>
        <w:br/>
        <w:t>case-law") según la cual la existencia de una  violación  de  la  Convención</w:t>
        <w:br/>
        <w:t>era  "concebible  aún  en  la  ausencia  de   detrimento";   Sentencia   del</w:t>
        <w:br/>
        <w:t>22.05.1984, pár. 41.</w:t>
        <w:br/>
        <w:t xml:space="preserve">  7 . Comité de Derechos Humanos (bajo  el  Pacto  de  Derechos  Civiles  y</w:t>
        <w:br/>
        <w:t>Políticos  de   Naciones   Unidas),   caso   Aumeeruddy-Cziffra   y   Otras,</w:t>
        <w:br/>
        <w:t>Observaciones  del  09.04.1981,  pár.   9.2.   Independientemente   de   las</w:t>
        <w:br/>
        <w:t>conclusiones en cuanto a la determinación de los hechos en un caso,  no  hay</w:t>
        <w:br/>
        <w:t>como negar que una ley interna pueda, por su propia  existencia,  constituir</w:t>
        <w:br/>
        <w:t>una violación  directa  de  los  derechos  protegidos;  Comité  de  Derechos</w:t>
        <w:br/>
        <w:t>Humanos, caso de los Impedidos y Minusválidos Italianos,  Observaciones  del</w:t>
        <w:br/>
        <w:t>10.04.1984, pár. 6.2.</w:t>
        <w:br/>
        <w:t xml:space="preserve">  8 . Tal como señalado por la Corte Interamericana en los casos  Velásquez</w:t>
        <w:br/>
        <w:t>Rodríguez, Sentencia del 29.07.1988, pár. 175;  y  Godínez  Cruz,  Sentencia</w:t>
        <w:br/>
        <w:t>del 20.01.1989, pár. 185.</w:t>
        <w:br/>
        <w:t xml:space="preserve">  9 . Corte  Europea  de  Derechos  Humanos,  caso  Malone,  Sentencia  del</w:t>
        <w:br/>
        <w:t>02.08.1984, párrs. 67-68. Una ley que atribuye tal poder  discrecional  debe</w:t>
        <w:br/>
        <w:t>indicar expresamente el alcance y los límites precisos de tal  poder;  Corte</w:t>
        <w:br/>
        <w:t>Europea de Derechos Humanos, caso Silver y Otros, Sentencia del  25.03.1983,</w:t>
        <w:br/>
        <w:t>párrs. 86-88.</w:t>
        <w:br/>
        <w:t xml:space="preserve">  10 . En el presente dominio de protección, las víctimas de violaciones de</w:t>
        <w:br/>
        <w:t>derechos humanos ocupan una posición central; y cómo  claramente  lo  revela</w:t>
        <w:br/>
        <w:t>el contencioso de reparaciones e indemnizaciones, son ellas, las víctimas  -</w:t>
        <w:br/>
        <w:t>y no la Comisión Interamericana de Derechos Humanos  -  la  verdadera  parte</w:t>
        <w:br/>
        <w:t>demandante ante la Corte. Es lo que se puede desprender  inequívocamente  de</w:t>
        <w:br/>
        <w:t>esta Sentencia y de la audiencia pública del 27 de enero  de  1996  ante  la</w:t>
        <w:br/>
        <w:t>Corte en el presente caso.</w:t>
        <w:br/>
        <w:t xml:space="preserve">  11 . Y los reglamentos e instrucciones castrenses.</w:t>
        <w:br/>
        <w:t xml:space="preserve">  12 . Párrafo 49 de la Opinión Consultiva OC-14/94.</w:t>
        <w:br/>
        <w:t xml:space="preserve">  13 . La cual corresponde a la evolución de la noción  de  víctima  en  el</w:t>
        <w:br/>
        <w:t>derecho internacional de los derechos humanos;  cf.  Recueil  des  Cours  de</w:t>
        <w:br/>
        <w:t>l'Académie de Droit International de La Haye, 1987, vol. 202, pp. 243-299.</w:t>
        <w:br/>
        <w:t xml:space="preserve">  14 . Como lo admite la Corte  Interamericana  en  su  Opinión  Consultiva</w:t>
        <w:br/>
        <w:t>(sobre la Propuesta de Modificación a  la  Constitución  Política  de  Costa</w:t>
        <w:br/>
        <w:t>Rica Relacionada con la Naturalización, OC-4/84), del 19 de  enero  de  1984</w:t>
        <w:br/>
        <w:t>(párrafos 22-29).</w:t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