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CASO ARGÜELLES Y OTROS VS. ARGENTINA</w:t>
        <w:br/>
        <w:br/>
        <w:t xml:space="preserve">                      SENTENCIA DE 23 DE JUNIO DE 2015</w:t>
        <w:br/>
        <w:t xml:space="preserve">       (Interpretación de la Sentencia de Excepción Preliminar, Fondo,</w:t>
        <w:br/>
        <w:t xml:space="preserve">                           Reparaciones y Costas)</w:t>
        <w:br/>
        <w:br/>
        <w:br/>
        <w:br/>
        <w:t>En el caso Argüelles y otros Vs. Argentina,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jueces[1]:</w:t>
        <w:br/>
        <w:br/>
        <w:t xml:space="preserve">      Humberto Antonio Sierra Porto, Presidente;</w:t>
        <w:br/>
        <w:t xml:space="preserve">      Roberto F. Caldas, Vicepresidente;</w:t>
        <w:br/>
        <w:t xml:space="preserve">      Manuel E. Ventura Robles, Juez;</w:t>
        <w:br/>
        <w:t xml:space="preserve">      Eduardo Vio Grossi, Juez, y</w:t>
        <w:br/>
        <w:t xml:space="preserve">      Eduardo Ferrer Mac-Gregor Poisot,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  (en  adelante  “el  Reglamento”),</w:t>
        <w:br/>
        <w:t>resuelve las solicitudes de interpretación  de  la  Sentencia  de  Excepción</w:t>
        <w:br/>
        <w:t>Preliminar, Fondo, Reparaciones y Costas emitida por este Tribunal el 20  de</w:t>
        <w:br/>
        <w:t>noviembre de 2014 en el presente caso (en adelante también “la  Sentencia”),</w:t>
        <w:br/>
        <w:t>interpuestas el 16 de diciembre  de  2014  por  los  representantes  de  las</w:t>
        <w:br/>
        <w:t>víctimas Mauricio Cueto y Alberto De Vita, y el 22  de  diciembre  de  2014,</w:t>
        <w:br/>
        <w:t>por los Defensores Interamericanos.</w:t>
        <w:br/>
        <w:t xml:space="preserve">                                      I</w:t>
        <w:br/>
        <w:t xml:space="preserve">          SOLICITUD DE INTERPRETACIÓN Y PROCEDIMIENTO ANTE LA CORTE</w:t>
        <w:br/>
        <w:br/>
        <w:t>El 20 de noviembre de 2014  la  Corte  emitió  la  Sentencia,  la  cual  fue</w:t>
        <w:br/>
        <w:t>notificada a las partes y a la Comisión Interamericana de  Derechos  Humanos</w:t>
        <w:br/>
        <w:t>(en adelante  “la  Comisión  Interamericana”  o  “la  Comisión”)  el  15  de</w:t>
        <w:br/>
        <w:t>diciembre del mismo año.</w:t>
        <w:br/>
        <w:br/>
        <w:t>El 16 de diciembre de 2014 los representantes Mauricio Cueto  y  Alberto  De</w:t>
        <w:br/>
        <w:t>Vita presentaron  una  solicitud  de  interpretación  de  la  Sentencia  con</w:t>
        <w:br/>
        <w:t>relación a si el pago de costas y gastos ordenado  en  dicha  Sentencia  fue</w:t>
        <w:br/>
        <w:t>fijado en forma conjunta o individual a cada uno de los abogados  apoderados</w:t>
        <w:br/>
        <w:t>que actuaron en defensa de los derechos humanos de las víctimas.</w:t>
        <w:br/>
        <w:br/>
        <w:t>El 22 de diciembre de 2014 los Defensores  Interamericanos  presentaron  una</w:t>
        <w:br/>
        <w:t>solicitud de interpretación de la Sentencia con relación a  la  petición  de</w:t>
        <w:br/>
        <w:t>reembolso de los gastos efectuados por el señor Hugo Oscar Argüelles, en  su</w:t>
        <w:br/>
        <w:t>calidad de representante de las victimas ante la Comisión desde  1998  hasta</w:t>
        <w:br/>
        <w:t>2012.</w:t>
        <w:br/>
        <w:br/>
        <w:t>El  8  y  9  de  abril  de  2015  el  Estado  y  la  Comisión   presentaron,</w:t>
        <w:br/>
        <w:t>respectivamente,  sus  observaciones  escritas  respecto  de  las  referidas</w:t>
        <w:br/>
        <w:t>solicitudes de interpretación.</w:t>
        <w:br/>
        <w:br/>
        <w:t xml:space="preserve">                                     II</w:t>
        <w:br/>
        <w:t xml:space="preserve">                                 COMPETENCIA</w:t>
        <w:br/>
        <w:br/>
        <w:br/>
        <w:t>El artículo 67 de la Convención establece que:</w:t>
        <w:br/>
        <w:br/>
        <w:t xml:space="preserve">    El fallo  de  la  Corte  será  definitivo  e  inapelable.  En  caso  de</w:t>
        <w:br/>
        <w:t xml:space="preserve">    desacuerdo  sobre  el  sentido  o  alcance  del  fallo,  la  Corte   lo</w:t>
        <w:br/>
        <w:t xml:space="preserve">    interpretará a solicitud de cualquiera de las partes, siempre que dicha</w:t>
        <w:br/>
        <w:t xml:space="preserve">    solicitud se presente dentro de los noventa días a partir de  la  fecha</w:t>
        <w:br/>
        <w:t xml:space="preserve">    de la notificación del fallo.</w:t>
        <w:br/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por los  mismos  jueces  que  dictaron  la</w:t>
        <w:br/>
        <w:t>Sentencia.</w:t>
        <w:br/>
        <w:br/>
        <w:t xml:space="preserve">                                     III</w:t>
        <w:br/>
        <w:t xml:space="preserve">                                ADMISIBILIDAD</w:t>
        <w:br/>
        <w:br/>
        <w:t>Corresponde a la Corte verificar si  las  solicitudes  presentadas  por  los</w:t>
        <w:br/>
        <w:t>representantes  y  por  los  Defensores  Interamericanos  cumplen  con   los</w:t>
        <w:br/>
        <w:t>requisitos  establecidos  en  las  normas  aplicables  a  una  solicitud  de</w:t>
        <w:br/>
        <w:t>interpretación de Sentencia, a saber,  el  artículo  67  de  la  Convención,</w:t>
        <w:br/>
        <w:t>anteriormente citado, y el artículo 68 del Reglamento  que  dispone,  en  lo</w:t>
        <w:br/>
        <w:t>pertinente, que:</w:t>
        <w:br/>
        <w:br/>
        <w:t xml:space="preserve">    1.     La solicitud de interpretación a que se refiere el  artículo  67</w:t>
        <w:br/>
        <w:t xml:space="preserve">    de la Convención podrá promoverse en relación  con  las  sentencias  de</w:t>
        <w:br/>
        <w:t xml:space="preserve">    excepciones preliminares, fondo o reparaciones y costas y se presentará</w:t>
        <w:br/>
        <w:t xml:space="preserve">    en la Secretaría de la Corte indicándose en ella,  con  precisión,  las</w:t>
        <w:br/>
        <w:t xml:space="preserve">    cuestiones  relativas  al  sentido  o  alcance  de  la  sentencia  cuya</w:t>
        <w:br/>
        <w:t xml:space="preserve">    interpretación se pida.</w:t>
        <w:br/>
        <w:t xml:space="preserve">    […]</w:t>
        <w:br/>
        <w:br/>
        <w:br/>
        <w:t xml:space="preserve">    4.     La solicitud de interpretación no suspenderá la ejecución de  la</w:t>
        <w:br/>
        <w:t xml:space="preserve">    sentencia.</w:t>
        <w:br/>
        <w:br/>
        <w:br/>
        <w:t xml:space="preserve">    5.     La Corte determinará el procedimiento que se seguirá y resolverá</w:t>
        <w:br/>
        <w:t xml:space="preserve">    mediante una sentencia.</w:t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br/>
        <w:t>La Corte observa que los representantes Mauricio Cueto  y  Alberto  De  Vita</w:t>
        <w:br/>
        <w:t>remitieron la solicitud de interpretación el 16 de diciembre de 2014, y  los</w:t>
        <w:br/>
        <w:t>Defensores Interamericanos lo hicieron el 22 de  diciembre  de  2014,  ambos</w:t>
        <w:br/>
        <w:t>dentro del plazo establecido en el artículo 67 de la Convención, ya  que  la</w:t>
        <w:br/>
        <w:t>misma fue notificada el 15 de diciembre de 2014. Por ende,  las  solicitudes</w:t>
        <w:br/>
        <w:t>resultan admisibles en lo que se refiere al plazo  de  su  presentación.  En</w:t>
        <w:br/>
        <w:t>cuanto a los demás requisitos, la Corte realizará el análisis respectivo  al</w:t>
        <w:br/>
        <w:t>examinar el contenido de la  presente  solicitud  de  interpretación  en  el</w:t>
        <w:br/>
        <w:t>próximo capítulo.</w:t>
        <w:br/>
        <w:br/>
        <w:t xml:space="preserve">                                     IV</w:t>
        <w:br/>
        <w:t xml:space="preserve">       ANÁLISIS DE LA PROCEDENCIA DE LAs SOLICITUDes DE INTERPRETACIÓN</w:t>
        <w:br/>
        <w:br/>
        <w:t>A continuación el Tribunal analizará las solicitudes de  los  representantes</w:t>
        <w:br/>
        <w:t>Mauricio Cueto y Alberto De Vita[2], y de los Defensores  Interamericanos[3]</w:t>
        <w:br/>
        <w:t>para determinar  si,  de  acuerdo  con  la  normativa  y  a  los  estándares</w:t>
        <w:br/>
        <w:t>desarrollados en su jurisprudencia, procede aclarar  el  sentido  o  alcance</w:t>
        <w:br/>
        <w:t>del párrafo 298 de la Sentencia.</w:t>
        <w:br/>
        <w:br/>
        <w:t>A. Argumentos de las partes</w:t>
        <w:br/>
        <w:br/>
        <w:t>Los representantes De Vita y Cueto alegaron que la Corte “dispuso el pago  a</w:t>
        <w:br/>
        <w:t>cargo del Estado de costas y honorarios a nuestro nombre,  no  especificando</w:t>
        <w:br/>
        <w:t>si el monto de US$ 10.000 (diez mil dólares norteamericanos) fue  fijado  en</w:t>
        <w:br/>
        <w:t>forma conjunta o individual a  cada  uno  de  los  abogados  apoderados  que</w:t>
        <w:br/>
        <w:t>actuáramos en defensa de los derechos humanos de las  precitadas  victimas”.</w:t>
        <w:br/>
        <w:t>Por lo antes expuesto, solicitaron a la Corte que tenga a bien  precisar  el</w:t>
        <w:br/>
        <w:t>alcance de lo oportunamente dispuesto en relación al pago de  las  costas  y</w:t>
        <w:br/>
        <w:t>honorarios.</w:t>
        <w:br/>
        <w:br/>
        <w:t>Al respecto, ni los representantes Juan Carlos Vega y  Christian  Sommer  ni</w:t>
        <w:br/>
        <w:t>el Estado ni la Comisión presentaron observaciones.</w:t>
        <w:br/>
        <w:br/>
        <w:t>Los Defensores Interamericanos observaron que en su escrito de  solicitudes,</w:t>
        <w:br/>
        <w:t>argumentos y pruebas “solicitaron el reembolso de los gastos efectuados  por</w:t>
        <w:br/>
        <w:t>el señor Argüelles en su calidad de representante de las  victimas  ante  la</w:t>
        <w:br/>
        <w:t>Comisión desde 1998 hasta la designación de los  Defensores  Interamericanos</w:t>
        <w:br/>
        <w:t>en 2012". Al respecto, señalaron que en el párrafo 298 de  la  Sentencia  en</w:t>
        <w:br/>
        <w:t>cuestión, la Corte estimó procedente conceder  una  suma  razonable  de  US$</w:t>
        <w:br/>
        <w:t>10,000.00 (diez mil dólares estadounidenses) a  los  representantes  Vega  y</w:t>
        <w:br/>
        <w:t>Sommer, y la misma cantidad a los representantes De Vita y  Cueto,  pero  no</w:t>
        <w:br/>
        <w:t>se pronunció respecto de la solicitud con relación al  señor  Argüelles  por</w:t>
        <w:br/>
        <w:t>los años en que fue representante de las  víctimas.  Por  lo  expuesto,  los</w:t>
        <w:br/>
        <w:t>Defensores Interamericanos solicitaron a la Corte precisar  el  alcance  del</w:t>
        <w:br/>
        <w:t>fallo relacionado con la petición del reembolso  de  los  gastos  efectuados</w:t>
        <w:br/>
        <w:t>por el señor Argüelles en el periodo antes mencionado.</w:t>
        <w:br/>
        <w:br/>
        <w:t>Al  respecto,  el  Estado  en  primer  lugar  señaló  que   los   Defensores</w:t>
        <w:br/>
        <w:t>Interamericanos  no  adjuntaron  prueba  de  los   gastos   cuyo   reembolso</w:t>
        <w:br/>
        <w:t>solicitaron en su escrito  de  solicitudes,  argumentos  y  prueba.  En  ese</w:t>
        <w:br/>
        <w:t>sentido, argumentó que sin perjuicio de que la solicitud  fuera  introducida</w:t>
        <w:br/>
        <w:t>en el momento oportuno para presentar las pretensiones de costas  y  gastos,</w:t>
        <w:br/>
        <w:t>fue hecho de modo  incompleto  por  dos  razones,  pues,  por  un  lado  los</w:t>
        <w:br/>
        <w:t>defensores interamericanos no cuantificaron dichos gastos  y  honorarios  y,</w:t>
        <w:br/>
        <w:t>por otro lado, no  aportaron  ni  una  sola  evidencia  que  respaldara  y/o</w:t>
        <w:br/>
        <w:t>acreditara los reembolsos  solicitados.  Como  consecuencia,  el  Estado  no</w:t>
        <w:br/>
        <w:t>contó con la posibilidad de analizar y determinar los montos  y  razones  de</w:t>
        <w:br/>
        <w:t>los gastos, todo lo cual  atentó  contra  el  derecho  de  defensa  en  sede</w:t>
        <w:br/>
        <w:t>internacional.</w:t>
        <w:br/>
        <w:br/>
        <w:t>En segundo lugar, el Estado observó que no le resultó claro  la  calidad  en</w:t>
        <w:br/>
        <w:t>virtud de la cual los Defensores Interamericanos han efectuado la  solicitud</w:t>
        <w:br/>
        <w:t>de interpretación, debido a que se refiere al  reconocimiento  de  costas  y</w:t>
        <w:br/>
        <w:t>gastos a favor del señor Argüelles cuando actuaba como representante  de  sí</w:t>
        <w:br/>
        <w:t>mismo y de otras víctimas, con anterioridad al trámite ante la Corte.</w:t>
        <w:br/>
        <w:br/>
        <w:t>Del  mismo  modo,  agregó  que  la  situación  planteada  por   la   defensa</w:t>
        <w:br/>
        <w:t>interamericana resulta confusa por cuanto  los  actuales  representantes  se</w:t>
        <w:br/>
        <w:t>encontrarían ejerciendo la representación de otro representante,  que  a  la</w:t>
        <w:br/>
        <w:t>vez ha resultado víctima. En efecto, alegó que la determinación de costas  y</w:t>
        <w:br/>
        <w:t>gastos a  favor  de  otros  representantes  debe  ser  solicitada  por  cada</w:t>
        <w:br/>
        <w:t>representante y no por representantes nuevos respecto de los  anteriores,  y</w:t>
        <w:br/>
        <w:t>en este caso los Defensores Interamericanos representan a las  víctimas,  no</w:t>
        <w:br/>
        <w:t>a anteriores representantes.</w:t>
        <w:br/>
        <w:br/>
        <w:t>El Estado concluyó que, en virtud de la falta de acreditación, la  falta  de</w:t>
        <w:br/>
        <w:t>cuantificación  y  la  falta  de  legitimidad   procesal   para   que   unos</w:t>
        <w:br/>
        <w:t>representantes soliciten honorarios y gastos de otros representantes,  tanto</w:t>
        <w:br/>
        <w:t>anteriores  como   actuales,   la   sentencia   no   requiere   aclaraciones</w:t>
        <w:br/>
        <w:t>adicionales.</w:t>
        <w:br/>
        <w:br/>
        <w:t>En  relación  a  la  solicitud   de   interpretación   de   los   Defensores</w:t>
        <w:br/>
        <w:t>Interamericanos, ni los demás  representantes  ni  la  Comisión  presentaron</w:t>
        <w:br/>
        <w:t>observaciones.</w:t>
        <w:br/>
        <w:br/>
        <w:t>B. Consideraciones de la Corte</w:t>
        <w:br/>
        <w:br/>
        <w:t>La Corte observa que el párrafo 298 de la Sentencia estableció que:</w:t>
        <w:br/>
        <w:br/>
        <w:t xml:space="preserve">      “En el presente caso, esta Corte observa  que  los  Representantes  De</w:t>
        <w:br/>
        <w:t xml:space="preserve">      Vita y Cueto y  Vega  y  Sommer  no  acreditaron  los  gastos  en  que</w:t>
        <w:br/>
        <w:t xml:space="preserve">      incurrieron, pues no detallaron las erogaciones que realizaron durante</w:t>
        <w:br/>
        <w:t xml:space="preserve">      el litigio a nivel nacional  e  internacional,  ni  tampoco  aportaron</w:t>
        <w:br/>
        <w:t xml:space="preserve">      mayor prueba al respecto. Sin embargo, en virtud de  que  el  litigio,</w:t>
        <w:br/>
        <w:t xml:space="preserve">      tanto a nivel nacional como a nivel internacional, duró  varios  años,</w:t>
        <w:br/>
        <w:t xml:space="preserve">      esta  Corte  estima  procedente  conceder  una   suma   razonable   de</w:t>
        <w:br/>
        <w:t xml:space="preserve">      US$10,000.00 (diez mil dólares de los Estados Unidos de América) a los</w:t>
        <w:br/>
        <w:t xml:space="preserve">      representantes Vega y Sommer y de US$10,000.00 (diez  mil  dólares  de</w:t>
        <w:br/>
        <w:t xml:space="preserve">      los Estados Unidos de América) a los representantes De  Vita  y  Cueto</w:t>
        <w:br/>
        <w:t xml:space="preserve">      por concepto de gastos y costas. Asimismo el Tribunal nota que  en  el</w:t>
        <w:br/>
        <w:t xml:space="preserve">      escrito de solicitudes y argumentos,  los  Defensores  Interamericanos</w:t>
        <w:br/>
        <w:t xml:space="preserve">      solicitaron expresamente acogerse al  Fondo  de  Asistencia  Legal  de</w:t>
        <w:br/>
        <w:t xml:space="preserve">      Víctimas por los gastos erogados  con  motivo  de  la  defensa  en  el</w:t>
        <w:br/>
        <w:t xml:space="preserve">      presente caso. Asimismo, teniendo en  cuenta  lo  anterior,  la  Corte</w:t>
        <w:br/>
        <w:t xml:space="preserve">      estima procedente ordenar al Estado el reintegro de la cantidad de US$</w:t>
        <w:br/>
        <w:t xml:space="preserve">      630.00 (seiscientos  y  treinta  dólares  de  los  Estados  Unidos  de</w:t>
        <w:br/>
        <w:t xml:space="preserve">      América) a los Defensores Interamericanos Gustavo Luis Vitale y  Clara</w:t>
        <w:br/>
        <w:t xml:space="preserve">      Leite, con  motivo  de  los  gastos  internos  realizados  durante  la</w:t>
        <w:br/>
        <w:t xml:space="preserve">      tramitación del proceso  ante  la  Corte  Interamericana  de  Derechos</w:t>
        <w:br/>
        <w:t xml:space="preserve">      Humanos”.</w:t>
        <w:br/>
        <w:br/>
        <w:t>Tal como lo ha dispuesto anteriormente este Tribunal  en  su  jurisprudencia</w:t>
        <w:br/>
        <w:t>constante, una solicitud de interpretación de Sentencia no puede  utilizarse</w:t>
        <w:br/>
        <w:t>como medio de impugnación de la decisión cuya  interpretación  se  solicita.</w:t>
        <w:br/>
        <w:t>Dicha solicitud tiene como objeto, exclusivamente, determinar el sentido  de</w:t>
        <w:br/>
        <w:t>un fallo cuando alguna de las partes sostiene que el  texto  de  sus  puntos</w:t>
        <w:br/>
        <w:t>resolutivos o  de  sus  consideraciones  carece  de  claridad  o  precisión,</w:t>
        <w:br/>
        <w:t>siempre y cuando esas consideraciones incidan en dicha parte  resolutiva[4].</w:t>
        <w:br/>
        <w:t>Por lo tanto, no se puede pedir la modificación o anulación de la  Sentencia</w:t>
        <w:br/>
        <w:t>respectiva a través de una solicitud de interpretación[5].</w:t>
        <w:br/>
        <w:br/>
        <w:t>Asimismo, la Corte ha sostenido la improcedencia de utilizar  una  solicitud</w:t>
        <w:br/>
        <w:t>de interpretación para someter cuestiones de  hecho  y  de  derecho  que  ya</w:t>
        <w:br/>
        <w:t>fueron planteadas en su oportunidad procesal y sobre las cuales el  Tribunal</w:t>
        <w:br/>
        <w:t>ya adoptó una decisión[6], así como para pretender que  el  Tribunal  valore</w:t>
        <w:br/>
        <w:t>nuevamente  cuestiones  que  ya  han  sido  resueltas   por   éste   en   la</w:t>
        <w:br/>
        <w:t>Sentencia[7]. De igual manera, por esta vía tampoco se  puede  intentar  que</w:t>
        <w:br/>
        <w:t>se amplíe el alcance de una medida de reparación ordenada  oportunamente[8].</w:t>
        <w:br/>
        <w:br/>
        <w:br/>
        <w:t>El Tribunal nota que el  párrafo  298  de  la  Sentencia  se  refiere  a  la</w:t>
        <w:br/>
        <w:t>determinación de los montos de costas y gastos a ser pagados por el  Estado.</w:t>
        <w:br/>
        <w:t>La Corte mencionó que los representantes De Vita y Cueto no habían  remitido</w:t>
        <w:br/>
        <w:t>prueba de las erogaciones realizadas y les determinó una suma  razonable  de</w:t>
        <w:br/>
        <w:t>US$ 10,000.00 (diez mil dólares  de  los  Estados  Unidos  de  América).  La</w:t>
        <w:br/>
        <w:t>Sentencia es clara en que esta suma es  total  para  los  representantes  De</w:t>
        <w:br/>
        <w:t>Vita y Cueto, no pudiendo interpretarse que se trata de US$  10,000.00  para</w:t>
        <w:br/>
        <w:t>cada uno de ellos.</w:t>
        <w:br/>
        <w:br/>
        <w:t>En relación con la solicitud de los  Defensores  Interamericanos,  la  Corte</w:t>
        <w:br/>
        <w:t>hizo notar en el mismo párrafo 298 la solicitud de reembolso de  los  gastos</w:t>
        <w:br/>
        <w:t>erogados con motivo del caso. Al respecto, consideró oportuno únicamente  el</w:t>
        <w:br/>
        <w:t>reintegro de los gastos adicionales de lo que fue autorizado  por  el  Fondo</w:t>
        <w:br/>
        <w:t>de Asistencia Legal de Víctimas, incurridos en  el  trámite  ante  la  Corte</w:t>
        <w:br/>
        <w:t>Interamericana,  y  no  así  otros  gastos  supuestamente   realizados   con</w:t>
        <w:br/>
        <w:t>anterioridad a la representación letrada de los  Defensores  Interamericanos</w:t>
        <w:br/>
        <w:t>en el caso. Los Defensores Interamericanos, por  tanto,  pretenden  que  sea</w:t>
        <w:br/>
        <w:t>modificada la decisión tomada  por  la  Corte  sobre  la  determinación  del</w:t>
        <w:br/>
        <w:t>reintegro de costas y gastos en el párrafo 298.</w:t>
        <w:br/>
        <w:br/>
        <w:t>Teniendo en cuenta estas determinaciones y  precisiones  efectuadas  por  la</w:t>
        <w:br/>
        <w:t>Corte  en  el  párrafo  298,   las   solicitudes   de   interpretación   son</w:t>
        <w:br/>
        <w:t>improcedentes en tanto constituyen  reevaluaciones  de  cuestiones  que  han</w:t>
        <w:br/>
        <w:t>sido resueltas por el Tribunal, sin que exista  la  posibilidad  de  que  el</w:t>
        <w:br/>
        <w:t>fallo sea modificado o ampliado, de conformidad con los artículos 67  de  la</w:t>
        <w:br/>
        <w:t>Convención Americana y 31.3 y 68 del Reglamento del Tribunal.</w:t>
        <w:br/>
        <w:br/>
        <w:br/>
        <w:br/>
        <w:t xml:space="preserve">                                      V</w:t>
        <w:br/>
        <w:t xml:space="preserve">                             PUNTOS RESOLUTIVOS</w:t>
        <w:br/>
        <w:br/>
        <w:t>Por tanto,</w:t>
        <w:br/>
        <w:br/>
        <w:t>LA CORTE,</w:t>
        <w:br/>
        <w:br/>
        <w:t>de conformidad con el artículo 67 de la Convención Americana sobre  Derechos</w:t>
        <w:br/>
        <w:t>Humanos y los artículos 31.3 y 68 del Reglamento,</w:t>
        <w:br/>
        <w:br/>
        <w:t>DECIDE:</w:t>
        <w:br/>
        <w:br/>
        <w:t>Por unanimidad,</w:t>
        <w:br/>
        <w:br/>
        <w:t xml:space="preserve">   1. Rechazar por improcedentes las solicitudes  de  interpretación  de  la</w:t>
        <w:br/>
        <w:t xml:space="preserve">      Sentencia  de  Excepción  Preliminar,  Fondo,  Reparaciones  y  Costas</w:t>
        <w:br/>
        <w:t xml:space="preserve">      dictada en el caso Argüelles y otros Vs. Argentina,  interpuestas  por</w:t>
        <w:br/>
        <w:t xml:space="preserve">      los representantes de las víctimas Mauricio Cueto y Alberto De Vita, y</w:t>
        <w:br/>
        <w:t xml:space="preserve">      por los Defensores Interamericanos, por las razones señaladas  en  los</w:t>
        <w:br/>
        <w:t xml:space="preserve">      párrafos relevantes de la presente Sentencia.</w:t>
        <w:br/>
        <w:br/>
        <w:t xml:space="preserve">   2. Disponer que la Secretaría de la Corte notifique la presente Sentencia</w:t>
        <w:br/>
        <w:t xml:space="preserve">      al Estado de Argentina, a los representantes de las  víctimas,  a  los</w:t>
        <w:br/>
        <w:t xml:space="preserve">      Defensores Interamericanos, y a la Comisión Interamericana de Derechos</w:t>
        <w:br/>
        <w:t xml:space="preserve">      Humanos.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Sentencia de Interpretación de la Sentencia de Excepción Preliminar,  Fondo,</w:t>
        <w:br/>
        <w:t>Reparaciones y Costas.  Caso Arguelles y otros Vs. Argentina.</w:t>
        <w:br/>
        <w:br/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t>Roberto F. Caldas                                           Manuel E.</w:t>
        <w:br/>
        <w:t>Ventura Robles</w:t>
        <w:br/>
        <w:br/>
        <w:br/>
        <w:br/>
        <w:br/>
        <w:br/>
        <w:br/>
        <w:t>Eduardo Vio Grossi                                           Eduardo Ferrer</w:t>
        <w:br/>
        <w:t>Mac-Gregor Poisot</w:t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  Humberto Antonio</w:t>
        <w:br/>
        <w:t xml:space="preserve">                                       Sierra Porto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t>-----------------------</w:t>
        <w:br/>
        <w:t>[1]   Los jueces Diego García-Sayán y Alberto Pérez Pérez,  por  motivos  de</w:t>
        <w:br/>
        <w:t>fuerza mayor, no participaron en la deliberación y firma de la Sentencia  de</w:t>
        <w:br/>
        <w:t>fondo, reparaciones y costas en el presente caso, por lo cual,  conforme  al</w:t>
        <w:br/>
        <w:t>artículo 68.3 del  Reglamento  del  Tribunal,  tampoco  participaron  de  la</w:t>
        <w:br/>
        <w:t>deliberación y firma de la presente Sentencia.</w:t>
        <w:br/>
        <w:t>[2]   Los señores Alberto de Vita  y  Mauricio  Cueto  representaron  a  las</w:t>
        <w:br/>
        <w:t>siguientes víctimas: Enrique Pontecorvo; Ricardo  Candurra;  Aníbal  Machín,</w:t>
        <w:br/>
        <w:t>José Di Rosa y Carlos Arancibia.</w:t>
        <w:br/>
        <w:t>[3]   Los Defensores Interamericanos representaron las siguientes  víctimas:</w:t>
        <w:br/>
        <w:t>Gerardo  Félix  Giordano;  Nicolás  Tomasek;  Enrique  Jesús  Aracena;  José</w:t>
        <w:br/>
        <w:t>Arnaldo Mercau; Félix Oscar Morón; Miguel Oscar  Cardozo;  Luis  José  López</w:t>
        <w:br/>
        <w:t>Mattheus; Julio César Allendes; Horacio  Eugenio  Oscar  Muñoz,  Hugo  Oscar</w:t>
        <w:br/>
        <w:t>Argüelles y Ambrosio Marcial y sus derechohabientes.</w:t>
        <w:br/>
        <w:t>[4]   Cfr. Caso Loayza Tamayo Vs. Perú. Interpretación de  la  Sentencia  de</w:t>
        <w:br/>
        <w:t>Fondo. Resolución de la Corte Interamericana de Derechos  Humanos  de  8  de</w:t>
        <w:br/>
        <w:t>marzo de 1998. Serie C No. 47, párr. 16, y  Caso  de  la  Corte  Suprema  de</w:t>
        <w:br/>
        <w:t>Justicia (Quintana  Coello  y  otros)  Vs.  Ecuador.  Interpretación  de  la</w:t>
        <w:br/>
        <w:t>Sentencia de Excepción Preliminar, Fondo, Reparaciones y  Costas.  Sentencia</w:t>
        <w:br/>
        <w:t>de 21 de agosto de 2014. Serie C No. 280, párr. 17.</w:t>
        <w:br/>
        <w:t>[5]   Cfr. Caso Loayza Tamayo Vs. Perú. Interpretación de  la  Sentencia  de</w:t>
        <w:br/>
        <w:t>Fondo, párr. 16, y Caso de la Corte Suprema de Justicia (Quintana  Coello  y</w:t>
        <w:br/>
        <w:t>otros) Vs. Ecuador. Interpretación de la Sentencia de Excepción  Preliminar,</w:t>
        <w:br/>
        <w:t>Fondo, Reparaciones y Costas. Sentencia de 21 de agosto  de  2014.  Serie  C</w:t>
        <w:br/>
        <w:t>No. 280, párr. 17.</w:t>
        <w:br/>
        <w:t>[6]   Cfr. Caso Loayza Tamayo Vs. Perú. Interpretación de  la  Sentencia  de</w:t>
        <w:br/>
        <w:t>Reparaciones y Costas. Sentencia de 3 de junio de  1999.  Serie  C  No.  53,</w:t>
        <w:br/>
        <w:t>párr. 15, y  Caso de la Corte Suprema de Justicia (Quintana Coello y  otros)</w:t>
        <w:br/>
        <w:t>Vs. Ecuador. Interpretación de la Sentencia de Excepción Preliminar,  Fondo,</w:t>
        <w:br/>
        <w:t>Reparaciones y Costas. Sentencia de 21 de agosto de 2014. Serie C  No.  280,</w:t>
        <w:br/>
        <w:t>párr. 17.</w:t>
        <w:br/>
        <w:t>[7]   Cfr.  Caso  Salvador  Chiriboga  Vs.  Ecuador.  Interpretación  de  la</w:t>
        <w:br/>
        <w:t>Sentencia de Reparaciones y Costas. Sentencia  de  29  de  agosto  de  2011.</w:t>
        <w:br/>
        <w:t>Serie C No. 230, párr. 30, y Caso de la Corte Suprema de Justicia  (Quintana</w:t>
        <w:br/>
        <w:t>Coello y otros) Vs. Ecuador. Interpretación de  la  Sentencia  de  Excepción</w:t>
        <w:br/>
        <w:t>Preliminar, Fondo, Reparaciones y Costas.  Sentencia  de  21  de  agosto  de</w:t>
        <w:br/>
        <w:t>2014. Serie C No. 280, párr. 18.</w:t>
        <w:br/>
        <w:t>[8]   Cfr. Caso Escher y otros Vs. Brasil. Interpretación  de  la  Sentencia</w:t>
        <w:br/>
        <w:t>de Excepciones Preliminares, Fondo, Reparaciones y Costas. Sentencia  de  20</w:t>
        <w:br/>
        <w:t>de noviembre de 2009. Serie C No. 208, párr. 11, y Caso de la Corte  Suprema</w:t>
        <w:br/>
        <w:t>de Justicia (Quintana Coello y otros)  Vs.  Ecuador.  Interpretación  de  la</w:t>
        <w:br/>
        <w:t>Sentencia de Excepción Preliminar, Fondo, Reparaciones y  Costas.  Sentencia</w:t>
        <w:br/>
        <w:t>de 21 de agosto de 2014. Serie C No. 280, párr. 18.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