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t>CORTE INTERAMERICANA DE DERECHOS HUMANOS</w:t>
        <w:br/>
        <w:br/>
        <w:t>CASO GONZALES LLUY Y OTROS VS. ECUADOR*</w:t>
        <w:br/>
        <w:br/>
        <w:t>SENTENCIA DE 1 DE SEPTIEMBRE DE 2015</w:t>
        <w:br/>
        <w:br/>
        <w:t>(Excepciones Preliminares, Fondo, Reparaciones y Costas)</w:t>
        <w:br/>
        <w:br/>
        <w:br/>
        <w:br/>
        <w:t>En el caso Gonzales Lluy y otros,</w:t>
        <w:br/>
        <w:br/>
        <w:t>la Corte  Interamericana  de  Derechos  Humanos  (en  adelante  “la  Corte</w:t>
        <w:br/>
        <w:t>Interamericana”,  “la  Corte”  o  “este  Tribunal”),  integrada  por   los</w:t>
        <w:br/>
        <w:t>siguientes Jueces:</w:t>
        <w:br/>
        <w:br/>
        <w:t>Humberto Antonio Sierra Porto, Presidente;</w:t>
        <w:br/>
        <w:t>Roberto F. Caldas, Vicepresidente;</w:t>
        <w:br/>
        <w:t>Manuel E. Ventura Robles, Juez;</w:t>
        <w:br/>
        <w:t>Diego García-Sayán, Juez;</w:t>
        <w:br/>
        <w:t>Alberto Pérez Pérez, Juez;</w:t>
        <w:br/>
        <w:t>Eduardo Vio Grossi, Juez, y</w:t>
        <w:br/>
        <w:t>Eduardo Ferrer Mac-Gregor Poisot, Juez;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63.1 de  la  Convención  Americana</w:t>
        <w:br/>
        <w:t>sobre Derechos Humanos (en  adelante,  “la  Convención  Americana”  o  “la</w:t>
        <w:br/>
        <w:t>Convención”) y con los artículos 31, 32, 42, 65 y 67 del Reglamento de  la</w:t>
        <w:br/>
        <w:t>Corte (en adelante “el Reglamento” o “Reglamento de la Corte”),  dicta  la</w:t>
        <w:br/>
        <w:t>presente Sentencia que se estructura en el siguiente orden:</w:t>
        <w:br/>
        <w:br/>
        <w:t xml:space="preserve">                             TABLA DE CONTENIDO</w:t>
        <w:br/>
        <w:br/>
        <w:t>I. INTRODUCCIÓN DE LA CAUSA Y OBJETO DE LA CONTROVERSIA  4</w:t>
        <w:br/>
        <w:t>II PROCEDIMIENTO ANTE LA CORTE    5</w:t>
        <w:br/>
        <w:t>III COMPETENCIA  8</w:t>
        <w:br/>
        <w:t>IV EXCEPCIÓN PRELIMINAR      8</w:t>
        <w:br/>
        <w:t>A.    Alegada falta de agotamiento de recursos internos  9</w:t>
        <w:br/>
        <w:t>V CONSIDERACIONES PREVIAS    12</w:t>
        <w:br/>
        <w:t>A.    Sobre el marco fáctico del presente caso  y  presuntas  violaciones  a</w:t>
        <w:br/>
        <w:t>derechos fuera de las establecidas por la Comisión en sus informes  12</w:t>
        <w:br/>
        <w:t>B.    Sobre la determinación de las presuntas víctimas en el  presente  caso</w:t>
        <w:br/>
        <w:t>14</w:t>
        <w:br/>
        <w:t>VI ALEGADO RECONOCIMIENTO DE UN HECHO   14</w:t>
        <w:br/>
        <w:t>VII PRUEBA  16</w:t>
        <w:br/>
        <w:t>A.    Prueba documental, testimonial y pericial    16</w:t>
        <w:br/>
        <w:t>B.    Admisión de la prueba  17</w:t>
        <w:br/>
        <w:t>B.1) Admisión de la prueba documental   17</w:t>
        <w:br/>
        <w:t>B.2) Admisión de la prueba testimonial y pericial  18</w:t>
        <w:br/>
        <w:t>B.2.1)      Observaciones presentadas por  el  Estado  respecto  de  ciertas</w:t>
        <w:br/>
        <w:t>declaraciones rendidas ante fedatario público      18</w:t>
        <w:br/>
        <w:t>C.    Valoración de la prueba     19</w:t>
        <w:br/>
        <w:t>VIII HECHOS 20</w:t>
        <w:br/>
        <w:t>A.    La regulación de la Cruz Roja y los bancos de  sangre  en  el  Ecuador</w:t>
        <w:br/>
        <w:t>21</w:t>
        <w:br/>
        <w:t>B.    La situación de salud de Talía, su hospitalización  y  la  transfusión</w:t>
        <w:br/>
        <w:t>de sangre del 22 de junio de 1998 23</w:t>
        <w:br/>
        <w:t>C.    El contagio de VIH a Talía  24</w:t>
        <w:br/>
        <w:t>D.    La acción penal  25</w:t>
        <w:br/>
        <w:t>E.    La acción civil  32</w:t>
        <w:br/>
        <w:t>E.1 Amparo de Pobreza  33</w:t>
        <w:br/>
        <w:t>E.2 Demanda por daños y perjuicios      33</w:t>
        <w:br/>
        <w:t>F.    Las afectaciones en la educación de Talía derivadas  de  su  situación</w:t>
        <w:br/>
        <w:t>de persona con VIH     36</w:t>
        <w:br/>
        <w:t>G.     Hechos  relacionados  con  la  asistencia  sanitaria  y   tratamiento</w:t>
        <w:br/>
        <w:t>recibido por Talía Gonzales Lluy  38</w:t>
        <w:br/>
        <w:t>H.    Situación de pobreza enfrentada por la Familia Lluy     42</w:t>
        <w:br/>
        <w:t>IX DERECHO A LA VIDA Y DERECHO A LA INTEGRIDAD PERSONAL  43</w:t>
        <w:br/>
        <w:t>A.    Derecho a la vida, derecho a la integridad personal  y  derecho  a  la</w:t>
        <w:br/>
        <w:t>salud en cuanto a la obligación  de  regular,  fiscalizar  y  supervisar  la</w:t>
        <w:br/>
        <w:t>prestación de servicios en centros de salud privados     50</w:t>
        <w:br/>
        <w:t>B.     Disponibilidad,  accesibilidad,  aceptabilidad  y   calidad   en   la</w:t>
        <w:br/>
        <w:t>asistencia sanitaria en el marco del derecho a la vida  y  a  la  integridad</w:t>
        <w:br/>
        <w:t>personal    56</w:t>
        <w:br/>
        <w:t>C.    Derecho a la integridad personal de Teresa Lluy e Iván Lluy   61</w:t>
        <w:br/>
        <w:t>X DERECHO A LA EDUCACIÓN     65</w:t>
        <w:br/>
        <w:t>A. Alcances del derecho a la educación relevantes para el presente caso:  el</w:t>
        <w:br/>
        <w:t>derecho  a  la  educación  de   las   personas   con   condiciones   médicas</w:t>
        <w:br/>
        <w:t>potencialmente generadoras de discapacidad como el VIH/SIDA   67</w:t>
        <w:br/>
        <w:t>B. Derecho a la permanencia en el sistema educativo, el  derecho  a  no  ser</w:t>
        <w:br/>
        <w:t>discriminado y la adaptabilidad en relación con el derecho  a  la  educación</w:t>
        <w:br/>
        <w:t>71</w:t>
        <w:br/>
        <w:t>B.1. La diferencia de trato basada en la condición médica de  Talía  al  ser</w:t>
        <w:br/>
        <w:t>retirada de la escuela 72</w:t>
        <w:br/>
        <w:t>B.2. La condición de ser persona con VIH como  categoría  protegida  por  el</w:t>
        <w:br/>
        <w:t>artículo 1.1 de la Convención Americana 74</w:t>
        <w:br/>
        <w:t>B.3. Inversión de la carga de la prueba, idoneidad y estricta necesidad  del</w:t>
        <w:br/>
        <w:t>medio a través del cual se hizo la diferenciación de trato    78</w:t>
        <w:br/>
        <w:t>B.4. Barreras actitudinales asociadas al estigma que sufrieron  Talía  y  su</w:t>
        <w:br/>
        <w:t>familia con posterioridad a la expulsión de la escuela   83</w:t>
        <w:br/>
        <w:t>B.5. Alcance de la discriminación ocurrida en el presente caso      86</w:t>
        <w:br/>
        <w:t>XI GARANTÍAS JUDICIALES Y PROTECCIÓN JUDICIAL      88</w:t>
        <w:br/>
        <w:t>A)    Alegadas vulneraciones al artículo 8  de  la  Convención  –  garantías</w:t>
        <w:br/>
        <w:t>judiciales  88</w:t>
        <w:br/>
        <w:t>A.1. Derecho a ser oído, debida diligencia y plazo razonable en  el  proceso</w:t>
        <w:br/>
        <w:t>penal 88</w:t>
        <w:br/>
        <w:t>A.2. Debida diligencia y plazo razonable en el proceso civil  94</w:t>
        <w:br/>
        <w:t>A.3. Alegado impacto de la  prejudicialidad  en  el  acceso  a  la  justicia</w:t>
        <w:br/>
        <w:t>94</w:t>
        <w:br/>
        <w:t>B)    Alegada vulneración al artículo  25  de  la  Convención  –  protección</w:t>
        <w:br/>
        <w:t>judicial    96</w:t>
        <w:br/>
        <w:t>B.1. Acción de amparo constitucional    96</w:t>
        <w:br/>
        <w:t>B.2. Proceso penal y civil   97</w:t>
        <w:br/>
        <w:t>XII REPARACIONES 98</w:t>
        <w:br/>
        <w:t>A. Parte Lesionada     99</w:t>
        <w:br/>
        <w:t>B. Obligación de investigar los hechos e identificar, juzgar y, en su  caso,</w:t>
        <w:br/>
        <w:t>sancionar a los responsables 99</w:t>
        <w:br/>
        <w:t>C. Medidas de restitución, rehabilitación, satisfacción y  garantías  de  no</w:t>
        <w:br/>
        <w:t>repetición  100</w:t>
        <w:br/>
        <w:t>C.1)  Medidas de restitución 100</w:t>
        <w:br/>
        <w:t>C.2)  Medidas de rehabilitación   100</w:t>
        <w:br/>
        <w:t>C.3)  Medidas de satisfacción     103</w:t>
        <w:br/>
        <w:t>C.3.1) Publicación de la Sentencia      103</w:t>
        <w:br/>
        <w:t>C.3.2) Acto  público  de  reconocimiento  de  responsabilidad  internacional</w:t>
        <w:br/>
        <w:t>103</w:t>
        <w:br/>
        <w:t>C.3.3) Beca de estudio 104</w:t>
        <w:br/>
        <w:t>C.3.4) Entrega de una vivienda    105</w:t>
        <w:br/>
        <w:t>C.4)  Garantías de no repetición  105</w:t>
        <w:br/>
        <w:t>C.4.1) Garantías de no repetición en materia de salud    105</w:t>
        <w:br/>
        <w:t>C.4.2)  Garantías  de  no  repetición  en  materia   de   educación   y   no</w:t>
        <w:br/>
        <w:t>discriminación   109</w:t>
        <w:br/>
        <w:t>D. Indemnización compensatoria    112</w:t>
        <w:br/>
        <w:t>D.1)  Daño material    112</w:t>
        <w:br/>
        <w:t>D.2)  Daño inmaterial  116</w:t>
        <w:br/>
        <w:t>E. Costas y gastos     118</w:t>
        <w:br/>
        <w:t>F. Reintegro de los gastos al Fondo de Asistencia Legal de Víctimas 119</w:t>
        <w:br/>
        <w:t>G. Modalidad de cumplimiento de los pagos ordenados      119</w:t>
        <w:br/>
        <w:t>XIII PUNTOS RESOLUTIVOS      120</w:t>
        <w:br/>
        <w:br/>
        <w:br/>
        <w:t>I.</w:t>
        <w:br/>
        <w:t>INTRODUCCIÓN DE LA CAUSA Y OBJETO DE LA CONTROVERSIA</w:t>
        <w:br/>
        <w:br/>
        <w:br/>
        <w:t>El caso sometido a la Corte.– El 18 de marzo de  2014,  de  conformidad  con</w:t>
        <w:br/>
        <w:t>los artículos 51 y 61 de la  Convención  Americana  y  el  artículo  35  del</w:t>
        <w:br/>
        <w:t>Reglamento de la Corte, la Comisión Interamericana de Derechos  Humanos  (en</w:t>
        <w:br/>
        <w:t>adelante “la Comisión Interamericana” o “la Comisión”) sometió  a  la  Corte</w:t>
        <w:br/>
        <w:t>el  caso  TGGL  y  familia  contra  Ecuador  (en  adelante  “el  Estado”   o</w:t>
        <w:br/>
        <w:t>“Ecuador”).  El  caso  se  relaciona   con   la   presunta   responsabilidad</w:t>
        <w:br/>
        <w:t>internacional del Estado por la afectación a  la  vida  digna  e  integridad</w:t>
        <w:br/>
        <w:t>personal de Talía  Gabriela  Gonzales  Lluy  (en  adelante  “Talía”),  “como</w:t>
        <w:br/>
        <w:t>consecuencia del contagio con VIH tras una transfusión de sangre que  se  le</w:t>
        <w:br/>
        <w:t>realizó […] cuando tenía tres años de edad”. De acuerdo con la Comisión,  el</w:t>
        <w:br/>
        <w:t>Estado no cumplió adecuadamente el deber de  garantía,  específicamente  “su</w:t>
        <w:br/>
        <w:t>rol de supervisión y fiscalización frente a entidades privadas  que  prestan</w:t>
        <w:br/>
        <w:t>servicios de  salud”.  Asimismo,  la  Comisión  concluyó  que  la  falta  de</w:t>
        <w:br/>
        <w:t>respuesta adecuada por parte del Estado, principalmente  la  omisión  en  la</w:t>
        <w:br/>
        <w:t>prestación  de  atención  médica  especializada,   continuó   afectando   el</w:t>
        <w:br/>
        <w:t>ejercicio de los derechos  de  la  presunta  víctima;  y  consideró  que  la</w:t>
        <w:br/>
        <w:t>investigación y proceso penal  interno  no  cumplieron  con  los  estándares</w:t>
        <w:br/>
        <w:t>mínimos de debida diligencia para ofrecer un recurso efectivo a la  presunta</w:t>
        <w:br/>
        <w:t>víctima y sus familiares, Teresa e Iván Lluy,  incumpliendo  además  con  el</w:t>
        <w:br/>
        <w:t>deber de especial protección frente a Talía Gonzales Lluy en su  calidad  de</w:t>
        <w:br/>
        <w:t>niña.</w:t>
        <w:br/>
        <w:br/>
        <w:t>Trámite  ante  la  Comisión.  –  El  trámite  del  caso  ante  la   Comisión</w:t>
        <w:br/>
        <w:t>Interamericana fue el siguiente:</w:t>
        <w:br/>
        <w:br/>
        <w:t xml:space="preserve">   a) Petición. – El 26 de junio de 2006 la Comisión Interamericana  recibió</w:t>
        <w:br/>
        <w:t xml:space="preserve">      la petición inicial presentada por Iván Patricio Durazno Campoverde.</w:t>
        <w:br/>
        <w:br/>
        <w:t xml:space="preserve">   b) Informe de admisibilidad. – El 7 de agosto de 2009 la Comisión  aprobó</w:t>
        <w:br/>
        <w:t xml:space="preserve">      el Informe  de  Admisibilidad  No.  89/09  (en  adelante  “Informe  de</w:t>
        <w:br/>
        <w:t xml:space="preserve">      Admisibilidad”).</w:t>
        <w:br/>
        <w:br/>
        <w:t xml:space="preserve">   c) Informe de Fondo. - El 5 de noviembre de 2013 la  Comisión  emitió  el</w:t>
        <w:br/>
        <w:t xml:space="preserve">      Informe de Fondo No. 102/13, de conformidad con el artículo 50  de  la</w:t>
        <w:br/>
        <w:t xml:space="preserve">      Convención Americana (en adelante “Informe de Fondo”).</w:t>
        <w:br/>
        <w:br/>
        <w:t xml:space="preserve">           i)  Conclusiones.-  La  Comisión  concluyó  que  el  Estado  era</w:t>
        <w:br/>
        <w:t xml:space="preserve">              responsable por la violación de los derechos a la vida digna,</w:t>
        <w:br/>
        <w:t xml:space="preserve">              integridad  personal,  garantías  judiciales   y   protección</w:t>
        <w:br/>
        <w:t xml:space="preserve">              judicial, establecidos en los artículos 4, 5, 8 y  25  de  la</w:t>
        <w:br/>
        <w:t xml:space="preserve">              Convención Americana, en relación  con  el  artículo  1.1  de</w:t>
        <w:br/>
        <w:t xml:space="preserve">              dicho instrumento internacional, así como  por  la  violación</w:t>
        <w:br/>
        <w:t xml:space="preserve">              transversal del  artículo  19  de  la  Convención.  Asimismo,</w:t>
        <w:br/>
        <w:t xml:space="preserve">              concluyó que el Estado es responsable por la violación de los</w:t>
        <w:br/>
        <w:t xml:space="preserve">              derechos a la integridad psíquica y moral,  a  las  garantías</w:t>
        <w:br/>
        <w:t xml:space="preserve">              judiciales  y  protección  judicial,  establecidos   en   los</w:t>
        <w:br/>
        <w:t xml:space="preserve">              artículos 5, 8 y 25 de la Convención  Americana  en  relación</w:t>
        <w:br/>
        <w:t xml:space="preserve">              con las obligaciones establecidas en los  artículos  1.1  del</w:t>
        <w:br/>
        <w:t xml:space="preserve">              mismo instrumento en perjuicio de la madre y  el  hermano  de</w:t>
        <w:br/>
        <w:t xml:space="preserve">              Talía.</w:t>
        <w:br/>
        <w:br/>
        <w:br/>
        <w:t xml:space="preserve">          ii) Recomendaciones.– En consecuencia, la Comisión hizo al Estado</w:t>
        <w:br/>
        <w:t xml:space="preserve">              una serie de recomendaciones:</w:t>
        <w:br/>
        <w:t xml:space="preserve">              1. [r]eparar integralmente a  T[alia]  y  su  madre  por  las</w:t>
        <w:br/>
        <w:t xml:space="preserve">              violaciones  de  derechos  humanos  declaradas   en   [dicho]</w:t>
        <w:br/>
        <w:t xml:space="preserve">              informe, incluyendo tanto el aspecto material como moral.</w:t>
        <w:br/>
        <w:t xml:space="preserve">              2. [p]roveer, en consulta con T[alia], de manera inmediata  y</w:t>
        <w:br/>
        <w:t xml:space="preserve">              permanente el tratamiento médico especializado que requiere.</w:t>
        <w:br/>
        <w:t xml:space="preserve">              3. [p]roveer, en consulta con T[alia], la educación primaria,</w:t>
        <w:br/>
        <w:t xml:space="preserve">              superior y universitaria, de manera gratuita.</w:t>
        <w:br/>
        <w:t xml:space="preserve">              4. [r]ealizar una investigación completa y  efectiva  de  las</w:t>
        <w:br/>
        <w:t xml:space="preserve">              violaciones de derechos humanos  declaradas  en  el  presente</w:t>
        <w:br/>
        <w:t xml:space="preserve">              informe.</w:t>
        <w:br/>
        <w:t xml:space="preserve">              5. [d]isponer mecanismos de no repetición que incluyan: i) la</w:t>
        <w:br/>
        <w:t xml:space="preserve">              implementación  de   mecanismos   serios   y   efectivos   de</w:t>
        <w:br/>
        <w:t xml:space="preserve">              supervisión y fiscalización periódica  del  funcionamiento  y</w:t>
        <w:br/>
        <w:t xml:space="preserve">              sistemas de registro de los Bancos de Sangre que operan en el</w:t>
        <w:br/>
        <w:t xml:space="preserve">              Ecuador,  incluyendo  los  privados  y   públicos;   ii)   la</w:t>
        <w:br/>
        <w:t xml:space="preserve">              implementación  de   mecanismos   serios   y   efectivos   de</w:t>
        <w:br/>
        <w:t xml:space="preserve">              supervisión  y  fiscalización  periódica  de  los  hospitales</w:t>
        <w:br/>
        <w:t xml:space="preserve">              públicos  y  privados,  a  fin  de   asegurar   que   en   su</w:t>
        <w:br/>
        <w:t xml:space="preserve">              funcionamiento cuenten con las salvaguardas  necesarias  para</w:t>
        <w:br/>
        <w:t xml:space="preserve">              verificar la seguridad de los  productos  sanguíneos  que  se</w:t>
        <w:br/>
        <w:t xml:space="preserve">              utilizan   para   actividades   transfuslonales;   iii)    la</w:t>
        <w:br/>
        <w:t xml:space="preserve">              implementación de programas de capacitación  al  personal  de</w:t>
        <w:br/>
        <w:t xml:space="preserve">              los Bancos de Sangre que operan  en  el  Ecuador,  a  fin  de</w:t>
        <w:br/>
        <w:t xml:space="preserve">              asegurar que ejerzan sus labores de manera compatible con los</w:t>
        <w:br/>
        <w:t xml:space="preserve">              estándares  técnicos   mínimos   de   seguridad   reconocidos</w:t>
        <w:br/>
        <w:t xml:space="preserve">              internacionalmente; y  iv)  la  provisión  de  tratamiento  y</w:t>
        <w:br/>
        <w:t xml:space="preserve">              atención en salud gratuita a los niños y niñas con VIH que no</w:t>
        <w:br/>
        <w:t xml:space="preserve">              cuenten con recursos para ello.</w:t>
        <w:br/>
        <w:br/>
        <w:t xml:space="preserve">   d) Notificación al Estado. – El Informe de Fondo fue notificado al Estado</w:t>
        <w:br/>
        <w:t xml:space="preserve">      mediante comunicación de 18 de noviembre de 2013,  en  la  que  se  le</w:t>
        <w:br/>
        <w:t xml:space="preserve">      otorgaba un plazo de dos meses para informar sobre el cumplimiento  de</w:t>
        <w:br/>
        <w:t xml:space="preserve">      las recomendaciones. El Estado no presentó observaciones al Informe de</w:t>
        <w:br/>
        <w:t xml:space="preserve">      Fondo previo al sometimiento del caso a la Corte.</w:t>
        <w:br/>
        <w:br/>
        <w:t>Sometimiento a la Corte. - El 18 de marzo de 2014 la Comisión sometió  a  la</w:t>
        <w:br/>
        <w:t>jurisdicción de la Corte, “por la necesidad de obtención  de  justicia”,  la</w:t>
        <w:br/>
        <w:t>totalidad de los hechos y violaciones de derechos humanos  descritos  en  el</w:t>
        <w:br/>
        <w:t>Informe de Fondo[1].</w:t>
        <w:br/>
        <w:br/>
        <w:t>Solicitudes de la Comisión Interamericana. – Con base  en  lo  anterior,  la</w:t>
        <w:br/>
        <w:t>Comisión Interamericana solicitó a este Tribunal que concluyera y  declarará</w:t>
        <w:br/>
        <w:t>la responsabilidad internacional del Ecuador por las violaciones  contenidas</w:t>
        <w:br/>
        <w:t>en el Informe de Fondo  y  que  se  ordenara  al  Estado,  como  medidas  de</w:t>
        <w:br/>
        <w:t>reparación, las recomendaciones incluidas en dicho informe (supra párr. 2).</w:t>
        <w:br/>
        <w:br/>
        <w:br/>
        <w:t>II</w:t>
        <w:br/>
        <w:t>PROCEDIMIENTO ANTE LA CORTE</w:t>
        <w:br/>
        <w:br/>
        <w:br/>
        <w:t>Notificación al Estado y a los representantes. – El  sometimiento  del  caso</w:t>
        <w:br/>
        <w:t>por parte de la  Comisión  fue  notificado  al  Estado  y  a  las  presuntas</w:t>
        <w:br/>
        <w:t>víctimas el 17 de abril y 7 de mayo de 2014 respectivamente.</w:t>
        <w:br/>
        <w:br/>
        <w:t>Escrito de solicitudes, argumentos y pruebas. – El 10 de junio de  2014  los</w:t>
        <w:br/>
        <w:t>representantes   de   las   presuntas   víctimas[2]   (en   adelante    “los</w:t>
        <w:br/>
        <w:t>representantes”)  presentaron  su  escrito  de  solicitudes,  argumentos   y</w:t>
        <w:br/>
        <w:t>pruebas  (en  adelante  “escrito  de  solicitudes  y  argumentos”),  en  los</w:t>
        <w:br/>
        <w:t>términos de los artículos 25 y 40 del Reglamento de la Corte. Asimismo,  las</w:t>
        <w:br/>
        <w:t>presuntas víctimas solicitaron acogerse al  Fondo  de  Asistencia  Legal  de</w:t>
        <w:br/>
        <w:t>Víctimas de la Corte Interamericana (en adelante “Fondo de Asistencia”).</w:t>
        <w:br/>
        <w:br/>
        <w:t>Escrito de contestación. – El 2 de septiembre de  2014  el  Estado  presentó</w:t>
        <w:br/>
        <w:t>ante la Corte su  escrito  de  interposición  de  excepciones  preliminares,</w:t>
        <w:br/>
        <w:t>contestación al sometimiento del caso  y  de  observaciones  al  escrito  de</w:t>
        <w:br/>
        <w:t>solicitudes y argumentos (en  adelante  “escrito  de  contestación”)[3].  El</w:t>
        <w:br/>
        <w:t>Estado interpuso dos excepciones preliminares y se opuso a  las  violaciones</w:t>
        <w:br/>
        <w:t>alegadas.</w:t>
        <w:br/>
        <w:br/>
        <w:t>Fondo de Asistencia. – Mediante Resolución  de  7  de  octubre  de  2014  el</w:t>
        <w:br/>
        <w:t>Presidente de este Tribunal declaró procedente la solicitud interpuesta  por</w:t>
        <w:br/>
        <w:t>las presuntas víctimas, a través de sus  representantes,  para  acogerse  al</w:t>
        <w:br/>
        <w:t>Fondo de Asistencia, y  aprobó  que  se  otorgara  la  asistencia  económica</w:t>
        <w:br/>
        <w:t>necesaria para la presentación de un máximo  de  tres  declaraciones  y  dos</w:t>
        <w:br/>
        <w:t>peritajes, y la comparecencia de uno de los representantes en  la  audiencia</w:t>
        <w:br/>
        <w:t>pública.</w:t>
        <w:br/>
        <w:br/>
        <w:t>Observaciones a  las  excepciones  preliminares.  -  Mediante  los  escritos</w:t>
        <w:br/>
        <w:t>recibidos el 2 y 11 de octubre de 2014, los  representantes  y  la  Comisión</w:t>
        <w:br/>
        <w:t>presentaron sus observaciones a las  excepciones  preliminares  interpuestas</w:t>
        <w:br/>
        <w:t>por el Estado y solicitaron que fueran rechazadas.</w:t>
        <w:br/>
        <w:br/>
        <w:t>Audiencia pública. – Mediante Resolución  de  12  de  enero  de  2015[4]  el</w:t>
        <w:br/>
        <w:t>Presidente convocó a las partes a una audiencia  pública  para  recibir  sus</w:t>
        <w:br/>
        <w:t>alegatos y observaciones finales orales sobre las  excepciones  preliminares</w:t>
        <w:br/>
        <w:t>y eventuales  fondo,  reparaciones  y  costas,  así  como  para  recibir  la</w:t>
        <w:br/>
        <w:t>declaración de una presunta víctima propuesta por los representantes y  tres</w:t>
        <w:br/>
        <w:t>peritos propuestos por la  Comisión,  los  representantes[5]  y  el  Estado,</w:t>
        <w:br/>
        <w:t>respectivamente. Asimismo, mediante dicha Resolución se ordenó  recibir  las</w:t>
        <w:br/>
        <w:t>declaraciones rendidas ante fedatario público (afidávit)  de  dos  presuntas</w:t>
        <w:br/>
        <w:t>víctimas propuestas por los representantes, dos testigos propuestos por  los</w:t>
        <w:br/>
        <w:t>representantes,  dos  peritos  propuestos  por  la  Comisión,  ocho  peritos</w:t>
        <w:br/>
        <w:t>propuestos por los representantes y  dieciséis  peritos  propuestos  por  el</w:t>
        <w:br/>
        <w:t>Estado. La audiencia pública[6] se celebró los días 20  y  21  de  abril  de</w:t>
        <w:br/>
        <w:t>2015 durante el 52 Período  Extraordinario  de  Sesiones  en  la  ciudad  de</w:t>
        <w:br/>
        <w:t>Cartagena, Colombia. En el curso de dicha audiencia los Jueces de  la  Corte</w:t>
        <w:br/>
        <w:t>solicitaron determinada información y documentación adicional a las  partes,</w:t>
        <w:br/>
        <w:t>para que fueran remitidas junto con sus  alegatos  y  observaciones  finales</w:t>
        <w:br/>
        <w:t>escritas, respectivamente.</w:t>
        <w:br/>
        <w:br/>
        <w:t>Amici curiae. – Este Tribunal recibió  17  escritos  en  calidad  de  amicus</w:t>
        <w:br/>
        <w:t>curiae presentados por: 1) José Paul Heraldo Gallardo Echeverría; 2)  Ximena</w:t>
        <w:br/>
        <w:t>Casas Isaza, Viviana Bohórquez Monsalve, Ariadna Tovar  Martínez,  Ma.  José</w:t>
        <w:br/>
        <w:t>Barajas  de  la  Vega  y  Susana  Chávez  Alvarado,  en  representación  del</w:t>
        <w:br/>
        <w:t>Consorcio Latinoamericano Contra el Aborto Inseguro (CLACAI)[7];  3)  Centro</w:t>
        <w:br/>
        <w:t>de Estudios de Derecho, Justicia y Sociedad  (Dejusticia)[8];  4)  Fundación</w:t>
        <w:br/>
        <w:t>Regional de Asesoría en Derechos  Humanos  (INREDH)[9];  5)  Judith  Salgado</w:t>
        <w:br/>
        <w:t>Álvarez[10];  6)  Programa  de  Acción  por  la  Igualdad  y  la   Inclusión</w:t>
        <w:br/>
        <w:t>Social[11]; 7) María Dolores Miño Buitrón, Directora Jurídica del  Colectivo</w:t>
        <w:br/>
        <w:t>de Abogados Human Rights for  All;  8)  NaTalía  Torres  Zuñiga;  9)  Víctor</w:t>
        <w:br/>
        <w:t>Abramovich y Julieta Rossi[12]; 10)  Mónica  Arango  Olaya,  Directora  para</w:t>
        <w:br/>
        <w:t>América Latina y el Caribe del Centro de Derechos Reproductivos  y  Catalina</w:t>
        <w:br/>
        <w:t>Martínez Coral, Gerente Regional de dicho Centro; 11)  Clínica  Jurídica  de</w:t>
        <w:br/>
        <w:t>Interés Público de la Facultad de Derecho de la Universidad de  Palermo[13];</w:t>
        <w:br/>
        <w:t>12) ELEMENTA Consultoría en Derechos[14]; 13) Laura  Pautassi,  Laura  Elisa</w:t>
        <w:br/>
        <w:t>Pérez y Flavia Piovesan[15]; 14) Asociación  Civil  por  la  Igualdad  y  la</w:t>
        <w:br/>
        <w:t>Justicia  (ACIJ)  firma  Dalile  Antunez,  Co-Directora  de  la   mencionada</w:t>
        <w:br/>
        <w:t>Asociación; 15) Algunos Docentes de la Pontificia Universidad  Católica  del</w:t>
        <w:br/>
        <w:t>Ecuador sede Ambato,  Escuela  de  Jurisprudencia[16];  16)  Defensoría  del</w:t>
        <w:br/>
        <w:t>Pueblo de Ecuador[17], y 17) Siro L. De  Martini,  Director  del  Centro  de</w:t>
        <w:br/>
        <w:t>Investigación en Sistema Interamericano de Protección  de  Derechos  Humanos</w:t>
        <w:br/>
        <w:t>de la  Facultad  de  Derechos  de  la  Pontificia  Universidad  Católica  de</w:t>
        <w:br/>
        <w:t>Argentina (UCA) y  Ludovic  Hennebel,  Director  de  la  Clinique  de  Droit</w:t>
        <w:br/>
        <w:t>International  Des  Droits  de  L’  Homme   de   Aix-Marseille   Université,</w:t>
        <w:br/>
        <w:t>France[18].</w:t>
        <w:br/>
        <w:br/>
        <w:t>Alegatos y observaciones finales escritas. – El 20 y 21 de mayo de 2015  las</w:t>
        <w:br/>
        <w:t>partes y la  Comisión  presentaron  sus  alegatos  y  observaciones  finales</w:t>
        <w:br/>
        <w:t>escritas,  respectivamente.  El  Estado  y  los  representantes   remitieron</w:t>
        <w:br/>
        <w:t>diversa documentación junto con sus escritos. El 1 y 5 de junio de 2015  las</w:t>
        <w:br/>
        <w:t>partes y la Comisión, respectivamente, presentaron sus observaciones  a  los</w:t>
        <w:br/>
        <w:t>anexos a los alegatos finales escritos presentados por las partes, así  como</w:t>
        <w:br/>
        <w:t>a las respuestas a las preguntas formuladas por los jueces de  la  Corte  en</w:t>
        <w:br/>
        <w:t>la audiencia pública.</w:t>
        <w:br/>
        <w:br/>
        <w:t>Prueba superviniente y prueba para mejor resolver. – El 14 de julio de  2015</w:t>
        <w:br/>
        <w:t>el Presidente de  la  Corte  solicitó  al  Estado  como  prueba  para  mejor</w:t>
        <w:br/>
        <w:t>resolver  un  “Manual  para  Bancos,  Depósitos  de   Sangre   y   Servicios</w:t>
        <w:br/>
        <w:t>Transfusionales”, mencionado en un dictamen  emitido  por  la  Fiscalía  que</w:t>
        <w:br/>
        <w:t>intervino en el  proceso  penal  del  presente  caso.  Dicho  documento  fue</w:t>
        <w:br/>
        <w:t>remitido el 20 de julio de 2015.</w:t>
        <w:br/>
        <w:br/>
        <w:t>Solicitud  de  medidas  provisionales.  –  El  16  de  julio  de  2015   los</w:t>
        <w:br/>
        <w:t>representantes solicitaron a la Corte que ordenara al Estado la adopción  de</w:t>
        <w:br/>
        <w:t>medidas provisionales para asegurar la atención inmediata en salud de  Talía</w:t>
        <w:br/>
        <w:t>Gonzales Lluy, incluyendo la posibilidad de acudir a  servicios  privados  y</w:t>
        <w:br/>
        <w:t>de contar con la medicina que se adecúe para  su  salud,  debido  a  que  su</w:t>
        <w:br/>
        <w:t>condición de salud se habría agravado. El 23 de julio de 2015  el  Estado  y</w:t>
        <w:br/>
        <w:t>la Comisión presentaron sus observaciones. El 28 de julio y el 5, 12,  27  y</w:t>
        <w:br/>
        <w:t>31 de agosto  de  2015  las  partes  presentaron  información  adicional  en</w:t>
        <w:br/>
        <w:t>relación con esta solicitud de medidas provisionales.</w:t>
        <w:br/>
        <w:br/>
        <w:t>Deliberación del presente caso. – La Corte  inició  la  deliberación  de  la</w:t>
        <w:br/>
        <w:t>presente Sentencia el 26 de agosto de 2015.</w:t>
        <w:br/>
        <w:br/>
        <w:br/>
        <w:t>III</w:t>
        <w:br/>
        <w:t>COMPETENCIA</w:t>
        <w:br/>
        <w:br/>
        <w:br/>
        <w:t>La Corte es competente para conocer el presente caso, en  los  términos  del</w:t>
        <w:br/>
        <w:t>artículo 62.3 de la Convención, en razón de que el Ecuador es  Estado  Parte</w:t>
        <w:br/>
        <w:t>en la Convención Americana desde el 28 de diciembre de 1977 y  reconoció  la</w:t>
        <w:br/>
        <w:t>jurisdicción contenciosa de la Corte el 24 de julio de 1984.</w:t>
        <w:br/>
        <w:br/>
        <w:br/>
        <w:t>IV</w:t>
        <w:br/>
        <w:t>EXCEPCIÓN PRELIMINAR</w:t>
        <w:br/>
        <w:br/>
        <w:br/>
        <w:t>En su escrito de  contestación,  el  Ecuador  presentó  dos  argumentos  que</w:t>
        <w:br/>
        <w:t>denominó como excepciones  preliminares,  con  relación  a:  i)  la  alegada</w:t>
        <w:br/>
        <w:t>incompetencia parcial del  Tribunal  para  tratar  hechos  ajenos  al  marco</w:t>
        <w:br/>
        <w:t>fáctico y presuntas violaciones a derechos fuera de las establecidas por  la</w:t>
        <w:br/>
        <w:t>Comisión en sus informes y ii) la alegada falta de agotamiento  de  recursos</w:t>
        <w:br/>
        <w:t>internos.</w:t>
        <w:br/>
        <w:br/>
        <w:t>La Corte  considerará  como  excepciones  preliminares  únicamente  aquellos</w:t>
        <w:br/>
        <w:t>argumentos  que  tienen  o  podrían  tener  exclusivamente  tal   naturaleza</w:t>
        <w:br/>
        <w:t>atendiendo  a  su  contenido  y  finalidad,  es  decir,  que  de  resolverse</w:t>
        <w:br/>
        <w:t>favorablemente  impedirían  la   continuación   del   procedimiento   o   el</w:t>
        <w:br/>
        <w:t>pronunciamiento sobre el fondo[19]. Ha sido criterio reiterado de  la  Corte</w:t>
        <w:br/>
        <w:t>que  por  medio  de  una  excepción  preliminar  se   presentan   objeciones</w:t>
        <w:br/>
        <w:t>relacionadas con la admisibilidad de un caso o la competencia  de  la  Corte</w:t>
        <w:br/>
        <w:t>para conocer de un determinado caso o de alguno de sus aspectos, ya  sea  en</w:t>
        <w:br/>
        <w:t>razón  de   la   persona,   materia,   tiempo   o   lugar[20].   Por   ello,</w:t>
        <w:br/>
        <w:t>independientemente de que el Estado defina un planteamiento como  “excepción</w:t>
        <w:br/>
        <w:t>preliminar”, si  al  analizar  estos  planteamientos  se  tornase  necesario</w:t>
        <w:br/>
        <w:t>entrar a considerar previamente el fondo de un caso,  los  mismos  perderían</w:t>
        <w:br/>
        <w:t>su carácter preliminar y  no  podrían  ser  analizados  como  una  excepción</w:t>
        <w:br/>
        <w:t>preliminar[21].</w:t>
        <w:br/>
        <w:br/>
        <w:t>Bajo  los  criterios  expuestos,  la  Corte  considera  que   el   argumento</w:t>
        <w:br/>
        <w:t>presentado  como  excepción   preliminar   relacionado   con   la   supuesta</w:t>
        <w:br/>
        <w:t>incompetencia parcial de este Tribunal para tratar derechos ajenos al  marco</w:t>
        <w:br/>
        <w:t>fáctico  del  caso  y  presuntas  violaciones  a  derechos  fuera   de   las</w:t>
        <w:br/>
        <w:t>establecidas por la Comisión en  sus  informes,  no  se  relaciona  con  una</w:t>
        <w:br/>
        <w:t>cuestión de admisibilidad o competencia de este Tribunal[22]. Por lo  tanto,</w:t>
        <w:br/>
        <w:t>estos aspectos serán analizados en el capítulo  siguiente,  relativo  a  las</w:t>
        <w:br/>
        <w:t>consideraciones previas[23] al referirse al marco fáctico del caso.</w:t>
        <w:br/>
        <w:br/>
        <w:t>Sin perjuicio de lo anterior, este  Tribunal  resolverá  a  continuación  la</w:t>
        <w:br/>
        <w:t>excepción  preliminar  de  falta  de  agotamiento   de   recursos   internos</w:t>
        <w:br/>
        <w:t>interpuesta por el Estado ecuatoriano.</w:t>
        <w:br/>
        <w:br/>
        <w:t xml:space="preserve">   A. Alegada falta de agotamiento de recursos internos</w:t>
        <w:br/>
        <w:br/>
        <w:t xml:space="preserve"> Alegatos del Estado y observaciones de la Comisión y los representantes</w:t>
        <w:br/>
        <w:br/>
        <w:t>El Estado adujo que la Comisión “en su informe de admisibilidad  recogió  la</w:t>
        <w:br/>
        <w:t>posición [d]el Estado,  con  relación  a  la  petición  presentada  por  las</w:t>
        <w:br/>
        <w:t>presuntas víctimas [en  lo  referente]  a  la  falta  de  intentar  recursos</w:t>
        <w:br/>
        <w:t>internos como la recusación de magistrados,  la  acción  indemnizatoria  por</w:t>
        <w:br/>
        <w:t>daño moral y el recurso de casación, en materia penal”.  El  Estado  resaltó</w:t>
        <w:br/>
        <w:t>además que la peticionaria  cometió  dos  errores  dentro  de  los  litigios</w:t>
        <w:br/>
        <w:t>internos que no son imputables al Estado, a saber, no apelar  la  acción  de</w:t>
        <w:br/>
        <w:t>amparo constitucional y no ejercer el derecho de presentarse como  acusadora</w:t>
        <w:br/>
        <w:t>particular.</w:t>
        <w:br/>
        <w:br/>
        <w:t>El Estado alegó además que si bien estuvo  prevista  la  prejudicialidad  de</w:t>
        <w:br/>
        <w:t>materia penal a civil, esta no se registra para  demandar  por  daño  moral,</w:t>
        <w:br/>
        <w:t>para lo cual existe una acción que no fue intentada  y  cuya  finalidad  era</w:t>
        <w:br/>
        <w:t>entregar una reparación a causa de un daño inmaterial, como ha sido  alegado</w:t>
        <w:br/>
        <w:t>ahora frente a la Corte. De igual manera,  argumentó  que  la  decisión  del</w:t>
        <w:br/>
        <w:t>trámite N.012-2000 de amparo constitucional, que no le fue favorable  a  las</w:t>
        <w:br/>
        <w:t>presuntas víctimas, no fue apelada pese a la regla de  doble  instancia  que</w:t>
        <w:br/>
        <w:t>mantiene el Estado ecuatoriano, inacción procesal por la cual  la  sentencia</w:t>
        <w:br/>
        <w:t>quedó en firme. De acuerdo con el Estado,  el  amparo  constitucional  tenía</w:t>
        <w:br/>
        <w:t>desde  su  diseño  la   posibilidad   de   cesar,   suspender   o   remediar</w:t>
        <w:br/>
        <w:t>inmediatamente la vulneración de  derechos  constitucionales,  pudiendo  ser</w:t>
        <w:br/>
        <w:t>procesada en cualquiera de sus dos instancias, es decir, “la apelación  como</w:t>
        <w:br/>
        <w:t>recurso,  era  idóneo  para  prevenir  cualquier  presunta  vulneración  del</w:t>
        <w:br/>
        <w:t>derecho, pero no fue interpuesta”.</w:t>
        <w:br/>
        <w:br/>
        <w:t>Además, el Estado argumentó que  “exist[ió]  inactividad  de  las  presuntas</w:t>
        <w:br/>
        <w:t>víctimas en el trámite de la causa penal, al punto que,  no  presentaron  su</w:t>
        <w:br/>
        <w:t>acusación particular en el tiempo  pertinente,  situación  que  t[uvo]  como</w:t>
        <w:br/>
        <w:t>efecto procesal el no ser considerado como parte de una  causa,   [lo  cual]</w:t>
        <w:br/>
        <w:t>no es imputable al Estado”. Finalmente, alegó que “de no aceptar  [la  Corte</w:t>
        <w:br/>
        <w:t>la excepción preliminar de  falta  de]  agotamiento  de  recursos  internos,</w:t>
        <w:br/>
        <w:t>deberá  aceptar  como  excepciones  parciales,  y  no   pronunciarse   sobre</w:t>
        <w:br/>
        <w:t>presuntas violaciones a los artículos 2, 24 y 26 de la Convención  o  a  las</w:t>
        <w:br/>
        <w:t>normas del Protocolo [Adicional a la  Convención  Americana  sobre  Derechos</w:t>
        <w:br/>
        <w:t>Humanos en  materia  de  Derechos  Económicos,  Sociales  y  Culturales  (en</w:t>
        <w:br/>
        <w:t>adelante “Protocolo de San Salvador”)] ya que se vulneraría el derecho a  la</w:t>
        <w:br/>
        <w:t>defensa del Estado al no haber sido tratados tales derechos en las fases  de</w:t>
        <w:br/>
        <w:t>admisibilidad o fondo ante la Comisión.</w:t>
        <w:br/>
        <w:br/>
        <w:t>En el Informe de Fondo, la Comisión afirmó que en la etapa de  admisibilidad</w:t>
        <w:br/>
        <w:t>el Estado alegó que no se agotaron los recursos internos,  aspecto  que  fue</w:t>
        <w:br/>
        <w:t>analizado en el  Informe  de  Admisibilidad.  En  sus  observaciones  a  las</w:t>
        <w:br/>
        <w:t>excepciones  preliminares,  la   Comisión   indicó   que   “los   argumentos</w:t>
        <w:br/>
        <w:t>presentados ante la Comisión no son coincidentes en su  integridad  con  los</w:t>
        <w:br/>
        <w:t>argumentos presentados ante la Corte”.  Particularmente, señaló  que  en  la</w:t>
        <w:br/>
        <w:t>etapa de admisibilidad el Estado no hizo referencia a  la  apelación  en  el</w:t>
        <w:br/>
        <w:t>marco de la acción de amparo constitucional por lo que dicho  componente  de</w:t>
        <w:br/>
        <w:t>la excepción preliminar debía ser desechada por extemporánea.</w:t>
        <w:br/>
        <w:br/>
        <w:t>Igualmente, la Comisión recordó que mediante  su  informe  de  admisibilidad</w:t>
        <w:br/>
        <w:t>89/09 se pronunció sobre los requisitos de admisibilidad establecidos en  la</w:t>
        <w:br/>
        <w:t>Convención Americana. Allí la  Comisión  recapituló  que  los  peticionarios</w:t>
        <w:br/>
        <w:t>pusieron en conocimiento del Estado el contagio  con  VIH  en  perjuicio  de</w:t>
        <w:br/>
        <w:t>Talía a través de la acción penal y la  civil  por  daños  y  perjuicios,  a</w:t>
        <w:br/>
        <w:t>través de  los  cuales  el  Estado  tenía  la  oportunidad  de  remediar  la</w:t>
        <w:br/>
        <w:t>situación, lo que no ocurrió en el  presente  caso.  Por  el  contrario,  la</w:t>
        <w:br/>
        <w:t>acción penal  prescribió  sin  que  se  lograra  establecer  responsabilidad</w:t>
        <w:br/>
        <w:t>alguna, mientras que el procedimiento en el marco de  la  acción  civil  fue</w:t>
        <w:br/>
        <w:t>declarado nulo debido a la prescripción penal. En este sentido, la  Comisión</w:t>
        <w:br/>
        <w:t>consideró que los recursos internos fueron agotados por ambas vías.</w:t>
        <w:br/>
        <w:br/>
        <w:t>Los representantes afirmaron que el Estado “exige agotar vías  que  hubiesen</w:t>
        <w:br/>
        <w:t>retardado los juicios o vías que no fueron creadas  para  proteger  derechos</w:t>
        <w:br/>
        <w:t>fundamentales [y que] son inadecuadas”. De acuerdo  con  los  representantes</w:t>
        <w:br/>
        <w:t>“la acción adecuada y que estaba al alcance de las personas  era  el  amparo</w:t>
        <w:br/>
        <w:t>constitucional y la acción penal  que  tenía  reparación  civil  si  es  que</w:t>
        <w:br/>
        <w:t>hubiese sido efectiva, y que fueron  agotadas”.  Finalmente,  señalaron  que</w:t>
        <w:br/>
        <w:t>“las acciones previstas por el sistema jurídico ecuatoriano son  simplemente</w:t>
        <w:br/>
        <w:t>ineficaces y las sugeridas por el Estado son inadecuadas”.</w:t>
        <w:br/>
        <w:br/>
        <w:t xml:space="preserve">   Consideraciones de la Corte</w:t>
        <w:br/>
        <w:br/>
        <w:t>El artículo 46.1.a) de la Convención Americana dispone que  para  determinar</w:t>
        <w:br/>
        <w:t>la admisibilidad de una petición o comunicación presentada ante la  Comisión</w:t>
        <w:br/>
        <w:t>Interamericana, de conformidad con los artículos 44 o 45 de  la  Convención,</w:t>
        <w:br/>
        <w:t>es necesario  que  se  hayan  interpuesto  y  agotado  los  recursos  de  la</w:t>
        <w:br/>
        <w:t>jurisdicción interna, conforme a los principios  del  Derecho  Internacional</w:t>
        <w:br/>
        <w:t>generalmente reconocidos. En este sentido, la Corte  ha  sostenido  que  una</w:t>
        <w:br/>
        <w:t>objeción al ejercicio de su jurisdicción basada  en  la  supuesta  falta  de</w:t>
        <w:br/>
        <w:t>agotamiento de los recursos internos  debe  ser  presentada  en  el  momento</w:t>
        <w:br/>
        <w:t>procesal oportuno, esto es, durante el procedimiento de  admisibilidad  ante</w:t>
        <w:br/>
        <w:t>la Comisión[24].</w:t>
        <w:br/>
        <w:br/>
        <w:t>Por tanto, el Estado debe precisar claramente ante la  Comisión  durante  la</w:t>
        <w:br/>
        <w:t>referida etapa del trámite del caso, los recursos que, a  su  criterio,  aún</w:t>
        <w:br/>
        <w:t>no se agotaron. Lo anterior se encuentra relacionado  con  la  necesidad  de</w:t>
        <w:br/>
        <w:t>salvaguardar el principio de igualdad procesal entre  las  partes  que  debe</w:t>
        <w:br/>
        <w:t>regir todo el procedimiento ante el sistema interamericano.  Como  la  Corte</w:t>
        <w:br/>
        <w:t>ha establecido de manera reiterada, no es tarea de este Tribunal, ni  de  la</w:t>
        <w:br/>
        <w:t>Comisión,  identificar  ex  officio  cuáles  son   los   recursos   internos</w:t>
        <w:br/>
        <w:t>pendientes de agotamiento,  en  razón  de  que  no  compete  a  los  órganos</w:t>
        <w:br/>
        <w:t>internacionales subsanar la falta de precisión de los alegatos  del  Estado.</w:t>
        <w:br/>
        <w:t>Asimismo, los  argumentos  que  dan  contenido  a  la  excepción  preliminar</w:t>
        <w:br/>
        <w:t>interpuesta  por  el  Estado  ante  la  Comisión   durante   la   etapa   de</w:t>
        <w:br/>
        <w:t>admisibilidad deben corresponder a aquellos esgrimidos ante la Corte[25].</w:t>
        <w:br/>
        <w:br/>
        <w:t>Al respecto, es posible advertir que la excepción planteada fue  interpuesta</w:t>
        <w:br/>
        <w:t>durante la etapa de admisibilidad ante la Comisión.  En  dicha  oportunidad,</w:t>
        <w:br/>
        <w:t>el Estado alegó que los peticionarios realizaron la acusación particular  en</w:t>
        <w:br/>
        <w:t>el proceso penal fuera de término, no presentaron un recurso de  casación  o</w:t>
        <w:br/>
        <w:t>una nueva acción  civil  respecto  del  proceso  civil  que  fue  objeto  de</w:t>
        <w:br/>
        <w:t>nulidad, no hicieron uso del recurso  de  recusación  contra  los  jueces  o</w:t>
        <w:br/>
        <w:t>magistrados que conocían la causa ni de la  acción  de  daños  y  perjuicios</w:t>
        <w:br/>
        <w:t>contra los mismos, de la acción indemnizatoria  por  daño  moral  contra  el</w:t>
        <w:br/>
        <w:t>Estado, ni hicieron uso del recurso de casación en el proceso penal.</w:t>
        <w:br/>
        <w:br/>
        <w:t>Por otra parte, dentro del procedimiento  ante  la  Corte  el  Estado  alegó</w:t>
        <w:br/>
        <w:t>además  que  los   peticionarios   no   apelaron   la   acción   de   amparo</w:t>
        <w:br/>
        <w:t>constitucional. En este sentido, la Corte reitera que  el  momento  procesal</w:t>
        <w:br/>
        <w:t>oportuno para específicar los recursos que el Estado  alega  se  encontraban</w:t>
        <w:br/>
        <w:t>pendientes de agotamiento era dentro del  procedimiento  ante  la  Comisión.</w:t>
        <w:br/>
        <w:t>Por ello, las manifestaciones realizadas  por  el  Estado  ante  esta  Corte</w:t>
        <w:br/>
        <w:t>respecto de los recursos internos en el proceso  del  amparo  constitucional</w:t>
        <w:br/>
        <w:t>resultan extemporáneas.</w:t>
        <w:br/>
        <w:br/>
        <w:t>Respecto de los  demás  recursos  alegados  por  el  Estado,  este  Tribunal</w:t>
        <w:br/>
        <w:t>recuerda que es preciso que el  Estado  no  sólo  especifique  los  recursos</w:t>
        <w:br/>
        <w:t>internos que aún no se han agotado, sino que debe  demostrar  que  estos  se</w:t>
        <w:br/>
        <w:t>encontraban disponibles  y  eran  adecuados,  idóneos  y  efectivos[26].  En</w:t>
        <w:br/>
        <w:t>relación a los recursos de recusación de jueces y  magistrados,  y  daños  y</w:t>
        <w:br/>
        <w:t>perjuicios contra los mismos;  y la accion de casación, como  se  encontraba</w:t>
        <w:br/>
        <w:t>regulada en la normativa penal y civil ecuatoriana,  la  Corte  estima  que,</w:t>
        <w:br/>
        <w:t>por su naturaleza, en el caso concreto no resultan  adecuados  ni  efectivos</w:t>
        <w:br/>
        <w:t>para la determinación de responsabilidad por  los  hechos  que  rodearon  el</w:t>
        <w:br/>
        <w:t>contagio de Talía con el virus del VIH, ni para  determinar  una  reparación</w:t>
        <w:br/>
        <w:t>adecuada.</w:t>
        <w:br/>
        <w:br/>
        <w:t>En cuanto a la acción indemnizatoria por daño moral en materia civil, tal  y</w:t>
        <w:br/>
        <w:t>como fue señalado por la Comisión  en  el  Informe  de  Admisibilidad,  este</w:t>
        <w:br/>
        <w:t>Tribunal destaca que  la  misma  no  resultaba  adecuada  para  obtener  una</w:t>
        <w:br/>
        <w:t>indemnización por la totalidad de los daños  ocasionados  a  Talía  Gonzales</w:t>
        <w:br/>
        <w:t>Lluy. Finalmente, respecto de la acusación particular en  materia  penal  la</w:t>
        <w:br/>
        <w:t>Corte nota que la acusación particular no constituía, en el  presente  caso,</w:t>
        <w:br/>
        <w:t>un recurso que las presuntas víctimas debieran agotar, en tanto la  conducta</w:t>
        <w:br/>
        <w:t>investigada en el proceso penal se encontraba tipificada en el Código  Penal</w:t>
        <w:br/>
        <w:t>ecuatoriano como un delito de acción pública perseguible de oficio, y en  el</w:t>
        <w:br/>
        <w:t>caso concreto los peticionarios  pusieron  en  conocimiento  del  Estado  el</w:t>
        <w:br/>
        <w:t>contagio de Talía Gonzales Lluy a través de la acción penal.</w:t>
        <w:br/>
        <w:br/>
        <w:t>En consecuencia, la Corte desestima la  excepción  preliminar  de  falta  de</w:t>
        <w:br/>
        <w:t>agotamiento de los recursos internos planteada por el Estado.</w:t>
        <w:br/>
        <w:br/>
        <w:br/>
        <w:t>V</w:t>
        <w:br/>
        <w:t>CONSIDERACIONES PREVIAS</w:t>
        <w:br/>
        <w:br/>
        <w:br/>
        <w:br/>
        <w:t xml:space="preserve">      Sobre el marco fáctico del presente caso  y  presuntas  violaciones  a</w:t>
        <w:br/>
        <w:t xml:space="preserve">      derechos fuera de las establecidas por la Comisión en sus informes</w:t>
        <w:br/>
        <w:br/>
        <w:br/>
        <w:br/>
        <w:t>Argumentos de la Comisión y las partes</w:t>
        <w:br/>
        <w:br/>
        <w:t>El Estado  alegó  que,  en  virtud  de  los  artículos  40.2.b  y  44.1  del</w:t>
        <w:br/>
        <w:t>Reglamento de la Corte, se deduce que  “los  casos  de  conocimiento  de  la</w:t>
        <w:br/>
        <w:t>Corte  están  constituidos  exclusivamente  por  los   hechos   y   derechos</w:t>
        <w:br/>
        <w:t>discutidos ante la [Comisión] y recogidos en sus informes”.  De  este  modo,</w:t>
        <w:br/>
        <w:t>argumentó que “nada se dijo sobre presuntas  violaciones  específicas  a  la</w:t>
        <w:br/>
        <w:t>igualdad  ante  la  ley,  falta  de  normativa  interna  o  […]   sobre   la</w:t>
        <w:br/>
        <w:t>progresividad de los derechos económicos, sociales y culturales”,  sino  que</w:t>
        <w:br/>
        <w:t>únicamente se hizo mención a situaciones presuntamente  contextuales.  Según</w:t>
        <w:br/>
        <w:t>el Ecuador, es por ello que la Comisión no declaró en su  Informe  de  Fondo</w:t>
        <w:br/>
        <w:t>la supuesta violación  de  los  artículos  2,  24  y  26  de  la  Convención</w:t>
        <w:br/>
        <w:t>Americana, y consideró que  sería  improcedente  un  análisis  de  fondo  de</w:t>
        <w:br/>
        <w:t>derechos correlativos “que no fueron parte del marco fáctico del origen  del</w:t>
        <w:br/>
        <w:t>caso”. En virtud de  ello,  solicitó  que  la  Corte  no  conozca  sobre  la</w:t>
        <w:br/>
        <w:t>presunta violación de dichos artículos, fundamentándose en la  imposibilidad</w:t>
        <w:br/>
        <w:t>de cambiar la base fáctica y  los  derechos  discutidos  en  el  Informe  de</w:t>
        <w:br/>
        <w:t>Fondo.</w:t>
        <w:br/>
        <w:br/>
        <w:t>Los  representantes  consideraron  que  el  derecho  a  la   educación   fue</w:t>
        <w:br/>
        <w:t>claramente mencionado en los párrafos  43 y 188 del Informe  de  Fondo,  así</w:t>
        <w:br/>
        <w:t>como en el análisis del artículo 19, donde consta que a la presunta  víctima</w:t>
        <w:br/>
        <w:t>se le impidió estudiar en la escuela primaria debido a  su  enfermedad.  Del</w:t>
        <w:br/>
        <w:t>mismo modo, resaltaron que dentro del expediente ante la Comisión,  remitido</w:t>
        <w:br/>
        <w:t>a la Corte junto con el sometimiento del caso,  se  presentó  la  acción  de</w:t>
        <w:br/>
        <w:t>amparo constitucional  que  presuntamente  negó  la  tutela  efectiva  a  la</w:t>
        <w:br/>
        <w:t>educación de Talía Gonzales Lluy.  Asimismo,  señalaron  que  las  presuntas</w:t>
        <w:br/>
        <w:t>víctimas gozan de  plena  autonomía  para  invocar  la  violación  de  otros</w:t>
        <w:br/>
        <w:t>derechos distintos a los comprendidos en el Informe de  Fondo,  siempre  que</w:t>
        <w:br/>
        <w:t>se atengan a los hechos  contenidos  en  el  mismo;  por  lo  que  la  nueva</w:t>
        <w:br/>
        <w:t>alegación de derechos presuntamente violados “se encuadra en los  requisitos</w:t>
        <w:br/>
        <w:t>establecidos por la Corte […] y, por tanto, deberían ser admitidos”.</w:t>
        <w:br/>
        <w:br/>
        <w:t>La Comisión resaltó que los argumentos del  Estado  tienen  el  carácter  de</w:t>
        <w:br/>
        <w:t>controversia de fondo, por lo que no constituyen, como tales,  una  objeción</w:t>
        <w:br/>
        <w:t>de la  admisibilidad  del  caso  o  de  la  competencia  del  Tribunal  para</w:t>
        <w:br/>
        <w:t>conocerlo que tuviese el carácter de excepción preliminar.  Señaló  que  los</w:t>
        <w:br/>
        <w:t>hechos referentes al  derecho  a  la  educación  y  a  la  discriminación  y</w:t>
        <w:br/>
        <w:t>denegación de justicia se encuentran comprendidos dentro del  marco  fáctico</w:t>
        <w:br/>
        <w:t>del Informe de Fondo, donde se  hace  referencia  explícita  a  la  presunta</w:t>
        <w:br/>
        <w:t>discriminación  sufrida  por  Talía  Gonzales  Lluy  en  diversos  aspectos,</w:t>
        <w:br/>
        <w:t>incluyendo el educativo. Asimismo, notó que  el  Estado  “no  dio  respuesta</w:t>
        <w:br/>
        <w:t>alguna durante toda la etapa de fondo” del caso ante  la  Comisión,  lo  que</w:t>
        <w:br/>
        <w:t>constituyó “un factor limitante” para la  construcción  del  marco  fáctico.</w:t>
        <w:br/>
        <w:t>Además,  resaltó  que  ante  la  Corte  existe  información  más  detallada,</w:t>
        <w:br/>
        <w:t>existiendo los elementos necesarios  para  pronunciarse  sobre  la  eventual</w:t>
        <w:br/>
        <w:t>violación del derecho a la educación.</w:t>
        <w:br/>
        <w:br/>
        <w:t xml:space="preserve">   Consideraciones de la Corte</w:t>
        <w:br/>
        <w:br/>
        <w:t>Este Tribunal reitera que el marco fáctico del  proceso  ante  la  Corte  se</w:t>
        <w:br/>
        <w:t>encuentra constituido por los hechos  contenidos  en  el  Informe  de  Fondo</w:t>
        <w:br/>
        <w:t>sometido a su consideración.  En  consecuencia,  no  es  admisible  que  las</w:t>
        <w:br/>
        <w:t>partes aleguen nuevos hechos distintos a los contenidos  en  dicho  informe,</w:t>
        <w:br/>
        <w:t>sin  perjuicio  de  exponer  aquellos  que  permitan  explicar,  aclarar   o</w:t>
        <w:br/>
        <w:t>desestimar los  que  hayan  sido  mencionados  en  el  mismo  y  hayan  sido</w:t>
        <w:br/>
        <w:t>sometidos a consideración de la Corte[27]. La  excepción  a  este  principio</w:t>
        <w:br/>
        <w:t>son  los  hechos  calificados  como  supervinientes  o   cuando   se   tenga</w:t>
        <w:br/>
        <w:t>conocimiento de  hechos  o  acceso  a  las  pruebas  sobre  los  mismos  con</w:t>
        <w:br/>
        <w:t>posterioridad,  siempre  que  se  encuentren  ligados  a  los   hechos   del</w:t>
        <w:br/>
        <w:t>proceso[28]. Asimismo, las presuntas víctimas y  sus  representantes  pueden</w:t>
        <w:br/>
        <w:t>invocar la violación de otros derechos distintos a los  comprendidos  en  el</w:t>
        <w:br/>
        <w:t>Informe de Fondo, siempre y cuando se atengan a  los  hechos  contenidos  en</w:t>
        <w:br/>
        <w:t>dicho documento, en tanto son las presuntas víctimas las titulares de  todos</w:t>
        <w:br/>
        <w:t>los derechos consagrados en  la  Convención.  Corresponde  a  este  Tribunal</w:t>
        <w:br/>
        <w:t>decidir en cada caso acerca de  la  procedencia  de  alegatos  relativos  al</w:t>
        <w:br/>
        <w:t>marco fáctico en resguardo del equilibrio procesal de las partes[29].</w:t>
        <w:br/>
        <w:br/>
        <w:t>Si bien los hechos del Informe de Fondo  sometidos  a  consideración  de  la</w:t>
        <w:br/>
        <w:t>Corte constituyen el marco fáctico del proceso ante este Tribunal[30],  éste</w:t>
        <w:br/>
        <w:t>no se encuentra limitado por la valoración probatoria y la  calificación  de</w:t>
        <w:br/>
        <w:t>los hechos que realiza la Comisión en el ejercicio de sus  atribuciones[31].</w:t>
        <w:br/>
        <w:t>Corresponde a la Corte en cada caso realizar su propia determinación de  los</w:t>
        <w:br/>
        <w:t>hechos del caso, valorando la prueba ofrecida por la Comisión y  las  partes</w:t>
        <w:br/>
        <w:t>y la solicitada para mejor resolver, respetando el  derecho  de  defensa  de</w:t>
        <w:br/>
        <w:t>las partes y el objeto de la litis[32]. En este sentido, la  Corte  constata</w:t>
        <w:br/>
        <w:t>que la Comisión hizo referencia expresa, en el acápite  de  hechos  probados</w:t>
        <w:br/>
        <w:t>del Informe de Fondo, a la presunta discriminación y a que  a  Talía  se  le</w:t>
        <w:br/>
        <w:t>habría impedido estudiar en la escuela primaria debido a su enfermedad;  así</w:t>
        <w:br/>
        <w:t>como  a  la  supuesta  discriminación   que   habría   sufrido   su   núcleo</w:t>
        <w:br/>
        <w:t>familiar[33]. Asimismo,  en  las  consideraciones  hechas  por  la  Comisión</w:t>
        <w:br/>
        <w:t>respecto al derecho a la integridad personal y a la vida digna de Talía  con</w:t>
        <w:br/>
        <w:t>posterioridad al contagio,  la  Comisión  manifestó  que  su  situación  “ha</w:t>
        <w:br/>
        <w:t>generado una grave afectación  que  se  extiende  […]  al  ejercicio  de  su</w:t>
        <w:br/>
        <w:t>derecho a la educación” y la expuso a “una situación  de  discriminación  en</w:t>
        <w:br/>
        <w:t>diversos niveles”. Finalmente, en las recomendaciones del Informe de  Fondo,</w:t>
        <w:br/>
        <w:t>recomendó proveer, en consulta con Talía, “la educación  primaria,  superior</w:t>
        <w:br/>
        <w:t>y universitaria”[34].</w:t>
        <w:br/>
        <w:br/>
        <w:t>En virtud de ello, la Corte nota que los argumentos  de  los  representantes</w:t>
        <w:br/>
        <w:t>respecto de los  artículos  2,  24  y  26  de  la  Convención  Americana  se</w:t>
        <w:br/>
        <w:t>encuentran alegados con base en hechos que forman parte  del  marco  fáctico</w:t>
        <w:br/>
        <w:t>presentado por la Comisión, y atañen a consideraciones de  derecho  y  no  a</w:t>
        <w:br/>
        <w:t>nuevos hechos, por lo que no se trata de una  cuestión  de  admisibilidad  o</w:t>
        <w:br/>
        <w:t>competencia del Tribunal que deba ser resuelta de forma preliminar[35].</w:t>
        <w:br/>
        <w:br/>
        <w:br/>
        <w:t xml:space="preserve">      Sobre la determinación de las presuntas víctimas en el presente caso</w:t>
        <w:br/>
        <w:br/>
        <w:br/>
        <w:br/>
        <w:t>Argumentos de la Comisión y las partes</w:t>
        <w:br/>
        <w:br/>
        <w:t>El Estado manifestó que la Comisión, en las recomendaciones  hechas  en  sus</w:t>
        <w:br/>
        <w:t>Informes de Admisibilidad y Fondo, estableció que el  Estado  debía  reparar</w:t>
        <w:br/>
        <w:t>únicamente a Talía Gonzales Lluy  y  a  su  madre.  Según  el  Estado,  esto</w:t>
        <w:br/>
        <w:t>implica  que  “no  se  pueda  introducir  a  personas  no   señaladas   como</w:t>
        <w:br/>
        <w:t>beneficiarias de una eventual reparación”. En consecuencia solicitó  que  la</w:t>
        <w:br/>
        <w:t>Corte rechace  “las  inclusiones  realizadas  por  las  presuntas  víctimas”</w:t>
        <w:br/>
        <w:t>posteriormente.</w:t>
        <w:br/>
        <w:br/>
        <w:t>Los representantes  alegaron  que  Iván  Lluy  fue  señalado  como  presunta</w:t>
        <w:br/>
        <w:t>víctima en los párrafos 3, 220 y 221 del Informe de Fondo, siendo  “evidente</w:t>
        <w:br/>
        <w:t>el espíritu del Informe” de incluír  a  Iván  Lluy  como  presunta  víctima.</w:t>
        <w:br/>
        <w:t>Además, argumentaron que la Corte  ha  sido  clara  en  manifestar  que  las</w:t>
        <w:br/>
        <w:t>víctimas pueden ser también los familiares, porque sufren las  consecuencias</w:t>
        <w:br/>
        <w:t>de las violaciones a los derechos, y consideraron que  Iván  Lluy  tuvo  que</w:t>
        <w:br/>
        <w:t>convertirse en trabajador infantil para ayudar a su  madre  y  conseguir  lo</w:t>
        <w:br/>
        <w:t>necesario para las necesidades de  su  hermana  y  que  también  sufrió  las</w:t>
        <w:br/>
        <w:t>consecuencias  de  la  discriminación  y  daños   emocionales.   Finalmente,</w:t>
        <w:br/>
        <w:t>señalaron que las presuntas víctimas tienen  el  derecho  de  presentar  sus</w:t>
        <w:br/>
        <w:t>solicitudes, argumentos y pruebas de forma autónoma de  conformidad  con  el</w:t>
        <w:br/>
        <w:t>artículo 23 del Reglamento de la Corte, y que en ejercicio de esa  autonomía</w:t>
        <w:br/>
        <w:t>consideraron que todos  los  miembros  de  la  familia  Lluy  son  presuntas</w:t>
        <w:br/>
        <w:t>víctimas en este caso.</w:t>
        <w:br/>
        <w:br/>
        <w:t>La Comisión hizo referencia a los párrafos 196, 220 y  221  del  Informe  de</w:t>
        <w:br/>
        <w:t>Fondo, en los cuales se hizo mención expresa a que  las  presuntas  víctimas</w:t>
        <w:br/>
        <w:t>del presente caso  son  Talía  Gonzales  Lluy,  Teresa  Lluy  e  Iván  Lluy.</w:t>
        <w:br/>
        <w:t>Asimismo, en el transcurso de la audiencia pública, la Comisión resaltó  que</w:t>
        <w:br/>
        <w:t>la no inclusión de Iván Lluy dentro de las recomendaciones  del  Informe  de</w:t>
        <w:br/>
        <w:t>Fondo se debió a un “error material”.</w:t>
        <w:br/>
        <w:br/>
        <w:t xml:space="preserve">   Consideraciones de la Corte</w:t>
        <w:br/>
        <w:br/>
        <w:t>Respecto de la solicitud del Estado de excluir  a  Iván  Lluy  como  posible</w:t>
        <w:br/>
        <w:t>beneficiario de una eventual reparación por no haber sido mencionado  dentro</w:t>
        <w:br/>
        <w:t>del acápite de recomendaciones del Informe de Fondo, la Corte  nota  que  la</w:t>
        <w:br/>
        <w:t>Comisión hizo mención expresa de éste a lo largo del Informe de Fondo  y  en</w:t>
        <w:br/>
        <w:t>sus conclusiones respecto a la alegada violación de los artículos 5, 8 y  25</w:t>
        <w:br/>
        <w:t>de la  Convención  Americana  en  relación  con  el  artículo  1.1  de  este</w:t>
        <w:br/>
        <w:t>instrumento. Por ello, la Corte estima que Iván Lluy fue  identificado  como</w:t>
        <w:br/>
        <w:t>presunta víctima en el Informe de Fondo de la Comisión, en concordancia  con</w:t>
        <w:br/>
        <w:t>lo establecido en el artículo 50 de la Convención y  el  artículo  35.1  del</w:t>
        <w:br/>
        <w:t>Reglamento de la Corte.  En  consecuencia,  corresponderá  a  este  Tribunal</w:t>
        <w:br/>
        <w:t>pronunciarse respecto de las presuntas violaciones a  los  derechos  humanos</w:t>
        <w:br/>
        <w:t>de esta presunta víctima y a las reparaciones solicitadas por la Comisión  y</w:t>
        <w:br/>
        <w:t>los representantes en su beneficio.</w:t>
        <w:br/>
        <w:br/>
        <w:t xml:space="preserve"> VI</w:t>
        <w:br/>
        <w:t>ALEGADO RECONOCIMIENTO DE UN HECHO</w:t>
        <w:br/>
        <w:br/>
        <w:br/>
        <w:t xml:space="preserve"> El Estado en la audiencia pública hizo un “reconocimiento […] de  un  hecho</w:t>
        <w:br/>
        <w:t>específico” “que en la época en la que  ocurrieron  los  lamentables  hechos</w:t>
        <w:br/>
        <w:t>que configuraron el caso, no debió haber delegado  a  un  ente  privado  las</w:t>
        <w:br/>
        <w:t>funciones rectoras en el sistema nacional de sangre” y que “el Estado  ahora</w:t>
        <w:br/>
        <w:t>cuenta con  normas  técnicas  bajo  el  estándar  internacional”.  Asimismo,</w:t>
        <w:br/>
        <w:t>indicó que se trata del “reconocimiento de un hecho específico  muy  puntual</w:t>
        <w:br/>
        <w:t>que tiene una dimensión muy concreta” y solicitó  que  la  Corte  interprete</w:t>
        <w:br/>
        <w:t>dicho reconocimiento  con  el  auxilio  de  “herramientas  hermeneuticas  de</w:t>
        <w:br/>
        <w:t>ponderación, contexto  preciso  y  buena  fe”,  “apreciando  la  voluntad  y</w:t>
        <w:br/>
        <w:t>compromiso del Estado con la justicia de derechos humanos  que  promueve  el</w:t>
        <w:br/>
        <w:t>Tribunal”. Además, presentó propuestas de  reparación  en  caso  de  que  la</w:t>
        <w:br/>
        <w:t>Corte declarase la responsabilidad estatal[36].</w:t>
        <w:br/>
        <w:br/>
        <w:t>Durante la audiencia pública, ante preguntas de los  Jueces  respecto  a  si</w:t>
        <w:br/>
        <w:t>esta   declaración   constituía   un   reconocimiento   de   responsabilidad</w:t>
        <w:br/>
        <w:t>internacional por la violación de derechos, el Estado expresó  que  “lo  que</w:t>
        <w:br/>
        <w:t>ha hecho es un reconocimiento de acuerdo al artículo 62 de un  hecho,  y  el</w:t>
        <w:br/>
        <w:t>hecho concreto es que  no  debió  haber  delegado  a  un  ente  privado  las</w:t>
        <w:br/>
        <w:t>funciones rectoras en el sistema nacional de sangre”. Se trata  entonces  de</w:t>
        <w:br/>
        <w:t>un “reconocimiento de  ese  hecho  y  no  hay,  no  existe  allanamiento  en</w:t>
        <w:br/>
        <w:t>artículos, es un reconocimiento de un hecho que abarcaría un  reconocimiento</w:t>
        <w:br/>
        <w:t>de una situación específica”. Agregó que, “en base a  este  reconocimiento”,</w:t>
        <w:br/>
        <w:t>el Estado está ofreciendo a la presunta víctima víctima “una vida digna,  la</w:t>
        <w:br/>
        <w:t>salud, la educación, las disculpas públicas,  es  un  reconocimiento  de  un</w:t>
        <w:br/>
        <w:t>hecho específico, el haber  delegado la responsabilidad  a  una  institución</w:t>
        <w:br/>
        <w:t>privada como era la Cruz Roja”.</w:t>
        <w:br/>
        <w:br/>
        <w:t>La Corte solicitó al Estado que en sus alegatos finales aclarara el  alcance</w:t>
        <w:br/>
        <w:t>del reconocimiento efectuado.  El  Estado  respondió  a  este  requerimiento</w:t>
        <w:br/>
        <w:t>remitiéndose a lo que expresamente señaló en  la  audiencia  pública  (supra</w:t>
        <w:br/>
        <w:t>párr. 42).</w:t>
        <w:br/>
        <w:br/>
        <w:t>La Comisión señaló que las  declaraciones  del  Estado  “no  constituyen  un</w:t>
        <w:br/>
        <w:t>reconocimiento ni de hechos ni de pretensiones en los términos del  artículo</w:t>
        <w:br/>
        <w:t>62 del Reglamento  de  la  Corte”.  Sin  embargo,  valoró  positivamente  el</w:t>
        <w:br/>
        <w:t>ofrecimiento de una vivienda a la presunta víctima,  pero  observó  que  las</w:t>
        <w:br/>
        <w:t>demás propuestas de reparación formuladas por el Estado  se  realizaron  “de</w:t>
        <w:br/>
        <w:t>manera condicionada”  a  la  eventualidad  de  que  la  Corte  declarase  la</w:t>
        <w:br/>
        <w:t>responsabilidad  del  Estado.  Por  ello,  reafirmó  que  las  declaraciones</w:t>
        <w:br/>
        <w:t>estatales no constituyen un reconocimiento de responsabilidad.</w:t>
        <w:br/>
        <w:br/>
        <w:t>Los representantes alegaron que el Estado  no  se  refirió  al  alcance  del</w:t>
        <w:br/>
        <w:t>reconocimiento, ni a lo que implicó el hecho en “el contagio a una niña  con</w:t>
        <w:br/>
        <w:t>VIH  ni  para  los  derechos   [presuntamente]   violados”.   Respecto   del</w:t>
        <w:br/>
        <w:t>ofrecimiento  de  reparaciones,  señalaron  que  las  mismas   se   refieren</w:t>
        <w:br/>
        <w:t>únicamente  al  reconocimiento  del  hecho  y  no  a  las  otras   presuntas</w:t>
        <w:br/>
        <w:t>violaciones de derechos dentro del presente caso.</w:t>
        <w:br/>
        <w:br/>
        <w:t xml:space="preserve">    Consideraciones de la Corte</w:t>
        <w:br/>
        <w:br/>
        <w:t>De conformidad con los  artículos  62[37]  y  64[38]  del  Reglamento  y  en</w:t>
        <w:br/>
        <w:t>ejercicio de sus  poderes  de  tutela  judicial  internacional  de  derechos</w:t>
        <w:br/>
        <w:t>humanos, cuestión de orden público internacional que trasciende la  voluntad</w:t>
        <w:br/>
        <w:t>de  las  partes,  incumbe  a  este  Tribunal  velar  porque  los  actos   de</w:t>
        <w:br/>
        <w:t>allanamiento resulten  aceptables  para  los  fines  que  busca  cumplir  el</w:t>
        <w:br/>
        <w:t>sistema interamericano. En esta tarea no se limita únicamente  a  constatar,</w:t>
        <w:br/>
        <w:t>registrar o tomar nota del reconocimiento  efectuado  por  el  Estado,  o  a</w:t>
        <w:br/>
        <w:t>verificar las condiciones formales de los mencionados actos,  sino  que  los</w:t>
        <w:br/>
        <w:t>debe confrontar con la naturaleza y gravedad de  las  violaciones  alegadas,</w:t>
        <w:br/>
        <w:t>las exigencias e interés de la  justicia,  las  circunstancias  particulares</w:t>
        <w:br/>
        <w:t>del caso concreto y la actitud y posición de las partes[39], de  manera  tal</w:t>
        <w:br/>
        <w:t>que pueda  precisar,  en  cuanto  sea  posible  y  en  el  ejercicio  de  su</w:t>
        <w:br/>
        <w:t>competencia,  la  verdad  de  lo  acontecido[40].   En   tal   sentido,   el</w:t>
        <w:br/>
        <w:t>reconocimiento  no  puede  tener  por  consecuencia   limitar,   directa   o</w:t>
        <w:br/>
        <w:t>indirectamente, el ejercicio de las facultades de la  Corte  de  conocer  el</w:t>
        <w:br/>
        <w:t>caso que le ha sido sometido[41] y decidir si, al respecto,  hubo  violación</w:t>
        <w:br/>
        <w:t>de un derecho o libertad protegidos  en  la  Convención[42].  Este  Tribunal</w:t>
        <w:br/>
        <w:t>advierte  que  el  reconocimiento  de  hechos  y  violaciones  puntuales   y</w:t>
        <w:br/>
        <w:t>específicos puede tener efectos y consecuencias en el análisis que  haga  la</w:t>
        <w:br/>
        <w:t>Corte sobre los demás hechos y violaciones alegados en un mismo caso, en  la</w:t>
        <w:br/>
        <w:t>medida   en   que   todos   forman   parte   de   un   mismo   conjunto   de</w:t>
        <w:br/>
        <w:t>circunstancias[43].</w:t>
        <w:br/>
        <w:br/>
        <w:t>En el presente caso, de lo afirmado por el Estado se desprende que  éste  no</w:t>
        <w:br/>
        <w:t>ha vinculado  su  presunta  responsabilidad  a  la  transgresión  de  normas</w:t>
        <w:br/>
        <w:t>específicas. La Corte constata que el Ecuador reconoció un aspecto del  caso</w:t>
        <w:br/>
        <w:t>que  no  estaba  siendo   controvertido,   aunque   ello   tendrá   diversas</w:t>
        <w:br/>
        <w:t>implicaciones en aspectos asociados a la determinación de los hechos  y  del</w:t>
        <w:br/>
        <w:t>fondo del presente caso. En consecuencia,  la  Corte  tendrá  en  cuenta  el</w:t>
        <w:br/>
        <w:t>reconocimiento efectuado por el Estado, en lo que corresponda,  al  analizar</w:t>
        <w:br/>
        <w:t>en los capítulos correspondientes a los  aspectos  sustantivos  o  de  fondo</w:t>
        <w:br/>
        <w:t>sobre las alegadas violaciones a derechos humanos[44],  de  conformidad  con</w:t>
        <w:br/>
        <w:t>la Convención Americana y tomando en cuenta lo señalado por  el  Ecuador  en</w:t>
        <w:br/>
        <w:t>la audiencia pública y en su escrito de alegatos finales.</w:t>
        <w:br/>
        <w:br/>
        <w:br/>
        <w:t>VII</w:t>
        <w:br/>
        <w:t>PRUEBA</w:t>
        <w:br/>
        <w:br/>
        <w:br/>
        <w:br/>
        <w:t xml:space="preserve">      Prueba documental, testimonial y pericial</w:t>
        <w:br/>
        <w:br/>
        <w:br/>
        <w:t>Este Tribunal recibió diversos documentos presentados  como  prueba  por  la</w:t>
        <w:br/>
        <w:t>Comisión y las partes, adjuntos a sus escritos principales (supra párrs.  3,</w:t>
        <w:br/>
        <w:t>6 y  7).  De  igual  forma,  la  Corte  recibió  de  las  partes  documentos</w:t>
        <w:br/>
        <w:t>solicitados  por  este  Tribunal  como  prueba  para  mejor   resolver,   de</w:t>
        <w:br/>
        <w:t>conformidad con el artículo 58 del Reglamento. Además, la Corte recibió  las</w:t>
        <w:br/>
        <w:t>declaraciones rendidas ante fedatario público (afidávit) por  las  presuntas</w:t>
        <w:br/>
        <w:t>víctimas  Teresa  Lluy  e   Ivan   Mauricio   Lluy,   propuestos   por   los</w:t>
        <w:br/>
        <w:t>representantes;  las  testigos  Clara  Vinueza  y  María  Soledad   Salinas,</w:t>
        <w:br/>
        <w:t>propuestas por los representantes,  y  los  peritos  Sonia  Nivelo  Cabrera,</w:t>
        <w:br/>
        <w:t>Fernanda Solis, Farith Simon, Daniela Salazar, Diana Milena Murcia,  Claudia</w:t>
        <w:br/>
        <w:t>Storini y Marcelo Pazmiño, propuestos por los representantes;  Paul  Hunt  y</w:t>
        <w:br/>
        <w:t>Alejandro Morlachetti, propuestos por la  Comisión  Interamericana,  y  John</w:t>
        <w:br/>
        <w:t>Antón,  Gustavo  Medinaceli,  Antonio  Salamanca  Serrano,  Roxana   Arroyo,</w:t>
        <w:br/>
        <w:t>Stephanie León, Juan Montaña, Nilda Estela Villacrés, María Jerovi  Naranjo,</w:t>
        <w:br/>
        <w:t>Diana Molina, Carmen Carrasco, Juan Bernardo Sánchez, Aimée Dubois  Sánchez,</w:t>
        <w:br/>
        <w:t>Jimmy  Tandazo,  Carolina  Zevallos,  Pablo  Alarcón  Peña,  Pamela  Juliana</w:t>
        <w:br/>
        <w:t>Aguirre y Carlos Delgado, propuestos por  el  Estado[45].  En  cuanto  a  la</w:t>
        <w:br/>
        <w:t>prueba rendida en audiencia pública, la Corte escuchó las  declaraciones  de</w:t>
        <w:br/>
        <w:t>la presunta víctima Talía Gonzales Lluy, propuesta por  los  representantes,</w:t>
        <w:br/>
        <w:t>y los peritos Christian  Courtis,  Julio  César  Trujillo  y  Diego  Zalamea</w:t>
        <w:br/>
        <w:t>propuestos   por   la   Comisión,   los   representantes   y   el    Estado,</w:t>
        <w:br/>
        <w:t>respectivamente.</w:t>
        <w:br/>
        <w:br/>
        <w:br/>
        <w:t xml:space="preserve">      Admisión de la prueba</w:t>
        <w:br/>
        <w:br/>
        <w:br/>
        <w:br/>
        <w:t>B.1) Admisión de la prueba documental</w:t>
        <w:br/>
        <w:br/>
        <w:br/>
        <w:t>Este Tribunal admite los documentos presentados  en  la  debida  oportunidad</w:t>
        <w:br/>
        <w:t>procesal  por  las  partes  y  la  Comisión,  y  cuya  admisiblidad  no  fue</w:t>
        <w:br/>
        <w:t>controvertida ni objetada[46]. Los documentos solicitados por la  Corte  que</w:t>
        <w:br/>
        <w:t>fueron aportados por las partes con posterioridad  a  la  audiencia  pública</w:t>
        <w:br/>
        <w:t>son incorporados al acervo probatorio en  aplicación  del  artículo  58  del</w:t>
        <w:br/>
        <w:t>Reglamento.</w:t>
        <w:br/>
        <w:br/>
        <w:t>Respecto a algunos documentos señalados por medio de  enlaces  electrónicos,</w:t>
        <w:br/>
        <w:t>la Corte ha establecido que, si una  parte  o  la  Comisión  proporciona  al</w:t>
        <w:br/>
        <w:t>menos el enlace electrónico directo del documento que cita como prueba y  es</w:t>
        <w:br/>
        <w:t>posible acceder a éste, no se  ve  afectada  la  seguridad  jurídica  ni  el</w:t>
        <w:br/>
        <w:t>equilibrio procesal porque es inmediatamente localizable por la Corte y  por</w:t>
        <w:br/>
        <w:t>las otras partes[47] y se encuentra  localizable  hasta  el  momento  de  la</w:t>
        <w:br/>
        <w:t>emisión de la Sentencia.</w:t>
        <w:br/>
        <w:br/>
        <w:t>Asimismo, respecto al documento presentado por la Comisión el 8 de  mayo  de</w:t>
        <w:br/>
        <w:t>2014  referente  a  un  informe  del   Estado   remitido   a   la   Comisión</w:t>
        <w:br/>
        <w:t>Interamericana sobre la implementación del Informe de Fondo de 14  de  abril</w:t>
        <w:br/>
        <w:t>de 2014, la Corte constata que el mismo fue  emitido  con  posterioridad  al</w:t>
        <w:br/>
        <w:t>sometimiento del caso ante este Tribunal.  Por  tanto,  dicho  documento  se</w:t>
        <w:br/>
        <w:t>admite de conformidad con el artículo 57.2  del  Reglamento  y  teniendo  en</w:t>
        <w:br/>
        <w:t>cuenta su utilidad para resolver algunos aspectos del presente caso.</w:t>
        <w:br/>
        <w:br/>
        <w:t>Por otro lado,  el  Estado  y  los  representantes  presentaron  determinada</w:t>
        <w:br/>
        <w:t>documentación como anexos  a  sus  alegatos  finales  escritos.  Algunos  de</w:t>
        <w:br/>
        <w:t>dichos anexos se relacionan con las respuestas a  preguntas  formuladas  por</w:t>
        <w:br/>
        <w:t>los jueces durante la audiencia pública. Las partes y la  Comisión  tuvieron</w:t>
        <w:br/>
        <w:t>la posibilidad de presentar sus  observaciones  sobre  dicha  información  y</w:t>
        <w:br/>
        <w:t>documentación. De conformidad con el artículo 58.a del Reglamento, la  Corte</w:t>
        <w:br/>
        <w:t>estima procedente admitir los documentos aportados por las partes junto  con</w:t>
        <w:br/>
        <w:t>sus alegatos finales escritos, en la medida en que  pueden  resultar  útiles</w:t>
        <w:br/>
        <w:t>para la resolución del presente caso.</w:t>
        <w:br/>
        <w:br/>
        <w:t>En sus observaciones a los alegatos finales, los  representantes  realizaron</w:t>
        <w:br/>
        <w:t>determinadas  observaciones  sobre  la  prueba  aportada  por   el   Estado.</w:t>
        <w:br/>
        <w:t>Alegaron  que  la  prueba  presentada   respecto   de   la   “[a]creditación</w:t>
        <w:br/>
        <w:t>internacional de los [h]ospitales de Cuenca y Azogues - Ecuador  Mayo  2015”</w:t>
        <w:br/>
        <w:t>fue remitida extemporáneamente, y  no  contesta  a  pregunta  alguna  de  la</w:t>
        <w:br/>
        <w:t>Corte. Además, indicaron que la misma no es oportuna ni pertinente,  por  lo</w:t>
        <w:br/>
        <w:t>que  debe  ser  desechada.  Asimismo,  solicitaron  se  rechace  la   prueba</w:t>
        <w:br/>
        <w:t>correspondiente a la “[r]ed de hospitales a  nivel  nacional  Ministerio  de</w:t>
        <w:br/>
        <w:t>Salud Pública”, a las “[p]rioridades de investigación de  salud  2013-2014”,</w:t>
        <w:br/>
        <w:t>al “[c]onvenio de la red pública de  salud”,  al  “[a]cuerdo  3557-14  junio</w:t>
        <w:br/>
        <w:t>2013- bioética Creación CNBS” y al “[a]nuario presupuestario 2008-2013”  por</w:t>
        <w:br/>
        <w:t>haber sido presentada de forma inoportuna y ser impertinente  al  caso.  Por</w:t>
        <w:br/>
        <w:t>su  parte,  el  Estado  presentó  algunas  consideraciones  respecto  a  las</w:t>
        <w:br/>
        <w:t>observaciones realizadas por los representantes  sobre  la  prueba  aportada</w:t>
        <w:br/>
        <w:t>junto con los alegatos finales escritos, y estimó que  éstos  “presenta[ron]</w:t>
        <w:br/>
        <w:t>nuevos alegatos que contienen afirmaciones nuevas”. En virtud  de  ello,  el</w:t>
        <w:br/>
        <w:t>Estado solicitó que se excluya del conocimiento de  la  Corte  el  documento</w:t>
        <w:br/>
        <w:t>presentado por los representantes el 1 de junio de 2015.</w:t>
        <w:br/>
        <w:br/>
        <w:t>Al respecto,  la  Corte  nota  que  los  documentos  correspondientes  a  la</w:t>
        <w:br/>
        <w:t>acreditación internacional de los hospitales de Cuenca y Azogues,  así  como</w:t>
        <w:br/>
        <w:t>al Convenio de la  Red  Pública  de  Salud  son  de  fecha  posterior  a  la</w:t>
        <w:br/>
        <w:t>presentación del escrito de contestación del  Estado,  por  lo  cual  estima</w:t>
        <w:br/>
        <w:t>procedente su  admisión  conforme  al  artículo  57.2  del  Reglamento.  Sin</w:t>
        <w:br/>
        <w:t>embargo, en  relación  con  los  documentos  referentes  a:  i)  la  red  de</w:t>
        <w:br/>
        <w:t>hospitales a nivel nacional, ii) las prioridades de investigación  de  salud</w:t>
        <w:br/>
        <w:t>2013-2014, iii) el acuerdo 3557-14, y iv) el  anuario  presupuestario  2008-</w:t>
        <w:br/>
        <w:t>2013; la Corte observa que fueron presentados  por  el  Estado  sin  ofrecer</w:t>
        <w:br/>
        <w:t>justificación alguna con respecto a su  remisión  posterior  al  escrito  de</w:t>
        <w:br/>
        <w:t>contestación y no se encuentran directamente relacionados  a  las  preguntas</w:t>
        <w:br/>
        <w:t>para  mejor  resolver  hechas  por  este  Tribunal.  En   consecuencia,   de</w:t>
        <w:br/>
        <w:t>conformidad con lo preceptuado en el artículo 57.2 del Reglamento, la  Corte</w:t>
        <w:br/>
        <w:t>estima que estos documentos son extemporáneos, pues  el  Estado  pudo  tener</w:t>
        <w:br/>
        <w:t>conocimiento de los mismos antes de presentar la contestación,  por  lo  que</w:t>
        <w:br/>
        <w:t>no serán considerados por el Tribunal en su decisión.</w:t>
        <w:br/>
        <w:br/>
        <w:t>Respecto de  la  solicitud  realizada  por  el  Estado  de  excluir  ciertos</w:t>
        <w:br/>
        <w:t>alegatos de los representantes, la Corte constata que,  en  sentido  amplio,</w:t>
        <w:br/>
        <w:t>el escrito presentado por éstos contiene sus observaciones respecto  de  las</w:t>
        <w:br/>
        <w:t>respuestas  a  las  preguntas  formuladas  por  este  Tribunal,  las  cuales</w:t>
        <w:br/>
        <w:t>cobijaron gran parte de las controversias existentes en  el  presente  caso.</w:t>
        <w:br/>
        <w:t>En  consecuencia,  la  Corte  estima  procedente  la  admisión  del  escrito</w:t>
        <w:br/>
        <w:t>presentado por los representantes.</w:t>
        <w:br/>
        <w:br/>
        <w:br/>
        <w:t>B.2) Admisión de la prueba testimonial y pericial</w:t>
        <w:br/>
        <w:br/>
        <w:br/>
        <w:t>La Corte estima  pertinente  admitir  las  declaraciones  de  las  presuntas</w:t>
        <w:br/>
        <w:t>víctimas, los testigos y los dictámenes periciales rendidos en la  audiencia</w:t>
        <w:br/>
        <w:t>pública y ante fedatario público, en cuanto se ajusten  al  objeto  que  fue</w:t>
        <w:br/>
        <w:t>definido por el Presidente en la  Resolución  mediante  la  cual  se  ordenó</w:t>
        <w:br/>
        <w:t>recibirlos (supra párr. 10) y al objeto del presente caso.</w:t>
        <w:br/>
        <w:br/>
        <w:t xml:space="preserve">    B.2.1) Observaciones presentadas por  el  Estado  respecto  de  ciertas</w:t>
        <w:br/>
        <w:t xml:space="preserve">    declaraciones rendidas ante fedatario público</w:t>
        <w:br/>
        <w:br/>
        <w:t>El Estado realizó  diversas  observaciones  respecto  de  las  declaraciones</w:t>
        <w:br/>
        <w:t>rendidas por los peritos propuestos por la Comisión  y  los  representantes.</w:t>
        <w:br/>
        <w:t>Con relación al  peritaje  de  Paul  Hunt,  manifestó  que  el  mismo  omite</w:t>
        <w:br/>
        <w:t>referirse  al  grado  de  desarrollo  normativo  y  de  políticas   públicas</w:t>
        <w:br/>
        <w:t>alcanzado por el Ecuador con relación al derecho a la salud y  especialmente</w:t>
        <w:br/>
        <w:t>para personas con enfermedades catastróficas. Respecto al  perito  Alejandro</w:t>
        <w:br/>
        <w:t>Morlachetti, señaló que éste “parece desconocer asuntos  vinculados  con  la</w:t>
        <w:br/>
        <w:t>experiencia de política pública en materia  de  […]  salud  del  Ecuador”  y</w:t>
        <w:br/>
        <w:t>responde de forma evasiva al Plan Estratégico  Multisectorial  del  Ecuador.</w:t>
        <w:br/>
        <w:t>Asimismo,  alegó  que  el  experto  se  negó  a  explicar  la  inclusión   y</w:t>
        <w:br/>
        <w:t>salvaguarda de la noción de reconocimiento de niños  y  adolescentes  dentro</w:t>
        <w:br/>
        <w:t>de la categoría jurídica de protección de ciudadanía. En el caso  de  Farith</w:t>
        <w:br/>
        <w:t>Simon, el Estado manifestó que en su declaración se incluyó  una  referencia</w:t>
        <w:br/>
        <w:t>respecto al Comité de Derechos del Niño en 2010 “que nada tiene que ver  con</w:t>
        <w:br/>
        <w:t>el objeto de la pericia y debe ser desechada por ajeno al  mandato  otorgado</w:t>
        <w:br/>
        <w:t>por la Corte”, ya que  dicha  referencia  deviene  en  un  contexto  que  no</w:t>
        <w:br/>
        <w:t>correspondía al  objeto  del  peritaje.  En  cuanto  al  peritaje  de  María</w:t>
        <w:br/>
        <w:t>Fernanda Solíz el Estado rechazó que se efectuaran juicios  de  valor  sobre</w:t>
        <w:br/>
        <w:t>la situación de las personas con VIH, así como  las  afirmaciones  señalando</w:t>
        <w:br/>
        <w:t>“que  es  condenable  que  el  Estado   haya   administrado   con   criterio</w:t>
        <w:br/>
        <w:t>mercantilista el manejo de los [b]ancos de [s]angre”.</w:t>
        <w:br/>
        <w:br/>
        <w:t xml:space="preserve"> En el caso de Diana Murcia  el  Estado  manifestó  que  “utilizó  criterios</w:t>
        <w:br/>
        <w:t>políticos-mediáticos y no técnicos-jurídicos” para defender  una  tesis  que</w:t>
        <w:br/>
        <w:t>“resulta sesgada y alejada de la  realidad”.  Respecto  a  Claudia  Storini,</w:t>
        <w:br/>
        <w:t>indicó que una parte del peritaje  desvía  su  objeto  principal,  al  hacer</w:t>
        <w:br/>
        <w:t>referencia a dos procesos particulares  no  relacionados  con  el  caso.  En</w:t>
        <w:br/>
        <w:t>cuanto al peritaje de Marcelo  Pazmiño,  el  Estado  alegó  que  la  muestra</w:t>
        <w:br/>
        <w:t>tomada para la realización del análisis de la indemnización por  daño  moral</w:t>
        <w:br/>
        <w:t>es “insignificante” y “deja entrever una posición alejada  del  criterio  de</w:t>
        <w:br/>
        <w:t>objetividad y neutralidad”, alejándose del objeto del  examen  pericial.  En</w:t>
        <w:br/>
        <w:t>cuanto al peritaje de Daniela Salazar,  objetó  que  trata  de  expandir  el</w:t>
        <w:br/>
        <w:t>marco de aplicación y obligatoriedad de algunos  documentos  internacionales</w:t>
        <w:br/>
        <w:t>de derechos humanos; y manifestó que el contenido del informe “a partir  del</w:t>
        <w:br/>
        <w:t>párrafo 28, vulnera el ejercicio de la actividad  pericial,  al  contravenir</w:t>
        <w:br/>
        <w:t>[…] el deber de neutralidad” y al determinar las presuntas obligaciones  que</w:t>
        <w:br/>
        <w:t>serían incumplidas por el Estado. Por  ello,  impugnó  el  documento  en  su</w:t>
        <w:br/>
        <w:t>integralidad.</w:t>
        <w:br/>
        <w:br/>
        <w:t>Con respecto a las observaciones del Estado, este Tribunal considera que  lo</w:t>
        <w:br/>
        <w:t>planteado  tiene  relación  con  el  peso  y  alcance  probatorio   de   las</w:t>
        <w:br/>
        <w:t>declaraciones rendidas, pero no afecta la admisibilidad de  las  mismas[48],</w:t>
        <w:br/>
        <w:t>por lo que la Corte tendrá en cuenta  dichas  observaciones  al  valorar  la</w:t>
        <w:br/>
        <w:t>prueba en el fondo del presente caso[49].</w:t>
        <w:br/>
        <w:br/>
        <w:br/>
        <w:t xml:space="preserve">      Valoración de la prueba</w:t>
        <w:br/>
        <w:br/>
        <w:br/>
        <w:t>Con base en lo establecido en los artículos 46, 47, 48, 50, 51, 57 y 58  del</w:t>
        <w:br/>
        <w:t>Reglamento, así como en su jurisprudencia constante respecto de la prueba  y</w:t>
        <w:br/>
        <w:t>su apreciación[50], la Corte examinará y valorará los elementos  probatorios</w:t>
        <w:br/>
        <w:t>documentales remitidos por las partes  y  la  Comisión,  las  declaraciones,</w:t>
        <w:br/>
        <w:t>testimonios y  dictámenes  periciales,  así  como  las  pruebas  para  mejor</w:t>
        <w:br/>
        <w:t>resolver solicitadas e incorporadas por  este  Tribunal  al  establecer  los</w:t>
        <w:br/>
        <w:t>hechos del caso y pronunciarse sobre el fondo. Para ello  se  sujeta  a  los</w:t>
        <w:br/>
        <w:t>principios de la sana crítica, dentro del marco  normativo  correspondiente,</w:t>
        <w:br/>
        <w:t>teniendo en cuenta el conjunto del acervo probatorio  y  lo  alegado  en  la</w:t>
        <w:br/>
        <w:t>causa[51]. Asimismo, conforme a la  jurisprudencia  de  este  Tribunal,  las</w:t>
        <w:br/>
        <w:t>declaraciones rendidas por las presuntas víctimas no  pueden  ser  valoradas</w:t>
        <w:br/>
        <w:t>aisladamente sino dentro del conjunto de las  pruebas  del  proceso,  en  la</w:t>
        <w:br/>
        <w:t>medida en que pueden proporcionar  mayor  información  sobre  las  presuntas</w:t>
        <w:br/>
        <w:t>violaciones y sus consecuencias[52].</w:t>
        <w:br/>
        <w:br/>
        <w:br/>
        <w:t>VIII</w:t>
        <w:br/>
        <w:t>HECHOS</w:t>
        <w:br/>
        <w:br/>
        <w:br/>
        <w:t>El presente caso hace  referencia  a  Talía  Gabriela  Gonzales  Lluy  y  su</w:t>
        <w:br/>
        <w:t>familia. Talía nació el  8  de  enero  de  1995  en  el  cantón  de  Cuenca,</w:t>
        <w:br/>
        <w:t>provincia del Azuay, Ecuador. Su madre es Teresa Lluy, su padre es SGO y  su</w:t>
        <w:br/>
        <w:t>hermano es Iván Lluy. Ni su padre, ni su madre ni su  hermano  son  personas</w:t>
        <w:br/>
        <w:t>con VIH[53]. Talía nació y vive con su madre y su hermano en  el  cantón  de</w:t>
        <w:br/>
        <w:t>Cuenca, provincia del Azuay, en el Ecuador. Cuando tenía tres años de  edad,</w:t>
        <w:br/>
        <w:t>fue contagiada con el virus del VIH al recibir una  transfusión  de  sangre,</w:t>
        <w:br/>
        <w:t>proveniente de un Banco de Sangre de la Cruz Roja, en una clínica  de  salud</w:t>
        <w:br/>
        <w:t>privada.</w:t>
        <w:br/>
        <w:br/>
        <w:t>La Organización Mundial de la Salud (en adelante “la OMS”) ha  señalado  que</w:t>
        <w:br/>
        <w:t>“el virus de la inmunodeficiencia humana (VIH) infecta  a  las  células  del</w:t>
        <w:br/>
        <w:t>sistema inmunitario, alterando o anulando su función. La  infección  produce</w:t>
        <w:br/>
        <w:t>un  deterioro  progresivo  del  sistema  inmunitario,  con  la  consiguiente</w:t>
        <w:br/>
        <w:t>‘inmunodeficiencia’”.  Se  considera  que   “el   sistema   inmunitario   es</w:t>
        <w:br/>
        <w:t>deficiente cuando deja de poder cumplir  su  función  de  lucha  contra  las</w:t>
        <w:br/>
        <w:t>infecciones y  enfermedades.  El  síndrome  de  inmunodeficiencia  adquirida</w:t>
        <w:br/>
        <w:t>(SIDA) es un término que se  aplica  a  los  estados  más  avanzados  de  la</w:t>
        <w:br/>
        <w:t>infección por VIH y se define por la presencia de alguna de las  más  de  20</w:t>
        <w:br/>
        <w:t>infecciones oportunistas o de cánceres relacionados  con  el  VIH”[54].  Las</w:t>
        <w:br/>
        <w:t>Naciones Unidas han reconocido  que  “el  VIH  y  el  SIDA  constituyen  una</w:t>
        <w:br/>
        <w:t>emergencia mundial, plantean uno  de  los  retos  más  formidables  para  el</w:t>
        <w:br/>
        <w:t>desarrollo, el progreso y la estabilidad de cada una de nuestras  sociedades</w:t>
        <w:br/>
        <w:t>y del mundo en su conjunto y  requieren  una  respuesta  mundial,  amplia  y</w:t>
        <w:br/>
        <w:t>excepcional que tengan en cuenta  que  la  propagación  del  VIH  suele  ser</w:t>
        <w:br/>
        <w:t>consecuencia y causa de la pobreza.”[55]</w:t>
        <w:br/>
        <w:br/>
        <w:t>La Corte describirá a continuación los hechos que han sido probados,  en  el</w:t>
        <w:br/>
        <w:t>siguiente orden: A) la regulación de la Cruz Roja y los bancos de sangre  en</w:t>
        <w:br/>
        <w:t>el Ecuador; B) la situación de salud  de  Talía,  su  hospitalización  y  la</w:t>
        <w:br/>
        <w:t>transfusión de sangre del 22 de junio de 1998;  C)  el  contagio  de  VIH  a</w:t>
        <w:br/>
        <w:t>Talía; D) la acción penal; E) la acción civil; y F) las afectaciones  en  la</w:t>
        <w:br/>
        <w:t>educación de Talía derivadas del contagio.</w:t>
        <w:br/>
        <w:br/>
        <w:br/>
        <w:t xml:space="preserve">      La regulación de la Cruz Roja y los bancos de sangre en el Ecuador</w:t>
        <w:br/>
        <w:br/>
        <w:br/>
        <w:t>El 14 de noviembre de 1910 el gobierno del Ecuador  reconoció  legalmente  a</w:t>
        <w:br/>
        <w:t>la institución de la Cruz Roja en ese país, mediante el Decreto  Legislativo</w:t>
        <w:br/>
        <w:t>publicado en el registro oficial No. 1392,  en  el  cual  se  indica  en  su</w:t>
        <w:br/>
        <w:t>artículo primero: “Declárese a la Cruz  Roja  del  Ecuador,  Institución  de</w:t>
        <w:br/>
        <w:t>Beneficencia y utilidad pública, concediéndole la exoneración  del  pago  de</w:t>
        <w:br/>
        <w:t>todo impuesto fiscal o Municipal”[56].</w:t>
        <w:br/>
        <w:br/>
        <w:t>En agosto de 1922 se  dictaron  los  primeros  estatutos  de  la  Cruz  Roja</w:t>
        <w:br/>
        <w:t>Ecuatoriana, lo que sirvió para su reconocimiento  internacional  por  parte</w:t>
        <w:br/>
        <w:t>de la Liga de Sociedades de la Cruz Roja  (Actual  Federación  Internacional</w:t>
        <w:br/>
        <w:t>de Sociedades de la Cruz Roja y de la  Media  Luna  Roja)  en  1923[57].  En</w:t>
        <w:br/>
        <w:t>dichos estatutos se indica:</w:t>
        <w:br/>
        <w:br/>
        <w:t xml:space="preserve">      Art. 1.- Las bases sobre las que se encuentra constituida la  Sociedad</w:t>
        <w:br/>
        <w:t xml:space="preserve">      Nacional de la Cruz Roja Ecuatoriana son las siguientes:</w:t>
        <w:br/>
        <w:br/>
        <w:br/>
        <w:t xml:space="preserve">      PRIMERA[58].- La Cruz Roja Ecuatoriana es reconocida por  el  Gobierno</w:t>
        <w:br/>
        <w:t xml:space="preserve">      de Ecuador, como sociedad  de  socorro  voluntaria,  auxiliar  de  los</w:t>
        <w:br/>
        <w:t xml:space="preserve">      poderes  públicos  en  el  ámbito  humanitario,  de  acuerdo  con   lo</w:t>
        <w:br/>
        <w:t xml:space="preserve">      estipulado en los Convenios de Ginebra de 1949 y como  única  sociedad</w:t>
        <w:br/>
        <w:t xml:space="preserve">      de Cruz Roja en el Ecuador.</w:t>
        <w:br/>
        <w:br/>
        <w:br/>
        <w:t xml:space="preserve">      SEGUNDA.- La Sociedad Nacional de la Cruz Roja Ecuatoriana  se  regula</w:t>
        <w:br/>
        <w:t xml:space="preserve">      por  la  Ley  que  la  constituyó,  por  los  convenios   y   tratados</w:t>
        <w:br/>
        <w:t xml:space="preserve">      internacionales legítimamente aprobados por el  Ecuador  y  por  estos</w:t>
        <w:br/>
        <w:t xml:space="preserve">      Estatutos. Es una institución de derecho privado, sin fines de lucro y</w:t>
        <w:br/>
        <w:t xml:space="preserve">      con personería jurídica propia. La representación  legal,  judicial  y</w:t>
        <w:br/>
        <w:t xml:space="preserve">      extrajudicial,  en  el  ámbito  nacional,  la  ejerce  el   Presidente</w:t>
        <w:br/>
        <w:t xml:space="preserve">      Nacional;  y  en  el  ámbito  provincial  la  ejercerá  el  Presidente</w:t>
        <w:br/>
        <w:t xml:space="preserve">      Provincial. Se rige de acuerdo con las disposiciones  del  Título  XXX</w:t>
        <w:br/>
        <w:t xml:space="preserve">      del Libro Primero de la Codificación del Código Civil[59].</w:t>
        <w:br/>
        <w:br/>
        <w:t>El Banco de Sangre de  la  Cruz  Roja  del  Azuay  labora  desde  1951.  Las</w:t>
        <w:br/>
        <w:t>actividades  que  realiza  el  Banco  de  Sangre  incluyen  la  tipificación</w:t>
        <w:br/>
        <w:t>sanguínea, pruebas serológicas, fraccionamiento de sangre, toma de  muestras</w:t>
        <w:br/>
        <w:t>de  sangre  para  pruebas  de  ADN  y  administración  de  sangre  dada  por</w:t>
        <w:br/>
        <w:t>donantes[60].</w:t>
        <w:br/>
        <w:br/>
        <w:t>El Código de la Salud del Ecuador del año 1971[61], vigente  al  momento  de</w:t>
        <w:br/>
        <w:t>los hechos del presente caso, no contaba con regulaciones específicas  sobre</w:t>
        <w:br/>
        <w:t>el funcionamiento de los bancos de sangre. En términos generales, el  Código</w:t>
        <w:br/>
        <w:t>de la Salud de 1971 establecía lo siguiente  respecto  a  las  entidades  de</w:t>
        <w:br/>
        <w:t>salud:</w:t>
        <w:br/>
        <w:br/>
        <w:t xml:space="preserve">      Art.  168.-  La  autoridad  de salud  establecerá  las  normas  y  los</w:t>
        <w:br/>
        <w:t xml:space="preserve">      requisitos  que deben cumplir los establecimientos de atención médica,</w:t>
        <w:br/>
        <w:t xml:space="preserve">      y los inspeccionará y evaluará periódicamente.</w:t>
        <w:br/>
        <w:br/>
        <w:br/>
        <w:t xml:space="preserve">      Art.  169.- Los  establecimientos de atención médica, someterán  a  la</w:t>
        <w:br/>
        <w:t xml:space="preserve">      aprobación  de  la  autoridad de salud sus  programas  anuales  y  sus</w:t>
        <w:br/>
        <w:t xml:space="preserve">      reglamentos.</w:t>
        <w:br/>
        <w:br/>
        <w:t>Mediante Acuerdo Ministerial 8664 de  1987  se  estableció  que  “todos  los</w:t>
        <w:br/>
        <w:t>[b]ancos  de  [s]angre  del  país,  efectuarán  pruebas  de  anticuerpo  VIH</w:t>
        <w:br/>
        <w:t>(Inmunodeficiencia Humana) obligatoriamente en todas las Unidades de  Sangre</w:t>
        <w:br/>
        <w:t>y sus derivados” [62]. Posteriormente,  en  1992  se  adoptó  el  Reglamento</w:t>
        <w:br/>
        <w:t>Nacional de Aprovisionamiento y Utilización de Sangre y  sus  Derivados[63].</w:t>
        <w:br/>
        <w:t>Este Reglamento contemplaba a la Secretaría Nacional de Sangre  como  órgano</w:t>
        <w:br/>
        <w:t>auxiliar de la Cruz Roja y estableció que esta Secretaría  tenía  entre  sus</w:t>
        <w:br/>
        <w:t>funciones   la   de   "supervisar   el   funcionamiento,   distribución    y</w:t>
        <w:br/>
        <w:t>aprovisionamiento interno o externo de la sangre  humana  o  sus  derivados,</w:t>
        <w:br/>
        <w:t>cuando el caso lo requiera". En términos de sanciones,  el  artículo  24  de</w:t>
        <w:br/>
        <w:t>este reglamento disponía que en caso de incumplimiento  o  inobservancia  de</w:t>
        <w:br/>
        <w:t>las  disposiciones  reglamentarias  y  manuales  operativos,  la  Secretaría</w:t>
        <w:br/>
        <w:t>Nacional de Sangre llamará la atención al organismo operativo, o elevará  el</w:t>
        <w:br/>
        <w:t>caso al Comité Nacional de  Sangre  que  a  su  vez  podrá  solicitar  a  la</w:t>
        <w:br/>
        <w:t>Dirección General de Salud del Ministerio  de  Salud  Pública  “amoneste  al</w:t>
        <w:br/>
        <w:t>respectivo organismo operativo”.</w:t>
        <w:br/>
        <w:br/>
        <w:t>En 1998, se emitió el  Manual  de  Normas  para  los  Bancos,  Depósitos  de</w:t>
        <w:br/>
        <w:t>Sangre, y Servicios Transfusionales[64]. En este Manual (artículo 5.1.c)  se</w:t>
        <w:br/>
        <w:t>dispuso que “a todas las unidades de sangre y componentes, previamente a  su</w:t>
        <w:br/>
        <w:t>uso en transfusión alogénica, se les  deberán  practicar  obligatoriamente”,</w:t>
        <w:br/>
        <w:t>entre otras, la prueba del VIH.  Según  el  contexto  normativo  vigente  en</w:t>
        <w:br/>
        <w:t>1998, el Estado estableció el marco legal bajo el cual debían funcionar  los</w:t>
        <w:br/>
        <w:t>bancos de sangre para la colecta de sangre, realizar el tamizaje  serológico</w:t>
        <w:br/>
        <w:t>y su disposición final para garantizar que la seguridad de la sangre  y  sus</w:t>
        <w:br/>
        <w:t>componentes sanguíneos  a  fin  de  evitar  la  transmisión  de  infecciones</w:t>
        <w:br/>
        <w:t>mediante la transfusión.</w:t>
        <w:br/>
        <w:br/>
        <w:t>La Constitución Política  de  1998,  en  el  numeral  15  del  artículo  22,</w:t>
        <w:br/>
        <w:t>establecía que  “el  Estado  formulará  la  política  nacional  de  salud  y</w:t>
        <w:br/>
        <w:t>determinará su aplicación en los servicios de  salud,  tanto  públicos  como</w:t>
        <w:br/>
        <w:t>privados. La Ley  determinará,  en  último  caso  el  órgano  de  control  y</w:t>
        <w:br/>
        <w:t>supervigilancia de las empresas que se dediquen a  los  servicios  de  salud</w:t>
        <w:br/>
        <w:t>privados”[65].</w:t>
        <w:br/>
        <w:br/>
        <w:t>En 1998, regía la Ley de aprovisionamiento y utilización de  sangres  y  sus</w:t>
        <w:br/>
        <w:t>derivados, vigente desde 1986 y que sería reformada en  el  año  1992.  Esta</w:t>
        <w:br/>
        <w:t>ley  determinaba  que  la  Cruz  Roja  tenía  competencia   exclusiva   para</w:t>
        <w:br/>
        <w:t>administrar los bancos de sangre y que,  incluso,  el  Ministerio  de  Salud</w:t>
        <w:br/>
        <w:t>Pública, el Instituto Ecuatoriano de Seguridad Social y la  Fuerzas  Armadas</w:t>
        <w:br/>
        <w:t>administrarán los bancos y depósitos de sangre “bajo  control  reglamentario</w:t>
        <w:br/>
        <w:t>y la coordinación de la Cruz Roja Ecuatoriana”[66].  También  se  encontraba</w:t>
        <w:br/>
        <w:t>vigente la Ley de donantes voluntarios de sangre, adoptada en 1984[67].</w:t>
        <w:br/>
        <w:br/>
        <w:br/>
        <w:t xml:space="preserve">      La situación de salud de Talía, su hospitalización y la transfusión de</w:t>
        <w:br/>
        <w:t xml:space="preserve">      sangre del 22 de junio de 1998[68]</w:t>
        <w:br/>
        <w:br/>
        <w:br/>
        <w:t>El 20 de junio de 1998, cuando tenía 3 años  de  edad,  Talía  presentó  una</w:t>
        <w:br/>
        <w:t>hemorragia nasal que no se detenía y fue llevada por su  madre  al  hospital</w:t>
        <w:br/>
        <w:t>Universitario Católico, institución privada de salud ubicada  en  el  Azuay,</w:t>
        <w:br/>
        <w:t>Cuenca.  Talía  estuvo  internada  durante   dos   días   en   el   hospital</w:t>
        <w:br/>
        <w:t>Universitario y, posteriormente, fue llevada  por  su  madre  a  la  Clínica</w:t>
        <w:br/>
        <w:t>Humanitaria Fundación Pablo Jaramillo (en adelante  “Clínica  Humanitaria”),</w:t>
        <w:br/>
        <w:t>institución privada de salud ubicada en Cuenca. En la  Clínica  Humanitaria,</w:t>
        <w:br/>
        <w:t>Talía fue diagnosticada con púrpura trombocitopénica[69] por el doctor  PMT,</w:t>
        <w:br/>
        <w:t>médico de la Cruz Roja[70], quien  le  confirmó  a  Teresa  Lluy  que  Talía</w:t>
        <w:br/>
        <w:t>necesitaba urgentemente una transfusión de sangre y de plaquetas.</w:t>
        <w:br/>
        <w:br/>
        <w:t>Con el fin de conseguir la sangre necesaria para efectuar la  transfusión  a</w:t>
        <w:br/>
        <w:t>Talía, Teresa Lluy acudió al Banco de Sangre de la Cruz Roja del  Azuay  (en</w:t>
        <w:br/>
        <w:t>adelante “Banco de Sangre de la Cruz Roja”) donde  le  indicaron  que  debía</w:t>
        <w:br/>
        <w:t>llevar donantes. Teresa Lluy solicitó entonces a  algunos  conocidos,  entre</w:t>
        <w:br/>
        <w:t>ellos al señor HSA, que donaran.</w:t>
        <w:br/>
        <w:br/>
        <w:t>El 22 de junio de 1998, el señor HSA acudió al Banco de Sangre  de  la  Cruz</w:t>
        <w:br/>
        <w:t>Roja para donar su sangre. La señora MRR, auxiliar de enfermería  del  Banco</w:t>
        <w:br/>
        <w:t>de Sangre de la Cruz Roja, tomó las  muestras  de  sangre  al  señor  HSA  y</w:t>
        <w:br/>
        <w:t>entregó las “pintas de sangre” a los familiares y conocidos  de  Talía.  Más</w:t>
        <w:br/>
        <w:t>tarde, en horas de la noche la señora BRR, interna del Banco  de  Sangre  de</w:t>
        <w:br/>
        <w:t>la Cruz Roja, entregó los concentrados de las  plaquetas  a  dos  amigas  de</w:t>
        <w:br/>
        <w:t>Teresa Lluy. Debido a la urgencia,  las  transfusiones  de  sangre  a  Talía</w:t>
        <w:br/>
        <w:t>fueron realizadas el 22 de junio de 1998 y continuaron durante la  madrugada</w:t>
        <w:br/>
        <w:t>del día siguiente por el personal de la Clínica Humanitaria.</w:t>
        <w:br/>
        <w:br/>
        <w:t>El 23 de junio de 1998 la señora EOQ, bioquímica del Banco de Sangre  de  la</w:t>
        <w:br/>
        <w:t>Cruz Roja, efectuó por primera vez exámenes a la muestra de sangre  de  HSA,</w:t>
        <w:br/>
        <w:t>incluyendo el examen de VIH[71]. Talía estuvo hospitalizada  en  la  Clínica</w:t>
        <w:br/>
        <w:t>Humanitaria hasta el día 29 de junio de 1998, cuando fue dada de alta.</w:t>
        <w:br/>
        <w:br/>
        <w:br/>
        <w:t xml:space="preserve">      El contagio de VIH a Talía[72]</w:t>
        <w:br/>
        <w:br/>
        <w:br/>
        <w:t>“[A]proximadamente quince días” después de haber donado la sangre  a  Talía,</w:t>
        <w:br/>
        <w:t>el señor HSA fue llamado “desde la Cruz Roja” para solicitarle que  acudiera</w:t>
        <w:br/>
        <w:t>al Banco de Sangre de la Cruz Roja a fin  de  tomar  otras  muestras  de  su</w:t>
        <w:br/>
        <w:t>sangre,  ya  que  “los  frascos  se  habían  regado”.  La  señora  MRR  tomó</w:t>
        <w:br/>
        <w:t>nuevamente muestras de sangre a HSA. El señor HSA le preguntó  a  la  señora</w:t>
        <w:br/>
        <w:t>MRR las razones por las cuales se necesitaba una nueva muestra  y  si  había</w:t>
        <w:br/>
        <w:t>algún problema con su sangre, a lo que MRR respondió que no  se  preocupara,</w:t>
        <w:br/>
        <w:t>que “era para mantener la muestra en la Cruz Roja”.</w:t>
        <w:br/>
        <w:br/>
        <w:t>Una semana después, el señor HSA recibió una llamada por parte  de  la  Cruz</w:t>
        <w:br/>
        <w:t>Roja para informarle que estaba contagiado con el virus del VIH.  El  13  de</w:t>
        <w:br/>
        <w:t>agosto de 1998 el señor HSA se realizó otros exámenes  que  confirmaron  que</w:t>
        <w:br/>
        <w:t>estaba infectado con VIH.</w:t>
        <w:br/>
        <w:br/>
        <w:t>Talía fue dada de alta de la Clínica Humanitaria el  29  de  junio  de  1998</w:t>
        <w:br/>
        <w:t>(supra párr. 78), no obstante se indicó que debía continuar con  tratamiento</w:t>
        <w:br/>
        <w:t>en su domicilio por un lapso de seis meses, realizarse  exámenes  de  sangre</w:t>
        <w:br/>
        <w:t>cada mes y seguir un control mensual con el doctor PMT. A los pocos días  de</w:t>
        <w:br/>
        <w:t>haber sido dada de alta, Talía fue llevada por su madre al  consultorio  del</w:t>
        <w:br/>
        <w:t>doctor PMT, quien  ordenó  realizar  un  examen  de  sangre  a  Talía  “para</w:t>
        <w:br/>
        <w:t>controlar su enfermedad”. Luego de haber realizado dicho examen,  el  doctor</w:t>
        <w:br/>
        <w:t>PMT le manifestó a Teresa Lluy que “todo estaba normal”.</w:t>
        <w:br/>
        <w:br/>
        <w:t>El 22 de  julio  de  1998,  la  señora  Teresa  Lluy  acudió  nuevamente  al</w:t>
        <w:br/>
        <w:t>consultorio del doctor PMT, quien le  indicó  que  realizara  a  Talía  otro</w:t>
        <w:br/>
        <w:t>examen de sangre “pero incluido el de [SIDA]”. Atendiendo la indicación  del</w:t>
        <w:br/>
        <w:t>doctor PMT, Teresa acudió a la Clínica Humanitaria para realizar  el  examen</w:t>
        <w:br/>
        <w:t>de sangre a Talía. En la Clínica Humanitaria la enviaron a los  Laboratorios</w:t>
        <w:br/>
        <w:t>Leopoldo Izquieta Pérez y  en  dicho  lugar  le  informaron  que  Talía  “se</w:t>
        <w:br/>
        <w:t>encontraba con el virus del SIDA”.</w:t>
        <w:br/>
        <w:br/>
        <w:t>Teresa Lluy señaló en una declaración rendida dentro del  proceso  penal  en</w:t>
        <w:br/>
        <w:t>Ecuador (infra párr. 90) que:</w:t>
        <w:br/>
        <w:br/>
        <w:t xml:space="preserve">      “[…]  los  primeros  días  de  Agosto,  el  Dr.  A[…]  de  la  Clínica</w:t>
        <w:br/>
        <w:t xml:space="preserve">      Humanitaria le dijo que fuera al Instituto  Izquieta  Pérez  para  que</w:t>
        <w:br/>
        <w:t xml:space="preserve">      habl[ara] con el Dr. V[…], quien le preguntó si  había[n]  ido  a  los</w:t>
        <w:br/>
        <w:t xml:space="preserve">      Estados Unidos los padres de la niña o los donantes,  indicándole  que</w:t>
        <w:br/>
        <w:t xml:space="preserve">      la sangre de la niña estaba fea y que regres[ara] cuando se t[uvieran]</w:t>
        <w:br/>
        <w:t xml:space="preserve">      los resultados, que ha[bía]n mandado a Guayaquil. Que luego fue  donde</w:t>
        <w:br/>
        <w:t xml:space="preserve">      el Dr. [PMT] y ante [sus] preguntas […] le contestó: ‘hágase a la idea</w:t>
        <w:br/>
        <w:t xml:space="preserve">      de que la niña tiene SIDA por la transfusión de sangre, aclarando  que</w:t>
        <w:br/>
        <w:t xml:space="preserve">      nunca sale en los primeros días, sino en meses’. […] Que retornó donde</w:t>
        <w:br/>
        <w:t xml:space="preserve">      el Dr. [PMT] y en la Cruz Roja este profesional viendo el examen  dijo</w:t>
        <w:br/>
        <w:t xml:space="preserve">      que sí est[aba] contagiada. Que posteriormente  se  enteró  que  [HSA]</w:t>
        <w:br/>
        <w:t xml:space="preserve">      había tenido SIDA,  por  lo  que  regresó  donde  el  Dr.  [PMT]  para</w:t>
        <w:br/>
        <w:t xml:space="preserve">      preguntarle cuando se enteraron de  esto  y  el  doctor  dijo  que  él</w:t>
        <w:br/>
        <w:t xml:space="preserve">      personalmente le había hecho el examen al día siguiente  que  donó,  o</w:t>
        <w:br/>
        <w:t xml:space="preserve">      sea el 23 de junio y allí supo que el señor estaba con  el  SIDA.  Que</w:t>
        <w:br/>
        <w:t xml:space="preserve">      unos días después regresó por cuanto el Dr. [PMT]  se  había  ofrecido</w:t>
        <w:br/>
        <w:t xml:space="preserve">      seguirle atendiendo a la niña y le confesó que lo que ha pasado fue un</w:t>
        <w:br/>
        <w:t xml:space="preserve">      error humano, fue sin querer,  y  que  le  iba  a  seguir  atendiendo,</w:t>
        <w:br/>
        <w:t xml:space="preserve">      dándole vacunas y los chequeos respectivos”.</w:t>
        <w:br/>
        <w:br/>
        <w:br/>
        <w:t>Al respecto, Iván Lluy declaró que el doctor PMT “[le]s dijo que  él  estaba</w:t>
        <w:br/>
        <w:t>dispuesto  a  brindarle  las  consultas  necesarias  a  [Talía,]   pero   si</w:t>
        <w:br/>
        <w:t>denuncia[ban] ella perdería esta ayuda y sin atención no viviría  más  de  2</w:t>
        <w:br/>
        <w:t>años”.</w:t>
        <w:br/>
        <w:br/>
        <w:t>El 28 de julio y el 13 de agosto de 1998, y  el  15  de  enero  de  1999  se</w:t>
        <w:br/>
        <w:t>realizaron pruebas de sangre en las  que  se  confirmó  que  Talía  era  una</w:t>
        <w:br/>
        <w:t>persona con VIH. Cuando se tuvo noticia de que la sangre de HSA  tenía  VIH,</w:t>
        <w:br/>
        <w:t>y que Talía había sido infectada con este virus al recibir una  donación  de</w:t>
        <w:br/>
        <w:t>su sangre, Teresa Lluy presentó varios  recursos  en  instancias  civiles  y</w:t>
        <w:br/>
        <w:t>penales en el Ecuador.</w:t>
        <w:br/>
        <w:br/>
        <w:br/>
        <w:t xml:space="preserve">      La acción penal</w:t>
        <w:br/>
        <w:br/>
        <w:br/>
        <w:t>El 29 de septiembre de 1998, Teresa Lluy presentó una  denuncia  penal  para</w:t>
        <w:br/>
        <w:t>“determinar los responsables de la transfusión sanguínea realizada  a  Talía</w:t>
        <w:br/>
        <w:t>que habría ocasionado el contagio de la menor con el virus VIH”[73].</w:t>
        <w:br/>
        <w:br/>
        <w:t>El 19 de octubre de 1998  el  Juzgado  Cuarto  de  lo  Penal  de  Azuay  (en</w:t>
        <w:br/>
        <w:t>adelante “Juzgado Cuarto” o  “Juzgado  Cuarto  de  lo  Penal”)  dictó  “auto</w:t>
        <w:br/>
        <w:t>cabeza  de  proceso  indagatorio”,  abriendo  el  proceso  a  trámite   para</w:t>
        <w:br/>
        <w:t>“descubr[ir] a los responsables”[74]. En consecuencia, se ordenó el  trámite</w:t>
        <w:br/>
        <w:t>del sumario determinando para tales efectos la  realización  de  diligencias</w:t>
        <w:br/>
        <w:t>de  recepción  de  testimonios  y  de  reconocimiento  del  lugar   de   los</w:t>
        <w:br/>
        <w:t>hechos[75], así como otras investigaciones necesarias.</w:t>
        <w:br/>
        <w:br/>
        <w:t>El 19 de octubre de 1998 acudió a  declarar  el  médico  PMT,  Director  del</w:t>
        <w:br/>
        <w:t>Banco de Sangre de la Cruz Roja, y quien diagnosticó a Talía en  la  Clínica</w:t>
        <w:br/>
        <w:t>Humanitaria ordenando la transfusión de dos pintas  de  sangre  y  plaquetas</w:t>
        <w:br/>
        <w:t>(supra párr. 75)[76]. Ese mismo día declaró también EOQ,  bioquímica  de  la</w:t>
        <w:br/>
        <w:t>Cruz Roja, que efectuó las pruebas de VIH a la sangre de HSA el 23 de  junio</w:t>
        <w:br/>
        <w:t>de 1998 (supra párr. 78)[77].</w:t>
        <w:br/>
        <w:br/>
        <w:t>El 20 de octubre de 1998 declaró el señor HSA sobre lo sucedido  el  día  en</w:t>
        <w:br/>
        <w:t>que donó sangre para Talía y cómo se enteró posteriormente que era  portador</w:t>
        <w:br/>
        <w:t>de VIH[78].</w:t>
        <w:br/>
        <w:br/>
        <w:t>El 15 de noviembre de 1998 acudió a declarar Teresa  Lluy,  quien  narró  lo</w:t>
        <w:br/>
        <w:t>sucedido entre los días 20 y 22 de junio de 1998, así  como  después  de  la</w:t>
        <w:br/>
        <w:t>transfusión de sangre a Talía y hasta el momento en  que  tuvo  conocimiento</w:t>
        <w:br/>
        <w:t>de que Talía era una persona con VIH[79]. El 18 de noviembre de 1998  acudió</w:t>
        <w:br/>
        <w:t>a declarar nuevamente el señor HSA  y agregó que cuando le informaron de  su</w:t>
        <w:br/>
        <w:t>enfermedad, en la Cruz Roja le  aseguraron  que  su  sangre  no  había  sido</w:t>
        <w:br/>
        <w:t>entregada para Talía[80].</w:t>
        <w:br/>
        <w:br/>
        <w:t>El 14 de diciembre de 1998 acudió a declarar  MRR,  auxiliar  de  enfermería</w:t>
        <w:br/>
        <w:t>del Banco de Sangre de la Cruz Roja, quien tomó las  muestras  de  sangre  a</w:t>
        <w:br/>
        <w:t>los donantes el 22 de junio de 1998 y entregó la sangre[81].</w:t>
        <w:br/>
        <w:br/>
        <w:t>El 14 de diciembre de 1998 Teresa  Lluy  presentó  al  Juzgado  Cuarto  tres</w:t>
        <w:br/>
        <w:t>resultados negativos de los análisis  de  VIH  realizados  a  sí  misma,  al</w:t>
        <w:br/>
        <w:t>hermano y al padre de Talía; con el fin de  demostrar  que  ninguno  de  los</w:t>
        <w:br/>
        <w:t>miembros de la familia tenía el  virus  del  VIH[82].  Teresa  Lluy  también</w:t>
        <w:br/>
        <w:t>aportó un certificado de un examen ginecológico practicado a Talía,  emitido</w:t>
        <w:br/>
        <w:t>el 27 de octubre de 1998, en el cual  se  indicaba  que  no  se  encontraban</w:t>
        <w:br/>
        <w:t>lesiones traumáticas recientes o  antiguas  en  los  genitales  externos  de</w:t>
        <w:br/>
        <w:t>Talía y que se apreciaba que “la membrana himeneal e[ra] de  características</w:t>
        <w:br/>
        <w:t>normales”[83].</w:t>
        <w:br/>
        <w:br/>
        <w:t>El 5 de julio de 1999 se designaron dos peritos del listado del  Colegio  de</w:t>
        <w:br/>
        <w:t>Médicos: los doctores JPR y NVI, a quienes se les solicitó  que  presentaran</w:t>
        <w:br/>
        <w:t>su informe en diez días[84]. Estos peritos tomaron posesión del cargo el  28</w:t>
        <w:br/>
        <w:t>de julio de 1999[85] y  entregaron  su  informe  el  día  17  de  agosto  de</w:t>
        <w:br/>
        <w:t>1999[86].</w:t>
        <w:br/>
        <w:br/>
        <w:t>En dicho informe, los doctores JPR y NVI se refirieron a:  i)  el  tiempo  y</w:t>
        <w:br/>
        <w:t>método que se utilizaba para obtener  un  concentrado  de  plaquetas  en  el</w:t>
        <w:br/>
        <w:t>Banco de Sangre de la Cruz  Roja[87];  ii)  los  códigos  asignados  a  cada</w:t>
        <w:br/>
        <w:t>donante el 22 de junio de 1998, incluido el  del  señor  HSA[88];  iii)  las</w:t>
        <w:br/>
        <w:t>contradicciones detectadas en los registros que tuvieron  disponibles  sobre</w:t>
        <w:br/>
        <w:t>el donante de  quien  provinieron  las  plaquetas  que  se  entregaron  para</w:t>
        <w:br/>
        <w:t>Talía[89]; iv) la ausencia de registro sobre la hora en que  se  recibió  la</w:t>
        <w:br/>
        <w:t>sangre de HSA y sobre los exámenes realizados el 22 de junio de  1998  a  la</w:t>
        <w:br/>
        <w:t>sangre de HSA[90], y v) la ausencia de registro en la historia  clínica,  de</w:t>
        <w:br/>
        <w:t>las “papeletas de identificación de las unidades de sangre”[91].</w:t>
        <w:br/>
        <w:br/>
        <w:t>En la parte final de su peritaje,  los  doctores  JPR  y  NVI  indicaron  la</w:t>
        <w:br/>
        <w:t>necesidad de practicar una  prueba  de  “comparación  de  genotipo  viral  y</w:t>
        <w:br/>
        <w:t>análisis secuencial de nucleótidos”, en los siguientes términos:  “desde  el</w:t>
        <w:br/>
        <w:t>punto de  vista  científico,  [la  prueba]  podría  ayudar  a  establecer  o</w:t>
        <w:br/>
        <w:t>eliminar la posibilidad  que  la  transfusión  sanguínea  sea  causa  de  la</w:t>
        <w:br/>
        <w:t>presencia del anticuerpo del VIH en la niña  [Talía],  la  identificación  y</w:t>
        <w:br/>
        <w:t>comparación del genotipo viral y análisis secuencial de nucleótidos del  VIH</w:t>
        <w:br/>
        <w:t>por técnicas de hibridación, en las sangres del  Sr.  [HSA]  y  de  la  niña</w:t>
        <w:br/>
        <w:t>[Talía]. Esta técnica muy sofisticada  (corresponde  a  la  especialidad  de</w:t>
        <w:br/>
        <w:t>Biología Molecular) al momento aún no est[aba]  plenamente  implementada  en</w:t>
        <w:br/>
        <w:t>el país, pero pod[í]a contactarse de ser necesario para  envío  de  muestras</w:t>
        <w:br/>
        <w:t>sanguíneas al European Molecular Biology Bank (Heidelberg, Germany)”[92].</w:t>
        <w:br/>
        <w:br/>
        <w:t>El 8 de septiembre de 1999 el Juez Cuarto de lo Penal declaró  concluido  el</w:t>
        <w:br/>
        <w:t>sumario y solicitó a la Fiscalía Cuarta que emitiera su dictamen[93]. El  14</w:t>
        <w:br/>
        <w:t>de septiembre de 1999 Teresa Lluy solicitó al Juez Cuarto la reapertura  del</w:t>
        <w:br/>
        <w:t>sumario, indicando que aún faltaban por  realizarse  pruebas  fundamentales,</w:t>
        <w:br/>
        <w:t>incluida  la  sugerida  por  los  peritos  respecto  al  envío  de  muestras</w:t>
        <w:br/>
        <w:t>sanguíneas al European Molecular Biology Bank[94].</w:t>
        <w:br/>
        <w:br/>
        <w:t>El 19 de octubre de 1999 la Fiscalía Cuarta solicitó al  Juzgado  Cuarto  de</w:t>
        <w:br/>
        <w:t>lo Penal la reapertura del sumario a  fin  de  poder  practicar  diligencias</w:t>
        <w:br/>
        <w:t>necesarias para “llegar a precisar la persona responsable” del  contagio  de</w:t>
        <w:br/>
        <w:t>Talía. El 4 de noviembre de 1999 se dispuso la reapertura del  sumario  “por</w:t>
        <w:br/>
        <w:t>el plazo  máximo  que  prev[eía]  la  Ley”  y  se  dispuso  la  práctica  de</w:t>
        <w:br/>
        <w:t>diligencias adicionales, incluidas las solicitadas por la Fiscalía Cuarta  y</w:t>
        <w:br/>
        <w:t>un  requerimiento  a  los  peritos  JPR  y  NVI   para   que   arribaran   a</w:t>
        <w:br/>
        <w:t>conclusiones[95].</w:t>
        <w:br/>
        <w:br/>
        <w:t>El 26 de noviembre de 1999 los peritos JPR y NVI  nuevamente  se  dirigieron</w:t>
        <w:br/>
        <w:t>al Juzgado Cuarto  indicando  que  las  pruebas  existentes  en  el  proceso</w:t>
        <w:br/>
        <w:t>“científicamente no permit[ían] determinar de manera  inequívoca  cuál  pudo</w:t>
        <w:br/>
        <w:t>ser la causa de propagación del VIH”. Los peritos reiteraron  la  sugerencia</w:t>
        <w:br/>
        <w:t>de la realización de una prueba especializada en  los  siguientes  términos:</w:t>
        <w:br/>
        <w:t>“al final de [su] informe  […]sug[irieron]  la  prueba  que  científicamente</w:t>
        <w:br/>
        <w:t>podría ser determinante, secuenciación genética a  realizarse  en  Europa[;]</w:t>
        <w:br/>
        <w:t>con los resultados de esta prueba,  pod[ían]  inclinarnos  por  una  u  otra</w:t>
        <w:br/>
        <w:t>posibilidad”[96].</w:t>
        <w:br/>
        <w:br/>
        <w:t>El  22  de  diciembre  de  1999  Teresa   Lluy   presentó   una   “acusación</w:t>
        <w:br/>
        <w:t>particular”[97] en contra de PMT, EOQ y MRR, buscando que  se  declarara  su</w:t>
        <w:br/>
        <w:t>responsabilidad por el contagio de Talía[98]. El  5  de  enero  de  2000  el</w:t>
        <w:br/>
        <w:t>Juzgado Cuarto de lo Penal  dispuso  no  aceptar  a  trámite  la  “acusación</w:t>
        <w:br/>
        <w:t>particular” de Teresa Lluy “por cuanto la reapertura del sumario se  dispuso</w:t>
        <w:br/>
        <w:t>para que se  practiquen  los  actos  que  se  ordenaron[,  y]  la  acusación</w:t>
        <w:br/>
        <w:t>particular  no  es  un  acto   procesal   esencial   y   debió   presentarse</w:t>
        <w:br/>
        <w:t>oportunamente”[99].</w:t>
        <w:br/>
        <w:br/>
        <w:t>El 22 de  marzo  de  2000  el  Juzgado  Cuarto  declaró,  por  segunda  vez,</w:t>
        <w:br/>
        <w:t>concluido el sumario y dispuso que la Fiscalía emitiera su  dictamen  en  el</w:t>
        <w:br/>
        <w:t>plazo legal[100]. El 5 de mayo de 2000 Teresa Lluy  solicitó  nuevamente  la</w:t>
        <w:br/>
        <w:t>práctica del examen especializado sugerido por los peritos[101].  El  15  de</w:t>
        <w:br/>
        <w:t>mayo de 2000, a solicitud de la Fiscalía Cuarta, el Juzgado  Cuarto  dispuso</w:t>
        <w:br/>
        <w:t>la reapertura del sumario y ordenó la práctica de varias diligencias.</w:t>
        <w:br/>
        <w:br/>
        <w:t>El 18 de julio de 2000 el Juez Cuarto dispuso que  los  peritos  JPR  y  NVI</w:t>
        <w:br/>
        <w:t>obtuvieran las muestras de sangre de Talía y de HSA para que se enviaran  al</w:t>
        <w:br/>
        <w:t>hospital de la Universidad  Católica  de  Lovaina,  en  Bélgica,  a  fin  de</w:t>
        <w:br/>
        <w:t>realizar la prueba especializada sugerida por los peritos[102].</w:t>
        <w:br/>
        <w:br/>
        <w:t>El 31 de agosto de 2000 se declaró, por tercera vez, cerrado  el  sumario  y</w:t>
        <w:br/>
        <w:t>se ordenó a la Fiscalía que emitiera el dictamen correspondiente. Para  este</w:t>
        <w:br/>
        <w:t>momento aún no se había realizado la prueba especializada sugerida  por  los</w:t>
        <w:br/>
        <w:t>peritos[103].</w:t>
        <w:br/>
        <w:br/>
        <w:t>El 11 de octubre de 2000 la Fiscalía Cuarta emitió el dictamen  en  el  cual</w:t>
        <w:br/>
        <w:t>valoró los diversos testimonios y tomó en cuenta  el  informe  pericial,  el</w:t>
        <w:br/>
        <w:t>reconocimiento de documentos y otros documentos del  acervo  probatorio.  La</w:t>
        <w:br/>
        <w:t>Fiscalía  concluyó  que  “se  ha[bía]  demostrado  la  materialidad  de   la</w:t>
        <w:br/>
        <w:t>infracción, consistente en el contagio negligente de una  enfermedad  mortal</w:t>
        <w:br/>
        <w:t>como es el SIDA en la persona de  la  niña  [Talía],  inobservándose  normas</w:t>
        <w:br/>
        <w:t>obligatorias contenidas en el Manual para  Bancos,  Depósitos  de  Sangre  y</w:t>
        <w:br/>
        <w:t>Servicios Transfusionales[104]”. En cuanto a  la  responsabilidad  penal  la</w:t>
        <w:br/>
        <w:t>Fiscalía señaló que “a pesar de que mediante vista  fiscal  se  solicitó  lo</w:t>
        <w:br/>
        <w:t>concerniente a este presupuesto por considerar que existen  presunciones  de</w:t>
        <w:br/>
        <w:t>su existencia, al no haberse sindicado a persona alguna,  no  e[ra]  posible</w:t>
        <w:br/>
        <w:t>procesalmente formular acusación”[105].</w:t>
        <w:br/>
        <w:br/>
        <w:t>El informe del hospital de la Universidad de Lovaina fue realizado el  8  de</w:t>
        <w:br/>
        <w:t>enero de 2001. De acuerdo con lo señalado en este, la prueba  fue  realizada</w:t>
        <w:br/>
        <w:t>con cuatro muestras de sangre. La muestra 1,  correspondiente  a  Talía;  la</w:t>
        <w:br/>
        <w:t>muestra 2, correspondiente a HSA; y las muestras 3 y  4  correspondientes  a</w:t>
        <w:br/>
        <w:t>dos voluntarios VIH positivos. El informe indicó  que  las  cuatro  muestras</w:t>
        <w:br/>
        <w:t>eran “claramente positivas”, que la muestra 4 no pudo ser  amplificada,  que</w:t>
        <w:br/>
        <w:t>sólo las muestras 1, 2 y 3 tenían suficiente “viral RNA” para  realizar  una</w:t>
        <w:br/>
        <w:t>“secuencia nucleótida”; y que “las muestras 1 y 2 eran idénticas”,  mientras</w:t>
        <w:br/>
        <w:t>que “la muestra 3 era genéticamente diferente de las dos primeras”[106].  El</w:t>
        <w:br/>
        <w:t>15 de enero de 2001 el Juez Cuarto dispuso la reapertura del sumario  a  fin</w:t>
        <w:br/>
        <w:t>de incorporar la prueba especializada[107].</w:t>
        <w:br/>
        <w:br/>
        <w:t>El 19 de febrero de 2001 la  traducción  del  informe  fue  remitida  a  los</w:t>
        <w:br/>
        <w:t>peritos JPR y NVI [108]; quienes el 9 de marzo de  2001  indicaron  que  “el</w:t>
        <w:br/>
        <w:t>mismo virus  afecta[ba]  las  muestras  de  sangre  de  las  dos  personas”,</w:t>
        <w:br/>
        <w:t>refiriéndose a Talía y a la persona  a  quien  correspondía  la  muestra  de</w:t>
        <w:br/>
        <w:t>sangre número 2, siendo la sangre de HSA. Agregaron que  “el  VIH  solamente</w:t>
        <w:br/>
        <w:t>podría haber pasado a  la  niña  [Talía]  desde  la  persona  señalada  como</w:t>
        <w:br/>
        <w:t>170686285-9 [HSA] siguiendo dos vías: transmisión sexual o  por  transfusión</w:t>
        <w:br/>
        <w:t>de productos sanguíneos  contaminados  procedentes  de  esta  persona”.  Los</w:t>
        <w:br/>
        <w:t>peritos finalizaron su informe señalando que  “si  las  investigaciones  del</w:t>
        <w:br/>
        <w:t>juicio  hubiesen  excluido  la  transmisión  sexual,   necesariamente   debe</w:t>
        <w:br/>
        <w:t>concluirse desde el punto de vista de la lógica médica, que la única vía  de</w:t>
        <w:br/>
        <w:t>propagación  del   VIH   hacia   la   niña   [Talía]   es   la   transfusión</w:t>
        <w:br/>
        <w:t>sanguínea”[109].</w:t>
        <w:br/>
        <w:br/>
        <w:t>El 26 de marzo de 2001 se declaró, por cuarta vez, cerrado el  sumario[110].</w:t>
        <w:br/>
        <w:t>El 9 de abril de  2001  la  Fiscalía  Cuarta  solicitó  al  Juez  Cuarto  la</w:t>
        <w:br/>
        <w:t>reapertura del sumario y la extensión del mismo en  contra  de  MRR,  BRR  y</w:t>
        <w:br/>
        <w:t>PMT[111]. El 10 de abril de 2001 el Juez Cuarto hizo  extensivo  el  sumario</w:t>
        <w:br/>
        <w:t>en contra de MRR, BRR y PMT[112].</w:t>
        <w:br/>
        <w:br/>
        <w:t>El 16 de mayo de 2001 Teresa Lluy presentó  “acusación  particular”  por  el</w:t>
        <w:br/>
        <w:t>delito de “propagación de enfermedad contagiosa” contra PMT, EOQ,  MRR,  BRR</w:t>
        <w:br/>
        <w:t>y el señor CAA, en su calidad de Presidente del Comité Provincial de  Anzuay</w:t>
        <w:br/>
        <w:t>de la Cruz Roja[113]. En la misma fecha se aceptó a  trámite  la  “acusación</w:t>
        <w:br/>
        <w:t>particular” y se hizo extensivo el sumario en contra de CAA y EOQ[114].</w:t>
        <w:br/>
        <w:br/>
        <w:t>El 25 de julio de 2001, en respuesta a una solicitud presentada  por  PMT  y</w:t>
        <w:br/>
        <w:t>BRR[115], el Juzgado Cuarto declaró “abandonada la acusación particular  por</w:t>
        <w:br/>
        <w:t>haberla  dejado  continuar  por  treinta  días”  y  determinó  “separada  la</w:t>
        <w:br/>
        <w:t>acusadora  definitivamente  de  la  […]  causa,  la  misma  que   seguir[ía]</w:t>
        <w:br/>
        <w:t>sustanciándose con la intervención del Ministerio Público”[116].  El  29  de</w:t>
        <w:br/>
        <w:t>julio de 2001 Teresa Lluy solicitó la revocatoria de esta decisión y  el  31</w:t>
        <w:br/>
        <w:t>de julio de 2001 el Juzgado Cuarto rechazó su pedido indicando que el  mismo</w:t>
        <w:br/>
        <w:t>“no proced[ía]”[117].</w:t>
        <w:br/>
        <w:br/>
        <w:t>El 9 de agosto de 2001 se le entregó el expediente al Fiscal  Distrital  del</w:t>
        <w:br/>
        <w:t>Azuay  (en  adelante  “el  Fiscal  Distrital”)  quien   lo   solicitó   para</w:t>
        <w:br/>
        <w:t>estudiarlo. El 22 de agosto de 2001 el Fiscal Distrital solicitó al  Juzgado</w:t>
        <w:br/>
        <w:t>Cuarto algunos “actos procesales” que consideraba “imprescindibles”[118].</w:t>
        <w:br/>
        <w:br/>
        <w:t>El 23 de septiembre de 2001 el Fiscal Distrital emitió  el  Dictamen  Fiscal</w:t>
        <w:br/>
        <w:t>mediante el cual analizó la prueba documental,  pericial  y  testimonial,  y</w:t>
        <w:br/>
        <w:t>formuló acusación en contra de MRR como autora del delito tipificado  en  el</w:t>
        <w:br/>
        <w:t>artículo 436[119] del Código Penal. Asimismo, formuló  acusación  en  contra</w:t>
        <w:br/>
        <w:t>de PMT  y  EOQ  por  encubrimiento  del  referido  delito.   Dentro  de  sus</w:t>
        <w:br/>
        <w:t>conclusiones el Fiscal señaló:</w:t>
        <w:br/>
        <w:br/>
        <w:br/>
        <w:t xml:space="preserve">      “Que de modo inconcuso está comprobado el contagio de la menor [Talía]</w:t>
        <w:br/>
        <w:t xml:space="preserve">      con la sangre del donante [HSA] a raíz de la entrega de dicha  sangre,</w:t>
        <w:br/>
        <w:t xml:space="preserve">      admitida por la encausada [MRR]. Que el donante [HSA], al realizar  la</w:t>
        <w:br/>
        <w:t xml:space="preserve">      donación ignoraba tener el virus del VIH […]</w:t>
        <w:br/>
        <w:br/>
        <w:br/>
        <w:t xml:space="preserve">      La Auxiliar de Enfermería, del Banco de Sangre de  la  Cruz  Roja  del</w:t>
        <w:br/>
        <w:t xml:space="preserve">      Azuay, la encausada [MRR], en su única versión procesal  admit[ió]  su</w:t>
        <w:br/>
        <w:t xml:space="preserve">      autoría en la entrega de la sangre y el plasma el día 22 de  junio  de</w:t>
        <w:br/>
        <w:t xml:space="preserve">      1998. Sin embargo miente  cuando  señal[ó]  que  realizó  las  pruebas</w:t>
        <w:br/>
        <w:t xml:space="preserve">      serológicas.  La  rea,  por  descuido,  negligencia,   imprudencia   e</w:t>
        <w:br/>
        <w:t xml:space="preserve">      inobservancia de rutina elemental del Laboratorio,  omitió  la  prueba</w:t>
        <w:br/>
        <w:t xml:space="preserve">      sobre el VIH antes de entregar la sangre y el plasma proveniente de un</w:t>
        <w:br/>
        <w:t xml:space="preserve">      donante infectado con  VIH  –infección  que  se  comprobara  24  horas</w:t>
        <w:br/>
        <w:t xml:space="preserve">      después de la transfusión- y que fuera entregada para  el  uso  de  la</w:t>
        <w:br/>
        <w:t xml:space="preserve">      menor [Talía]. Las modalidades culposas de negligencia  e  imprudencia</w:t>
        <w:br/>
        <w:t xml:space="preserve">      atribuibles a la encausada están previstas en la definición del último</w:t>
        <w:br/>
        <w:t xml:space="preserve">      inciso del Art. 14 del Código Penal.</w:t>
        <w:br/>
        <w:br/>
        <w:br/>
        <w:t xml:space="preserve">      […]</w:t>
        <w:br/>
        <w:br/>
        <w:br/>
        <w:t xml:space="preserve">      El comportamiento de los encausados [PMT] y [EOQ] les identifica en el</w:t>
        <w:br/>
        <w:t xml:space="preserve">      contexto de la prueba sumarial como encubridores del delito  que  está</w:t>
        <w:br/>
        <w:t xml:space="preserve">      probado.   Su   presunta    culpabilidad    se    halla    evidenciada</w:t>
        <w:br/>
        <w:t xml:space="preserve">      incuestionablemente por sus repetidas mentiras.</w:t>
        <w:br/>
        <w:br/>
        <w:br/>
        <w:t xml:space="preserve">      […]</w:t>
        <w:br/>
        <w:br/>
        <w:br/>
        <w:t xml:space="preserve">      En contra de los  encausados  [CAA]  y  [BRR]  no  enc[o]ntr[ó]  datos</w:t>
        <w:br/>
        <w:t xml:space="preserve">      procesales relacionados con alguna acción u omisión para calificar sus</w:t>
        <w:br/>
        <w:t xml:space="preserve">      conductas en algunos de los niveles de participación criminal”[120].</w:t>
        <w:br/>
        <w:br/>
        <w:t>El 29 de octubre de 2001, el Segundo  Tribunal  Penal  del  Azuay  determinó</w:t>
        <w:br/>
        <w:t>que: i) se había  probado  “la  existencia  de  la  infracción  como  es  el</w:t>
        <w:br/>
        <w:t>contagio del SIDA a [Talía]; ii)  Talía  recibió  transfusión  de  plaquetas</w:t>
        <w:br/>
        <w:t>elaboradas con sangre fresca de donantes,  entre  quienes  estaba  el  señor</w:t>
        <w:br/>
        <w:t>HSA, que se encontraba infectado de VIH iii) existía una identidad  genética</w:t>
        <w:br/>
        <w:t>de los virus VIH que estaban presentes en la  sangre  de  HSA  y  en  la  de</w:t>
        <w:br/>
        <w:t>Talía, y iv) se  había  demostrado  que  “[MRR]  elaboró  y  suministró  las</w:t>
        <w:br/>
        <w:t>plaquetas, demostrando negligencia, descuido, falta de precaución,  causando</w:t>
        <w:br/>
        <w:t>una enfermedad incurable en [Talía]”[121]. Por lo anterior, declaró  abierta</w:t>
        <w:br/>
        <w:t>la “etapa de plenaria” en contra de MRR “como  presunta  autora  del  delito</w:t>
        <w:br/>
        <w:t>tipificado y sancionado en el [artículo] 436 del  Código  Penal”.  Asimismo,</w:t>
        <w:br/>
        <w:t>el Tribunal determinó que PMT y EOQ “no ha[bía]n  realizado  los  actos  que</w:t>
        <w:br/>
        <w:t>expresamente señala [el Código Penal] que habla del  encubrimiento,  por  lo</w:t>
        <w:br/>
        <w:t>que dict[ó] sobreseimiento provisional del proceso y definitivo a favor  [de</w:t>
        <w:br/>
        <w:t>ambas personas]”[122].</w:t>
        <w:br/>
        <w:br/>
        <w:t>El 31 de octubre de 2001, la Fiscalía  interpuso  un  recurso  de  apelación</w:t>
        <w:br/>
        <w:t>contra los sobreseimientos definitivos, considerando que PMT  y  EOQ  debían</w:t>
        <w:br/>
        <w:t>ser enjuiciados en grado de encubrimiento. El 18 de  diciembre  de  2001  la</w:t>
        <w:br/>
        <w:t>Primera Sala de la Corte  Superior  resolvió  la  consulta  elevada  por  el</w:t>
        <w:br/>
        <w:t>Juzgado Cuarto respecto de los sobreseimientos y del  recurso  de  apelación</w:t>
        <w:br/>
        <w:t>interpuesto por parte de la Fiscalía. La decisión de la Sala  fue  confirmar</w:t>
        <w:br/>
        <w:t>el sobreseimiento definitivo en  favor  de  CAA  y  BRR[,]  y  modificar  el</w:t>
        <w:br/>
        <w:t>“sobreseimiento  definitivo”  de  PMT   y   EOQ   por   un   “sobreseimiento</w:t>
        <w:br/>
        <w:t>provisional”[123].</w:t>
        <w:br/>
        <w:br/>
        <w:t>El Segundo Tribunal Penal del Azuay, con fecha  13  de  diciembre  de  2001,</w:t>
        <w:br/>
        <w:t>ordenó oficiar a las autoridades de policía para la captura de MRR[124].  En</w:t>
        <w:br/>
        <w:t>los días 23 de octubre de 2002, 26 de junio de 2003 y 12 de febrero de  2004</w:t>
        <w:br/>
        <w:t>se libraron oficios de captura de MRR sin que  pudiera  ser  capturada[125].</w:t>
        <w:br/>
        <w:br/>
        <w:br/>
        <w:t>Mediante providencia de 22 de  febrero  de  2005,  el  Tribunal  Segundo  de</w:t>
        <w:br/>
        <w:t>Garantías Penales del  Azuay,  entre  otros  actos  procesales,  dispuso  se</w:t>
        <w:br/>
        <w:t>sentara razón sobre el tiempo transcurrido desde el auto cabeza de  proceso.</w:t>
        <w:br/>
        <w:t>En la misma fecha la Secretaria relatora del mismo  Tribunal  certificó  que</w:t>
        <w:br/>
        <w:t>habían transcurrido “6 años, 4 meses y 3 días”[126].</w:t>
        <w:br/>
        <w:br/>
        <w:t>El 28 de febrero de 2005 la Segunda Sala de lo Penal, Colusorio  y  Tránsito</w:t>
        <w:br/>
        <w:t>de la Corte Superior de Justicia del Azuay dictaminó la prescripción  de  la</w:t>
        <w:br/>
        <w:t>acción, en razón de la no comparecencia de la encausada a  la  audiencia  de</w:t>
        <w:br/>
        <w:t>juzgamiento  y  al  no  haber  podido  ser  capturada;  y  por   el   tiempo</w:t>
        <w:br/>
        <w:t>transcurrido desde fecha del auto cabeza de proceso,  tiempo  que  no  había</w:t>
        <w:br/>
        <w:t>sido interrumpido por el cometimiento de otra infracción[127].</w:t>
        <w:br/>
        <w:br/>
        <w:t>Mediante  resolución  de  fecha  22  de  abril  de  2005,  la  Segunda  Sala</w:t>
        <w:br/>
        <w:t>Especializada de lo Penal, Colusorios y de Tránsito  de  la  entonces  Corte</w:t>
        <w:br/>
        <w:t>Superior de Justicia de Cuenca, confirmó la prescripción de la acción[128].</w:t>
        <w:br/>
        <w:br/>
        <w:br/>
        <w:t xml:space="preserve">      La acción civil</w:t>
        <w:br/>
        <w:br/>
        <w:br/>
        <w:t>Además de la acción  penal,  la  familia  de  Talía  interpuso  recursos  de</w:t>
        <w:br/>
        <w:t>naturaleza  civil  que  buscaban  obtener  reparaciones  por  los  daños   y</w:t>
        <w:br/>
        <w:t>perjuicios originados por la transfusión de sangre que produjo  el  contagio</w:t>
        <w:br/>
        <w:t>de VIH a Talía. Para estos efectos, Teresa Lluy  presentó  una  demanda  por</w:t>
        <w:br/>
        <w:t>daños y perjuicios y, previamente, un “amparo de  pobreza”  solicitando  que</w:t>
        <w:br/>
        <w:t>se le declarara exenta del pago obligatorio de la “tasa  judicial”  que  era</w:t>
        <w:br/>
        <w:t>exigida  para  poder  actuar  judicialmente  en  la  demanda  por  daños   y</w:t>
        <w:br/>
        <w:t>perjuicios.</w:t>
        <w:br/>
        <w:br/>
        <w:br/>
        <w:t>E.1 Amparo de Pobreza</w:t>
        <w:br/>
        <w:br/>
        <w:br/>
        <w:t>El 26 de septiembre de 2001 Teresa Lluy  solicitó  un  “amparo  de  pobreza”</w:t>
        <w:br/>
        <w:t>ante el Juez de lo Civil de  Cuenca,  con  el  fin  de  poder  plantear  una</w:t>
        <w:br/>
        <w:t>demanda por daños y perjuicios en contra de  la  Cruz  Roja  Provincial  del</w:t>
        <w:br/>
        <w:t>Azuay, sin que fuera necesario pagar la  “tasa  judicial”  que  era  exigida</w:t>
        <w:br/>
        <w:t>para actuar judicialmente. Teresa Lluy informó al Juez de lo Civil  que  era</w:t>
        <w:br/>
        <w:t>“imposible por [su]  situación  económica  que  [ella]  pu[diera]  solventar</w:t>
        <w:br/>
        <w:t>dicho gasto”[129].</w:t>
        <w:br/>
        <w:br/>
        <w:t>El 14 de noviembre de 2001 acudió a declarar la señora CS, quien señaló  que</w:t>
        <w:br/>
        <w:t>la familia de Talía “t[enía] una situación económica  precaria”.  Ese  mismo</w:t>
        <w:br/>
        <w:t>día acudió a declarar el señor JAB, quien  declaró  que  “e[ra]  verdad  que</w:t>
        <w:br/>
        <w:t>[Teresa Lluy] t[enía] una situación económica precaria”.</w:t>
        <w:br/>
        <w:br/>
        <w:t>El 5 de diciembre de 2001 se otorgó el amparo de pobreza a Teresa Lluy  para</w:t>
        <w:br/>
        <w:t>que iniciara la acción civil por daños y perjuicios sin que fuera  necesario</w:t>
        <w:br/>
        <w:t>que pagara la “tasa judicial” requerida[130].</w:t>
        <w:br/>
        <w:br/>
        <w:br/>
        <w:t>E.2 Demanda por daños y perjuicios</w:t>
        <w:br/>
        <w:br/>
        <w:br/>
        <w:t>El 4 de marzo  de  2002  Teresa  Lluy  presentó  una  demanda  por  daños  y</w:t>
        <w:br/>
        <w:t>perjuicios en contra de PMT, en su calidad de Director del Banco  de  Sangre</w:t>
        <w:br/>
        <w:t>de la Cruz Roja del Azuay; y de la institución de la Cruz  Roja  del  Azuay,</w:t>
        <w:br/>
        <w:t>representada por el señor CAA, en su calidad de Presidente de la  Cruz  Roja</w:t>
        <w:br/>
        <w:t>Provincial del Azuay[131].  El señor CAA se opuso a la demanda de la  señora</w:t>
        <w:br/>
        <w:t>Teresa Lluy argumentando que no estaba probado que el contagio de  Talía  se</w:t>
        <w:br/>
        <w:t>hubiera dado por la sangre obtenida en la Cruz Roja,  ni  que  las  muestras</w:t>
        <w:br/>
        <w:t>enviadas a la  Universidad  Católica  de  Lovaina  hubieran  sido  realmente</w:t>
        <w:br/>
        <w:t>tomadas a HS y a Talía[132].</w:t>
        <w:br/>
        <w:br/>
        <w:t>El 6 de mayo de 2002 se abrió el proceso a prueba “por el término  legal  de</w:t>
        <w:br/>
        <w:t>diez días”[133]. En el trámite de la demanda por daños y  perjuicios  Teresa</w:t>
        <w:br/>
        <w:t>Lluy incorporó como prueba todo  el  expediente  penal  y  solicitó  pruebas</w:t>
        <w:br/>
        <w:t>adicionales para comprobar la actuación de la Cruz Roja.</w:t>
        <w:br/>
        <w:br/>
        <w:t>El 1 de julio de 2002 Teresa Lluy solicitó al Juzgado  Sexto  que  designara</w:t>
        <w:br/>
        <w:t>un perito que realizara la traducción del informe  médico  realizado  en  la</w:t>
        <w:br/>
        <w:t>Universidad de Lovaina[134]. El 3 de julio de 2002 Teresa Lluy  solicitó  al</w:t>
        <w:br/>
        <w:t>Juzgado Sexto que nombrara peritos médicos para realizar  un  reconocimiento</w:t>
        <w:br/>
        <w:t>a Talía, y que fijara día para que  se  llevara  a  cabo  la  diligencia  de</w:t>
        <w:br/>
        <w:t>reconocimiento del Banco de Sangre de la Cruz  Roja  Provincial  del  Azuay;</w:t>
        <w:br/>
        <w:t>también le solicitó que llamara  a  los  peritos  JPR  y  NVI  a  rendir  su</w:t>
        <w:br/>
        <w:t>testimonio y que fijara fecha para una inspección  judicial  en  la  Clínica</w:t>
        <w:br/>
        <w:t>Humanitaria[135].</w:t>
        <w:br/>
        <w:br/>
        <w:t>El 5 de julio de 2002 el Juez Sexto dio respuesta al escrito del 3 de  junio</w:t>
        <w:br/>
        <w:t>de 2002 de  Teresa  Lluy  y  señaló  las  fechas  para  llevar  a  cabo  las</w:t>
        <w:br/>
        <w:t>diligencias[136]. El 10 de julio de 2002 el  Juzgado  decretó  concluido  el</w:t>
        <w:br/>
        <w:t>término de prueba[137]. El 19 de agosto de 2002 se rindió el informe  médico</w:t>
        <w:br/>
        <w:t>sobre la situación de Talía[138], y el 20 de agosto de 2002 se llevó a  cabo</w:t>
        <w:br/>
        <w:t>la diligencia de reconocimiento del Banco de Sangre  de  la  Cruz  Roja  del</w:t>
        <w:br/>
        <w:t>Azuay[139].</w:t>
        <w:br/>
        <w:br/>
        <w:t>El 25 de agosto de 2004 Teresa Lluy solicitó al  Juez  Sexto  que  declarara</w:t>
        <w:br/>
        <w:t>concluido el término de prueba[140]; no obstante,  el  5  de  septiembre  de</w:t>
        <w:br/>
        <w:t>2004 el señor CAA señaló que aún faltaba la  diligencia  de  traducción  del</w:t>
        <w:br/>
        <w:t>informe de la Universidad de Lovaina y solicitó al Juez que  señalara  nueva</w:t>
        <w:br/>
        <w:t>fecha para que el perito nombrado tomara posesión del cargo[141].</w:t>
        <w:br/>
        <w:br/>
        <w:t>El 27 de octubre de 2004 Teresa Lluy solicitó al Juzgado  Sexto  que  dejara</w:t>
        <w:br/>
        <w:t>sin efectos su petición de designar perito para la traducción  del  informe,</w:t>
        <w:br/>
        <w:t>debido a que ya existía traducción del  documento.  Además  indicó  que  “en</w:t>
        <w:br/>
        <w:t>razón de existir un problema gravísimo  como  e[ra]  la  situación  de  [su]</w:t>
        <w:br/>
        <w:t>hija, [l]e urg[ía] obtener la sentencia”[142]. El 4 de noviembre de 2004  el</w:t>
        <w:br/>
        <w:t>Juzgado Sexto decidió que no procedía la solicitud de Teresa Lluy, debido  a</w:t>
        <w:br/>
        <w:t>que la diligencia que faltaba era necesaria[143].  El  24  de  noviembre  de</w:t>
        <w:br/>
        <w:t>2004 tomó posesión el perito designado[144];  quien  entregó  la  traducción</w:t>
        <w:br/>
        <w:t>del informe el 10 de enero de 2005[145].</w:t>
        <w:br/>
        <w:br/>
        <w:t>El 19 de enero de 2005 Teresa Lluy solicitó al Juez Sexto que “en vista  que</w:t>
        <w:br/>
        <w:t>no ha[bía]  diligencias  pendientes,  […]  se  dign[ara]  pedir  autos  para</w:t>
        <w:br/>
        <w:t>sentencia”[146].</w:t>
        <w:br/>
        <w:br/>
        <w:t>El 12 de julio de 2005  el  Juzgado  Sexto  de  lo  Civil  de  Cuenca  dictó</w:t>
        <w:br/>
        <w:t>sentencia y, teniendo en cuenta los resultados del  proceso  penal,  declaró</w:t>
        <w:br/>
        <w:t>sin lugar la demanda presentada por Teresa Lluy. El Juzgado Sexto invocó  el</w:t>
        <w:br/>
        <w:t>artículo 2241 del Código Sustantivo Civil que establecía  que:  “el  que  ha</w:t>
        <w:br/>
        <w:t>cometido un delito o cuasidelito que ha inferido daño a otro, está  obligado</w:t>
        <w:br/>
        <w:t>a la indemnización; sin perjuicio de la pena que le impongan las  leyes  por</w:t>
        <w:br/>
        <w:t>el delito o  cuasidelito”.  Tomando  en  consideración  dicho  artículo,  el</w:t>
        <w:br/>
        <w:t>Juzgado Sexto indicó que se debía determinar si la persona  demandada  había</w:t>
        <w:br/>
        <w:t>cometido el delito  para  que  fuera  entonces  obligado  a  pagar  daños  y</w:t>
        <w:br/>
        <w:t>perjuicios, para  lo  cual  se  debía  seguir  un  juicio  y  debía  existir</w:t>
        <w:br/>
        <w:t>sentencia  condenatoria   ejecutoriada.   Atendiendo   los   sobreseimientos</w:t>
        <w:br/>
        <w:t>dictados en el proceso penal, el Juzgado Sexto declaró sin lugar la  demanda</w:t>
        <w:br/>
        <w:t>civil[147].</w:t>
        <w:br/>
        <w:br/>
        <w:t>El 14 de julio de 2005,  Teresa  Lluy  interpuso  un  recurso  de  apelación</w:t>
        <w:br/>
        <w:t>contra la decisión del Juzgado Sexto[148], el cual fue sustentado  el  2  de</w:t>
        <w:br/>
        <w:t>septiembre de 2005. La señora Lluy indicó que  la  apelación  se  refería  a</w:t>
        <w:br/>
        <w:t>“todo el contenido  de  la  sentencia  [del  Juzgado  Sexto],  tanto  en  su</w:t>
        <w:br/>
        <w:t>motivación como en su parte dispositiva”. Agregó que la acción  de  daños  y</w:t>
        <w:br/>
        <w:t>perjuicios era independiente del proceso penal pues buscaba  reparación  del</w:t>
        <w:br/>
        <w:t>daño por un hecho culposo, aunque no existiera  sentencia  condenatoria.  En</w:t>
        <w:br/>
        <w:t>el recurso, Teresa Lluy también invocó el  artículo  14  del  Código  de  la</w:t>
        <w:br/>
        <w:t>Niñez y Adolescencia sobre la interpretación que debía  aplicarse  en  favor</w:t>
        <w:br/>
        <w:t>del interés superior del niño y enfatizó la situación de discriminación  que</w:t>
        <w:br/>
        <w:t>había tenido que vivir Talía “en todos  los  campos  de  estudio,  vivienda,</w:t>
        <w:br/>
        <w:t>salud, etc”[149].</w:t>
        <w:br/>
        <w:br/>
        <w:t>El  12  de  septiembre  de  2005  el  señor  CAA  presentó  su  escrito   de</w:t>
        <w:br/>
        <w:t>contestación indicando que “no  e[ra]  verdad  que  la  acción  de  daños  y</w:t>
        <w:br/>
        <w:t>perjuicios fuera independiente del proceso que juzga[ba] la  responsabilidad</w:t>
        <w:br/>
        <w:t>penal”. En su escrito agregó que no había sido probado  dentro  del  proceso</w:t>
        <w:br/>
        <w:t>penal que el contagio de Talía hubiera sido consecuencia de  la  transfusión</w:t>
        <w:br/>
        <w:t>de sangre recibida de la Cruz Roja. El  señor  CAA  señaló  también  que  la</w:t>
        <w:br/>
        <w:t>denuncia de Talía y su familia  había  afectado  el  prestigio  de  la  Cruz</w:t>
        <w:br/>
        <w:t>Roja[150]. El 23 de noviembre de 2005 la señora Teresa Lluy solicitó que  se</w:t>
        <w:br/>
        <w:t>dictara la sentencia de apelación[151].</w:t>
        <w:br/>
        <w:br/>
        <w:t>El 18 de mayo de 2006, la Primera Sala de la Corte Superior de  Justicia  de</w:t>
        <w:br/>
        <w:t>Cuenca declaró la nulidad  de  “todo  lo  actuado  a  partir  del  auto  que</w:t>
        <w:br/>
        <w:t>acept[ó] a trámite la demanda”  y  devolvió  el  expediente  al  juzgado  de</w:t>
        <w:br/>
        <w:t>origen. Esta decisión tuvo como  sustento  el  artículo  41  del  Código  de</w:t>
        <w:br/>
        <w:t>Procedimiento  Penal  que   establecía   que   “no   podrá   demandarse   la</w:t>
        <w:br/>
        <w:t>indemnización civil derivada de la infracción penal mientras no  exista  una</w:t>
        <w:br/>
        <w:t>sentencia penal condenatoria ejecutoriada”. La Primera  Sala  determinó  que</w:t>
        <w:br/>
        <w:t>al no existir tal sentencia penal en el caso de  Talía,  no  se  cumplía  el</w:t>
        <w:br/>
        <w:t>requisito indispensable para admitir la acción civil y, por lo  tanto,  todo</w:t>
        <w:br/>
        <w:t>lo actuado desde dicha admisión era nulo[152].</w:t>
        <w:br/>
        <w:br/>
        <w:t>La resolución de la Primera Sala de la Corte Superior de Justicia de  Cuenca</w:t>
        <w:br/>
        <w:t>no fue impugnada. Por otro lado, ha sido declarado por Talía  y  su  familia</w:t>
        <w:br/>
        <w:t>que, como resultado del contagio  de  Talía  y  de  las  distintas  acciones</w:t>
        <w:br/>
        <w:t>legales que su  familia  interpuso  posteriormente,  la  vida  familiar,  la</w:t>
        <w:br/>
        <w:t>economía, la salud, y otro ámbitos de la vida de Talía, Teresa Lluy  e  Iván</w:t>
        <w:br/>
        <w:t>Lluy  sufrieron  diversos  impactos  que  les  afectaron  y  que   continúan</w:t>
        <w:br/>
        <w:t>afectándoles en la actualidad.</w:t>
        <w:br/>
        <w:br/>
        <w:br/>
        <w:t xml:space="preserve">      Las afectaciones en la educación de Talía derivadas de su situación de</w:t>
        <w:br/>
        <w:t xml:space="preserve">      persona con VIH</w:t>
        <w:br/>
        <w:br/>
        <w:br/>
        <w:t>En septiembre de 1999, cuando Talía tenía 5 años de edad,  fue  inscrita  en</w:t>
        <w:br/>
        <w:t>el “primer curso de básica”  en  la  escuela  pública  de  educación  básica</w:t>
        <w:br/>
        <w:t>“Zoila Aurora Palacios”, en la ciudad de  Cuenca.  Talía  asistió  a  clases</w:t>
        <w:br/>
        <w:t>normalmente durante dos meses, sin  embargo,  en  el  mes  de  noviembre  la</w:t>
        <w:br/>
        <w:t>profesora APA se enteró que Talía era una persona con VIH y  le  informó  al</w:t>
        <w:br/>
        <w:t>director de la escuela. El director decidió que Talía no asistiera a  clases</w:t>
        <w:br/>
        <w:t>“hasta ver que d[ecían]  las  [a]utoridades  de  [e]ducación  o  buscar  una</w:t>
        <w:br/>
        <w:t>solución al problema”[153].</w:t>
        <w:br/>
        <w:br/>
        <w:t>Funcionarios de la Subdirección de Salud del Austro impartieron  charlas  en</w:t>
        <w:br/>
        <w:t>la escuela relativas al VIH y la “imposibilidad de contagio”.  Sin  embargo,</w:t>
        <w:br/>
        <w:t>el 3 de febrero de 2000, el Director de la  escuela  le  comunicó  a  Teresa</w:t>
        <w:br/>
        <w:t>Lluy la decisión de no recibir más a  Talía,  entregándole  sus  papeles  de</w:t>
        <w:br/>
        <w:t>“desglose”[154].</w:t>
        <w:br/>
        <w:br/>
        <w:t>El 8 de febrero de 2000, Teresa Lluy con ayuda del Comisionado del  Defensor</w:t>
        <w:br/>
        <w:t>del Pueblo de Azuay, presentó una acción de amparo  constitucional  ante  el</w:t>
        <w:br/>
        <w:t>Tercer Tribunal Distrital de lo Contencioso Administrativo con  sede  en  la</w:t>
        <w:br/>
        <w:t>ciudad  de  Cuenca,  en  contra  del  Ministerio  de  Educación  y   Cultura</w:t>
        <w:br/>
        <w:t>representado por el Subsecretario de Educación del Austro; del  director  de</w:t>
        <w:br/>
        <w:t>la escuela “Zoila Aurora Palacios” y de la profesora APA, en  razón  de  una</w:t>
        <w:br/>
        <w:t>presunta privación al derecho a la educación de Talía.  Teresa  Lluy  afirmó</w:t>
        <w:br/>
        <w:t>que se había violado el derecho a  la  educación  de  Talía  y  solicitó  su</w:t>
        <w:br/>
        <w:t>reintegración a la escuela y una reparación por los daños provocados[155].</w:t>
        <w:br/>
        <w:br/>
        <w:t>El 9 de febrero de 2000 se llevó a cabo la audiencia  púbica  del  caso.  En</w:t>
        <w:br/>
        <w:t>dicha audiencia el Subsecretario Regional de  Educación  del  Austro  indicó</w:t>
        <w:br/>
        <w:t>que ni la Directora de Educación del  Azuay,  ni  él  habían  dispuesto  que</w:t>
        <w:br/>
        <w:t>Talía fuera retirada de la escuela. Sin  embargo,  el  Subsecretario  señaló</w:t>
        <w:br/>
        <w:t>que  “las  leyes  educativas  da[ba]n  facultad  a  los  directivos  de  los</w:t>
        <w:br/>
        <w:t>establecimientos [para] que cuando exist[iera] inminente  riesgo  en  contra</w:t>
        <w:br/>
        <w:t>de los educandos pu[dieran]  tomar  medidas  en  salvaguarda  del  resto  de</w:t>
        <w:br/>
        <w:t>educando”[156].</w:t>
        <w:br/>
        <w:br/>
        <w:t>El Subsecretario Regional también agregó que “el [d]irector de la  [e]scuela</w:t>
        <w:br/>
        <w:t>y la [p]rofesora ha[bía]n  procedido  hasta  que  se  reali[zaran]  exámenes</w:t>
        <w:br/>
        <w:t>médicos correspondientes y que garanti[zaran] que  [Talía]  no  contagi[ara]</w:t>
        <w:br/>
        <w:t>su lamentable enfermedad al resto de niños y personal que está  en  contacto</w:t>
        <w:br/>
        <w:t>con  ella  [puesto  que]  si  bien  a  ella  le  asist[ían]  las   garantías</w:t>
        <w:br/>
        <w:t>constitucionales […] también deb[ían] gozar de estas  garantías  y  derechos</w:t>
        <w:br/>
        <w:t>constitucionales la gran mayoría de la niñez que se educa[ba] en ese  centro</w:t>
        <w:br/>
        <w:t>educativo”[157].</w:t>
        <w:br/>
        <w:br/>
        <w:t>En la audiencia pública también declaró el director  de  la  escuela  “Zoila</w:t>
        <w:br/>
        <w:t>Aurora Palacios” y señaló que  habían  tomado  decisiones  que  cuidaran  la</w:t>
        <w:br/>
        <w:t>salud  de  los  niños  de  primera   básica.   El   director   declaró   que</w:t>
        <w:br/>
        <w:t>“acogiéndo[se] a los  requisitos  que  deb[ía]  presentar  [Talía]  para  la</w:t>
        <w:br/>
        <w:t>matrícula  uno  de  ellos  es  el  certificado  médico   de   no   presentar</w:t>
        <w:br/>
        <w:t>enfermedades infecto contagiosas”. Finalmente, el director  señaló  que  “en</w:t>
        <w:br/>
        <w:t>la escuela [Talía] tuvo algunas hemorragias debido a una enfermedad  llamada</w:t>
        <w:br/>
        <w:t>purpura tromb[o]ci[to]p[é]nica  idi[op]át[i]ca,  [e]sta  enfermedad  hac[ía]</w:t>
        <w:br/>
        <w:t>que los riesgos de contagio [fueran]  mayores,  también  porque  [Talía]  se</w:t>
        <w:br/>
        <w:t>enc[ontraba] en el primer año de educación básica en  donde  se  trabaja[ba]</w:t>
        <w:br/>
        <w:t>con objetos cortopunzantes”[158].</w:t>
        <w:br/>
        <w:br/>
        <w:t>La profesora APA también rindió su testimonio  en  la  audiencia  pública  y</w:t>
        <w:br/>
        <w:t>señaló que ella había preguntado al médico tratante de Talía, quien  realizó</w:t>
        <w:br/>
        <w:t>una exposición sobre el VIH “a todo  el  personal  docente”  de  la  escuela</w:t>
        <w:br/>
        <w:t>“Zoila Aurora  Palacios”,  si  existía  un  riesgo  para  el  resto  de  los</w:t>
        <w:br/>
        <w:t>compañeros de Talía y que el médico había contestado que “si ha[bía]  riesgo</w:t>
        <w:br/>
        <w:t>pero en un pequeño porcentaje”. La profesora APA señaló además que  “ten[ía]</w:t>
        <w:br/>
        <w:t>testigos de aquellas hemorragias  que  tenía  [Talía,  y  que]  vistos  esos</w:t>
        <w:br/>
        <w:t>riesgos se ha[bía] seguido el camino correcto  pero  no  para  hacerle  daño</w:t>
        <w:br/>
        <w:t>moral y psicológico [a Talía] sino  porque  [ella  era]  responsable  de  un</w:t>
        <w:br/>
        <w:t>grupo de 31 niños”[159].</w:t>
        <w:br/>
        <w:br/>
        <w:t>El 10 de febrero del 2000 el comisionado del Defensor del Pueblo del  Azuay,</w:t>
        <w:br/>
        <w:t>solicitó  que  se  incorporara  al  proceso  el   Certificado   del   Médico</w:t>
        <w:br/>
        <w:t>Infectólogo del hospital Regional Docente “Vicente Corral Moscoso” sobre  la</w:t>
        <w:br/>
        <w:t>situación de Talía; el certificado del médico  de  la  Clínica  “Santa  Ana”</w:t>
        <w:br/>
        <w:t>sobre las condiciones hematológicas de Talía; y el informe  del  Coordinador</w:t>
        <w:br/>
        <w:t>del Programa de Consejerías de  Prevención  VIH/SIDA-ETS,  de  la  Dirección</w:t>
        <w:br/>
        <w:t>Provincial de Salud del Azuay, sobre la  visita  de  un  equipo  técnico  en</w:t>
        <w:br/>
        <w:t>salud a la  Escuela  “Zoila  Aurora  Palacios”  con  respecto  del  caso  de</w:t>
        <w:br/>
        <w:t>Talía[160].</w:t>
        <w:br/>
        <w:br/>
        <w:t>El 11 de febrero de 2000, el Tribunal  Distrital  de  lo  Contencioso  Nº  3</w:t>
        <w:br/>
        <w:t>declaró inadmisible el recurso de amparo  constitucional,  considerando  que</w:t>
        <w:br/>
        <w:t>“exist[ía] un  conflicto  de  intereses,  entre  los  derechos  y  garantías</w:t>
        <w:br/>
        <w:t>individuales  de  [Talía]  frente  a  los  intereses  de   un   conglomerado</w:t>
        <w:br/>
        <w:t>estudiantil,  colisión  que  hac[ía]  que  predomin[ara]n  los  sociales   o</w:t>
        <w:br/>
        <w:t>colectivos, como lo es, el derecho a  la  vida,  frente  al  derecho  de  la</w:t>
        <w:br/>
        <w:t>educación”[161].</w:t>
        <w:br/>
        <w:br/>
        <w:t>El Tribunal Distrital valoró que “si  las  autoridades  de  educación  y  el</w:t>
        <w:br/>
        <w:t>establecimiento no hubieran procedido a actuar en la forma que lo  hicieron,</w:t>
        <w:br/>
        <w:t>corrían el riesgo de quebrantar preceptos  constitucionales  […]  del  resto</w:t>
        <w:br/>
        <w:t>del personal del plantel por no precaver la salud amenazada por  el  real  o</w:t>
        <w:br/>
        <w:t>supuesto contagio”[162].</w:t>
        <w:br/>
        <w:br/>
        <w:t>Debido a lo anterior, el Tribunal consideró que “las autoridades  educativas</w:t>
        <w:br/>
        <w:t>[habían] procedi[do] con apego a la ley”, tomando en  consideración  que  la</w:t>
        <w:br/>
        <w:t>enfermedad de Talía “implica[ba]  un  posible  riesgo  de  contaminación  al</w:t>
        <w:br/>
        <w:t>resto de estudiantes del plantel” para lo cual sostuvo que “frente  a  [ese]</w:t>
        <w:br/>
        <w:t>conflicto [era]  obvio señalar que prevalece el derecho de  la  mayoría  con</w:t>
        <w:br/>
        <w:t>respecto a un caso particular” [163].</w:t>
        <w:br/>
        <w:br/>
        <w:t>Finalmente, el Tribunal consideró que Talía podía ejercer su  derecho  a  la</w:t>
        <w:br/>
        <w:t>educación, “mediante una instrucción particularizada  y  a  distancia”[164].</w:t>
        <w:br/>
        <w:t>No se presentó ninguna impugnación a la sentencia del Tribunal Distrital  de</w:t>
        <w:br/>
        <w:t>lo Contencioso Nº 3.</w:t>
        <w:br/>
        <w:br/>
        <w:br/>
        <w:t xml:space="preserve">      Hechos relacionados con la asistencia sanitaria y tratamiento recibido</w:t>
        <w:br/>
        <w:t xml:space="preserve">      por Talía Gonzales Lluy</w:t>
        <w:br/>
        <w:br/>
        <w:br/>
        <w:t>El  Estado  ha  allegado  información  relativa  a  los  programas  que   ha</w:t>
        <w:br/>
        <w:t>adelantado en materia de educación y atención en temas de VIH/SIDA a fin  de</w:t>
        <w:br/>
        <w:t>lograr tener a disposición de todos sus ciudadanos  información  oportuna  y</w:t>
        <w:br/>
        <w:t>libre de prejuicios sobre el  VIH/SIDA.  Al  respecto,  la  Constitución  de</w:t>
        <w:br/>
        <w:t>1998, en su artículo 43[165] establecía, en la época en  la  que  ocurrieron</w:t>
        <w:br/>
        <w:t>los hechos, que los programas y acciones de  salud  pública  eran  gratuitos</w:t>
        <w:br/>
        <w:t>para todos. Asimismo, otras normas relevantes sobre acceso a la  atención  e</w:t>
        <w:br/>
        <w:t>información en salud son  la  Ley  de  Derechos  y  Amparo  al  Paciente  de</w:t>
        <w:br/>
        <w:t>1995[166]; la Ley Orgánica de Salud de 2006[167]; la Ley sobre la  Educación</w:t>
        <w:br/>
        <w:t>de la Sexualidad y el Amor de 1998; el Acuerdo Ministerial 403 de  2006;  el</w:t>
        <w:br/>
        <w:t>Acuerdo Ministerial 436 de 2008, y la Resolución 166 de 2009 de la  CONESUP.</w:t>
        <w:br/>
        <w:t>Asimismo, en 2002 se promulgó la Ley para la Prevención y  Asistencia  Legal</w:t>
        <w:br/>
        <w:t>del VIH en el  año  2000[168],  complementada  con  el  Reglamento  para  la</w:t>
        <w:br/>
        <w:t>Atención para Personas que viven con el VIH/SIDA del año 2002[169] y  existe</w:t>
        <w:br/>
        <w:t>una Estrategia Nacional de Salud Pública para VIH/SIDA ITS[170].</w:t>
        <w:br/>
        <w:br/>
        <w:t>Ante la Corte también fueron  rendidas  declaraciones  periciales  sobre  la</w:t>
        <w:br/>
        <w:t>Definición  de  Política  Pública  de  Atención  Gratuita  y  Provisión   de</w:t>
        <w:br/>
        <w:t>Servicios  a  pacientes  con  VIH  en  Ecuador[171];  la  Política   Pública</w:t>
        <w:br/>
        <w:t>Multisectorial de Respuesta Nacional al VIH/SIDA 2007-2015,  con  particular</w:t>
        <w:br/>
        <w:t>énfasis en el manejo integral y  multisectorial  de  la  enfermedad  crónica</w:t>
        <w:br/>
        <w:t>infecciosa  (incluyendo  una  descripción  pormenorizada  de  las  políticas</w:t>
        <w:br/>
        <w:t>públicas multisectoriales en diversos gobiernos locales y  los  planes  para</w:t>
        <w:br/>
        <w:t>grupos prioritarios)[172]; la Experiencia de política pública para  Atención</w:t>
        <w:br/>
        <w:t>Integral de Adultos y Adolescentes con infección por VIH/SIDA  y  aplicación</w:t>
        <w:br/>
        <w:t>de la Guía de Prevención y Control de la Transmisión  Materno  Infantil  del</w:t>
        <w:br/>
        <w:t>VIH[173]; y los programas de Salud Mental  y  Red  de  Servicios  Integrales</w:t>
        <w:br/>
        <w:t>aplicados    al    acompañamiento    y    tratamiento    de     enfermedades</w:t>
        <w:br/>
        <w:t>catastróficas[174].</w:t>
        <w:br/>
        <w:br/>
        <w:t>En el expediente ante  la  Corte  la  prueba  sobre  la  atención  sanitaria</w:t>
        <w:br/>
        <w:t>recibida  por  Talía  se  concentra  en  sus  declaraciones  y  las  de  sus</w:t>
        <w:br/>
        <w:t>familiares,  certificaciones  y  documentos  en  relación  con  su  historia</w:t>
        <w:br/>
        <w:t>clínica y dictamenes periciales. Entre lo  probado,  se  encuentra  que  los</w:t>
        <w:br/>
        <w:t>primeros  exámenes  hematológicos  de  Talía   fueron   realizados   en   el</w:t>
        <w:br/>
        <w:t>Laboratorio de Cuenca del Instituto de Higiene y Medicina Tropical  Leopoldo</w:t>
        <w:br/>
        <w:t>Izquieta Pérez, donde el 27 de julio de 1998 se diagnosticó que Talía  tenía</w:t>
        <w:br/>
        <w:t>VIH[175], a lo que le subsiguieron  diversos  exámenes  especializados  para</w:t>
        <w:br/>
        <w:t>confirmar dicho diagnóstico[176]. Por otra parte, Talía fue atendida  en  el</w:t>
        <w:br/>
        <w:t>hospital Vicente Corral Moscoso desde 1999 hasta  el  año  2003[177],  entre</w:t>
        <w:br/>
        <w:t>2003 y 2014 por el médico hematólogo NV según  consta  en  la  certificación</w:t>
        <w:br/>
        <w:t>expedida por este el 22 de abril de 2014[178]. A su vez,  ha  sido  atendida</w:t>
        <w:br/>
        <w:t>en el  hospital  General  de  la  FF.AA  No.1  desde  el  2004  por  médicos</w:t>
        <w:br/>
        <w:t>internistas, alergólogos e infectólogos  a  lo  largo  de  los  años  y  fue</w:t>
        <w:br/>
        <w:t>internada en dicha institución el 20 de junio de 2005[179]  donde  se  inció</w:t>
        <w:br/>
        <w:t>el tratamiento con retrovirales[180]. El 15 de mayo de  2014,  Talía  visitó</w:t>
        <w:br/>
        <w:t>la Unidad de Atención Integral de Salud de Cuenca  en  el  hospital  Vicente</w:t>
        <w:br/>
        <w:t>Corral Moscoso[181] para efectos  de  recibir  la  atención  que  el  Estado</w:t>
        <w:br/>
        <w:t>ofreció a darle en  cumplimiento  de  las  recomendaciones  de  la  Comisión</w:t>
        <w:br/>
        <w:t>Interamericana.</w:t>
        <w:br/>
        <w:br/>
        <w:t>La perito Diana Molina manifestó ante la Corte que en  el  hospital  Militar</w:t>
        <w:br/>
        <w:t>HG-1 de Quito la niña Talía, por ser hija de un  afiliado  al  Instituto  de</w:t>
        <w:br/>
        <w:t>Seguridad Social de las Fuerzas Armadas (ISSFA), recibió durante 10 años  la</w:t>
        <w:br/>
        <w:t>atención médica especializada, incluyendo la medicación antirretroviral  sin</w:t>
        <w:br/>
        <w:t>que tuviera que realizar ningún pago  al  hospital[182].  Según  la  perito,</w:t>
        <w:br/>
        <w:t>dado el buen estado de  salud  de  Talía,  desde  1998  hasta  2004  no  fue</w:t>
        <w:br/>
        <w:t>necesario iniciar con la terapia antirretroviral. La perito precisó que:</w:t>
        <w:br/>
        <w:br/>
        <w:t xml:space="preserve">    “El acceso a la medicación antirretroviral  gratuita  y  continúa[,]  a</w:t>
        <w:br/>
        <w:t xml:space="preserve">    pesar que no era una política pública explícita durante esa década, sin</w:t>
        <w:br/>
        <w:t xml:space="preserve">    embargo, se puede decir, que el MSP si destinaba  presupuesto  para  la</w:t>
        <w:br/>
        <w:t xml:space="preserve">    atención  especializada  y  compra  de  antirretrovirales  desde  1990.</w:t>
        <w:br/>
        <w:t xml:space="preserve">    Además,  dentro de los sistemas públicos de aseguramiento, las personas</w:t>
        <w:br/>
        <w:t xml:space="preserve">    con afiliación a la Seguridad Social, como el  IESS,  ISSFA  si  tenían</w:t>
        <w:br/>
        <w:t xml:space="preserve">    esas prestaciones. En el hospital Militar HG-1 de la ciudad  de  Quito,</w:t>
        <w:br/>
        <w:t xml:space="preserve">    se inici[ó] la atención a pacientes  VIH+,  incluyendo  con  medicación</w:t>
        <w:br/>
        <w:t xml:space="preserve">    antirretroviral en 1996, y se cre[ó] la “Clínica  de  VIH/SIDA”  en  el</w:t>
        <w:br/>
        <w:t xml:space="preserve">    hospital en octubre de 1998, y es así que se  puede  encontrar  que  la</w:t>
        <w:br/>
        <w:t xml:space="preserve">    niña [Talía] por ser hija de un afiliado al ISSFA,   recib[ió]  durante</w:t>
        <w:br/>
        <w:t xml:space="preserve">    10 años (2004-2013) la atención  médica  especializada,  incluyendo  la</w:t>
        <w:br/>
        <w:t xml:space="preserve">    medicación antirretroviral sin [tener]  que  realizar  ningún  pago  al</w:t>
        <w:br/>
        <w:t xml:space="preserve">    hospital”.</w:t>
        <w:br/>
        <w:br/>
        <w:t>Según la perito, en esos años “había inclusive la posibilidad de cambiar  de</w:t>
        <w:br/>
        <w:t>prestador, y continuar teniendo los  beneficios  de  la  gratuidad”.  Agregó</w:t>
        <w:br/>
        <w:t>que, “en caso de requerir exámenes especializados  de  laboratorio,  que  se</w:t>
        <w:br/>
        <w:t>conseguían en el  sector  privado,  estos  eran  pagados  por  el  instituto</w:t>
        <w:br/>
        <w:t>asegurador público:</w:t>
        <w:br/>
        <w:br/>
        <w:t xml:space="preserve">      En el hospital Vicente Corral Moscoso, hospital público de  la  ciudad</w:t>
        <w:br/>
        <w:t xml:space="preserve">      de  Cuenca,  la  niña  [Talía]  inició  a  recibir   atención   médica</w:t>
        <w:br/>
        <w:t xml:space="preserve">      especializada en 1999, con un equipo multidisciplinario conformado por</w:t>
        <w:br/>
        <w:t xml:space="preserve">      un médico especialista en [i]nfectología, un  médico  especialista  en</w:t>
        <w:br/>
        <w:t xml:space="preserve">      dermatología, un médico especialista  en  hematología,  una  psicóloga</w:t>
        <w:br/>
        <w:t xml:space="preserve">      clínica, y atención por el servicio de trabajo social[183]. Desde 1999</w:t>
        <w:br/>
        <w:t xml:space="preserve">      hasta el año 2003 la atención  especializada  estuvo  controlando  las</w:t>
        <w:br/>
        <w:t xml:space="preserve">      condiciones de salud. […] La  niña  estuvo  cubierta  por  el  Estado,</w:t>
        <w:br/>
        <w:t xml:space="preserve">      durante estos años, conforme indica el Memo Epidemiología HVCM,  2015.</w:t>
        <w:br/>
        <w:t xml:space="preserve">      Al indicarle  en  el  año  2003  que  debía  iniciar  con  tratamiento</w:t>
        <w:br/>
        <w:t xml:space="preserve">      antirretroviral, la madre comunic[ó] que había decidido llevarse a  la</w:t>
        <w:br/>
        <w:t xml:space="preserve">      niña para tratamiento al hospital Militar en Quito.</w:t>
        <w:br/>
        <w:br/>
        <w:br/>
        <w:t xml:space="preserve">      En el hospital Militar HG-1 en la ciudad de Quito, desde el  año  1998</w:t>
        <w:br/>
        <w:t xml:space="preserve">      […], el financiamiento de los costos de las prestaciones médicas,  que</w:t>
        <w:br/>
        <w:t xml:space="preserve">      incluye la atención con  el  equipo  integral  de  profesionales,  las</w:t>
        <w:br/>
        <w:t xml:space="preserve">      pruebas de laboratorio, la medicación especializada y regular,  se  lo</w:t>
        <w:br/>
        <w:t xml:space="preserve">      ha[ hecho] con fondos del Instituto de Seguridad Social de la  Fuerzas</w:t>
        <w:br/>
        <w:t xml:space="preserve">      Armadas-ISSFA.  En el caso de la niña  [Talía]  se  report[ó]  que  en</w:t>
        <w:br/>
        <w:t xml:space="preserve">      enero del 2004 inicia la atención, y durante  todo  este  año,  estuvo</w:t>
        <w:br/>
        <w:t xml:space="preserve">      controlada  con  exámenes  de  especialidad.  Para  las   pruebas   de</w:t>
        <w:br/>
        <w:t xml:space="preserve">      laboratorio, se  utilizaba  los  servicios  de  Laboratorios  Clínicos</w:t>
        <w:br/>
        <w:t xml:space="preserve">      Privados”. […]</w:t>
        <w:br/>
        <w:br/>
        <w:t>La perito agregó que hasta  2004  Talía  no  habría  necesitado  iniciar  la</w:t>
        <w:br/>
        <w:t>terapia antirretroviral, como se refiere el peritaje del Estado:</w:t>
        <w:br/>
        <w:br/>
        <w:t xml:space="preserve">      Por su  buena condición de salud, durante ese año [2004],  nunca  tuvo</w:t>
        <w:br/>
        <w:t xml:space="preserve">      necesidad de iniciar con medicación antirretroviral y esta  se  inició</w:t>
        <w:br/>
        <w:t xml:space="preserve">      en  junio  del  2005,  que  por  protocolo  de  esa  época,   requirió</w:t>
        <w:br/>
        <w:t xml:space="preserve">      hospitalización[184].</w:t>
        <w:br/>
        <w:br/>
        <w:br/>
        <w:t xml:space="preserve">      […]</w:t>
        <w:br/>
        <w:br/>
        <w:br/>
        <w:t xml:space="preserve">      Según los reportes de valores pagados por el ISSFA se puede  demostrar</w:t>
        <w:br/>
        <w:t xml:space="preserve">      que desde el año 2004, hasta el 10 de enero de  2013,  la  niña  Talía</w:t>
        <w:br/>
        <w:t xml:space="preserve">      [fue] beneficiaria de la seguridad pública, y por lo  tanto,  [estuvo]</w:t>
        <w:br/>
        <w:t xml:space="preserve">      cubierta por el Estado. El monto cancelado por salud  de  la  paciente</w:t>
        <w:br/>
        <w:t xml:space="preserve">      [Talía] asciende a $ 19.435,60 dólares, de los cuales por exámenes  de</w:t>
        <w:br/>
        <w:t xml:space="preserve">      laboratorio especializados asciende a $ 3.646,78 dólares, en medicinas</w:t>
        <w:br/>
        <w:t xml:space="preserve">      asciende a 15.788,91 dólares.</w:t>
        <w:br/>
        <w:br/>
        <w:br/>
        <w:t xml:space="preserve">      […]</w:t>
        <w:br/>
        <w:br/>
        <w:br/>
        <w:t xml:space="preserve">      el Estado Ecuatoriano,  a  través  del  ISSFA  cubrió  los  costos  de</w:t>
        <w:br/>
        <w:t xml:space="preserve">      atención médica con un equipo especializado, exámenes  de  laboratorio</w:t>
        <w:br/>
        <w:t xml:space="preserve">      especializados  y  tratamiento  antiretroviral,  a  la  niña  [Talía],</w:t>
        <w:br/>
        <w:t xml:space="preserve">      conforme lo reporta el Informe enviado con Oficio No.  ISSFA-DSS-2015-</w:t>
        <w:br/>
        <w:t xml:space="preserve">      329-OF, durante el período 2004-2013, y que ascendió  a  un  valor  de</w:t>
        <w:br/>
        <w:t xml:space="preserve">      19,435,69 dólares. Y en el período 1999-2003,  y  desde  el  2014,  el</w:t>
        <w:br/>
        <w:t xml:space="preserve">      Estado Ecuatoriano ha cubierto también las atenciones solicitadas  por</w:t>
        <w:br/>
        <w:t xml:space="preserve">      [Talía], por  medio  del  hospital  Público  Vicente  Corral  Moscoso,</w:t>
        <w:br/>
        <w:t xml:space="preserve">      perteneciente al Ministerio de Salud Pública,  conforme  el  Memorando</w:t>
        <w:br/>
        <w:t xml:space="preserve">      Epidemiología-HCVM-2015.</w:t>
        <w:br/>
        <w:br/>
        <w:br/>
        <w:t xml:space="preserve">      […] cabe señalar que los pacientes diagnosticados con VIH contaron con</w:t>
        <w:br/>
        <w:t xml:space="preserve">      apoyo de Consejería para que puedan hacer frente a la  enfermedad.  En</w:t>
        <w:br/>
        <w:t xml:space="preserve">      el caso de pacientes menores de edad, el servicio de consejería  puede</w:t>
        <w:br/>
        <w:t xml:space="preserve">      ser provisto también a  los  padres  y/o  representantes  legales  del</w:t>
        <w:br/>
        <w:t xml:space="preserve">      menor, de manera que puedan brindarle apoyo necesario.</w:t>
        <w:br/>
        <w:br/>
        <w:t>Ante una pregunta de los representantes respecto a si desde 1998 en  algunos</w:t>
        <w:br/>
        <w:t>momentos las medicinas para atender el VIH han dejado de  ser  provistas  en</w:t>
        <w:br/>
        <w:t>hospitales  públicos,  la  perito   Molina   señaló   que   “las   medicinas</w:t>
        <w:br/>
        <w:t>antirretrovirales  no  han  dejado  de  ser  provistas  por  los  diferentes</w:t>
        <w:br/>
        <w:t>subsistemas que conforman la Red Pública y Complementaria de Salud”.</w:t>
        <w:br/>
        <w:br/>
        <w:t>Por su parte la perito Carmen del Rocío Carrasco informó que en  el  Ecuador</w:t>
        <w:br/>
        <w:t>el Ministerio de Salud  Pública  inició  el  tratamiento  antirretroviral  a</w:t>
        <w:br/>
        <w:t>personas con VIH avanzada en el año 2004. Antes,  otras  instituciones  como</w:t>
        <w:br/>
        <w:t>las Fuerzas Armadas, la Policía y el  IESS  comenzaron  a  brindar  atención</w:t>
        <w:br/>
        <w:t>integral a pacientes.  La  perito  señaló  que  en  relación  con  Talía  se</w:t>
        <w:br/>
        <w:t>utilizaron “las  Guías  2002,  2004,  2007,  2010  y  2012”.  Sobre  algunas</w:t>
        <w:br/>
        <w:t>situaciones presentadas en el marco de la asistencia  sanitaria,  la  perito</w:t>
        <w:br/>
        <w:t>informó que:</w:t>
        <w:br/>
        <w:br/>
        <w:t xml:space="preserve">      “… La paciente [Talía] desde 1999 recibió atención integral por  parte</w:t>
        <w:br/>
        <w:t xml:space="preserve">      del hospital Vicente Corral Moscoso […]. En el año 2003  al  indicarle</w:t>
        <w:br/>
        <w:t xml:space="preserve">      que debía iniciar tratamiento antirretroviral la madre comunic[ó]  que</w:t>
        <w:br/>
        <w:t xml:space="preserve">      había decidido llevársela a la niña para tratamiento  en  el  hospital</w:t>
        <w:br/>
        <w:t xml:space="preserve">      Militar de la ciudad de Quito.</w:t>
        <w:br/>
        <w:br/>
        <w:br/>
        <w:t xml:space="preserve">      Luego regresa por segunda ocasión y es readmitida para continuación de</w:t>
        <w:br/>
        <w:t xml:space="preserve">      su  tratamiento  el  6  de  marzo  del  año  2009,  no  trae   ninguna</w:t>
        <w:br/>
        <w:t xml:space="preserve">      documentación de tratamientos previos, se le  solicitó  a  la  familia</w:t>
        <w:br/>
        <w:t xml:space="preserve">      obtener la documentación para enlace del tratamiento, lo cual nunca se</w:t>
        <w:br/>
        <w:t xml:space="preserve">      cumplió y nuevamente la paciente abandon[ó] sin  ninguna  notificación</w:t>
        <w:br/>
        <w:t xml:space="preserve">      el H[ospital Vicente Corral Moscoso].</w:t>
        <w:br/>
        <w:br/>
        <w:br/>
        <w:t xml:space="preserve">      Es importante  anotar  que  la  paciente  nunca  acudía  a  las  citas</w:t>
        <w:br/>
        <w:t xml:space="preserve">      programadas con puntualidad para ser atendida cuando se le asignaba, a</w:t>
        <w:br/>
        <w:t xml:space="preserve">      cargo de la mama demostró falencias en los niveles de  responsabilidad</w:t>
        <w:br/>
        <w:t xml:space="preserve">      de cumplimiento de los trámites tales como: no respetaba el  turno  ni</w:t>
        <w:br/>
        <w:t xml:space="preserve">      fecha asignada,  porque  quería  ser  atendida  inmediatamente  de  su</w:t>
        <w:br/>
        <w:t xml:space="preserve">      llegada por varias ocasiones.</w:t>
        <w:br/>
        <w:br/>
        <w:br/>
        <w:t xml:space="preserve">      La […] madre de [Talía] trató mal al personal del equipo de salud,  en</w:t>
        <w:br/>
        <w:t xml:space="preserve">      diferentes ocasiones por lo que ya no regresó, se supo que la paciente</w:t>
        <w:br/>
        <w:t xml:space="preserve">      se encontraba recibiendo atención en el hospital Militar de la  ciudad</w:t>
        <w:br/>
        <w:t xml:space="preserve">      de Quito y nuevamente ABANDON[Ó] el hospital el 6 de mayo del 2009. En</w:t>
        <w:br/>
        <w:t xml:space="preserve">      el año 2014 regres[ó]  nuevamente  acompa[ñ]ada  de  miembros  de  los</w:t>
        <w:br/>
        <w:t xml:space="preserve">      Derechos Humanos y un familiar para que se le atienda en  la  UAIPVVS-</w:t>
        <w:br/>
        <w:t xml:space="preserve">      HVCM, a lo que el D[octor JO] le indic[ó] que es  bienvenida  si  ella</w:t>
        <w:br/>
        <w:t xml:space="preserve">      así lo considera y que  por  favor  le  tra[jera]  un  informe  de  la</w:t>
        <w:br/>
        <w:t xml:space="preserve">      medicación  que  ha[bía]  venido  recibiendo  para  poder   hacer   el</w:t>
        <w:br/>
        <w:t xml:space="preserve">      seguimiento[185].</w:t>
        <w:br/>
        <w:br/>
        <w:t>Asimismo la perito Carrasco señaló lo siguiente sobre la  implementación  de</w:t>
        <w:br/>
        <w:t>un servicio de consejería:</w:t>
        <w:br/>
        <w:br/>
        <w:t xml:space="preserve">      La propuesta  de  establecer  un  sistema  formal  de  consejería  del</w:t>
        <w:br/>
        <w:t xml:space="preserve">      H[ospital Vicente Corral Moscoso] para PVVS […]  fue  solicitada  hace</w:t>
        <w:br/>
        <w:t xml:space="preserve">      aproximádamente 2 años [2013]. Anterior a esta fecha,  Consejería  era</w:t>
        <w:br/>
        <w:t xml:space="preserve">      responsabilidad del  Departamento  de  Trabajo  Social  del  H[ospital</w:t>
        <w:br/>
        <w:t xml:space="preserve">      Vicente Corral Moscoso]. La Dirección Provincial de  Salud  del  Azuay</w:t>
        <w:br/>
        <w:t xml:space="preserve">      (actualmente Coordinación Zonal 6) dispuso un Programa  de  Consejería</w:t>
        <w:br/>
        <w:t xml:space="preserve">      para PVVS […]</w:t>
        <w:br/>
        <w:br/>
        <w:br/>
        <w:t xml:space="preserve">      La mamá de la paciente la Sra. Teresa  Lluy  formó  parte  del  primer</w:t>
        <w:br/>
        <w:t xml:space="preserve">      grupo de auto ayuda para PVVS, del H[ospital Vicente  Corral  Moscoso]</w:t>
        <w:br/>
        <w:t xml:space="preserve">      cuya primera reunión se realizó en el Colegio Médico del Azuay  en  el</w:t>
        <w:br/>
        <w:t xml:space="preserve">      año 2002, solicitando la Sra. ser coordinadora de dicho grupo, que  se</w:t>
        <w:br/>
        <w:t xml:space="preserve">      constituyó con 5 paciente[s] y luego fue incrementando  el  número  de</w:t>
        <w:br/>
        <w:t xml:space="preserve">      pacientes, este grupo se descontinúa por varios motivos”.</w:t>
        <w:br/>
        <w:br/>
        <w:t>Posterior a la atención realizada en el  hospital  Vicente  Corral  Moscoso,</w:t>
        <w:br/>
        <w:t>Talía fue atendida en el hospital Militar de Quito.  Sobre  la  atención  en</w:t>
        <w:br/>
        <w:t>este hospital la perito Carrasco indicó lo siguiente:</w:t>
        <w:br/>
        <w:br/>
        <w:t xml:space="preserve">      La paciente [Talía] acud[ió] por primera vez  al  HG1  en  el  mes  de</w:t>
        <w:br/>
        <w:t xml:space="preserve">      [m]arzo del 2004, había sido diagnosticada de VIH  a  los  3  años  de</w:t>
        <w:br/>
        <w:t xml:space="preserve">      edad, su seguimiento, por referencia de la madre y  de  acuerdo  a  la</w:t>
        <w:br/>
        <w:t xml:space="preserve">      nota adjunta lo había relizado hasta ese momento el  Dr.  [JO]  en  la</w:t>
        <w:br/>
        <w:t xml:space="preserve">      Ciudad de Cuenca y la paciente había permanecido asintomática.  En  su</w:t>
        <w:br/>
        <w:t xml:space="preserve">      primera  consulta  la  paciente  se  encontraba  asintómática,  se  le</w:t>
        <w:br/>
        <w:t xml:space="preserve">      realiza[ro]n todos los exámenes de consulta de VIH de primera vez  que</w:t>
        <w:br/>
        <w:t xml:space="preserve">      incluyen Rx de Toraz, PPD, IGG e  IGM  para  toxoplasmosis,  Biometría</w:t>
        <w:br/>
        <w:t xml:space="preserve">      Hemática, Quimia Sanguínea y Carga Viral y CD4.</w:t>
        <w:br/>
        <w:br/>
        <w:br/>
        <w:t xml:space="preserve">      En su cita con resultados el 23-09-2004, los CD4 en 463, CD8  en  926,</w:t>
        <w:br/>
        <w:t xml:space="preserve">      la paciente seguía asintomática. De acuerdo a la normativa vigente  no</w:t>
        <w:br/>
        <w:t xml:space="preserve">      requería iniciar tratamiento antirretroviral. A su cita  siguiente  en</w:t>
        <w:br/>
        <w:t xml:space="preserve">      el mes de febrero del 2005 la paciente no acud[ió], su madre  retir[ó]</w:t>
        <w:br/>
        <w:t xml:space="preserve">      los pedidos de exámenes y se realiz[ó] Carga Viral y CD4.</w:t>
        <w:br/>
        <w:br/>
        <w:br/>
        <w:t xml:space="preserve">      Acud[ió] en el mes de junio de  2005  a  consulta  con  un  cuadro  de</w:t>
        <w:br/>
        <w:t xml:space="preserve">      lesiones maculares y costrosas generalizadas y diarrea, con  ocasional</w:t>
        <w:br/>
        <w:t xml:space="preserve">      dolor abdominal, se decid[ió]  su  ingreso,  para  inciar  tratamiento</w:t>
        <w:br/>
        <w:t xml:space="preserve">      antirretroviral en vista de que en su último resultado ya había CD4 en</w:t>
        <w:br/>
        <w:t xml:space="preserve">      236 y  carga  viral  en  38946.  Durante  su  ingreso  el  Diagnóstico</w:t>
        <w:br/>
        <w:t xml:space="preserve">      dermatológico  [fue]  de  un  prurigo  simple  por  VIH.  Se  inici[ó]</w:t>
        <w:br/>
        <w:t xml:space="preserve">      tratamiento con AZT, 3TC  y  Nelfinavir,  terapia  de  primera  línea,</w:t>
        <w:br/>
        <w:t xml:space="preserve">      basada en inhibidores de proteasa, de acuerdo  a  guías  nacionales  e</w:t>
        <w:br/>
        <w:t xml:space="preserve">      internacionales, no tenía indicación de no nucleosidos  por  presentar</w:t>
        <w:br/>
        <w:t xml:space="preserve">      lesiones dérmicas  activas,  desde  entonces  la  paciente  ha  tenido</w:t>
        <w:br/>
        <w:t xml:space="preserve">      controles semestrales, de  acuerdo  a  normativa  vigente,  en  dichos</w:t>
        <w:br/>
        <w:t xml:space="preserve">      controles se realiza biometría hemática, química  sanguínea,  EMO,  se</w:t>
        <w:br/>
        <w:t xml:space="preserve">      mantuvo carga viral indetectable desde  su  siguiente  control,  desde</w:t>
        <w:br/>
        <w:t xml:space="preserve">      2005, 2006, 2007, 2008, 2009, 2010, 2011 y 2012.</w:t>
        <w:br/>
        <w:br/>
        <w:br/>
        <w:t xml:space="preserve">      En el año 2007 se cambi[ó la] terapia antiretroviral con  AZT,  3TC  y</w:t>
        <w:br/>
        <w:t xml:space="preserve">      Efavirenz, por suspenderse la distribución mundial de Nefinavir. Desde</w:t>
        <w:br/>
        <w:t xml:space="preserve">      entonces   la   paciente   no   ha   requerido   cambio   de   terapia</w:t>
        <w:br/>
        <w:t xml:space="preserve">      antirretroviral. No ha presentado infecciones oportunistas por lo  que</w:t>
        <w:br/>
        <w:t xml:space="preserve">      no ha requerido ninguna otra hospitalización,  ha  permanecido  en  la</w:t>
        <w:br/>
        <w:t xml:space="preserve">      mayoría de controles asintomática (ver historia clínica)  su  problema</w:t>
        <w:br/>
        <w:t xml:space="preserve">      constante ha sido dermatológico por prurigo simple que se describe  en</w:t>
        <w:br/>
        <w:t xml:space="preserve">      la literatura siempre como de difícil control. El mismo se ha manejado</w:t>
        <w:br/>
        <w:t xml:space="preserve">      con pentoxifilina y corticoides tópicos. Su última atención de acuerdo</w:t>
        <w:br/>
        <w:t xml:space="preserve">      al sistema fue en el  año  2013,  en  que  se  valor[ó]  y  solicit[ó]</w:t>
        <w:br/>
        <w:t xml:space="preserve">      exámenes. […] La condición de la paciente durante estos años  ha  sido</w:t>
        <w:br/>
        <w:t xml:space="preserve">      la de una portadora del virus del VIH, con carga  viral  indetectable,</w:t>
        <w:br/>
        <w:t xml:space="preserve">      como complicación ha presentado prurigo simple que  deja  secuelas  en</w:t>
        <w:br/>
        <w:t xml:space="preserve">      piel[186].</w:t>
        <w:br/>
        <w:br/>
        <w:br/>
        <w:t xml:space="preserve">      Situación de pobreza enfrentada por la Familia Lluy</w:t>
        <w:br/>
        <w:br/>
        <w:br/>
        <w:t>Ha sido señalado previamente que a Teresa Lluy le fue otorgado un amparo  de</w:t>
        <w:br/>
        <w:t>pobreza para que iniciara la acción civil  por  daños  y  perjuicios  (supra</w:t>
        <w:br/>
        <w:t>párr. 120). Asimismo, además de las dificultades en el trabajo, Teresa  Lluy</w:t>
        <w:br/>
        <w:t>describió en varias oportunidades que su hija y su  familia  “ha[bían]  sido</w:t>
        <w:br/>
        <w:t>víctimas de la más  cruel  discriminación,  pues  se  les  ha[bía]  impedido</w:t>
        <w:br/>
        <w:t>[tener] vivienda propia”[187]. De acuerdo con las declaraciones de  Talía  y</w:t>
        <w:br/>
        <w:t>su familia, fueron obligados a mudarse en múltiples ocasiones  debido  a  la</w:t>
        <w:br/>
        <w:t>exclusión y el rechazo del que fueron objeto por la condición  de  Talía,  y</w:t>
        <w:br/>
        <w:t>se vieron forzados a vivir en condiciones desfavorables  y  en  lugares  muy</w:t>
        <w:br/>
        <w:t>apartados debido a que no encontraban un lugar donde  quisieran  arrendarles</w:t>
        <w:br/>
        <w:t>una vivienda[188].</w:t>
        <w:br/>
        <w:br/>
        <w:br/>
        <w:t>IX</w:t>
        <w:br/>
        <w:t>DERECHO A LA VIDA Y DERECHO A LA INTEGRIDAD PERSONAL</w:t>
        <w:br/>
        <w:br/>
        <w:br/>
        <w:t xml:space="preserve">      Alegatos de la Comisión y de las partes</w:t>
        <w:br/>
        <w:br/>
        <w:t>La Comisión analizó el caso a la luz de la relación de la salud  humana  con</w:t>
        <w:br/>
        <w:t>el derecho a la vida digna  y  el  derecho  a  la  integridad  personal.  Al</w:t>
        <w:br/>
        <w:t>respecto, observó que desde el momento en  que  se  denunció  penalmente  el</w:t>
        <w:br/>
        <w:t>contagio, “el Estado  tuvo  conocimiento  de  la  situación  en  la  que  se</w:t>
        <w:br/>
        <w:t>encontraba la niña y la necesidad de tratamiento”, a pesar de lo cual no  se</w:t>
        <w:br/>
        <w:t>ha recibido respuesta alguna para  evitar  el  deterioro  progresivo  en  su</w:t>
        <w:br/>
        <w:t>salud e integridad personal. La Comisión  consideró  que  “las  obligaciones</w:t>
        <w:br/>
        <w:t>estatales frente  al  derecho  a  la  integridad  personal  y  frente  a  la</w:t>
        <w:br/>
        <w:t>necesidad de crear las  condiciones  para  permitir  una  existencia  digna,</w:t>
        <w:br/>
        <w:t>leídas conjuntamente con el deber de especial protección de la  niñez  y  el</w:t>
        <w:br/>
        <w:t>principio de interés superior del niño o la niña,  imponían  al  Estado  dar</w:t>
        <w:br/>
        <w:t>una respuesta eficaz que debía materializarse en el  acceso  de  [Talía]  al</w:t>
        <w:br/>
        <w:t>tratamiento que requería”. Agregó que la responsabilidad del  Estado  no  se</w:t>
        <w:br/>
        <w:t>encuentra limitada por las obligaciones mínimas de  regulación,  supervisión</w:t>
        <w:br/>
        <w:t>y fiscalización, “sino que además incluye la falta de respuesta  tras  tomar</w:t>
        <w:br/>
        <w:t>conocimiento del contagio a través de múltiples mecanismos. A la  fecha,  el</w:t>
        <w:br/>
        <w:t>Estado ha ignorado  la  situación  de  una  niña  en  extrema  situación  de</w:t>
        <w:br/>
        <w:t>vulnerabilidad bajo su jurisdicción, generando así una afectación  adicional</w:t>
        <w:br/>
        <w:t>a su integridad personal y a las posibilidades de llevar adelante  una  vida</w:t>
        <w:br/>
        <w:t>digna, y exponiéndola a  una  situación  de  discriminación”.  Asimismo,  la</w:t>
        <w:br/>
        <w:t>Comisión consideró que el Estado es  responsable  por  la  violación  de  la</w:t>
        <w:br/>
        <w:t>integridad psíquica y moral de la madre y el  hermano  de  Talía.  Por  otra</w:t>
        <w:br/>
        <w:t>parte, la Comisión resaltó que no existía prueba de que al  momento  de  los</w:t>
        <w:br/>
        <w:t>hechos las entidades privadas  involucradas  fueran  objeto  de  regulación,</w:t>
        <w:br/>
        <w:t>supervisión o fiscalización, que no había surgido una hipótesis  distinta  a</w:t>
        <w:br/>
        <w:t>la transfusión de sangre que pudiera sugerir otra  vía  de  contagio  y  que</w:t>
        <w:br/>
        <w:t>existieron varias irregularidades y contradicciones en los  pocos  registros</w:t>
        <w:br/>
        <w:t>existentes y que, “en este  escenario,  el  Estado  se  limitó  a  negar  su</w:t>
        <w:br/>
        <w:t>responsabilidad  por  tratarse  de  entidades  privadas  y  no  a   conducta</w:t>
        <w:br/>
        <w:t>estatal”.</w:t>
        <w:br/>
        <w:br/>
        <w:t>Por otra parte, en relación con el exámen  ginecológico  realizado  a  Talía</w:t>
        <w:br/>
        <w:t>Gonzales Lluy a pedido de su madre,  la  Comisión  observó  que,  “de  haber</w:t>
        <w:br/>
        <w:t>algún impulso de  las  autoridades  estatales  para  la  realización  de  la</w:t>
        <w:br/>
        <w:t>prueba, el análisis debe centrarse en si la misma estuvo  justificada  o  no</w:t>
        <w:br/>
        <w:t>en las circunstancias del caso.” La Comisión indicó que “no ha  identificado</w:t>
        <w:br/>
        <w:t>razones o factores que pudieron haber justificado el proceder  a  un  examen</w:t>
        <w:br/>
        <w:t>de esta naturaleza, con los efectos que el mismo podría generar en una  niña</w:t>
        <w:br/>
        <w:t>de tres años y cuando la prueba apuntaba a que la fuente del contagio  había</w:t>
        <w:br/>
        <w:t>sido la transfusión de sangre sin que existiera indicio  alguno  de  posible</w:t>
        <w:br/>
        <w:t>contagio por vía sexual”.</w:t>
        <w:br/>
        <w:br/>
        <w:t>Los representantes alegaron violaciones al derecho a la vida y al derecho  a</w:t>
        <w:br/>
        <w:t>la integridad personal en relación con el derecho a la  salud.  Consideraron</w:t>
        <w:br/>
        <w:t>que se vulneró “la obligación negativa[, respecto al derecho a la vida,]  al</w:t>
        <w:br/>
        <w:t>contaminar la sangre de Talía”, por lo que el Estado “tiene  responsabilidad</w:t>
        <w:br/>
        <w:t>al no tener un sistema de control que prevenga esta violación en  el  sector</w:t>
        <w:br/>
        <w:t>privado de salud”. Por otro lado, alegaron  que  se  vulneró  la  obligación</w:t>
        <w:br/>
        <w:t>positiva,  “en  tanto  que,  sin  prestaciones  básicas,  que  implican   el</w:t>
        <w:br/>
        <w:t>diagnóstico, la atención permanente, y la provisión de medicinas, de  manera</w:t>
        <w:br/>
        <w:t>cotidiana  y  periódica,  simplemente  los  portadores   de   VIH   morirían</w:t>
        <w:br/>
        <w:t>irremediablemente”. Los representantes señalaron  que  el  Estado  violó  la</w:t>
        <w:br/>
        <w:t>integridad personal de Talía, porque, “durante todos  los  años  contados  a</w:t>
        <w:br/>
        <w:t>partir desde que tuvo conocimiento del  contagio  de  sangre  contaminada  a</w:t>
        <w:br/>
        <w:t>Talía,  [no]  puso  en  funcionamiento  mecanismos  adecuados,  ni  sancionó</w:t>
        <w:br/>
        <w:t>administrativ[a o]  judicialmente  a  las  personas  responsables”.  Además,</w:t>
        <w:br/>
        <w:t>señalaron que la Cruz Roja al ser la única entidad con bancos de  sangre  al</w:t>
        <w:br/>
        <w:t>momento  de  producirse  los  hechos,  y  al   no   tener   supervisión   ni</w:t>
        <w:br/>
        <w:t>fiscalización “generó una situación de riesgo que  el  propio  Estado  debía</w:t>
        <w:br/>
        <w:t>haber conocido” por lo que se generó una responsabilidad  como  consecuencia</w:t>
        <w:br/>
        <w:t>de la omisión del cumplimiento del deber de supervisar la prestación de  sus</w:t>
        <w:br/>
        <w:t>servicios. Añadieron que la familia Lluy no recibió un  servicio  médico  de</w:t>
        <w:br/>
        <w:t>calidad,  puesto  que  “no  había  personal  suficiente,   no   tenían   los</w:t>
        <w:br/>
        <w:t>laboratorios todas las pruebas necesarias para examinar la sangre (al  punto</w:t>
        <w:br/>
        <w:t>que se tuvo que  solicitar  a  laboratorios  de  Quito  que  verificaran  la</w:t>
        <w:br/>
        <w:t>sangre)[ y] el personal de la Cruz Roja y del hospital  donde  estaba  Talía</w:t>
        <w:br/>
        <w:t>no sabía manejar  las  muestras  de  forma  adecuada”.  El  servicio  médico</w:t>
        <w:br/>
        <w:t>tampoco fue aceptable puesto que “no supieron actuar y no pueden  aún  ahora</w:t>
        <w:br/>
        <w:t>actuar de forma responsable frente a un  acto  negligente  y  violatorio  de</w:t>
        <w:br/>
        <w:t>derechos fundamentales, tampoco estaba adecuado  para  atender  a  niñas  de</w:t>
        <w:br/>
        <w:t>tres años que  necesitaban  sangre”.  Además,  alegaron  que  las  presuntas</w:t>
        <w:br/>
        <w:t>víctimas “nunca recibieron de parte del Estado información  alguna  que  les</w:t>
        <w:br/>
        <w:t>ayudara a entender el problema que estaban atravesando”.</w:t>
        <w:br/>
        <w:br/>
        <w:t>Por otra parte, los representantes alegaron la violación del  derecho  a  la</w:t>
        <w:br/>
        <w:t>salud en el marco del artículo 26 de la Convención  Americana  en  perjuicio</w:t>
        <w:br/>
        <w:t>de Talía Gonzales Lluy. En virtud de ello, solicitaron que la Corte  realice</w:t>
        <w:br/>
        <w:t>una interpretación contextual, evolutiva y literal de los derechos a la  luz</w:t>
        <w:br/>
        <w:t>de los desarrollos doctrinarios contemporáneos y de  las  disposiciones  del</w:t>
        <w:br/>
        <w:t>artículo 29 de la Convención. Al respecto,  señalaron  que  el  artículo  26</w:t>
        <w:br/>
        <w:t>debe  ser  plenamente  exigible  y  no  debe  ser  interpretado   de   forma</w:t>
        <w:br/>
        <w:t>restrictiva, en el sentido  de  que  los  derechos  económicos,  sociales  y</w:t>
        <w:br/>
        <w:t>culturales no  sólo  tienen  dimensiones  de  cumplimiento  progresivo  sino</w:t>
        <w:br/>
        <w:t>también  de  efecto  inmediato.  De  acuerdo  con  los  representantes,   el</w:t>
        <w:br/>
        <w:t>contenido de estos derechos debe leerse por la teoría del  corpus  iuris,  a</w:t>
        <w:br/>
        <w:t>la luz del Protocolo  de  San  Salvador,  la  doctrina  del  Comité  de  los</w:t>
        <w:br/>
        <w:t>Derechos Económicos, Sociales y Culturales de Naciones Unidas (en  adelante,</w:t>
        <w:br/>
        <w:t>Comité DESC”), de otros instrumentos  internacionales  de  derechos  humanos</w:t>
        <w:br/>
        <w:t>vigentes en el Ecuador y de su  Constitución  Política.  Los  representantes</w:t>
        <w:br/>
        <w:t>indicaron que “el derecho que mejor encuadra la  solución  del  caso  es  la</w:t>
        <w:br/>
        <w:t>salud y no la integridad física”, que “[c]ada uno de  los  derechos  humanos</w:t>
        <w:br/>
        <w:t>tienen contenido propio”; y que se debe tener en cuenta la evolución  de  la</w:t>
        <w:br/>
        <w:t>exigibilidad de los derechos sociales en cortes nacionales,  en  el  sistema</w:t>
        <w:br/>
        <w:t>de Naciones Unidas, y en el sistema interamericano.</w:t>
        <w:br/>
        <w:br/>
        <w:t>Los representantes alegaron que el examen ginecológico  practicado  a  Talía</w:t>
        <w:br/>
        <w:t>cuando tenía tres años de edad “fue una de las experiencias más  traumáticas</w:t>
        <w:br/>
        <w:t>de su vida”. Además, los  representantes  señalaron  que  el  consentimiento</w:t>
        <w:br/>
        <w:t>informado es fundamental para no violar el derecho a  la  vida  privada.  Al</w:t>
        <w:br/>
        <w:t>respecto, señalaron que la práctica de dicho examen violó los derechos a  la</w:t>
        <w:br/>
        <w:t>vida privada, salud y a la integridad personal. Por otra parte, teniendo  en</w:t>
        <w:br/>
        <w:t>cuenta  diversos  problemas  de  acceso  a  la  información  respecto  a  la</w:t>
        <w:br/>
        <w:t>transfusión  de  sangre  y  la  realización  del  examen  ginecológico,  los</w:t>
        <w:br/>
        <w:t>representantes alegaron la  violación  del  artículo  13  de  la  Convención</w:t>
        <w:br/>
        <w:t>Americana.</w:t>
        <w:br/>
        <w:br/>
        <w:br/>
        <w:t>El Estado reconoció en la audiencia pública “que  en  la  época  en  la  que</w:t>
        <w:br/>
        <w:t>ocurrieron los lamentables hechos  que  configuraron  este  caso,  no  debió</w:t>
        <w:br/>
        <w:t>haber delegado a un ente  privado  las  funciones  rectoras  en  el  sistema</w:t>
        <w:br/>
        <w:t>nacional de sangre”. Por otra parte,  el  Estado  adujo  que  en  este  caso</w:t>
        <w:br/>
        <w:t>“afortunadamente no se discute la privación del derecho a la vida,  sino  la</w:t>
        <w:br/>
        <w:t>supuesta vulneración de este derecho dentro del estándar de  condiciones  de</w:t>
        <w:br/>
        <w:t>vida digna”. El  Estado  argumentó  que  “si  la  persona  no  se  encuentra</w:t>
        <w:br/>
        <w:t>internada dentro de una institución pública o privada  […],  sino  más  bien</w:t>
        <w:br/>
        <w:t>bajo la protección de la familia y de su propia disciplina para cumplir  con</w:t>
        <w:br/>
        <w:t>tratamientos […], no puede verificarse de manera  directa  su  condición  de</w:t>
        <w:br/>
        <w:t>garante en estricto  sentido”  ni  la  obligación  de  cuidado  reforzada  y</w:t>
        <w:br/>
        <w:t>especial por razón de custodia de  pacientes,  obligación  no  aplicable  al</w:t>
        <w:br/>
        <w:t>caso de Talía. Por otra parte, el Estado informó que Talía “se encuentra  en</w:t>
        <w:br/>
        <w:t>compañía de su familia recibiendo atención médica del Estado y […]  contando</w:t>
        <w:br/>
        <w:t>con  un  acompañamiento  psicológico  público”.  En  lo  que  refiere  a  la</w:t>
        <w:br/>
        <w:t>obligación de control y fiscalización  de  organismos  privados,  el  Estado</w:t>
        <w:br/>
        <w:t>informó  que  “cuenta  con  tres  sistemas  de   vigilancia,   monitoreo   y</w:t>
        <w:br/>
        <w:t>planificación” que  satisfacen  la  obligación  de  proteger  la  integridad</w:t>
        <w:br/>
        <w:t>física, a saber: i) el Sistema de Vigilancia Epidemiológico con el  objetivo</w:t>
        <w:br/>
        <w:t>de implementar una vigilancia de Segunda Generación con la  implantación  de</w:t>
        <w:br/>
        <w:t>estudios centinelas en las poblaciones de mayor exposición; ii)  el  Sistema</w:t>
        <w:br/>
        <w:t>Integrado de Información que  apoya  el  monitoreo  y  la  atención  de  los</w:t>
        <w:br/>
        <w:t>pacientes y el desempeño de los proveedores de servicios en VIH  y  SIDA  en</w:t>
        <w:br/>
        <w:t>los distintas UAI y, iii) el Sistema Integrado  de  Monitoreo  y  Evaluación</w:t>
        <w:br/>
        <w:t>que “sirve para planificar y  monitorear  la  ejecución  tanto  programática</w:t>
        <w:br/>
        <w:t>como financiera”. Por todo lo anterior el  Estado  consideró  que  no  había</w:t>
        <w:br/>
        <w:t>vulnerado el derecho a la vida digna de Talía.</w:t>
        <w:br/>
        <w:br/>
        <w:t>El Estado precisó que “al tiempo en que se  dieron  los  hechos  materia  de</w:t>
        <w:br/>
        <w:t>análisis en el presente caso, la regulación de los servicios y  prestaciones</w:t>
        <w:br/>
        <w:t>de salud se encontraba establecida en el ordenamiento jurídico  ecuatoriano,</w:t>
        <w:br/>
        <w:t>a partir de la norma constitucional, pasando  por  disposiciones  legales  y</w:t>
        <w:br/>
        <w:t>reglamentarias, en cuanto  al  funcionamiento  de  entidades  encargadas  de</w:t>
        <w:br/>
        <w:t>servicios transfusionales y bancos de sangre”.  Asimismo,  hizo  mención  de</w:t>
        <w:br/>
        <w:t>diversas disposiciones internas que regularían aspectos como  la  prestación</w:t>
        <w:br/>
        <w:t>de servicios de salud, el funcionamiento de bancos de sangre,  asistencia  a</w:t>
        <w:br/>
        <w:t>pacientes con VIH y los derechos de los pacientes, entre otros.</w:t>
        <w:br/>
        <w:br/>
        <w:t>En consecuencia,  el  Estado  alegó  que  “no  ha  incumplido  su  deber  de</w:t>
        <w:br/>
        <w:t>regulación  al  establecer  un  marco  normativo  adecuado  que  regula   la</w:t>
        <w:br/>
        <w:t>prestación de servicios  de  salud,  con  estándares  de  calidad  para  las</w:t>
        <w:br/>
        <w:t>instituciones públicas y privadas, que permite  prevenir  cualquier  amenaza</w:t>
        <w:br/>
        <w:t>de vulneración a la integridad personal en dichas prestaciones”.  Además  el</w:t>
        <w:br/>
        <w:t>Estado alegó que, con el fin de supervisar y  fiscalizar  periódicamente  el</w:t>
        <w:br/>
        <w:t>funcionamiento de los bancos de sangre del país,  ha  desarrollado  diversas</w:t>
        <w:br/>
        <w:t>actividades enfocadas a evaluar, mejorar, establecer estándares  de  calidad</w:t>
        <w:br/>
        <w:t>y auditar los bancos de sangre públicos y privados.</w:t>
        <w:br/>
        <w:br/>
        <w:t>Además, el Estado argumentó  que  ha  cumplido  con  su  deber  de  regular,</w:t>
        <w:br/>
        <w:t>supervisar y fiscalizar a las instituciones que prestan servicios de  salud,</w:t>
        <w:br/>
        <w:t>“toda  vez  que  la  autoridad  sanitaria   nacional   poseía   atribuciones</w:t>
        <w:br/>
        <w:t>administrativas, a través del Código de Salud vigente  en  esa  época,  para</w:t>
        <w:br/>
        <w:t>fiscalizar a los prestadores del servicio de salud y establecer sanciones  a</w:t>
        <w:br/>
        <w:t>que hubiere lugar”. De igual manera, alegó que  “estuvieron  permanentemente</w:t>
        <w:br/>
        <w:t>disponibles todas las acciones y servicios de salud  en  el  sector  público</w:t>
        <w:br/>
        <w:t>para su atención médica y psicológica, sin embargo,  el  hecho  de  que  por</w:t>
        <w:br/>
        <w:t>decisión propia no se hayan utilizado estos medios estatales,  no  significa</w:t>
        <w:br/>
        <w:t>de modo alguno que éstos les hayan estado vedados, pues el acceso  gratuito,</w:t>
        <w:br/>
        <w:t>inmediato y permanente  a  estos  servicios  por  parte  del  Estado  estuvo</w:t>
        <w:br/>
        <w:t>garantizado”. El Estado enfatizó que se ha priorizado  la  estrategia  sobre</w:t>
        <w:br/>
        <w:t>VIH/SIDA, “que cuenta con su propio proyecto de inversión en  el  cual  solo</w:t>
        <w:br/>
        <w:t>en los últimos años  se  han  invertido  más  de  50  millones  de  dólares,</w:t>
        <w:br/>
        <w:t>enfocados exclusivamente a esta patología, incluyendo el acceso  gratuito  a</w:t>
        <w:br/>
        <w:t>los esquemas internacionales de tratamiento de  forma  gratuita  para  todos</w:t>
        <w:br/>
        <w:t>los pacientes que lo requieran,  así  como  la  provisión  de  servicios  de</w:t>
        <w:br/>
        <w:t>diagnóstico, prevención, promoción  y  manejo  integral”.  Resaltó  que  “es</w:t>
        <w:br/>
        <w:t>dentro de este nivel de servicios de salud que  Talía  ha  sido  atendida  y</w:t>
        <w:br/>
        <w:t>sigue siendo atendida”.</w:t>
        <w:br/>
        <w:br/>
        <w:t>El Estado afirmó que la perspectiva de los representantes sobre el  artículo</w:t>
        <w:br/>
        <w:t>26 no cumple las condiciones de justiciabilidad requeridas  para  considerar</w:t>
        <w:br/>
        <w:t>al caso como de carácter contencioso,  configurando  un  “‘caso  abstracto’,</w:t>
        <w:br/>
        <w:t>que más bien se ubica dentro de la dimensión consultiva y  de  promoción  de</w:t>
        <w:br/>
        <w:t>derechos, que bien puede ser desarrollada dentro de  un  informe  técnico  o</w:t>
        <w:br/>
        <w:t>temático de la Comisión Interamericana”. Agregó que “no  es  posible  acusar</w:t>
        <w:br/>
        <w:t>al Estado de estancamiento en las políticas  públicas  relacionadas  con  el</w:t>
        <w:br/>
        <w:t>sector social, ni de retroceso en  los  programas  sociales,  circunstancias</w:t>
        <w:br/>
        <w:t>que permitirían mostrar un patrón eventualmente violatorio de [los  derechos</w:t>
        <w:br/>
        <w:t>económicos, sociales y culturales]”. El Estado resaltó  que  “ha  demostrado</w:t>
        <w:br/>
        <w:t>notables avances en  la  prestación  de  servicios  públicos,  y  concreción</w:t>
        <w:br/>
        <w:t>jurídica de derechos económicos, sociales y culturales”[189].</w:t>
        <w:br/>
        <w:br/>
        <w:t>Finalmente, el Estado alegó que Teresa Lluy acudió de  manera  voluntaria  a</w:t>
        <w:br/>
        <w:t>solicitar  el  examen  ginecológico  para  su  hija,  y  destacó  que  dicha</w:t>
        <w:br/>
        <w:t>solicitud consta en el certificado médico emitido  luego  de  dicho  examen.</w:t>
        <w:br/>
        <w:t>Asimismo, señaló que si la  práctica  del  examen  hubiese  sido  iniciativa</w:t>
        <w:br/>
        <w:t>procesal del juez penal, éste tendría que haber  designado  peritos  médicos</w:t>
        <w:br/>
        <w:t>especializados  para  su  realización.  En  virtud  de  ello,  concluyó  que</w:t>
        <w:br/>
        <w:t>“ninguna autoridad judicial  ni  administrativa,  solicitó  u  ordenó  a  la</w:t>
        <w:br/>
        <w:t>señora Teresa Lluy que  se  le  practi[cara]  un  examen  de  reconocimiento</w:t>
        <w:br/>
        <w:t>ginecológico a su hija[. D]icho examen […] se  realizó  […]  por  iniciativa</w:t>
        <w:br/>
        <w:t>propia de la señora Lluy, quien incorporó por su cuenta […]  este  documento</w:t>
        <w:br/>
        <w:t>al juicio penal”.</w:t>
        <w:br/>
        <w:br/>
        <w:t xml:space="preserve">    Consideraciones de la Corte</w:t>
        <w:br/>
        <w:br/>
        <w:t>A continuación la Corte analizará: A) el derecho a la  vida,  derecho  a  la</w:t>
        <w:br/>
        <w:t>integridad personal y derecho a la  salud  en  cuanto  a  la  obligación  de</w:t>
        <w:br/>
        <w:t>regular, fiscalizar y supervisar la prestación de servicios  en  centros  de</w:t>
        <w:br/>
        <w:t>salud privados; y  B)  la  disponibilidad,  accesibilidad,  aceptabilidad  y</w:t>
        <w:br/>
        <w:t>calidad en la asistencia sanitaria en el marco del derecho a la vida y a  la</w:t>
        <w:br/>
        <w:t>integridad  personal,  ambos  en   relación   con   Talía   González   LLuy.</w:t>
        <w:br/>
        <w:t>Posteriomente, se examinará C)  el  derecho  a  la  integridad  personal  de</w:t>
        <w:br/>
        <w:t>Teresa Lluy e Iván Lluy.</w:t>
        <w:br/>
        <w:br/>
        <w:t>Esta  Corte  ha  sostenido  que,  en  aplicación  del  artículo  1.1  de  la</w:t>
        <w:br/>
        <w:t>Convención, los Estados poseen  la  obligación  erga  omnes  de  respetar  y</w:t>
        <w:br/>
        <w:t>garantizar las normas de protección, así como de asegurar la efectividad  de</w:t>
        <w:br/>
        <w:t>los derechos humanos[190]. Por consiguiente, los Estados se  comprometen  no</w:t>
        <w:br/>
        <w:t>solo a respetar los derechos y libertades en  ella  reconocidos  (obligación</w:t>
        <w:br/>
        <w:t>negativa),  sino  también  a  adoptar  todas  las  medidas  apropiadas  para</w:t>
        <w:br/>
        <w:t>garantizarlos (obligación positiva)[191].  En  este  sentido,  la  Corte  ha</w:t>
        <w:br/>
        <w:t>establecido que no  basta  que  los  Estados  se  abstengan  de  violar  los</w:t>
        <w:br/>
        <w:t>derechos,  sino  que  es  imperativa  la  adopción  de  medidas   positivas,</w:t>
        <w:br/>
        <w:t>determinables en función de las particulares necesidades de  protección  del</w:t>
        <w:br/>
        <w:t>sujeto de derecho, ya sea por su  condición  personal  o  por  la  situación</w:t>
        <w:br/>
        <w:t>específica en que se encuentre[192].</w:t>
        <w:br/>
        <w:br/>
        <w:t>El artículo 4 de la Convención garantiza no solo  el  derecho  de  todo  ser</w:t>
        <w:br/>
        <w:t>humano de no ser privado de la vida arbitrariamente,  sino  que  además,  el</w:t>
        <w:br/>
        <w:t>deber de los Estados de adoptar las medidas necesarias para crear  un  marco</w:t>
        <w:br/>
        <w:t>normativo adecuado que disuada cualquier amenaza al derecho a la vida[193].</w:t>
        <w:br/>
        <w:br/>
        <w:t>La obligación de garantía se proyecta más allá  de  la  relación  entre  los</w:t>
        <w:br/>
        <w:t>agentes estatales y las personas  sometidas  a  su  jurisdicción,  abarcando</w:t>
        <w:br/>
        <w:t>asimismo el deber de prevenir, en la esfera privada, que  terceros  vulneren</w:t>
        <w:br/>
        <w:t>los bienes jurídicos protegidos[194]. No obstante, la Corte  ha  considerado</w:t>
        <w:br/>
        <w:t>que un Estado no puede ser responsable por cualquier violación  de  derechos</w:t>
        <w:br/>
        <w:t>humanos cometida entre particulares dentro de su jurisdicción.  El  carácter</w:t>
        <w:br/>
        <w:t>erga omnes de las obligaciones convencionales de garantía  a  cargo  de  los</w:t>
        <w:br/>
        <w:t>Estados no implica una responsabilidad ilimitada  de  los  mismos  frente  a</w:t>
        <w:br/>
        <w:t>cualquier acto o hecho de particulares; pues,  aunque  un  acto,  omisión  o</w:t>
        <w:br/>
        <w:t>hecho de un particular tenga como  consecuencia  jurídica  la  violación  de</w:t>
        <w:br/>
        <w:t>determinados  derechos   humanos   de   otro   particular,   aquel   no   es</w:t>
        <w:br/>
        <w:t>automáticamente atribuible al Estado, sino que corresponde  atenerse  a  las</w:t>
        <w:br/>
        <w:t>circunstancias  particulares  del  caso  y  a  la   concreción   de   dichas</w:t>
        <w:br/>
        <w:t>obligaciones de garantía[195].  En este sentido, la Corte  deberá  verificar</w:t>
        <w:br/>
        <w:t>si le es atribuible responsabilidad  internacional  al  Estado  en  el  caso</w:t>
        <w:br/>
        <w:t>concreto.</w:t>
        <w:br/>
        <w:br/>
        <w:t>En lo que respecta a la relación del deber de garantía  (artículo  1.1)  con</w:t>
        <w:br/>
        <w:t>el artículo 5.1 de la Convención, la Corte ha establecido que el  derecho  a</w:t>
        <w:br/>
        <w:t>la integridad personal se halla directa e inmediatamente  vinculado  con  la</w:t>
        <w:br/>
        <w:t>atención a la salud humana[196], y que la falta de atención médica  adecuada</w:t>
        <w:br/>
        <w:t>puede conllevar la vulneración del artículo 5.1 de  la  Convención[197].  En</w:t>
        <w:br/>
        <w:t>este sentido, la Corte ha sostenido que  la  protección  del  derecho  a  la</w:t>
        <w:br/>
        <w:t>integridad personal supone la regulación de los servicios  de  salud  en  el</w:t>
        <w:br/>
        <w:t>ámbito interno, así como  la  implementación  de  una  serie  de  mecanismos</w:t>
        <w:br/>
        <w:t>tendientes a tutelar la  efectividad  de  dicha  regulación[198].  Por  esta</w:t>
        <w:br/>
        <w:t>razón, se debe determinar si en el presente caso se garantizó la  integridad</w:t>
        <w:br/>
        <w:t>personal consagrada en el artículo 5.1 de la Convención en relación  con  el</w:t>
        <w:br/>
        <w:t>artículo 1.1 de la misma.</w:t>
        <w:br/>
        <w:br/>
        <w:t>Por  otra  parte,  la  Corte  también  considera  pertinente   recordar   la</w:t>
        <w:br/>
        <w:t>interdependencia e indivisibilidad existente entre los  derechos  civiles  y</w:t>
        <w:br/>
        <w:t>políticos y los derechos económicos, sociales y  culturales,  ya  que  deben</w:t>
        <w:br/>
        <w:t>ser entendidos integralmente como derechos humanos, sin jerarquía  entre  sí</w:t>
        <w:br/>
        <w:t>y exigibles en todos  los  casos  ante  aquellas  autoridades  que  resulten</w:t>
        <w:br/>
        <w:t>competentes para ello[199]. Al respecto, la  Declaración  Americana  de  los</w:t>
        <w:br/>
        <w:t>Derechos y Deberes del Hombre establece en su Artículo XI que  toda  persona</w:t>
        <w:br/>
        <w:t>tiene el derecho “a que su salud sea preservada  por  medidas  sanitarias  y</w:t>
        <w:br/>
        <w:t>sociales, relativas a […] la asistencia médica,  correspondientes  al  nivel</w:t>
        <w:br/>
        <w:t>que permitan los recursos públicos y los de la comunidad”. Por su parte,  el</w:t>
        <w:br/>
        <w:t>Artículo 45 de la  Carta  de  la  OEA  requiere  que  los  Estados  Miembros</w:t>
        <w:br/>
        <w:t>“dedi[quen] sus máximos esfuerzos [… para el] [d]esarrollo de  una  política</w:t>
        <w:br/>
        <w:t>eficiente de seguridad social”[200]. En este sentido,  el  artículo  10  del</w:t>
        <w:br/>
        <w:t>Protocolo Adicional a la Convención  Americana  sobre  Derechos  Humanos  en</w:t>
        <w:br/>
        <w:t>materia de Derechos Económicos, Sociales y  Culturales,  ratificado  por  el</w:t>
        <w:br/>
        <w:t>Ecuador el 25 de marzo de 1993 y entrado en vigor  el  16  de  noviembre  de</w:t>
        <w:br/>
        <w:t>1999, establece que toda persona tiene derecho a la  salud,  entendida  como</w:t>
        <w:br/>
        <w:t>el disfrute del más alto nivel de  bienestar  físico,  mental  y  social,  e</w:t>
        <w:br/>
        <w:t>indica que la salud es un bien público[201].  Adicionalmente,  en  julio  de</w:t>
        <w:br/>
        <w:t>2012, la Asamblea General de la Organización de Estados Americanos  enfatizó</w:t>
        <w:br/>
        <w:t>la calidad de los establecimientos, bienes y servicios  de  salud,  lo  cual</w:t>
        <w:br/>
        <w:t>requiere  la  presencia  de  personal  médico  capacitado,   así   como   de</w:t>
        <w:br/>
        <w:t>condiciones sanitarias adecuadas[202].</w:t>
        <w:br/>
        <w:br/>
        <w:t>Por otra parte, el Comité de Derechos Económicos, Sociales y  Culturales  ha</w:t>
        <w:br/>
        <w:t>señalado que todos los servicios, artículos e instalaciones de  salud  deben</w:t>
        <w:br/>
        <w:t>cumplir con requisitos de  disponibilidad,  accesibilidad,  aceptabilidad  y</w:t>
        <w:br/>
        <w:t>calidad. En torno a estos elementos esenciales del derecho  a  la  salud  el</w:t>
        <w:br/>
        <w:t>Comité ha precisado su alcance en los siguientes términos:</w:t>
        <w:br/>
        <w:br/>
        <w:t xml:space="preserve">    a)     Disponibilidad. Cada Estado Parte deberá contar  con  un  número</w:t>
        <w:br/>
        <w:t xml:space="preserve">         suficiente de establecimientos,  bienes  y  servicios  públicos  de</w:t>
        <w:br/>
        <w:t xml:space="preserve">         salud y centros de atención de la salud, así como de programas. Con</w:t>
        <w:br/>
        <w:t xml:space="preserve">         todo, esos servicios incluirán los factores  determinantes  básicos</w:t>
        <w:br/>
        <w:t xml:space="preserve">         de la salud, como hospitales,  clínicas  y  demás  establecimientos</w:t>
        <w:br/>
        <w:t xml:space="preserve">         relacionados  con  la  salud,   personal   médico   y   profesional</w:t>
        <w:br/>
        <w:t xml:space="preserve">         capacitado, así como los medicamentos esenciales  definidos  en  el</w:t>
        <w:br/>
        <w:t xml:space="preserve">         Programa de Acción sobre medicamentos esenciales de la OMS.</w:t>
        <w:br/>
        <w:br/>
        <w:br/>
        <w:t xml:space="preserve">    b)     Accesibilidad. Los establecimientos, bienes y servicios de salud</w:t>
        <w:br/>
        <w:t xml:space="preserve">         deben ser accesibles a todos, sin discriminación alguna, dentro  de</w:t>
        <w:br/>
        <w:t xml:space="preserve">         la jurisdicción del Estado Parte.  La accesibilidad presenta cuatro</w:t>
        <w:br/>
        <w:t xml:space="preserve">         dimensiones superpuestas:</w:t>
        <w:br/>
        <w:t xml:space="preserve">      i)    No discriminación:  los establecimientos, bienes y servicios  de</w:t>
        <w:br/>
        <w:t xml:space="preserve">             salud deben ser accesibles, de  hecho  y  de  derecho,  a  los</w:t>
        <w:br/>
        <w:t xml:space="preserve">             sectores más vulnerables y marginados  de  la  población,  sin</w:t>
        <w:br/>
        <w:t xml:space="preserve">             discriminación  alguna   por   cualquiera   de   los   motivos</w:t>
        <w:br/>
        <w:t xml:space="preserve">             prohibidos.</w:t>
        <w:br/>
        <w:t xml:space="preserve">      ii)   Accesibilidad física:  los establecimientos, bienes y  servicios</w:t>
        <w:br/>
        <w:t xml:space="preserve">             de salud deberán estar al  alcance  geográfico  de  todos  los</w:t>
        <w:br/>
        <w:t xml:space="preserve">             sectores de la población, en especial los grupos vulnerables o</w:t>
        <w:br/>
        <w:t xml:space="preserve">             marginados, como las mujeres, los niños,  los  adolescentes  y</w:t>
        <w:br/>
        <w:t xml:space="preserve">             las personas con VIH/SIDA. […]</w:t>
        <w:br/>
        <w:t xml:space="preserve">      iii)  Accesibilidad económica (asequibilidad):  los  establecimientos,</w:t>
        <w:br/>
        <w:t xml:space="preserve">             bienes y servicios de salud deberán estar al alcance de todos.</w:t>
        <w:br/>
        <w:t xml:space="preserve">             Los pagos por servicios de atención de la  salud  y  servicios</w:t>
        <w:br/>
        <w:t xml:space="preserve">             relacionados con los  factores  determinantes  básicos  de  la</w:t>
        <w:br/>
        <w:t xml:space="preserve">             salud deberán basarse en el principio de la equidad, a fin  de</w:t>
        <w:br/>
        <w:t xml:space="preserve">             asegurar que esos servicios, sean públicos o  privados,  estén</w:t>
        <w:br/>
        <w:t xml:space="preserve">             al  alcance  de  todos,  incluidos  los   grupos   socialmente</w:t>
        <w:br/>
        <w:t xml:space="preserve">             desfavorecidos.  La equidad exige que sobre  los  hogares  más</w:t>
        <w:br/>
        <w:t xml:space="preserve">             pobres no recaiga una carga desproporcionada,  en  lo  que  se</w:t>
        <w:br/>
        <w:t xml:space="preserve">             refiere a los gastos de salud, en comparación con los  hogares</w:t>
        <w:br/>
        <w:t xml:space="preserve">             más ricos.</w:t>
        <w:br/>
        <w:t xml:space="preserve">      iv)   Acceso a la información: ese  acceso  comprende  el  derecho  de</w:t>
        <w:br/>
        <w:t xml:space="preserve">             solicitar, recibir y difundir información e  ideas  acerca  de</w:t>
        <w:br/>
        <w:t xml:space="preserve">             las cuestiones relacionadas con la salud.  Con todo, el acceso</w:t>
        <w:br/>
        <w:t xml:space="preserve">             a la información no debe menoscabar  el  derecho  de  que  los</w:t>
        <w:br/>
        <w:t xml:space="preserve">             datos personales  relativos  a  la  salud  sean  tratados  con</w:t>
        <w:br/>
        <w:t xml:space="preserve">             confidencialidad.</w:t>
        <w:br/>
        <w:t xml:space="preserve">    c)     Aceptabilidad. Todos los establecimientos, bienes y servicios de</w:t>
        <w:br/>
        <w:t xml:space="preserve">         salud deberán ser respetuosos de la ética  médica  y  culturalmente</w:t>
        <w:br/>
        <w:t xml:space="preserve">         apropiados, es decir respetuosos de la cultura de las personas, las</w:t>
        <w:br/>
        <w:t xml:space="preserve">         minorías, los pueblos y las comunidades, a la par que  sensibles  a</w:t>
        <w:br/>
        <w:t xml:space="preserve">         los requisitos del género y el  ciclo  de  vida,  y  deberán  estar</w:t>
        <w:br/>
        <w:t xml:space="preserve">         concebidos para respetar la confidencialidad y mejorar el estado de</w:t>
        <w:br/>
        <w:t xml:space="preserve">         salud de las personas de que se trate.</w:t>
        <w:br/>
        <w:t xml:space="preserve">    d)     Calidad. Además de aceptables desde el punto de vista  cultural,</w:t>
        <w:br/>
        <w:t xml:space="preserve">         los establecimientos, bienes  y  servicios  de  salud  deberán  ser</w:t>
        <w:br/>
        <w:t xml:space="preserve">         también apropiados desde el punto de vista científico  y  médico  y</w:t>
        <w:br/>
        <w:t xml:space="preserve">         ser de buena calidad. Ello requiere, entre  otras  cosas,  personal</w:t>
        <w:br/>
        <w:t xml:space="preserve">         médico   capacitado,    medicamentos    y    equipo    hospitalario</w:t>
        <w:br/>
        <w:t xml:space="preserve">         científicamente aprobados y en buen estado, agua limpia  potable  y</w:t>
        <w:br/>
        <w:t xml:space="preserve">         condiciones sanitarias adecuadas[203]</w:t>
        <w:br/>
        <w:br/>
        <w:br/>
        <w:t>En relación con la condición de niña de Talía Gonzales Lluy, el artículo  24</w:t>
        <w:br/>
        <w:t>de la Convención sobre los Derechos del Niño[204] consagra “el  derecho  del</w:t>
        <w:br/>
        <w:t>niño al disfrute del más alto nivel posible de salud y a servicios  para  el</w:t>
        <w:br/>
        <w:t>tratamiento de las  enfermedades  y  la  rehabilitación  de  la  salud”.  De</w:t>
        <w:br/>
        <w:t>acuerdo al artículo 2.b) de esa norma, los  Estados  partes  “adoptarán  las</w:t>
        <w:br/>
        <w:t>medidas apropiadas para  […]  [a]segurar  la  prestación  de  la  asistencia</w:t>
        <w:br/>
        <w:t>médica y la atención sanitaria  que  sean  necesarias  a  todos  los  niños,</w:t>
        <w:br/>
        <w:t>haciendo hincapié en el desarrollo de la atención primaria de salud”.</w:t>
        <w:br/>
        <w:br/>
        <w:br/>
        <w:t xml:space="preserve">       Derecho a la vida, derecho a la integridad personal y  derecho  a  la</w:t>
        <w:br/>
        <w:t xml:space="preserve">      salud en cuanto a la obligación de regular, fiscalizar y supervisar la</w:t>
        <w:br/>
        <w:t xml:space="preserve">      prestación de servicios en centros de salud privados</w:t>
        <w:br/>
        <w:br/>
        <w:br/>
        <w:t>Dado que en el presente caso la interferencia al derecho a la vida  y  a  la</w:t>
        <w:br/>
        <w:t>integridad personal (contaminación con sangre infectada por VIH) se  originó</w:t>
        <w:br/>
        <w:t>en la conducta de terceros privados (institución de salud y Banco de  Sangre</w:t>
        <w:br/>
        <w:t>privados) la Corte considera relevante retomar sus pronunciamientos  previos</w:t>
        <w:br/>
        <w:t>sobre la responsabilidad internacional por  hechos  que  se  derivan  de  la</w:t>
        <w:br/>
        <w:t>conducta de prestadores privados de salud. En  el  caso  Ximenes  Lopes  vs.</w:t>
        <w:br/>
        <w:t>Brasil, la Corte precisó que:</w:t>
        <w:br/>
        <w:br/>
        <w:t xml:space="preserve">      89.   En relación con personas que se encuentran  recibiendo  atención</w:t>
        <w:br/>
        <w:t xml:space="preserve">      médica, y dado que la salud es un bien público cuya protección está  a</w:t>
        <w:br/>
        <w:t xml:space="preserve">      cargo de los Estados, éstos  tienen  la  obligación  de  prevenir  que</w:t>
        <w:br/>
        <w:t xml:space="preserve">      terceros interfieran indebidamente en el goce de  los  derechos  a  la</w:t>
        <w:br/>
        <w:t xml:space="preserve">      vida y a la integridad personal,  particularmente  vulnerables  cuando</w:t>
        <w:br/>
        <w:t xml:space="preserve">      una persona se encuentra bajo tratamiento de salud. La Corte considera</w:t>
        <w:br/>
        <w:t xml:space="preserve">      que los Estados tienen el  deber  de  regular  y  fiscalizar  toda  la</w:t>
        <w:br/>
        <w:t xml:space="preserve">      asistencia de salud prestada a las personas bajo su jurisdicción, como</w:t>
        <w:br/>
        <w:t xml:space="preserve">      deber especial de protección a la vida y  a  la  integridad  personal,</w:t>
        <w:br/>
        <w:t xml:space="preserve">      independientemente de si la entidad que presta tales servicios  es  de</w:t>
        <w:br/>
        <w:t xml:space="preserve">      carácter público o privado.</w:t>
        <w:br/>
        <w:br/>
        <w:t xml:space="preserve">      90.    La  falta  del   deber   de   regular   y   fiscalizar   genera</w:t>
        <w:br/>
        <w:t xml:space="preserve">      responsabilidad  internacional  en  razón  de  que  los  Estados   son</w:t>
        <w:br/>
        <w:t xml:space="preserve">      responsables tanto por  los  actos  de  las  entidades  públicas  como</w:t>
        <w:br/>
        <w:t xml:space="preserve">      privadas que prestan atención de salud,  ya  que  bajo  la  Convención</w:t>
        <w:br/>
        <w:t xml:space="preserve">      Americana los supuestos de  responsabilidad  internacional  comprenden</w:t>
        <w:br/>
        <w:t xml:space="preserve">      los actos de las entidades privadas que estén actuando  con  capacidad</w:t>
        <w:br/>
        <w:t xml:space="preserve">      estatal, así como actos de terceros, cuando el Estado falta a su deber</w:t>
        <w:br/>
        <w:t xml:space="preserve">      de regularlos y fiscalizarlos[205]. La obligación de  los  Estados  de</w:t>
        <w:br/>
        <w:t xml:space="preserve">      regular no se agota, por lo  tanto,  en  los  hospitales  que  prestan</w:t>
        <w:br/>
        <w:t xml:space="preserve">      servicios públicos, sino que abarca toda y  cualquier  institución  de</w:t>
        <w:br/>
        <w:t xml:space="preserve">      salud[206].</w:t>
        <w:br/>
        <w:br/>
        <w:t>A continuación se analizarán los hechos del caso a la luz de  la  obligación</w:t>
        <w:br/>
        <w:t>de regular y supervisar la prestación de servicios del Banco  de  Sangre  de</w:t>
        <w:br/>
        <w:t>gestión privada que intervino en el presente caso. Cabe resaltar  que  dicho</w:t>
        <w:br/>
        <w:t>análisis  tiene  en  cuenta  la  obligación  estatal  en  relación  con   la</w:t>
        <w:br/>
        <w:t>aceptabilidad de los establecimientos, bienes  y  servicios  de  salud  (que</w:t>
        <w:br/>
        <w:t>“deberán ser respetuosos de la ética médica y culturalmente apropiados”),  y</w:t>
        <w:br/>
        <w:t>su calidad (“los establecimientos, bienes y servicios de salud  deberán  ser</w:t>
        <w:br/>
        <w:t>también apropiados desde el punto de vista científico  y  médico  y  ser  de</w:t>
        <w:br/>
        <w:t>buena  calidad”)  (supra  párr.  173).  En   efecto,   estas   nociones   de</w:t>
        <w:br/>
        <w:t>aceptabilidad y calidad implican una referencia a los  estándares  éticos  y</w:t>
        <w:br/>
        <w:t>técnicos de la profesión y que han sido  establecidos  en  el  campo  de  la</w:t>
        <w:br/>
        <w:t>donación y transfusión de sangre.</w:t>
        <w:br/>
        <w:br/>
        <w:t>Sobre el contenido de la obligación  de  regulación,  en  casos  previos  la</w:t>
        <w:br/>
        <w:t>Corte ha señalado lo siguiente:</w:t>
        <w:br/>
        <w:br/>
        <w:t xml:space="preserve">      [L]os Estados son responsables de regular […] con carácter  permanente</w:t>
        <w:br/>
        <w:t xml:space="preserve">      la prestación de  los  servicios  y  la  ejecución  de  los  programas</w:t>
        <w:br/>
        <w:t xml:space="preserve">      nacionales relativos al logro de una prestación de servicios de  salud</w:t>
        <w:br/>
        <w:t xml:space="preserve">      públicos de calidad, de tal manera que disuada  cualquier  amenaza  al</w:t>
        <w:br/>
        <w:t xml:space="preserve">      derecho a la vida y a la integridad física de las personas sometidas a</w:t>
        <w:br/>
        <w:t xml:space="preserve">      tratamiento de salud. Deben, inter alia,  crear  mecanismos  adecuados</w:t>
        <w:br/>
        <w:t xml:space="preserve">      para inspeccionar  las  instituciones,  […]  presentar,  investigar  y</w:t>
        <w:br/>
        <w:t xml:space="preserve">      resolver  quejas  y   establecer   procedimientos   disciplinarios   o</w:t>
        <w:br/>
        <w:t xml:space="preserve">      judiciales apropiados para casos de conducta profesional indebida o de</w:t>
        <w:br/>
        <w:t xml:space="preserve">      violación de los derechos de los pacientes[207].</w:t>
        <w:br/>
        <w:br/>
        <w:t>En este punto la Corte considera que existen ciertas  actividades,  como  el</w:t>
        <w:br/>
        <w:t>funcionamiento de bancos de  sangre,  que  entrañan  riesgos  significativos</w:t>
        <w:br/>
        <w:t>para la salud de las personas y, por lo  tanto,  los  Estados  están  en  la</w:t>
        <w:br/>
        <w:t>obligación de regularlas de manera específica[208].  En  el  presente  caso,</w:t>
        <w:br/>
        <w:t>dado que la Cruz Roja, entidad de carácter privado,  era  la  única  entidad</w:t>
        <w:br/>
        <w:t>con la responsabilidad  del  manejo  de  bancos  de  sangre  al  momento  de</w:t>
        <w:br/>
        <w:t>producirse los hechos, el nivel de supervisión y fiscalización  sobre  dicha</w:t>
        <w:br/>
        <w:t>institución tenía que ser el más alto posible teniendo en cuenta  el  debido</w:t>
        <w:br/>
        <w:t>cuidado que se debe  tener  en  actividades  asociadas  a  transfusiones  de</w:t>
        <w:br/>
        <w:t>sangre y dado que existían  menos  controles  que  aquellos  a  los  que  se</w:t>
        <w:br/>
        <w:t>someten  los  funcionarios  estatales  por  la   prestación   de   servicios</w:t>
        <w:br/>
        <w:t>públicos[209].</w:t>
        <w:br/>
        <w:br/>
        <w:t>La Corte nota que al momento de los  hechos,  el  Ecuador  contaba  con  una</w:t>
        <w:br/>
        <w:t>regulación general sobre el derecho a la salud contenida en el Código de  la</w:t>
        <w:br/>
        <w:t>Salud de 1971 (supra párr. 70). Este Código indicaba  que  la  autoridad  de</w:t>
        <w:br/>
        <w:t>salud establecería las  normas  y  los  requisitos  que  deben  cumplir  los</w:t>
        <w:br/>
        <w:t>establecimientos  de  atención  médica,  y  los  inspeccionará  y   evaluará</w:t>
        <w:br/>
        <w:t>periódicamente. De igual manera,  establecía  que  los  establecimientos  de</w:t>
        <w:br/>
        <w:t>atención médica someterían a la aprobación de  la  autoridad  de  salud  sus</w:t>
        <w:br/>
        <w:t>programas anuales y  sus  reglamentos  (supra  párr.  70).  Este  Código  no</w:t>
        <w:br/>
        <w:t>estipulaba  ni  regulaba  el  suministro  de  sangre  o  sus  derivados,  ni</w:t>
        <w:br/>
        <w:t>estableció sanción alguna en este campo[210].</w:t>
        <w:br/>
        <w:br/>
        <w:t>La Corte nota que si bien el Código de la Salud del año 1971 no contaba  con</w:t>
        <w:br/>
        <w:t>regulaciones específicas sobre el funcionamiento de los  bancos  de  sangre,</w:t>
        <w:br/>
        <w:t>desde 1984 y 1986 existían leyes que regulaban  las  donaciones  voluntarias</w:t>
        <w:br/>
        <w:t>de sangre, así como el aprovisionamiento  y  utilización  de  sangre  y  sus</w:t>
        <w:br/>
        <w:t>derivados (supra párr. 74). Posteriormente, en 1987 se establecieron  normas</w:t>
        <w:br/>
        <w:t>que regulaban la  práctica  obligatoria  de  pruebas  de  VIH  a  todas  las</w:t>
        <w:br/>
        <w:t>unidades de sangre y sus derivados,  en  todos  los  bancos  de  sangre  del</w:t>
        <w:br/>
        <w:t>Ecuador (supra párr. 71). Además, las normas señalaron  las  autoridades  en</w:t>
        <w:br/>
        <w:t>materia  de  salud  encargadas  de  sancionar  el  incumplimiento  de  estas</w:t>
        <w:br/>
        <w:t>normas[211].</w:t>
        <w:br/>
        <w:br/>
        <w:t>Asimismo, en normativas creadas en 1992 y 1998 se identificaron  organismos,</w:t>
        <w:br/>
        <w:t>como  la  Secretaría  Nacional  de  Sangre,  encargados  de  supervisar   el</w:t>
        <w:br/>
        <w:t>cumplimiento de las  disposiciones  reglamentarias  y  manuales  operativos,</w:t>
        <w:br/>
        <w:t>señalando las sanciones contempladas en  caso  de  inobservancia  de  dichas</w:t>
        <w:br/>
        <w:t>disposiciones y manuales  (supra  párr.  71).  Adicionalmente,  en  1998  se</w:t>
        <w:br/>
        <w:t>estableció el marco bajo el cual debían funcionar los bancos de sangre  para</w:t>
        <w:br/>
        <w:t>la colecta de sangre y su disposición final, a fin de evitar la  transmisión</w:t>
        <w:br/>
        <w:t>de infecciones mediante  la  transfusión  (supra  párr.  72).  En  el  mismo</w:t>
        <w:br/>
        <w:t>sentido, la Constitución Política de 1998 contemplaba la formulación  de  la</w:t>
        <w:br/>
        <w:t>política nacional de salud y la vigilancia de las empresas que se  dedicaran</w:t>
        <w:br/>
        <w:t>a los servicios de salud privados (supra párr. 73).</w:t>
        <w:br/>
        <w:br/>
        <w:t>La delegación a la Cruz Roja del manejo de los bancos de sangre  se  mantuvo</w:t>
        <w:br/>
        <w:t>hasta 2006, cuando se expidió la Ley  Orgánica  de  Salud,  en  la  cual  el</w:t>
        <w:br/>
        <w:t>Estado volvió a asumir la rectoría de los bancos de sangre[212].</w:t>
        <w:br/>
        <w:br/>
        <w:t>Si bien es cierto que la normativa vigente  al  momento  de  los  hechos  no</w:t>
        <w:br/>
        <w:t>especificaba la manera concreta y la periodicidad en la que  se  llevaría  a</w:t>
        <w:br/>
        <w:t>cabo el monitoreo o la supervisión, ni los  aspectos  concretos  que  serían</w:t>
        <w:br/>
        <w:t>monitoreados  o  supervisados,  este  Tribunal  considera  que  existía  una</w:t>
        <w:br/>
        <w:t>regulación en la materia que tenía como objetivo controlar  la  calidad  del</w:t>
        <w:br/>
        <w:t>servicio de tal forma  que  a  través  de  transfusiones  de  sangre  no  se</w:t>
        <w:br/>
        <w:t>contagiaran enfermedades como el VIH. Dada esta conclusión sobre el tema  de</w:t>
        <w:br/>
        <w:t>regulación,  la  Corte  concentrará  su  análisis  en   los   problemas   de</w:t>
        <w:br/>
        <w:t>supervisión y fiscalización.</w:t>
        <w:br/>
        <w:br/>
        <w:t>Al respecto, cabe resaltar que el deber de supervisión  y  fiscalización  es</w:t>
        <w:br/>
        <w:t>del Estado, aun cuando el servicio de salud lo preste una  entidad  privada.</w:t>
        <w:br/>
        <w:t>El Estado  mantiene  la  obligación  de  proveer  servicios  públicos  y  de</w:t>
        <w:br/>
        <w:t>proteger  el  bien  público  respectivo[213].  Al  respecto,  la  Corte   ha</w:t>
        <w:br/>
        <w:t>establecido que “cuando la atención de salud es pública,  es  el  Estado  el</w:t>
        <w:br/>
        <w:t>que presta el servicio directamente a  la  población  […].  El  servicio  de</w:t>
        <w:br/>
        <w:t>salud público […] es primariamente ofrecido  por  los  hospitales  públicos;</w:t>
        <w:br/>
        <w:t>sin embargo, la iniciativa privada, de forma complementaria, y  mediante  la</w:t>
        <w:br/>
        <w:t>firma de convenios o contratos, también provee servicios de salud  bajo  los</w:t>
        <w:br/>
        <w:t>auspicios del [Estado]. En ambas situaciones, ya sea que  el  paciente  esté</w:t>
        <w:br/>
        <w:t>internado en un hospital público o en  un  hospital  privado  que  tenga  un</w:t>
        <w:br/>
        <w:t>convenio o contrato […], la  persona  se  encuentra  bajo  cuidado  del  […]</w:t>
        <w:br/>
        <w:t>Estado”[214]. Por otra parte, la Corte ha  citado  al  Tribunal  Europeo  de</w:t>
        <w:br/>
        <w:t>Derechos Humanos para señalar que el Estado mantiene  el  deber  de  otorgar</w:t>
        <w:br/>
        <w:t>licencias  y  ejercer  supervisión  y   el   control   sobre   instituciones</w:t>
        <w:br/>
        <w:t>privadas[215]. Además, se ha señalado que  la  obligación  de  fiscalización</w:t>
        <w:br/>
        <w:t>estatal comprende tanto a servicios  prestados  por  el  Estado,  directa  o</w:t>
        <w:br/>
        <w:t>indirectamente, como a los ofrecidos  por  particulares[216].  La  Corte  ha</w:t>
        <w:br/>
        <w:t>precisado el alcance de la responsabilidad del Estado cuando incumple  estas</w:t>
        <w:br/>
        <w:t>obligaciones frente a entidades privadas en los siguientes términos:</w:t>
        <w:br/>
        <w:br/>
        <w:t xml:space="preserve">      Cuando  se  trata  de  competencias  esenciales  relacionadas  con  la</w:t>
        <w:br/>
        <w:t xml:space="preserve">      supervisión y fiscalización de la prestación de servicios  de  interés</w:t>
        <w:br/>
        <w:t xml:space="preserve">      público, como la salud, sea por entidades públicas o privadas (como es</w:t>
        <w:br/>
        <w:t xml:space="preserve">      el caso de un hospital privado), la  responsabilidad  resulta  por  la</w:t>
        <w:br/>
        <w:t xml:space="preserve">      omisión en el cumplimiento del deber de supervisar la  prestación  del</w:t>
        <w:br/>
        <w:t xml:space="preserve">      servicio para proteger el bien respectivo[217].</w:t>
        <w:br/>
        <w:br/>
        <w:t>En un caso similar al presente el Tribunal Europeo analizó la  situación  de</w:t>
        <w:br/>
        <w:t>un menor de edad quien requirió varias  transfusiones  de  sangre  y  plasma</w:t>
        <w:br/>
        <w:t>durante los primeros dos meses de su vida.  Sus  padres  adquirieron  de  la</w:t>
        <w:br/>
        <w:t>Cruz Roja de Turquía la sangre y el plasma requeridos. Cuatro meses  después</w:t>
        <w:br/>
        <w:t>de que el personal del hospital aplicara las transfusiones  de  sangre,  los</w:t>
        <w:br/>
        <w:t>padres se enteraron de que  su  hijo  había  contraído  el  virus  del  VIH.</w:t>
        <w:br/>
        <w:t>Posteriormente, el Gobierno descubrió  que  una  persona  que  había  donado</w:t>
        <w:br/>
        <w:t>sangre a la  Cruz  Roja  turca  era  VIH  positiva  y  que  ese  donante  en</w:t>
        <w:br/>
        <w:t>particular había donado anteriormente cantidades  de  sangre  y  plasma.  Se</w:t>
        <w:br/>
        <w:t>supo entonces que una unidad de plasma que se  le  había  aplicado  al  bebé</w:t>
        <w:br/>
        <w:t>había provenido de ese mismo donante VIH positivo. Después de una  serie  de</w:t>
        <w:br/>
        <w:t>procedimientos, incluyendo uno civil  en  contra  de  la  Cruz  Roja  y  uno</w:t>
        <w:br/>
        <w:t>administrativo en contra del Ministerio de Salud, que duraron más  de  nueve</w:t>
        <w:br/>
        <w:t>años, el Tribunal Administrativo determinó que el  personal  del  Ministerio</w:t>
        <w:br/>
        <w:t>de  Salud  había  desempeñado  sus   deberes   de   modo   negligente.   Las</w:t>
        <w:br/>
        <w:t>compensaciones otorgadas  cubrieron  solamente  los  costos  de  un  año  de</w:t>
        <w:br/>
        <w:t>tratamiento médico y fueron insuficientes para  cubrir  los  costos  de  las</w:t>
        <w:br/>
        <w:t>medicinas. Al analizar el caso,  el  Tribunal  Europeo  tuvo  en  cuenta  la</w:t>
        <w:br/>
        <w:t>duración excesiva del proceso administrativo, consideraciones  generales  de</w:t>
        <w:br/>
        <w:t>salud pública y al cuidado y la prevención de errores  similares  y  declaró</w:t>
        <w:br/>
        <w:t>la violación del derecho a la vida[218].</w:t>
        <w:br/>
        <w:br/>
        <w:t>En el presente caso, en la normativa remitida por el Estado se  observa  que</w:t>
        <w:br/>
        <w:t>la Secretaría Nacional de Sangre, órgano auxiliar de la Cruz  Roja,  era  la</w:t>
        <w:br/>
        <w:t>entidad a cargo de aplicar  las  sanciones  por  el  incumplimiento  de  las</w:t>
        <w:br/>
        <w:t>normas del Reglamento sobre el manejo de la  sangre  (supra  párr.  71).  La</w:t>
        <w:br/>
        <w:t>Corte observa que ello implica una delegación de funciones  de  monitoreo  y</w:t>
        <w:br/>
        <w:t>supervisión a la propia entidad privada a la que se le  habían  delegado  la</w:t>
        <w:br/>
        <w:t>tarea de manejar  los  bancos  de  sangre,  lo  cual  resulta  especialmente</w:t>
        <w:br/>
        <w:t>problemático respecto a la debida diligencia en diseños  institucionales  de</w:t>
        <w:br/>
        <w:t>fiscalización, dado que esta tarea debe ser  efectuada  por  el  Estado.  En</w:t>
        <w:br/>
        <w:t>este punto el Tribunal retoma el reconocimiento del Estado en el sentido  de</w:t>
        <w:br/>
        <w:t>que no debió delegar en esta forma el manejo de los bancos de  sangre  a  la</w:t>
        <w:br/>
        <w:t>Cruz Roja, es decir, una delegación que no establecía niveles  adecuados  de</w:t>
        <w:br/>
        <w:t>supervisión. Cabe resaltar que en el expediente no  se  encuentra  evidencia</w:t>
        <w:br/>
        <w:t>de actividades de monitoreo, control o supervisión al banco  de  sangre  con</w:t>
        <w:br/>
        <w:t>anterioridad a los hechos.</w:t>
        <w:br/>
        <w:br/>
        <w:t>Por otra parte en el caso bajo análisis el nexo causal entre la  transfusión</w:t>
        <w:br/>
        <w:t>de sangre y el contagio con VIH estuvo asociado a estos hechos probados:  i)</w:t>
        <w:br/>
        <w:t>el  22  de  junio  de  1998  Talía  fue   diagnosticada   con   la   púrpura</w:t>
        <w:br/>
        <w:t>trombocitopénica y le fue  indicado  a  su  madre  que  requería  de  manera</w:t>
        <w:br/>
        <w:t>urgente una transfusión de sangre y plaquetas; ii) el mismo  día,  la  madre</w:t>
        <w:br/>
        <w:t>de Talía acudieron al Banco de Sangre de la Cruz  Roja  donde  le  indicaron</w:t>
        <w:br/>
        <w:t>que debía llevar donantes; iii) la sangre del señor HSA fue recibida  en  el</w:t>
        <w:br/>
        <w:t>Banco de  Sangre  y  los  productos  sanguíneos  derivados  de  ella  fueron</w:t>
        <w:br/>
        <w:t>despachados  por  dicho  Banco  el  mismo  22  de  junio  de  1998  para  la</w:t>
        <w:br/>
        <w:t>transfusión a Talía; iv) la transfusión comenzó ese mismo día y continuó  al</w:t>
        <w:br/>
        <w:t>día siguiente; v) la sangre del  señor  HSA  fue  sometida  a  los  exámenes</w:t>
        <w:br/>
        <w:t>respectivos, incluido el de VIH, recién al día siguiente; vi)  el  resultado</w:t>
        <w:br/>
        <w:t>del dicho examen dio positivo; vii) no existe información  que  indique  que</w:t>
        <w:br/>
        <w:t>Talía hubiera contraído VIH antes del 22 de  junio  de  1998,  y  viii)  los</w:t>
        <w:br/>
        <w:t>peritos médicos y la prueba genética practicada por la Universidad  Católica</w:t>
        <w:br/>
        <w:t>de Lovaina en Bélgica coincidieron en atribuir el contagio a la  transfusión</w:t>
        <w:br/>
        <w:t>de sangre. Como se observa, el contagio de VIH ocurrió como consecuencia  de</w:t>
        <w:br/>
        <w:t>la transfusión de sangre no examinada previamente y  proveniente  del  Banco</w:t>
        <w:br/>
        <w:t>de Sangre de la Cruz Roja.</w:t>
        <w:br/>
        <w:br/>
        <w:t>Asimismo, en el juicio penal, mediante varias  declaraciones  por  parte  de</w:t>
        <w:br/>
        <w:t>las personas que trabajaban en la Cruz  Roja  y  en  el  hospital  donde  se</w:t>
        <w:br/>
        <w:t>encontraba Talía, se desprende que los turnos no estaban bien organizados  y</w:t>
        <w:br/>
        <w:t>que existían fallas en los registros. En ese sentido, la Corte  resalta  que</w:t>
        <w:br/>
        <w:t>las pruebas en el proceso penal indican que el Banco de Sangre  de  la  Cruz</w:t>
        <w:br/>
        <w:t>Roja funcionaba: i) con muy escasos recursos[219]; ii) sin crear y  mantener</w:t>
        <w:br/>
        <w:t>registros con información detallada  y  completa  sobre  los  donantes,  las</w:t>
        <w:br/>
        <w:t>pruebas realizadas y las entregas de  productos  sanguíneos[220];  iii)  con</w:t>
        <w:br/>
        <w:t>irregularidades y contradicciones en  los  pocos  registros  existentes[221]</w:t>
        <w:br/>
        <w:t>(siendo un ejemplo de ello los registros relativos a la  entrega  de  sangre</w:t>
        <w:br/>
        <w:t>para Talía, los cuales tenían borrones),  y  iv)  el  personal  mantenía  la</w:t>
        <w:br/>
        <w:t>práctica de no registrar las  entregas  de  sangre  que  se  efectuaban  con</w:t>
        <w:br/>
        <w:t>posterioridad a  las  6  pm,  que  fue  precisamente  la  situación  de  los</w:t>
        <w:br/>
        <w:t>productos sanguíneos entregados para la víctima del presente caso[222].</w:t>
        <w:br/>
        <w:br/>
        <w:br/>
        <w:t>En el presente caso la Corte considera que la precariedad e  irregularidades</w:t>
        <w:br/>
        <w:t>en las que funcionaba el Banco de Sangre del cual  provino  la  sangre  para</w:t>
        <w:br/>
        <w:t>Talía es un reflejo de las consecuencias que puede tener  el  incumplimiento</w:t>
        <w:br/>
        <w:t>de las obligaciones de supervisar y fiscalizar por parte de los Estados.  La</w:t>
        <w:br/>
        <w:t>insuficiente supervisión e inspección por parte del Ecuador dio lugar a  que</w:t>
        <w:br/>
        <w:t>el Banco de Sangre de la Cruz Roja de  la  Provincia  del  Azuay  continuara</w:t>
        <w:br/>
        <w:t>funcionando en condiciones irregulares que pusieron en riesgo la  salud,  la</w:t>
        <w:br/>
        <w:t>vida y la integridad de la comunidad. En particular, esta grave omisión  del</w:t>
        <w:br/>
        <w:t>Estado permitió que sangre que no había sido  sometida  a  los  exámenes  de</w:t>
        <w:br/>
        <w:t>seguridad más básicos como el de VIH, fuera entregada a la familia de  Talía</w:t>
        <w:br/>
        <w:t>para la transfusión de sangre,  con  el  resultado  de  su  infección  y  el</w:t>
        <w:br/>
        <w:t>consecuente daño permanente a su salud.</w:t>
        <w:br/>
        <w:br/>
        <w:t>Este daño a la salud, por la gravedad de  la  enfermedad  involucrada  y  el</w:t>
        <w:br/>
        <w:t>riesgo que en diversos momentos de  su  vida  puede  enfrentar  la  víctima,</w:t>
        <w:br/>
        <w:t>constituye una afectación del derecho a la vida, dado el peligro  de  muerte</w:t>
        <w:br/>
        <w:t>que en diversos momentos ha enfrentado y puede enfrentar la  víctima  debido</w:t>
        <w:br/>
        <w:t>a su enfermedad. En efecto, en el presente caso se ha violado la  obligación</w:t>
        <w:br/>
        <w:t>negativa de no afectar la vida al ocurrir la contaminación de la  sangre  de</w:t>
        <w:br/>
        <w:t>Talía Gonzales Lluy en una entidad  privada.  Por  otra  parte,  en  algunos</w:t>
        <w:br/>
        <w:t>momentos  de   desmejora   en   sus   defensas,   asociada   al   acceso   a</w:t>
        <w:br/>
        <w:t>antirretrovirales, lo ocurrido con la transfusión de sangre en este caso  se</w:t>
        <w:br/>
        <w:t>ha reflejado en amenazas a la vida y posibles riesgos de muerte que  incluso</w:t>
        <w:br/>
        <w:t>pueden volver a surgir en el futuro[223].</w:t>
        <w:br/>
        <w:br/>
        <w:t>En virtud de lo mencionado en este segmento,  dado  que  son  imputables  al</w:t>
        <w:br/>
        <w:t>Estado el tipo de negligencias que condujeron al contagio con VIH  de  Talía</w:t>
        <w:br/>
        <w:t>Gonzales Lluy, el Ecuador es responsable por la violación de  la  obligación</w:t>
        <w:br/>
        <w:t>de fiscalización y supervisión de la prestación de servicios  de  salud,  en</w:t>
        <w:br/>
        <w:t>el marco del derecho a la integridad personal  y  de  la  obligación  de  no</w:t>
        <w:br/>
        <w:t>poner en riesgo la vida,  lo  cual  vulnera  los  artículos  4  y  5  de  la</w:t>
        <w:br/>
        <w:t>Convención Americana en relación con el artículo 1.1 de la misma.</w:t>
        <w:br/>
        <w:br/>
        <w:br/>
        <w:t xml:space="preserve">      Disponibilidad,  accesibilidad,  aceptabilidad   y   calidad   en   la</w:t>
        <w:br/>
        <w:t xml:space="preserve">      asistencia sanitaria en el  marco  del  derecho  a  la  vida  y  a  la</w:t>
        <w:br/>
        <w:t xml:space="preserve">      integridad personal</w:t>
        <w:br/>
        <w:br/>
        <w:br/>
        <w:t>En el presente caso se alega,  entre  otros  aspectos  relacionados  con  la</w:t>
        <w:br/>
        <w:t>asistencia  sanitaria,  que  Talía  en  diversos  momentos  no  ha  recibido</w:t>
        <w:br/>
        <w:t>atención oportuna y adecuada, ni un tratamiento pertinente y que  ha  tenido</w:t>
        <w:br/>
        <w:t>algunos obstáculos para el acceso a medicamentos.</w:t>
        <w:br/>
        <w:br/>
        <w:t>Al respecto, la Corte nota que el Protocolo de San  Salvador  establece  que</w:t>
        <w:br/>
        <w:t>entre las medidas para garantizar el derecho a la salud, los  Estados  deben</w:t>
        <w:br/>
        <w:t>impulsar  “la  total  inmunización  contra  las   principales   enfermedades</w:t>
        <w:br/>
        <w:t>infecciosas”;  “la  prevención  y  el  tratamiento   de   las   enfermedades</w:t>
        <w:br/>
        <w:t>endémicas, profesionales y de  otra  índole”,  y  “la  satisfacción  de  las</w:t>
        <w:br/>
        <w:t>necesidades de salud de los  grupos  de  más  alto  riesgo  y  que  por  sus</w:t>
        <w:br/>
        <w:t>condiciones de pobreza sean más  vulnerables”[224].  Obligaciones  similares</w:t>
        <w:br/>
        <w:t>establece el artículo 12(2) del Pacto Internacional de Derechos  Económicos,</w:t>
        <w:br/>
        <w:t>Sociales y Culturales. En este marco de obligaciones  se  insertan  diversos</w:t>
        <w:br/>
        <w:t>deberes en relación  con  el  acceso  a  medicamentos.  De  acuerdo  con  la</w:t>
        <w:br/>
        <w:t>Observación General No. 14, el derecho al más alto nivel  posible  de  salud</w:t>
        <w:br/>
        <w:t>genera algunas obligaciones básicas y  mínimas,  que  incluyen  “[f]acilitar</w:t>
        <w:br/>
        <w:t>medicamentos esenciales, según las definiciones periódicas  que  figuran  en</w:t>
        <w:br/>
        <w:t>el Programa de Acción sobre Medicamentos Esenciales de la OMS”[225].</w:t>
        <w:br/>
        <w:br/>
        <w:t>El acceso a medicamentos forma parte indispensable del derecho  al  disfrute</w:t>
        <w:br/>
        <w:t>del más alto nivel posible de  salud[226].  En  particular,  el  Consejo  de</w:t>
        <w:br/>
        <w:t>Derechos Humanos y la antigua  Comisión  de  Derechos  Humanos  han  emitido</w:t>
        <w:br/>
        <w:t>resoluciones que reconocen que “el acceso a la medicación en el contexto  de</w:t>
        <w:br/>
        <w:t>pandemias como las de VIH/SIDA, tuberculosis  y  paludismo  es  uno  de  los</w:t>
        <w:br/>
        <w:t>elementos fundamentales para alcanzar gradualmente el  ejercicio  pleno  del</w:t>
        <w:br/>
        <w:t>derecho de toda persona al disfrute del más  alto  nivel  posible  de  salud</w:t>
        <w:br/>
        <w:t>física y mental”[227].</w:t>
        <w:br/>
        <w:br/>
        <w:t>Al respecto, la Corte considera que las  Directrices  internacionales  sobre</w:t>
        <w:br/>
        <w:t>el VIH/SIDA y los derechos humanos de la Oficina  del  Alto  Comisionado  de</w:t>
        <w:br/>
        <w:t>las Naciones Unidas para los Derechos Humanos (en adelante “OACNUDH”)  y  el</w:t>
        <w:br/>
        <w:t>Programa Conjunto de las Naciones Unidas  sobre  el  VIH/SIDA  (en  adelante</w:t>
        <w:br/>
        <w:t>“ONUSIDA”)  constituyen  una  referencia  autorizada  para  aclarar  algunas</w:t>
        <w:br/>
        <w:t>obligaciones  internacionales  del  Estado  en  esta   materia.   La   Sexta</w:t>
        <w:br/>
        <w:t>Directriz, revisada en 2002, señala que:</w:t>
        <w:br/>
        <w:br/>
        <w:t xml:space="preserve">    Los Estados deberían adoptar  medidas  de  políticas  que  regulen  los</w:t>
        <w:br/>
        <w:t xml:space="preserve">    bienes, servicios e información relacionados con el VIH,  de  modo  que</w:t>
        <w:br/>
        <w:t xml:space="preserve">    haya  suficientes  medidas  y   servicios   de   prevención,   adecuada</w:t>
        <w:br/>
        <w:t xml:space="preserve">    información para la prevención  y  atención  de  los  casos  de  VIH  y</w:t>
        <w:br/>
        <w:t xml:space="preserve">    medicación inocua y eficaz a precios asequibles. Los  Estados  deberían</w:t>
        <w:br/>
        <w:t xml:space="preserve">    tomar  también  las  medidas  necesarias  para  asegurar  a  todas  las</w:t>
        <w:br/>
        <w:t xml:space="preserve">    personas, sobre una base sostenida e igualitaria, el suministro de y la</w:t>
        <w:br/>
        <w:t xml:space="preserve">    accesibilidad a bienes de calidad,  servicios  e  información  para  la</w:t>
        <w:br/>
        <w:t xml:space="preserve">    prevención, tratamiento, atención y apoyo del  VIH/SIDA,  incluidos  la</w:t>
        <w:br/>
        <w:t xml:space="preserve">    terapia antirretrovírica y otros medicamentos, pruebas  diagnósticas  y</w:t>
        <w:br/>
        <w:t xml:space="preserve">    tecnologías  relacionadas  seguras  y   eficaces   para   la   atención</w:t>
        <w:br/>
        <w:t xml:space="preserve">    preventiva,  curativa  y  paliativa  del  VIH,   de   las   infecciones</w:t>
        <w:br/>
        <w:t xml:space="preserve">    oportunistas y de las enfermedades conexas. […][228].</w:t>
        <w:br/>
        <w:br/>
        <w:br/>
        <w:t>Esta Sexta Directriz ha sido interpretada por la OACNUDH  y  ONUSIDA  en  el</w:t>
        <w:br/>
        <w:t>sentido de que una respuesta eficaz al VIH requiere un enfoque integral  que</w:t>
        <w:br/>
        <w:t>comprende una secuencia continua  de  prevención,  tratamiento,  atención  y</w:t>
        <w:br/>
        <w:t>apoyo:</w:t>
        <w:br/>
        <w:br/>
        <w:t xml:space="preserve">    La prevención, el tratamiento, la atención y el apoyo son elementos que</w:t>
        <w:br/>
        <w:t xml:space="preserve">    se refuerzan mutuamente y una secuencia  continua  para  una  respuesta</w:t>
        <w:br/>
        <w:t xml:space="preserve">    eficaz al VIH. Deben integrase en un enfoque amplio y es necesaria  una</w:t>
        <w:br/>
        <w:t xml:space="preserve">    respuesta polifacética. El tratamiento,  atención  y  apoyo  integrales</w:t>
        <w:br/>
        <w:t xml:space="preserve">    incluyen  fármacos  antirretrovíricos  y  otros  medicamentos;  pruebas</w:t>
        <w:br/>
        <w:t xml:space="preserve">    diagnósticas y otras tecnologías relacionadas para la atención del  VIH</w:t>
        <w:br/>
        <w:t xml:space="preserve">    y el SIDA, de las infecciones oportunistas  y  de  otras  enfermedades;</w:t>
        <w:br/>
        <w:t xml:space="preserve">    buena alimentación y apoyo social, espiritual y psicológico,  así  como</w:t>
        <w:br/>
        <w:t xml:space="preserve">    atención familiar,  comunitaria  y  domiciliaria.  Las  tecnologías  de</w:t>
        <w:br/>
        <w:t xml:space="preserve">    prevención del VIH abarcan los preservativos, lubricantes, material  de</w:t>
        <w:br/>
        <w:t xml:space="preserve">    inyección estéril, fármacos antirretrovíricos (por ej., para revenir la</w:t>
        <w:br/>
        <w:t xml:space="preserve">    transmisión materno infantil o como profilaxis  posexposición)  y,  una</w:t>
        <w:br/>
        <w:t xml:space="preserve">    vez desarrollados, microbicidas y vacunas seguros y eficaces. El acceso</w:t>
        <w:br/>
        <w:t xml:space="preserve">    universal, basado en los principios de los derechos  humanos,  requiere</w:t>
        <w:br/>
        <w:t xml:space="preserve">    que  todos  estos  bienes,  servicios  e  información  no  sólo   estén</w:t>
        <w:br/>
        <w:t xml:space="preserve">    disponibles y sean aceptables y de  buena  calidad,  sino  también  que</w:t>
        <w:br/>
        <w:t xml:space="preserve">    estén al alcance físico de todos y sean asequibles para todos[229].</w:t>
        <w:br/>
        <w:br/>
        <w:br/>
        <w:t>La Corte observa que estos estándares resaltan que el acceso a los  fármacos</w:t>
        <w:br/>
        <w:t>antirretrovíricos es solo uno de los elementos de una respuesta eficaz  para</w:t>
        <w:br/>
        <w:t>las personas que viven con VIH. En este sentido las personas que  viven  con</w:t>
        <w:br/>
        <w:t>VIH requieren un enfoque integral que comprende una  secuencia  continua  de</w:t>
        <w:br/>
        <w:t>prevención, tratamiento, atención y apoyo. Una respuesta limitada al  acceso</w:t>
        <w:br/>
        <w:t>a  fármacos  antirretrovíricos  y  otros  medicamentos  no  cumple  con  las</w:t>
        <w:br/>
        <w:t>obligaciones de prevención, tratamiento,  atención  y  apoyo  derivadas  del</w:t>
        <w:br/>
        <w:t>derecho al más alto nivel posible de salud[230].  Estos  aspectos  sobre  la</w:t>
        <w:br/>
        <w:t>calidad de  la  salud[231]  se  relacionan  con  la  obligación  estatal  de</w:t>
        <w:br/>
        <w:t>“crea[r] entornos seguros, especialmente a las  niñas,  ampliando  servicios</w:t>
        <w:br/>
        <w:t>de  buena  calidad  que  ofrezcan  información,  educación  sobre  salud   y</w:t>
        <w:br/>
        <w:t>asesoramiento de forma apropiada para los jóvenes, reforzando los  programas</w:t>
        <w:br/>
        <w:t>de salud sexual y salud reproductiva y haciendo participar, en la medida  de</w:t>
        <w:br/>
        <w:t>lo posible, a las familias y los jóvenes en la  planificación,  ejecución  y</w:t>
        <w:br/>
        <w:t>evaluación de programas de atención y prevención del VIH y el SIDA”[232].</w:t>
        <w:br/>
        <w:br/>
        <w:t>Otro aspecto relevante en  materia  de  derecho  a  la  salud  y  asistencia</w:t>
        <w:br/>
        <w:t>sanitaria lo constituye el acceso a información  sobre  los  escenarios  que</w:t>
        <w:br/>
        <w:t>permitan sobrellevar en mejor forma la enfermedad. Al  respecto,  el  Comité</w:t>
        <w:br/>
        <w:t>de los Derechos del Niño  en  la  Observación  General  No.  3  relativa  al</w:t>
        <w:br/>
        <w:t>VIH/SIDA y los Derechos del Niño, ha reiterado la necesidad que los niños:</w:t>
        <w:br/>
        <w:br/>
        <w:t xml:space="preserve">      [n]o sufr[an] discriminación respecto  del  acceso  a  la  información</w:t>
        <w:br/>
        <w:t xml:space="preserve">      sobre el VIH, porque el asesoramiento y las pruebas  de  detección  se</w:t>
        <w:br/>
        <w:t xml:space="preserve">      lleven a cabo de manera voluntaria, porque el niño tenga  conocimiento</w:t>
        <w:br/>
        <w:t xml:space="preserve">      de su estado serológico con respecto al VIH, tenga acceso a  servicios</w:t>
        <w:br/>
        <w:t xml:space="preserve">      confidenciales de salud reproductiva y, gratuitamente o a bajo  coste,</w:t>
        <w:br/>
        <w:t xml:space="preserve">      a métodos o servicios anticonceptivos, así como a recibir, cuando  sea</w:t>
        <w:br/>
        <w:t xml:space="preserve">      necesario, cuidados o tratamientos en relación con el VIH, incluida la</w:t>
        <w:br/>
        <w:t xml:space="preserve">      prevención y el tratamiento de problemas de salud relacionados con  el</w:t>
        <w:br/>
        <w:t xml:space="preserve">      VIH/SIDA[233].</w:t>
        <w:br/>
        <w:br/>
        <w:t>Finalmente, respecto de los niños  con  discapacidad  (infra  párrs.  236  a</w:t>
        <w:br/>
        <w:t>240), el Comité de los Derechos del Niño señaló que “[e]l  logro  del  mejor</w:t>
        <w:br/>
        <w:t>posible estado de salud, así como  el  acceso  y  la   asequibilidad  de  la</w:t>
        <w:br/>
        <w:t>atención de la salud de calidad es  un  derecho  inherente  para  todos  los</w:t>
        <w:br/>
        <w:t>niños. Los niños con discapacidad muchas veces se quedan al margen  de  todo</w:t>
        <w:br/>
        <w:t>ello debido a múltiples  problemas,  en  particular  la  discriminación,  la</w:t>
        <w:br/>
        <w:t>falta de acceso y la ausencia de información y/o  recursos  financieros,  el</w:t>
        <w:br/>
        <w:t>transporte, la distribución geográfica y el acceso físico  a  los  servicios</w:t>
        <w:br/>
        <w:t>de atención de salud”[234].</w:t>
        <w:br/>
        <w:br/>
        <w:t>Los representantes de las presuntas víctimas no  presentaron  observaciones,</w:t>
        <w:br/>
        <w:t>objeciones u otro tipo de argumentos para desvirtuar en forma específica  la</w:t>
        <w:br/>
        <w:t>información concreta suministrada por las peritos Diana Molina y Carmen  del</w:t>
        <w:br/>
        <w:t>Rocío Carrasco  respecto  a  la  asistencia  sanitaria  recibida  por  Talía</w:t>
        <w:br/>
        <w:t>Gonzales Lluy desde el momento en el que el Estado  tomó  información  sobre</w:t>
        <w:br/>
        <w:t>el contagio de VIH (supra párrs. 148 a 153). Tanto los  representantes  como</w:t>
        <w:br/>
        <w:t>las  presuntas  víctimas  insisten  en  sus   declaraciones   en   problemas</w:t>
        <w:br/>
        <w:t>sistemáticos en la integralidad de la atención. La  Corte  constata  que  un</w:t>
        <w:br/>
        <w:t>problema inicial de calidad en la atención en  salud  surge  al  momento  de</w:t>
        <w:br/>
        <w:t>recibir asistencia por la emergencia sufrida en 1998. La Corte  observa  que</w:t>
        <w:br/>
        <w:t>en aquel momento no había personal suficiente, los  laboratorios  no  tenían</w:t>
        <w:br/>
        <w:t>todas las pruebas necesarias para examinar la sangre, por  lo  que  se  tuvo</w:t>
        <w:br/>
        <w:t>que solicitar a laboratorios de  Quito  que  verificaran  la  sangre,  y  el</w:t>
        <w:br/>
        <w:t>personal de la Cruz Roja  y  del  hospital  donde  estaba  Talía  no  sabían</w:t>
        <w:br/>
        <w:t>manejar las muestras de forma adecuada (supra párr. 77).</w:t>
        <w:br/>
        <w:br/>
        <w:t>Otros problemas a los que aluden los representantes  se  relacionan  con  la</w:t>
        <w:br/>
        <w:t>accesibilidad a información en salud para  entender  y  enfrentar  en  mejor</w:t>
        <w:br/>
        <w:t>forma la enfermedad,  particularmente  cuando  se  enteraron  de  la  misma.</w:t>
        <w:br/>
        <w:t>Asimismo, indicaron que el Estado ofrecía medicinas pero  no  las  entregaba</w:t>
        <w:br/>
        <w:t>en  algunas  ocasiones,  al  igual  que  otros  problemas  en  el  acceso  a</w:t>
        <w:br/>
        <w:t>procedimientos de diagnóstico y exámenes de  sangre[235].  En  cuanto  a  la</w:t>
        <w:br/>
        <w:t>accesibilidad geográfica, se alude a que en diversos momentos se han  tenido</w:t>
        <w:br/>
        <w:t>que efectuar algunos  desplazamientos  fuera  de  Cuenca,  lo  cual  resulta</w:t>
        <w:br/>
        <w:t>especialmente complejo para una familia en situación de pobreza[236].</w:t>
        <w:br/>
        <w:br/>
        <w:t>La familia Lluy ha señalado que todos los exámenes de CD4 y de carga  viral,</w:t>
        <w:br/>
        <w:t>durante toda la vida desde que contrajo el  virus  hasta  2015  habían  sido</w:t>
        <w:br/>
        <w:t>realizados en clínicas privadas y pagados por la familia Lluy. Sin  embargo,</w:t>
        <w:br/>
        <w:t>los únicos recibos  de  pagos  efectuados  que  presentan  las  víctimas  al</w:t>
        <w:br/>
        <w:t>respecto es el de un exámen médico en un laboratorio privado, por  valor  de</w:t>
        <w:br/>
        <w:t>US $489.44[237]. Por tal razón la Corte no  cuenta  con  elementos  para  no</w:t>
        <w:br/>
        <w:t>aceptar la información señalada en el expediente en  el  sentido  que  Talía</w:t>
        <w:br/>
        <w:t>recibió medicación antirretroviral entre  2004  y  2012  por  parte  de  una</w:t>
        <w:br/>
        <w:t>entidad estatal, esto es, el hospital Militar[238].</w:t>
        <w:br/>
        <w:br/>
        <w:t>Por otra parte, los representantes no han precisado con suficiente  claridad</w:t>
        <w:br/>
        <w:t>el conjunto total de fechas o características de las  interrupciones  en  el</w:t>
        <w:br/>
        <w:t>suministro de medicamentos y exámenes[239].</w:t>
        <w:br/>
        <w:br/>
        <w:t>Otro  aspecto  de  calidad  en  la  asistencia  sanitaria  es  reflejado  en</w:t>
        <w:br/>
        <w:t>declaraciones consistentes de Talía, su madre y su  hermano  en  el  sentido</w:t>
        <w:br/>
        <w:t>que en el  marco  del  sistema  público  de  salud,  específicamente  en  el</w:t>
        <w:br/>
        <w:t>hospital  de  Cuenca,  la  presunta  víctima  fue  estigmatizada  y  tratada</w:t>
        <w:br/>
        <w:t>inapropiadamente en varias oportunidades por parte  del  personal  de  dicho</w:t>
        <w:br/>
        <w:t>hospital. En las declaraciones se alude a diversos problemas  de  confianza,</w:t>
        <w:br/>
        <w:t>calidad y calidez[240]. Talía declaró  que  la  atención  la  recibe  en  la</w:t>
        <w:br/>
        <w:t>provincia de Cañar y no en la provincia de Azuay, que es  donde  reside  con</w:t>
        <w:br/>
        <w:t>su familia,  porque  ha  sido  maltratada  por  parte  del  responsable  del</w:t>
        <w:br/>
        <w:t>programa de VIH de Cuenca.  El  médico  que  atiende  en  Cuenca,  según  la</w:t>
        <w:br/>
        <w:t>declaración de Talía “no sabe dar un trato de confianza, calidad y  calidez,</w:t>
        <w:br/>
        <w:t>propio de un servidor público”[241].</w:t>
        <w:br/>
        <w:br/>
        <w:t>La Corte concluye que en algunos momentos Talía Gonzales Lluy no  ha  tenido</w:t>
        <w:br/>
        <w:t>accesibilidad a un entorno seguro y cálido en  relación  con  su  asistencia</w:t>
        <w:br/>
        <w:t>sanitaria y que en algunos momentos el  tipo  de  atención  recibida  generó</w:t>
        <w:br/>
        <w:t>rechazo. Este rechazo  ha  estado  asociado  a  tensiones  con  los  médicos</w:t>
        <w:br/>
        <w:t>tratantes en escenarios en los que  se  le  exigió  a  Talía  y  su  familia</w:t>
        <w:br/>
        <w:t>atenerse a las reglas de las políticas públicas  de  atención  en  temas  de</w:t>
        <w:br/>
        <w:t>VIH. En algunos momentos  también  han  existido  problemas  específicos  de</w:t>
        <w:br/>
        <w:t>disponibilidad de examen de carga viral y controversias sobre  accesibilidad</w:t>
        <w:br/>
        <w:t>geográfica, debido a los desplazamientos que han  tenido  que  efectuar  las</w:t>
        <w:br/>
        <w:t>presuntas víctimas. Sin embargo, los aspectos anteriores se  relacionan  con</w:t>
        <w:br/>
        <w:t>aspectos específicos de la asistencia sanitaria  que  en  diversos  momentos</w:t>
        <w:br/>
        <w:t>concretos generaron problemas pero sin constituir aspectos suficientes  para</w:t>
        <w:br/>
        <w:t>desvirtuar los alcances globales de la asistencia sanitaria durante  más  de</w:t>
        <w:br/>
        <w:t>una década. Por otra parte, algunos de los reclamos y denuncias  específicas</w:t>
        <w:br/>
        <w:t>sobre  la  asistencia  sanitaria  no  han  sido  objeto  de  denuncia   ante</w:t>
        <w:br/>
        <w:t>autoridades del Ministerio de Salud, lo cual, a  través  de  indagaciones  a</w:t>
        <w:br/>
        <w:t>nivel interno, hubiera permitido mayor información documental sobre el  tipo</w:t>
        <w:br/>
        <w:t>de restricciones generadas por el Estado y la magnitud de los problemas  que</w:t>
        <w:br/>
        <w:t>las presuntas víctimas alegan haber sufrido en aspectos de  accesibilidad  y</w:t>
        <w:br/>
        <w:t>aceptabilidad de la salud. Teniendo en cuenta que no ha sido desvirtuada  la</w:t>
        <w:br/>
        <w:t>información sobre la secuencia global  de  tratamiento  presentada  por  las</w:t>
        <w:br/>
        <w:t>peritos Diana Molina y Carmen del Rocío Carrasco (supra párrs. 148  a  153),</w:t>
        <w:br/>
        <w:t>y tomando como referencia una valoración global de la  asistencia  sanitaria</w:t>
        <w:br/>
        <w:t>en estos 17 años de convivencia con la enfermedad, sin detenerse en  eventos</w:t>
        <w:br/>
        <w:t>puntuales  en  momentos  específicos,  la  Corte  considera  que  la  prueba</w:t>
        <w:br/>
        <w:t>disponible es insuficiente para  imputar  responsabilidad  internacional  al</w:t>
        <w:br/>
        <w:t>Estado por una violación del derecho a la vida y a  la  integridad  personal</w:t>
        <w:br/>
        <w:t>por  la  alegada  ausencia  de  disponibilidad  y  calidad  en  el  servicio</w:t>
        <w:br/>
        <w:t>prestado.</w:t>
        <w:br/>
        <w:br/>
        <w:t xml:space="preserve">                                      *</w:t>
        <w:br/>
        <w:br/>
        <w:t>Finalmente, la Corte observa que en la prueba aportada en el  expediente,  y</w:t>
        <w:br/>
        <w:t>en el marco de la solicitud de medidas provisionales  en  el  presente  caso</w:t>
        <w:br/>
        <w:t>(supra párr. 14) se ha informado que en el último año, Talía  ha  presentado</w:t>
        <w:br/>
        <w:t>un bajo conteo de células CD4, que para el 5 de noviembre de  2014  eran  de</w:t>
        <w:br/>
        <w:t>366, siendo que antes de que empezara a tomar los medicamentos ordenados  en</w:t>
        <w:br/>
        <w:t>esta etapa reciente de tratamiento tenía un  conteo  de  518[242].  En  este</w:t>
        <w:br/>
        <w:t>punto el Estado ha  señalado  que  “los  esquemas  que  se  utilizan  en  el</w:t>
        <w:br/>
        <w:t>Ministerio  de  Salud  Pública  están  completamente  alineados  a  aquellos</w:t>
        <w:br/>
        <w:t>recomendados por la OMS, incluyendo el esquema 2.0 que introdujo  una  nueva</w:t>
        <w:br/>
        <w:t>combinación con [un nuevo medicamento] de  última  generación,  pese  a  los</w:t>
        <w:br/>
        <w:t>grandes costos que esto representa para  el  Estado”.  Asimismo,  el  Estado</w:t>
        <w:br/>
        <w:t>señaló que “como toda patología el VIH tiene un curso  y  evolución  natural</w:t>
        <w:br/>
        <w:t>en la que existe una disminución progresiva del conteo de CD4, [lo cual]  no</w:t>
        <w:br/>
        <w:t>está  relacionado  necesariamente  con  el  tratamiento  farmacológico”.  El</w:t>
        <w:br/>
        <w:t>Estado indicó que tal conexión solo  podría  ser  probada  con  un  peritaje</w:t>
        <w:br/>
        <w:t>médico.</w:t>
        <w:br/>
        <w:br/>
        <w:t>Este Tribunal estima que estos aspectos relacionados con la  disminución  en</w:t>
        <w:br/>
        <w:t>el conteo de CD4  son  aspectos  de  especial  complejidad  técnica  que  no</w:t>
        <w:br/>
        <w:t>corresponde  valorar  en  este  capítulo  en  términos  de   atribución   de</w:t>
        <w:br/>
        <w:t>responsabilidad  al  Estado.  Los  alegados  problemas  en   las   medicinas</w:t>
        <w:br/>
        <w:t>proporcionadas  por  el  Estado  respecto  a  la  desmejora  de  defensas  y</w:t>
        <w:br/>
        <w:t>anticuerpos, y el riesgo que ello podría implicar para  empezar  a  convivir</w:t>
        <w:br/>
        <w:t>con el SIDA serán valorados en el apartado de reparaciones.</w:t>
        <w:br/>
        <w:br/>
        <w:br/>
        <w:t xml:space="preserve">      Derecho a la integridad personal de Teresa Lluy e Iván Lluy</w:t>
        <w:br/>
        <w:br/>
        <w:br/>
        <w:br/>
        <w:t xml:space="preserve">      Alegatos de la Comisión y de las partes</w:t>
        <w:br/>
        <w:br/>
        <w:t>La Comisión se pronunció en su Informe de Fondo  sobre  la  vulneración  del</w:t>
        <w:br/>
        <w:t>artículo 5 de la Convención Americana con respecto  a  Teresa  Lluy  e  Iván</w:t>
        <w:br/>
        <w:t>Lluy, indicando que “el Estado es responsable por la violación  del  derecho</w:t>
        <w:br/>
        <w:t>a la integridad psíquica y moral de la madre y el hermano  de  T[alia]”.  De</w:t>
        <w:br/>
        <w:t>acuerdo con la Comisión, tal vulneración fue ocasionada por el deterioro  en</w:t>
        <w:br/>
        <w:t>la salud de  Talía  y  la  falta  de  atención   médica,  así  como  por  la</w:t>
        <w:br/>
        <w:t>discriminación provocada por ser una persona con VIH. Asimismo, la  Comisión</w:t>
        <w:br/>
        <w:t>señaló que la condición de persona con VIH de Talía “ha generado  una  grave</w:t>
        <w:br/>
        <w:t>afectación que se extiende a  su  núcleo  familiar”  y  “a  las  condiciones</w:t>
        <w:br/>
        <w:t>mínimas para llevar adelante una  vida  y  desarrollo  dignos”.  Además,  la</w:t>
        <w:br/>
        <w:t>Comisión alegó que el contagio con VIH de Talía se dio por consecuencia  del</w:t>
        <w:br/>
        <w:t>error en la transfusión de sangre y generó un impacto  significativo  en  el</w:t>
        <w:br/>
        <w:t>núcleo familiar directo.  De  igual  manera,  la  Comisión  resaltó  que  la</w:t>
        <w:br/>
        <w:t>violación del derecho a la integridad personal de la madre y el  hermano  de</w:t>
        <w:br/>
        <w:t>Talía se vio reforzada por factores de  pobreza  y  de  estigmatización  por</w:t>
        <w:br/>
        <w:t>convivir con una persona con VIH al interior de su núcleo familiar.</w:t>
        <w:br/>
        <w:br/>
        <w:t>Los representantes reiteraron lo dicho por la Comisión, además alegaron  que</w:t>
        <w:br/>
        <w:t>la familia de Talía no tuvo un entorno seguro y que  el  mismo  siempre  fue</w:t>
        <w:br/>
        <w:t>amenazante, lo cual produjo temor e inestabilidad en todos los  miembros  de</w:t>
        <w:br/>
        <w:t>la familia. Asimismo, la madre y el hermano de Talía  “nunca  recibieron  de</w:t>
        <w:br/>
        <w:t>parte del  Estado  información  alguna  que  les  ayud[ara]  a  entender  el</w:t>
        <w:br/>
        <w:t>problema que estaban atravesando”. De acuerdo  con  los  representantes,  el</w:t>
        <w:br/>
        <w:t>Estado no utilizó un programa de atención, tratamiento  y  educación  de  la</w:t>
        <w:br/>
        <w:t>enfermedad de VIH para Talía y  su  familia.  Asimismo,  los  representantes</w:t>
        <w:br/>
        <w:t>alegaron que la familia Lluy no tuvo una  atención  médica  de  calidad;  de</w:t>
        <w:br/>
        <w:t>acuerdo con los representantes, Talía y sus familiares  no  acudieron  a  un</w:t>
        <w:br/>
        <w:t>sistema de salud que fuera brindado  por  el  Estado  porque  reiteradamente</w:t>
        <w:br/>
        <w:t>eran discriminados y no se les entregaba los  medicamentos  necesarios,  por</w:t>
        <w:br/>
        <w:t>esta razón tuvieron que recurrir a un sistema de salud privado.</w:t>
        <w:br/>
        <w:br/>
        <w:t>El Estado argumentó que las afectaciones sufridas por  Teresa  e  Iván  Lluy</w:t>
        <w:br/>
        <w:t>eran un asunto que competía a las entidades privadas, al  estar  debidamente</w:t>
        <w:br/>
        <w:t>cumplidas  las  obligaciones  del  Estado   respecto   de   la   regulación,</w:t>
        <w:br/>
        <w:t>supervisión y fiscalización de  las  entidades  privadas  que  prestaban  el</w:t>
        <w:br/>
        <w:t>servicio de salud. Además, el Estado argumentó que “no puede  afirmarse  que</w:t>
        <w:br/>
        <w:t>haya existido una violación  de  la  integridad  personal  de  Talía  y  sus</w:t>
        <w:br/>
        <w:t>familiares como consecuencia directa de las actuaciones estatales,  pues  su</w:t>
        <w:br/>
        <w:t>aflicción y sufrimiento […] no se  vio  incrementada  de  forma  alguna  por</w:t>
        <w:br/>
        <w:t>acciones u omisiones de agentes estatales”.</w:t>
        <w:br/>
        <w:br/>
        <w:t xml:space="preserve">    Consideraciones de la Corte</w:t>
        <w:br/>
        <w:br/>
        <w:t>La Corte ha reiterado  en  su  jurisprudencia  que  los  familiares  de  las</w:t>
        <w:br/>
        <w:t>víctimas de ciertas violaciones de Derechos Humanos pueden ser,  a  su  vez,</w:t>
        <w:br/>
        <w:t>víctimas[243].  El  Tribunal  ha  considerado  violado  el  derecho   a   la</w:t>
        <w:br/>
        <w:t>integridad  psíquica  y  moral  de  algunos  familiares   con   motivo   del</w:t>
        <w:br/>
        <w:t>sufrimiento que estos han padecido a causa de las  actuaciones  u  omisiones</w:t>
        <w:br/>
        <w:t>de las autoridades estatales[244],  tomando  en  cuenta,  entre  otros,  las</w:t>
        <w:br/>
        <w:t>gestiones realizadas para obtener justicia y la existencia  de  un  estrecho</w:t>
        <w:br/>
        <w:t>vínculo familiar[245]. También se ha declarado la violación de este  derecho</w:t>
        <w:br/>
        <w:t>por el sufrimiento generado a partir de los hechos perpetrados en contra  de</w:t>
        <w:br/>
        <w:t>sus seres queridos[246].</w:t>
        <w:br/>
        <w:br/>
        <w:t>Este Tribunal ha señalado que la contribución por parte del Estado al  crear</w:t>
        <w:br/>
        <w:t>o agravar la situación de vulnerabilidad de una persona,  tiene  un  impacto</w:t>
        <w:br/>
        <w:t>significativo en la integridad de las personas que le  rodean,  en  especial</w:t>
        <w:br/>
        <w:t>de  familiares  cercanos  que  se  ven  enfrentados  a  la  incertidumbre  e</w:t>
        <w:br/>
        <w:t>inseguridad  generada  por  la  vulneración  de   su   familia   nuclear   o</w:t>
        <w:br/>
        <w:t>cercana[247].</w:t>
        <w:br/>
        <w:br/>
        <w:t>En el  presente  caso,  la  Corte  considera  pertinente  analizar  aspectos</w:t>
        <w:br/>
        <w:t>relativos a la aplicación del artículo 5 de la Convención,  con  el  fin  de</w:t>
        <w:br/>
        <w:t>determinar si se configura responsabilidad del  Estado  por  la  vulneración</w:t>
        <w:br/>
        <w:t>del derecho a la integridad personal de Teresa e Iván Lluy.  Para  ello,  la</w:t>
        <w:br/>
        <w:t>Corte analizará a continuación: i) el estigma que enfrentaron Teresa e  Iván</w:t>
        <w:br/>
        <w:t>Lluy por ser familiares de una persona con VIH, y ii)  el  impacto  concreto</w:t>
        <w:br/>
        <w:t>en la integridad personal de Teresa e Iván Lluy.</w:t>
        <w:br/>
        <w:br/>
        <w:t>La Corte constata que toda la familia Lluy sufrió una  estigmatización  como</w:t>
        <w:br/>
        <w:t>consecuencia de que Talía fuera una persona con VIH (infra  párr.  289).  Al</w:t>
        <w:br/>
        <w:t>respecto, ha sido probado que, derivado de que Talía tuviera VIH,  Teresa  e</w:t>
        <w:br/>
        <w:t>Iván sufrieron impactos en su vida como consecuencia  del  estigma  que  les</w:t>
        <w:br/>
        <w:t>generaba el hecho de ser madre y hermano de una persona  con  VIH.  Como  un</w:t>
        <w:br/>
        <w:t>ejemplo de esto, Teresa Lluy  fue  despedida  de  varios  empleos  y  en  el</w:t>
        <w:br/>
        <w:t>colegio Iván Lluy fue objeto de comentarios y  señalamientos  (infra  párrs.</w:t>
        <w:br/>
        <w:t>217 y 223).</w:t>
        <w:br/>
        <w:br/>
        <w:t>Respecto a  todas  las  dificultades  de  salud,  economía  y  vivienda  que</w:t>
        <w:br/>
        <w:t>sufrieron los miembros de su familia, Teresa Lluy ha declarado que:</w:t>
        <w:br/>
        <w:br/>
        <w:t xml:space="preserve">      “[l]os momentos más difíciles han sido en lo económico desde el inicio</w:t>
        <w:br/>
        <w:t xml:space="preserve">      de las demandas, la pérdida de mi trabajo, el rechazo  social  por  la</w:t>
        <w:br/>
        <w:t xml:space="preserve">      falta de oportunidades, […] la educación, los gastos  de  arriendos  y</w:t>
        <w:br/>
        <w:t xml:space="preserve">      mudanzas frecuentes [el que la discriminen] los dueños de casas”[248].</w:t>
        <w:br/>
        <w:br/>
        <w:t>La Corte  destaca  la  constante  situación  de  vulnerabilidad  en  que  se</w:t>
        <w:br/>
        <w:t>encontraron Teresa  e  Iván  Lluy  al  ser  discriminados,  aislados  de  la</w:t>
        <w:br/>
        <w:t>sociedad y estar condiciones económicas precarias. Aunado a lo anterior,  el</w:t>
        <w:br/>
        <w:t>contagio de Talía afectó en gran manera a toda la familia, ya que  Teresa  e</w:t>
        <w:br/>
        <w:t>Iván tuvieron que  dedicar  los  mayores  esfuerzos  físicos,  materiales  y</w:t>
        <w:br/>
        <w:t>económicos para procurar la sobrevivencia y vida digna  de  Talía.  Todo  lo</w:t>
        <w:br/>
        <w:t>anterior  generó  un  estado  de  angustia,  incertidumbre   e   inseguridad</w:t>
        <w:br/>
        <w:t>permanente en la vida de Talía, Teresa e Iván Lluy.</w:t>
        <w:br/>
        <w:br/>
        <w:t>En el caso concreto de Teresa Lluy, ella ha declarado que su vida  cambió  a</w:t>
        <w:br/>
        <w:t>raíz del contagio con VIH a Talía;  al  hacerse  pública  la  enfermedad  de</w:t>
        <w:br/>
        <w:t>Talía, la señora Lluy perdió su trabajo  en  la  empresa  en  la  que  había</w:t>
        <w:br/>
        <w:t>trabajado por 10 años, de la cual fue despedida diciéndole que era “por  dar</w:t>
        <w:br/>
        <w:t>mala imagen a la misma ya que [su] hija tenía VIH”. Después de  su  despido,</w:t>
        <w:br/>
        <w:t>la señora Lluy  habría  trabajado  como  empleada  doméstica;  sin  embargo,</w:t>
        <w:br/>
        <w:t>“cuando [sus empleadores] reconocían quien era, [l]e decían que ya  no  [la]</w:t>
        <w:br/>
        <w:t>necesitaban” y en algunas ocasiones le reprocharon que  “podía  ponerles  en</w:t>
        <w:br/>
        <w:t>riesgo de contagio”[249].</w:t>
        <w:br/>
        <w:br/>
        <w:t>Además,  Teresa  Lluy  declaró  que  “tuv[o]   que   vender,   rifar   [sus]</w:t>
        <w:br/>
        <w:t>electrodomésticos, […] perd[ió]  todo,  nunca  pud[o]  recuperar  nada”.  La</w:t>
        <w:br/>
        <w:t>discriminación y aislamiento sufrido “provocó daños emocionales, en la  vida</w:t>
        <w:br/>
        <w:t>de [su] hija, de [ella] y de [su] hijo”. De acuerdo con  la  declaración  de</w:t>
        <w:br/>
        <w:t>Teresa Lluy, en el año 2008 tuvo complicaciones de  salud  e  “inici[ó]  con</w:t>
        <w:br/>
        <w:t>dolores de cabeza, p[é]rdida de la visión, p[é]rdida de peso,  mucha  sed  y</w:t>
        <w:br/>
        <w:t>orinaba mucho”. Al acudir a  recibir  atención  médica  la  doctora  que  la</w:t>
        <w:br/>
        <w:t>atendió le informó que sus niveles de azúcar eran  muy  altos  y  que  tenía</w:t>
        <w:br/>
        <w:t>“diabetes emotiva”  la  cual  era  provocada  cuando  “[un]a  persona  e[ra]</w:t>
        <w:br/>
        <w:t>v[í]ctima de tensiones nerviosas  fuertes  y  conflictos  emocionales”[250].</w:t>
        <w:br/>
        <w:t>Además del malestar por la  “diabetes  emotiva”,  Teresa  Lluy  declaró  que</w:t>
        <w:br/>
        <w:t>sufre de “dolores neurálgicos por el herpes zoster que  desarroll[ó]  debido</w:t>
        <w:br/>
        <w:t>al estrés, [los cuales l]e causan dolor intenso a nivel del pecho”[251].</w:t>
        <w:br/>
        <w:br/>
        <w:t>Debido  a  su  compleja  situación   económica,   Teresa   Lluy   “[b]us[có]</w:t>
        <w:br/>
        <w:t>acercar[se] a  las  entidades  de  gobierno  del  Ministerio  de  Desarrollo</w:t>
        <w:br/>
        <w:t>Social, Corte de Justicia, Presidente de la Cruz  Roja  de  Quito,  pero  no</w:t>
        <w:br/>
        <w:t>[la] tomaron en cuenta”[252]. Como ya ha sido mencionado,  para  cubrir  los</w:t>
        <w:br/>
        <w:t>gastos familiares y el costo del tratamiento de Talía,  Teresa  Lluy  vendió</w:t>
        <w:br/>
        <w:t>sus objetos de valor y trabajó en el sector informal[253].</w:t>
        <w:br/>
        <w:br/>
        <w:t>De acuerdo con el informe de evaluación psicológica realizado en el  mes  de</w:t>
        <w:br/>
        <w:t>febrero de 2015 por la psicóloga clínica Sonia Nivelo Cabrera,  “la  [Señora</w:t>
        <w:br/>
        <w:t>Teresa] Lluy está afectada por el aislamiento, el  estigma  social,  por  la</w:t>
        <w:br/>
        <w:t>pérdida  de  empleo,  sintiendo  lo  que  se   denomina   ‘muerte   social’.</w:t>
        <w:br/>
        <w:t>Presentándose los signos y síntomas del trastorno  mixto  ansioso-depresivo.</w:t>
        <w:br/>
        <w:t>Dicho impacto ha sido “somatizado y presenta las siguientes enfermedades  de</w:t>
        <w:br/>
        <w:t>diabetes emocional, hipertensión[ y] dolores físicos crónicos[254].</w:t>
        <w:br/>
        <w:br/>
        <w:t>En lo que respecta a Iván Lluy, éste ha declarado que “[a]  partir  de  [sus</w:t>
        <w:br/>
        <w:t>15] años de edad [su] vida fue horriblemente  afectada  al  enterar[se]  que</w:t>
        <w:br/>
        <w:t>[su] hermana fue contagiada de VIH por brutalidad humana”.  Después  de  las</w:t>
        <w:br/>
        <w:t>complicaciones de salud de su hermana y pensar que en algún  momento  podría</w:t>
        <w:br/>
        <w:t>morir, dejó de ir a la universidad y empezó a trabajar de  día  y  de  noche</w:t>
        <w:br/>
        <w:t>para ayudar a su madre con los gastos[255].</w:t>
        <w:br/>
        <w:br/>
        <w:t>Iván Lluy fue  diagnosticado  con  depresión  y  recibió  medicamentos  para</w:t>
        <w:br/>
        <w:t>tratarla durante un año y medio. Al respecto, Iván Lluy  declaró  que  “[n]o</w:t>
        <w:br/>
        <w:t>podía vivir con todo el peso que [l]e hacía sufrir” y debido  a  eso  fue  a</w:t>
        <w:br/>
        <w:t>ver a un psiquiatra que conoció “un día en que limpiaba una oficina”.  Dicho</w:t>
        <w:br/>
        <w:t>psiquiatra lo atendió “en varias ocasiones, […] 30 más  o  menos,  […]  solo</w:t>
        <w:br/>
        <w:t>[l]e cobró las 5 primeras consultas.  [L]e  diagnosticó  depresión  mayor  y</w:t>
        <w:br/>
        <w:t>[l]e recetó un medicamente [cuyas] cápsulas era caras y tenía  que  tomarlas</w:t>
        <w:br/>
        <w:t>2 diarias”. De acuerdo con el testimonio de Iván  Lluy  “[c]uando  no  tenía</w:t>
        <w:br/>
        <w:t>para comprarlas y no las tomaba [l]e  daba  efectos  como  náuseas,  mareos,</w:t>
        <w:br/>
        <w:t>palpitaciones  [y]  desesperación”[256].  Asimismo,  señaló  que  un  tiempo</w:t>
        <w:br/>
        <w:t>después de atenderlo, el psiquiatra falleció  y  él  ya  no  pudo  continuar</w:t>
        <w:br/>
        <w:t>recibiendo atención. De acuerdo con su declaración “[e]l D[octor  l]e  ayudó</w:t>
        <w:br/>
        <w:t>mucho, pero todavía t[iene] miedo de no tener [lo necesario]  para  darle  a</w:t>
        <w:br/>
        <w:t>[su] hermana una buena alimentación, [y] un tratamiento adecuado”[257].</w:t>
        <w:br/>
        <w:br/>
        <w:t>Teresa Lluy manifestó que “[a su] hijo le tocó asumir responsabilidades  que</w:t>
        <w:br/>
        <w:t>no le correspondían. […] El también se perdió de muchas cosas en su vida  de</w:t>
        <w:br/>
        <w:t>adolescente, sufrió mucha discriminación y aislamiento social,  lo  cual  es</w:t>
        <w:br/>
        <w:t>muy devastador más  en  esa  etapa  tan  compleja  de  su  crecimiento  como</w:t>
        <w:br/>
        <w:t>persona”[258]. Agregó que los días que ella debía llevar a Talía a  Quito  y</w:t>
        <w:br/>
        <w:t>permanecer ahí un tiempo mientras era atendida, “[su] hijo pasaba en  Cuenca</w:t>
        <w:br/>
        <w:t>completamente solo, a veces dormía en los  parques  o  donde  encontraba  un</w:t>
        <w:br/>
        <w:t>hueco porque no tenía[n] para  arriendo”[259].  Debido  a  la  necesidad  de</w:t>
        <w:br/>
        <w:t>trabajar, Iván Lluy “[y]a no iba al colegio, no tenía  amigos,  muchos  días</w:t>
        <w:br/>
        <w:t>pasa[ban] sin hablar[se]”. Finalmente, Teresa Lluy  declaró  que  “el  dolor</w:t>
        <w:br/>
        <w:t>que siente una madre al ver y sentir que sus dos hijos estaban sufriendo  de</w:t>
        <w:br/>
        <w:t>manera tan injusta, e[ra] para perder la cordura de cualquiera”[260].</w:t>
        <w:br/>
        <w:br/>
        <w:t>La Corte nota que en el informe  de  evaluación  psicológico  realizado  por</w:t>
        <w:br/>
        <w:t>Sonia Nivelo se determinó que Iván Lluy está afectado en su “salud  psíquica</w:t>
        <w:br/>
        <w:t>[…] por pensamientos y sentimientos como꞉  ira,  frustración,  desesperanza,</w:t>
        <w:br/>
        <w:t>culpa […] lo cual pudiera estar  relacionado  con  la  discriminación  y  el</w:t>
        <w:br/>
        <w:t>estigma que [vivió] Iván  […]   en  el  entorno  social.  […]  present[ando]</w:t>
        <w:br/>
        <w:t>depresión moderada, ansiedad y sentimientos de culpa”[261].</w:t>
        <w:br/>
        <w:br/>
        <w:t>La Corte considera que puede concluirse  que  los  daños  y  el  sufrimiento</w:t>
        <w:br/>
        <w:t>provocado por el hecho que Iván no pudiera  continuar  con  sus  estudios  y</w:t>
        <w:br/>
        <w:t>tuviera que  trabajar  siendo  un  adolescente,  la  pérdida  de  trabajo  y</w:t>
        <w:br/>
        <w:t>capacidad económica para sostener a su familia por  parte  de  Teresa  Lluy,</w:t>
        <w:br/>
        <w:t>así como la constante discriminación a la que se  vieron  sometidos,  fueron</w:t>
        <w:br/>
        <w:t>resultado de la negligencia en el procedimiento que ocasionó el contagio  de</w:t>
        <w:br/>
        <w:t>Talía. Aunado a esto, la Corte nota que la familia Lluy no fue  orientada  y</w:t>
        <w:br/>
        <w:t>acompañada debidamente para contar con un mejor entorno familiar  y  superar</w:t>
        <w:br/>
        <w:t>la precaria situación en la que se  encontraban,  tampoco  recibieron  apoyo</w:t>
        <w:br/>
        <w:t>para superar la discriminación de la que eran objeto en diferentes áreas  de</w:t>
        <w:br/>
        <w:t>su vida.</w:t>
        <w:br/>
        <w:br/>
        <w:t>La Corte observa que si bien algunos de los aspectos en los cuales  Talía  y</w:t>
        <w:br/>
        <w:t>su familia sufrieron discriminación, no obedecieron a una actuación  directa</w:t>
        <w:br/>
        <w:t>de autoridades estatales, dicha discriminación obedeció al estigma  derivado</w:t>
        <w:br/>
        <w:t>de la condición de Talía como portadora de VIH, y  fueron  resultado  de  la</w:t>
        <w:br/>
        <w:t>falta de acciones tomadas por el  Estado  para  proteger  a  Talía  y  a  su</w:t>
        <w:br/>
        <w:t>familia, quienes se encontraban en una situación de vulnerabilidad.</w:t>
        <w:br/>
        <w:br/>
        <w:t>La discriminación que sufrió Talía fue resultado del  estigma  generado  por</w:t>
        <w:br/>
        <w:t>su condición de persona viviendo con VIH y le trajo consecuencias a ella,  a</w:t>
        <w:br/>
        <w:t>su madre y a su hermano. La Corte nota que en el  presente  caso  existieron</w:t>
        <w:br/>
        <w:t>múltiples diferencias de trato hacia Talía y su familia que se derivaron  de</w:t>
        <w:br/>
        <w:t>la condición de  Talía  de  persona  con  VIH;  esas  diferencias  de  trato</w:t>
        <w:br/>
        <w:t>configuraron  una  discriminación  que  los  colocó  en  una   posición   de</w:t>
        <w:br/>
        <w:t>vulnerabilidad  que  se  vio  agravada  con   el   paso   del   tiempo.   La</w:t>
        <w:br/>
        <w:t>discriminación sufrida por la familia se concretó en diversos aspectos  como</w:t>
        <w:br/>
        <w:t>la vivienda, el trabajo y la educación.</w:t>
        <w:br/>
        <w:br/>
        <w:t>En el presente caso, a pesar de la situación  de  particular  vulnerabilidad</w:t>
        <w:br/>
        <w:t>en que se encontraban Talía, Teresa e Iván  Lluy,  el  Estado  no  tomó  las</w:t>
        <w:br/>
        <w:t>medidas necesarias para garantizarle a ella y a su familia el acceso  a  sus</w:t>
        <w:br/>
        <w:t>derechos sin discriminación, por lo que las acciones y omisiones del  Estado</w:t>
        <w:br/>
        <w:t>constituyeron un trato discriminatorio en contra de Talía, de su madre y  de</w:t>
        <w:br/>
        <w:t>su hermano.</w:t>
        <w:br/>
        <w:br/>
        <w:t>En atención de lo anterior, la Corte concluye que el Estado  es  responsable</w:t>
        <w:br/>
        <w:t>de la violación del derecho a  la  integridad  personal,  consagrado  en  el</w:t>
        <w:br/>
        <w:t>artículo 5.1 de la Convención Americana, en relación con el artículo 1.1  de</w:t>
        <w:br/>
        <w:t>la misma, en perjuicio de Teresa Lluy e Iván Lluy.</w:t>
        <w:br/>
        <w:br/>
        <w:t>X</w:t>
        <w:br/>
        <w:t>DERECHO A LA EDUCACIÓN</w:t>
        <w:br/>
        <w:br/>
        <w:br/>
        <w:t xml:space="preserve">      Alegatos de la Comisión y de las partes</w:t>
        <w:br/>
        <w:br/>
        <w:t>La Comisión manifestó  que  Talía  “fue  expulsada  de  una  institución  de</w:t>
        <w:br/>
        <w:t>educación pública y  que  el  Poder  Judicial  avaló  tal  actuación”.  Esta</w:t>
        <w:br/>
        <w:t>expulsión “tuvo lugar cuando las autoridades de  [la]  escuela  […]  tomaron</w:t>
        <w:br/>
        <w:t>conocimiento de que Talía […] vivía con VIH. De  acuerdo  con  la  Comisión,</w:t>
        <w:br/>
        <w:t>aunque Teresa Lluy intentó una acción de amparo para proteger el  derecho  a</w:t>
        <w:br/>
        <w:t>la educación de Talía, “[e]l Tribunal Distrital indicó  que  Talía  Gabriela</w:t>
        <w:br/>
        <w:t>podía ejercer su derecho a la educación de forma particular y a  distancia”.</w:t>
        <w:br/>
        <w:t>A juicio de la Comisión, “[c]on esta decisión, el Poder Judicial  avaló  [su</w:t>
        <w:br/>
        <w:t>expulsión] consolidando una violación a su derecho a la educación y un  acto</w:t>
        <w:br/>
        <w:t>discriminatorio sobre la  base  de  su  situación  de  salud”.  La  Comisión</w:t>
        <w:br/>
        <w:t>estableció en su Informe de Fondo que “no  existe  información  que  indique</w:t>
        <w:br/>
        <w:t>que alguna entidad del Estado a cargo de los intereses de los niños y  niñas</w:t>
        <w:br/>
        <w:t>hubiera intervenido ni  en  el  proceso  judicial  ni  en  colaborar  en  la</w:t>
        <w:br/>
        <w:t>búsqueda de los servicios médicos. Toda  es[a]  situación  ha  generado  una</w:t>
        <w:br/>
        <w:t>grave afectación […] al ejercicio de su derecho a la educación y,  en  suma,</w:t>
        <w:br/>
        <w:t>a las condiciones  mínimas  para  llevar  adelante  una  vida  y  desarrollo</w:t>
        <w:br/>
        <w:t>dignos”. Sobre este particular, la Comisión alegó además que  la  obligación</w:t>
        <w:br/>
        <w:t>de velar por el proyecto de vida de Talía, donde es claro que  la  educación</w:t>
        <w:br/>
        <w:t>se encuentra comprendida, era “reforzada en el presente caso  debido  a  los</w:t>
        <w:br/>
        <w:t>factores de múltiple vulnerabilidad  en  que  se  encontraba  la  [presunta]</w:t>
        <w:br/>
        <w:t>víctima en su condición de niña portadora de VIH de muy escasos recursos”.</w:t>
        <w:br/>
        <w:br/>
        <w:t>Los representantes señalaron que en el caso de Talía no se cumplió  con  los</w:t>
        <w:br/>
        <w:t>estándares del derecho a la  educación,  en  tanto  existió  una  resolución</w:t>
        <w:br/>
        <w:t>judicial que “anul[ó] el derecho [de Talía] a acceder a [cualquier]  escuela</w:t>
        <w:br/>
        <w:t>pública”, lo que llevó a que los familiares de  Talía  “no  tuvier[an]  otra</w:t>
        <w:br/>
        <w:t>opción  de  buscar  escuelas  lejanas  para  evitar  el  trato  desigual   y</w:t>
        <w:br/>
        <w:t>denigrante”. En consecuencia, “[e]l sistema educativo no  se  adaptó  a  las</w:t>
        <w:br/>
        <w:t>necesidades de Talía”, ya que este debía “ser flexible  y  responder  a  las</w:t>
        <w:br/>
        <w:t>necesidades de los alumnos en contextos  culturales  y  sociales  variados”.</w:t>
        <w:br/>
        <w:t>Según los representantes “al  crear  condiciones  en  las  que  [el  sistema</w:t>
        <w:br/>
        <w:t>educativo]  se  torna  inaccesible  o  de  difícil  acceso,  inadaptable   e</w:t>
        <w:br/>
        <w:t>inaceptable, se rompe la obligación  del  Estado  frente  al  derecho  a  la</w:t>
        <w:br/>
        <w:t>educación”. Agregaron que la educación de Talía nunca ha  estado  exenta  de</w:t>
        <w:br/>
        <w:t>discriminación. Asimismo indicaron que “Talía apenas  tenía  5  años  cuando</w:t>
        <w:br/>
        <w:t>sufrió la expulsión de la escuela por ser portadora de VIH”,  razón  por  la</w:t>
        <w:br/>
        <w:t>cual “Teresa también [promovió] un juicio de  amparo  constitucional  cuando</w:t>
        <w:br/>
        <w:t>Talía fue expulsada de la escuela pública, en septiembre de 1999”  donde  el</w:t>
        <w:br/>
        <w:t>juez  decidió  “rechaza[r  la  acción]  y  orden[ar]  que  Talía   t[uviese]</w:t>
        <w:br/>
        <w:t>educación a  distancia”,  lo  que  ocasionó  que  Taía  fuese  asediada  por</w:t>
        <w:br/>
        <w:t>funcionarios del Ministerio de Educación  que  “en  lugar  de  ayudarla,  la</w:t>
        <w:br/>
        <w:t>perseguía[n] para garantizar que no contagi[ase] a otros  niños”.  Por  otra</w:t>
        <w:br/>
        <w:t>parte, los representantes alegaron que “[l]a  educación  superior  de  Talía</w:t>
        <w:br/>
        <w:t>tampoco  ha  estado  exenta  de  dificultades  y  de  consecuencias  por  la</w:t>
        <w:br/>
        <w:t>transfusión de sangre con VIH”. En este sentido,  señalaron  que  Talía  “no</w:t>
        <w:br/>
        <w:t>pudo seguir la carrera universitaria que quería, no pu[do]  vivir  una  vida</w:t>
        <w:br/>
        <w:t>con el más alto bienestar posible  porque  no  pu[do]  escoger  el  tipo  de</w:t>
        <w:br/>
        <w:t>tratamiento más adecuado a su salud”.</w:t>
        <w:br/>
        <w:br/>
        <w:t>El  Estado  señaló  “que  las  políticas  empleadas  por  las  instituciones</w:t>
        <w:br/>
        <w:t>estatales  en  materia   educativa   se   ajustan   a   los   requerimientos</w:t>
        <w:br/>
        <w:t>internacionales de protección y garantía  de  derechos”,  estableciendo  que</w:t>
        <w:br/>
        <w:t>“la educación, inclusive superior, en el Ecuador es gratuita y universal,  y</w:t>
        <w:br/>
        <w:t>proporciona  sin  costo,  servicios  de   carácter   social   y   de   apoyo</w:t>
        <w:br/>
        <w:t>psicológico”. El Estado resaltó que existe una  “prohibición  constitucional</w:t>
        <w:br/>
        <w:t>de la discriminación en los casos de personas que portan VIH/SIDA”, no  solo</w:t>
        <w:br/>
        <w:t>en la Constitución sino “desde hace 12 años en  el  Código  de  la  Niñez  y</w:t>
        <w:br/>
        <w:t>Adolescencia y también en la Ley para la Prevención  y  Asistencia  Integral</w:t>
        <w:br/>
        <w:t>del VIH/SIDA”. El Estado expresó que siempre ha garantizado “la  realización</w:t>
        <w:br/>
        <w:t>personal [de Talía y] que esto se puede corroborar [en] que  incluso  frente</w:t>
        <w:br/>
        <w:t>a las  diversas  complejidades  propias  de  su  condición  de  salud,  pudo</w:t>
        <w:br/>
        <w:t>estudiar  y  completar  tanto  la  educación  básica,  como   la   formación</w:t>
        <w:br/>
        <w:t>secundaria, en instituciones públicas y privadas reguladas  por  el  Estado,</w:t>
        <w:br/>
        <w:t>siendo además por su propio esfuerzo,  una  estudiante  destacada”.  En  ese</w:t>
        <w:br/>
        <w:t>orden de ideas, hizo constar que “los propios representantes en  su  escrito</w:t>
        <w:br/>
        <w:t>reconocen que Talía  accedió  a  sus  estudios  universitarios  de  pregrado</w:t>
        <w:br/>
        <w:t>dentro de la carrera de Diseño”. Asimismo,   en  relación  a  la  acción  de</w:t>
        <w:br/>
        <w:t>amparo, el Estado alegó que “la acción fue propuesta con  el  patrocinio  de</w:t>
        <w:br/>
        <w:t>la Defensoría del Pueblo”, por lo que consideró que pese a que “[e]l  amparo</w:t>
        <w:br/>
        <w:t>concebido  en  1998  resultaba  restringido  en  su  campo  de   acción   en</w:t>
        <w:br/>
        <w:t>comparación al alcance constitucional designado en el 2008”  era  claro  que</w:t>
        <w:br/>
        <w:t>la “señora Teresa Lluy tuvo el respaldo institucional del Estado al  momento</w:t>
        <w:br/>
        <w:t>de proponer la acción de amparo de los derechos de su hija”. En  este  punto</w:t>
        <w:br/>
        <w:t>señaló que  algunas  declaraciones  “no  ofrecen  ningún  dato  que  pudiera</w:t>
        <w:br/>
        <w:t>permitir al Estado efectuar alguna investigación para determinar el  alegado</w:t>
        <w:br/>
        <w:t>hecho discriminatorio”. Además, el Estado alegó  que  la  discriminación  en</w:t>
        <w:br/>
        <w:t>este caso no se produjo por la intervención de  decisiones  y  prácticas  de</w:t>
        <w:br/>
        <w:t>agentes estatales, sino en la escala social en  la  relación  con  un  medio</w:t>
        <w:br/>
        <w:t>comunitario  que  todavía  no  está  preparado  para  entender  y   asimilar</w:t>
        <w:br/>
        <w:t>culturalmente las personas con VIH/SIDA. Finalmente,  el  Estado  alegó  que</w:t>
        <w:br/>
        <w:t>los esfuerzos del Ministerio de Salud Pública y del Ministerio de  Educación</w:t>
        <w:br/>
        <w:t>en  materia  de  información  y  promoción  de   una   cultura   contra   la</w:t>
        <w:br/>
        <w:t>discriminación están  generando  impactos  importantes  que  ya  pueden  ser</w:t>
        <w:br/>
        <w:t>medidos en el país.</w:t>
        <w:br/>
        <w:br/>
        <w:t xml:space="preserve">    Consideraciones de la Corte</w:t>
        <w:br/>
        <w:br/>
        <w:t>En el presente caso existe debate sobre la posible violación del  derecho  a</w:t>
        <w:br/>
        <w:t>la educación teniendo en cuenta que Talía fue retirada de una  escuela  bajo</w:t>
        <w:br/>
        <w:t>el supuesto de poner  en  riesgo  la  integridad  de  sus  compañeros.  Para</w:t>
        <w:br/>
        <w:t>resolver la controversia entre  las  partes  sobre  estos  puntos  la  Corte</w:t>
        <w:br/>
        <w:t>abordará las siguientes dos cuestiones: a) los alcances  del  derecho  a  la</w:t>
        <w:br/>
        <w:t>educación relevantes para el presente caso, y b) la violación del derecho  a</w:t>
        <w:br/>
        <w:t>la permanencia en el sistema educativo, el derecho a no ser  discriminado  y</w:t>
        <w:br/>
        <w:t>la adaptabilidad en relación con el derecho a la educación.</w:t>
        <w:br/>
        <w:br/>
        <w:br/>
        <w:t xml:space="preserve">   A. Alcances del derecho a la educación relevantes para el presente  caso:</w:t>
        <w:br/>
        <w:t xml:space="preserve">      el derecho a la educación de  las  personas  con  condiciones  médicas</w:t>
        <w:br/>
        <w:t xml:space="preserve">      potencialmente generadoras de discapacidad como el VIH/SIDA</w:t>
        <w:br/>
        <w:br/>
        <w:br/>
        <w:t>El derecho a la educación se encuentra  contenido  en  el  artículo  13  del</w:t>
        <w:br/>
        <w:t>Protocolo de San Salvador[262]. La  Corte  tiene  competencia  para  decidir</w:t>
        <w:br/>
        <w:t>sobre casos contenciosos en torno a este derecho en virtud del  artículo  19</w:t>
        <w:br/>
        <w:t>(6) del Protocolo[263]. Asimismo, dicho derecho se encuentra contemplado  en</w:t>
        <w:br/>
        <w:t>diversos  instrumentos internacionales[264]. Por  su  parte,  el  Comité  de</w:t>
        <w:br/>
        <w:t>Derechos Económicos, Sociales y Culturales ha resaltado que el derecho a  la</w:t>
        <w:br/>
        <w:t>educación es el epítome de  la  indivisibilidad  y  la  interdependencia  de</w:t>
        <w:br/>
        <w:t>todos los derechos humanos, y que  “[l]a  educación  es  un  derecho  humano</w:t>
        <w:br/>
        <w:t>intrínseco  y  un   medio   indispensable   de   realizar   otros   derechos</w:t>
        <w:br/>
        <w:t>humanos”[265].</w:t>
        <w:br/>
        <w:br/>
        <w:t>Ahora bien, el Comité de  Derechos  Económicos,  Sociales  y  Culturales  ha</w:t>
        <w:br/>
        <w:t>señalado que para garantizar el derecho a la educación debe velarse por  que</w:t>
        <w:br/>
        <w:t>en todos  los  niveles  educativos  se  cumpla  con  cuatro  características</w:t>
        <w:br/>
        <w:t>esenciales e interrelacionadas: i) disponibilidad, ii)  accesibilidad,  iii)</w:t>
        <w:br/>
        <w:t>aceptabilidad y iv) adaptabilidad[266]:</w:t>
        <w:br/>
        <w:br/>
        <w:t xml:space="preserve">      a)       Disponibilidad.  Debe  haber  instituciones  y  programas  de</w:t>
        <w:br/>
        <w:t xml:space="preserve">      enseñanza en cantidad suficiente en el ámbito del  Estado  Parte.  Las</w:t>
        <w:br/>
        <w:t xml:space="preserve">      condiciones para que funcionen dependen de numerosos  factores,  entre</w:t>
        <w:br/>
        <w:t xml:space="preserve">      otros, el contexto de desarrollo en el que actúan;  por  ejemplo,  las</w:t>
        <w:br/>
        <w:t xml:space="preserve">      instituciones y los programas probablemente necesiten edificios u otra</w:t>
        <w:br/>
        <w:t xml:space="preserve">      protección contra los elementos, instalaciones sanitarias  para  ambos</w:t>
        <w:br/>
        <w:t xml:space="preserve">      sexos, agua potable, docentes calificados con  salarios  competitivos,</w:t>
        <w:br/>
        <w:t xml:space="preserve">      materiales de enseñanza, etc.; algunos necesitarán además bibliotecas,</w:t>
        <w:br/>
        <w:t xml:space="preserve">      servicios de informática, tecnología de la información, etc.</w:t>
        <w:br/>
        <w:br/>
        <w:br/>
        <w:t xml:space="preserve">      b)      Accesibilidad.  Las instituciones y los programas de enseñanza</w:t>
        <w:br/>
        <w:t xml:space="preserve">      han de ser accesibles a todos, sin discriminación, en  el  ámbito  del</w:t>
        <w:br/>
        <w:t xml:space="preserve">      Estado  Parte.  La  accesibilidad  consta  de  tres  dimensiones   que</w:t>
        <w:br/>
        <w:t xml:space="preserve">      coinciden parcialmente:</w:t>
        <w:br/>
        <w:br/>
        <w:br/>
        <w:t xml:space="preserve">      i)    No discriminación. La educación  debe  ser  accesible  a  todos,</w:t>
        <w:br/>
        <w:t xml:space="preserve">      especialmente a los grupos m[á]s vulnerables de hecho  y  de  derecho,</w:t>
        <w:br/>
        <w:t xml:space="preserve">      sin discriminación por ninguno de los motivos prohibidos […];</w:t>
        <w:br/>
        <w:br/>
        <w:br/>
        <w:t xml:space="preserve">      ii)    Accesibilidad  material.  La  educación  ha  de  ser  asequible</w:t>
        <w:br/>
        <w:t xml:space="preserve">      materialmente,  ya  sea  por  su  localización  geográfica  de  acceso</w:t>
        <w:br/>
        <w:t xml:space="preserve">      razonable (por ejemplo,  una  escuela  vecinal)  o  por  medio  de  la</w:t>
        <w:br/>
        <w:t xml:space="preserve">      tecnología moderna (mediante el acceso  a  programas  de  educación  a</w:t>
        <w:br/>
        <w:t xml:space="preserve">      distancia);</w:t>
        <w:br/>
        <w:br/>
        <w:br/>
        <w:t xml:space="preserve">      iii)  Accesibilidad económica. La educación ha de estar al alcance  de</w:t>
        <w:br/>
        <w:t xml:space="preserve">      todos.  Esta dimensión de la accesibilidad está condicionada  por  las</w:t>
        <w:br/>
        <w:t xml:space="preserve">      diferencias de redacción del párrafo 2 del artículo 13 respecto de  la</w:t>
        <w:br/>
        <w:t xml:space="preserve">      enseñanza primaria, secundaria y superior: mientras que  la  enseñanza</w:t>
        <w:br/>
        <w:t xml:space="preserve">      primaria ha de ser gratuita para todos, se pide a los  Estados  Partes</w:t>
        <w:br/>
        <w:t xml:space="preserve">      que  implanten  gradualmente  la  enseñanza  secundaria   y   superior</w:t>
        <w:br/>
        <w:t xml:space="preserve">      gratuita.</w:t>
        <w:br/>
        <w:br/>
        <w:br/>
        <w:t xml:space="preserve">      c)        Aceptabilidad.   La  forma  y  el  fondo  de  la  educación,</w:t>
        <w:br/>
        <w:t xml:space="preserve">      comprendidos los programas de estudio y los métodos  pedagógicos,  han</w:t>
        <w:br/>
        <w:t xml:space="preserve">      de ser aceptables (por ejemplo, pertinentes, adecuados culturalmente y</w:t>
        <w:br/>
        <w:t xml:space="preserve">      de buena calidad) para los estudiantes y, cuando proceda, los  padres;</w:t>
        <w:br/>
        <w:t xml:space="preserve">      este punto está supeditado a los objetivos de la educación mencionados</w:t>
        <w:br/>
        <w:t xml:space="preserve">      en el párrafo 1 del artículo 13 y a las normas mínimas que  el  Estado</w:t>
        <w:br/>
        <w:t xml:space="preserve">      apruebe en materia de enseñanza […].</w:t>
        <w:br/>
        <w:br/>
        <w:br/>
        <w:t xml:space="preserve">      d)      Adaptabilidad.  La  educación  ha  de  tener  la  flexibilidad</w:t>
        <w:br/>
        <w:t xml:space="preserve">      necesaria para adaptarse a las necesidades de sociedades y comunidades</w:t>
        <w:br/>
        <w:t xml:space="preserve">      en transformación y responder a las  necesidades  de  los  alumnos  en</w:t>
        <w:br/>
        <w:t xml:space="preserve">      contextos culturales y sociales variados.</w:t>
        <w:br/>
        <w:br/>
        <w:br/>
        <w:t xml:space="preserve">      7.    Al considerar la correcta aplicación de  estas  "características</w:t>
        <w:br/>
        <w:t xml:space="preserve">      interrelacionadas y fundamentales", se habrán de tener en cuenta  ante</w:t>
        <w:br/>
        <w:t xml:space="preserve">      todo los superiores intereses de los alumnos.</w:t>
        <w:br/>
        <w:br/>
        <w:t>Ahora bien, la Corte nota que las personas con VIH han  sido  históricamente</w:t>
        <w:br/>
        <w:t>discriminadas debido a las diferentes creencias sociales  y  culturales  que</w:t>
        <w:br/>
        <w:t>han creado un estigma alrededor de la enfermedad.  De  este  modo,  que  una</w:t>
        <w:br/>
        <w:t>persona viva con VIH/SIDA, o incluso la sola suposición  de  que  lo  tiene,</w:t>
        <w:br/>
        <w:t>puede crear barreras sociales  y  actitudinales  para  que  ésta  acceda  en</w:t>
        <w:br/>
        <w:t>igualdad de condiciones a todos sus derechos. La relación  entre  este  tipo</w:t>
        <w:br/>
        <w:t>de barreras y la condición de salud de las personas  justifica  el  uso  del</w:t>
        <w:br/>
        <w:t>modelo social de la discapacidad como  enfoque  relevante  para  valorar  el</w:t>
        <w:br/>
        <w:t>alcance de algunos derechos involucrados en el presente caso.</w:t>
        <w:br/>
        <w:br/>
        <w:t>Como parte de la evolución del concepto de discapacidad,  el  modelo  social</w:t>
        <w:br/>
        <w:t>de  discapacidad  entiende  la  discapacidad  como  el   resultado   de   la</w:t>
        <w:br/>
        <w:t>interacción entre las características  funcionales  de  una  persona  y  las</w:t>
        <w:br/>
        <w:t>barreras en su entorno[267]. Esta Corte ha establecido que  la  discapacidad</w:t>
        <w:br/>
        <w:t>no se define exclusivamente por la  presencia  de  una  deficiencia  física,</w:t>
        <w:br/>
        <w:t>mental,  intelectual  o  sensorial,  sino  que  se  interrelaciona  con  las</w:t>
        <w:br/>
        <w:t>barreras o limitaciones  que  socialmente  existen  para  que  las  personas</w:t>
        <w:br/>
        <w:t>puedan ejercer sus derechos de manera efectiva[268].</w:t>
        <w:br/>
        <w:br/>
        <w:t>En este sentido, el convivir con el VIH  no  es  per  se  una  situación  de</w:t>
        <w:br/>
        <w:t>discapacidad.  Sin  embargo,  en  algunas   circunstancias,   las   barreras</w:t>
        <w:br/>
        <w:t>actitudinales que enfrente una persona por convivir con el VIH  generan  que</w:t>
        <w:br/>
        <w:t>las  circunstancias  de  su  entorno  le  coloquen  en  una   situación   de</w:t>
        <w:br/>
        <w:t>discapacidad. En otras palabras,  la  situación  médica  de  vivir  con  VIH</w:t>
        <w:br/>
        <w:t>puede, potencialmente, ser  generadora  de  discapacidad  por  las  barreras</w:t>
        <w:br/>
        <w:t>actitudinales y sociales. Así pues, la determinación  de  si  alguien  puede</w:t>
        <w:br/>
        <w:t>considerarse una persona con discapacidad depende  de  su  relación  con  el</w:t>
        <w:br/>
        <w:t>entorno y no responde únicamente a una lista de diagnósticos. Por tanto,  en</w:t>
        <w:br/>
        <w:t>algunas  situaciones,  las  personas  viviendo  con  VIH/SIDA   pueden   ser</w:t>
        <w:br/>
        <w:t>consideradas personas con  discapacidad  bajo  la  conceptualización  de  la</w:t>
        <w:br/>
        <w:t>Convención sobre los Derechos de las Personas con Discapacidad[269].</w:t>
        <w:br/>
        <w:br/>
        <w:t>La Corte nota que diversos organismos  internacionales  se  han  manifestado</w:t>
        <w:br/>
        <w:t>acerca  de  la  estrecha  relación  que  existe  entre  el  VIH/SIDA  y   la</w:t>
        <w:br/>
        <w:t>discapacidad en razón de los diversos padecimientos físicos  que  se  pueden</w:t>
        <w:br/>
        <w:t>presentar en razón de la enfermedad, así  como  por  las  barreras  sociales</w:t>
        <w:br/>
        <w:t>derivadas de la misma. ONUSIDA ha precisado que  una  de  esas  percepciones</w:t>
        <w:br/>
        <w:t>erradas sobre el VIH/SIDA es la de considerar que las personas con  VIH  son</w:t>
        <w:br/>
        <w:t>una amenaza  a  la  salud  pública[270].  Además,  el  Tribunal  Europeo  de</w:t>
        <w:br/>
        <w:t>Derechos Humanos en el caso Kiyutin Vs. Rusia consideró que  una  distinción</w:t>
        <w:br/>
        <w:t>hecha con base en el estado de salud de una persona,  incluyendo  escenarios</w:t>
        <w:br/>
        <w:t>como la infección  por  VIH,  debería  estar  cubierta  por  el  término  de</w:t>
        <w:br/>
        <w:t>discapacidad o paralelamente por el término “otra  situación”  en  el  texto</w:t>
        <w:br/>
        <w:t>del artículo 14 del Convenio Europeo de Derechos Humanos[271]. Asimismo,  la</w:t>
        <w:br/>
        <w:t>Corte  destaca  que  algunos  Estados  y  tribunales  constitucionales   han</w:t>
        <w:br/>
        <w:t>reconocido  la  condición  de  convivir  con   VIH   como   una   forma   de</w:t>
        <w:br/>
        <w:t>discapacidad[272].</w:t>
        <w:br/>
        <w:br/>
        <w:t>Teniendo en cuenta estas características, y en atención  a  las  condiciones</w:t>
        <w:br/>
        <w:t>de vulnerabilidad que  ha  enfrentado  Talía,  la  Corte  estima  pertinente</w:t>
        <w:br/>
        <w:t>precisar algunos elementos sobre el derecho a la educación de  las  personas</w:t>
        <w:br/>
        <w:t>que  conviven  con  condiciones  médicas   potencialmente   generadoras   de</w:t>
        <w:br/>
        <w:t>discapacidad como el VIH/SIDA. Al respecto, también se involucrarán  algunos</w:t>
        <w:br/>
        <w:t>componentes asociados  al  derecho  a  la  educación  de  las  personas  con</w:t>
        <w:br/>
        <w:t>discapacidad. En  este  punto,  las  Directrices  Internacionales  sobre  el</w:t>
        <w:br/>
        <w:t>VIH/SIDA  y  los  Derechos  Humanos  de  Naciones  Unidas[273]  precisan  lo</w:t>
        <w:br/>
        <w:t>siguiente sobre el derecho a la educación de las personas con VIH/SIDA:</w:t>
        <w:br/>
        <w:br/>
        <w:t xml:space="preserve">      “Primero, tanto los niños como los adultos tienen  derecho  a  recibir</w:t>
        <w:br/>
        <w:t xml:space="preserve">      educación sobre el  VIH,  en  particular  sobre  la  prevención  y  la</w:t>
        <w:br/>
        <w:t xml:space="preserve">      atención. El acceso a la educación sobre el VIH/[SIDA] es un  elemento</w:t>
        <w:br/>
        <w:t xml:space="preserve">      esencial de los programas de prevención y atención eficaces. El Estado</w:t>
        <w:br/>
        <w:t xml:space="preserve">      tiene la obligación de asegurar que, dentro de su tradición cultural y</w:t>
        <w:br/>
        <w:t xml:space="preserve">      religiosa,  se  faciliten  los  medios  apropiados  para  que  en  los</w:t>
        <w:br/>
        <w:t xml:space="preserve">      programas de  enseñanza  académicos  y  extra  académicos  se  incluya</w:t>
        <w:br/>
        <w:t xml:space="preserve">      información eficaz sobre el VIH. La  educación  e  información  a  los</w:t>
        <w:br/>
        <w:t xml:space="preserve">      niños no debe considerarse como una promoción de la experiencia sexual</w:t>
        <w:br/>
        <w:t xml:space="preserve">      temprana”[274].</w:t>
        <w:br/>
        <w:br/>
        <w:br/>
        <w:t xml:space="preserve">      “Segundo, los Estados deben procurar que a los  niños  y  adultos  que</w:t>
        <w:br/>
        <w:t xml:space="preserve">      viven con el VIH no se les deniegue discriminatoriamente el  acceso  a</w:t>
        <w:br/>
        <w:t xml:space="preserve">      la educación, en particular el  acceso  a  escuelas,  universidades  y</w:t>
        <w:br/>
        <w:t xml:space="preserve">      becas, así como a  la  educación  internacional,  ni  sean  objeto  de</w:t>
        <w:br/>
        <w:t xml:space="preserve">      restricciones por su estado serológico con respecto  al  VIH.  No  hay</w:t>
        <w:br/>
        <w:t xml:space="preserve">      razones de salud pública que justifiquen esas medidas, ya que  no  hay</w:t>
        <w:br/>
        <w:t xml:space="preserve">      riesgo de transmitir casualmente el VIH en entornos educativos”[275].</w:t>
        <w:br/>
        <w:br/>
        <w:br/>
        <w:t xml:space="preserve">      “Tercero, los Estados, por medio de la educación,  deben  promover  la</w:t>
        <w:br/>
        <w:t xml:space="preserve">      comprensión, el respeto, la tolerancia y la no discriminación respecto</w:t>
        <w:br/>
        <w:t xml:space="preserve">      de las personas que viven con el VIH”[276].</w:t>
        <w:br/>
        <w:br/>
        <w:t>Como se observa, existen  tres  obligaciones  inherentes  al  derecho  a  la</w:t>
        <w:br/>
        <w:t>educación en relación a las  personas  que  conviven  con  VIH/SIDA:  i)  el</w:t>
        <w:br/>
        <w:t>derecho a disponer de información oportuna y libre de  prejuicios  sobre  el</w:t>
        <w:br/>
        <w:t>VIH/SIDA; ii) la prohibición de impedir el acceso a los  centros  educativos</w:t>
        <w:br/>
        <w:t>a las personas con VIH/SIDA, y iii) el derecho a que la  educación  promueva</w:t>
        <w:br/>
        <w:t>su inclusión y no discriminación dentro del entorno social.  A  continuación</w:t>
        <w:br/>
        <w:t>se analizarán estas obligaciones al valorar la controversia sobre  la  forma</w:t>
        <w:br/>
        <w:t>como Talía fue retirada de la  escuela  en  la  que  se  encontraba  por  el</w:t>
        <w:br/>
        <w:t>presunto peligro que generaba para sus compañeros.</w:t>
        <w:br/>
        <w:br/>
        <w:br/>
        <w:t xml:space="preserve">   B. Derecho a la permanencia en el sistema educativo, el derecho a no  ser</w:t>
        <w:br/>
        <w:t xml:space="preserve">      discriminado y la adaptabilidad  en  relación  con  el  derecho  a  la</w:t>
        <w:br/>
        <w:t xml:space="preserve">      educación</w:t>
        <w:br/>
        <w:br/>
        <w:br/>
        <w:t>Atendiendo a los hechos del presente  caso  con  ocasión  de  establecer  si</w:t>
        <w:br/>
        <w:t>existió una discriminación violatoria del artículo 13 del Protocolo  de  San</w:t>
        <w:br/>
        <w:t>Salvador, se analizará inicialmente la medida  de  retirar  a  Talía  de  la</w:t>
        <w:br/>
        <w:t>escuela  en  la  que  se  encontraba  estudiando,  en  el   marco   de   una</w:t>
        <w:br/>
        <w:t>justificación  basada  en  el  “interés   del   conglomerado   estudiantil”.</w:t>
        <w:br/>
        <w:t>Posteriormente se analizarán algunos  problemas  de  estigmatización  en  el</w:t>
        <w:br/>
        <w:t>acceso a la educación de Talía, ocurridos con posterioridad al retiro de  la</w:t>
        <w:br/>
        <w:t>mencionada escuela.</w:t>
        <w:br/>
        <w:br/>
        <w:t>Como punto previo, la Corte  observa  que  los  representantes  alegaron  la</w:t>
        <w:br/>
        <w:t>violación del artículo 24 de la Convención Americana en relación  con  todos</w:t>
        <w:br/>
        <w:t>los aspectos relacionados con  la  alegada  discriminación  en  el  presente</w:t>
        <w:br/>
        <w:t>caso. Al respecto, en lo que respecta  a  los  artículos  1.1  y  24  de  la</w:t>
        <w:br/>
        <w:t>Convención, la Corte ha indicado que “la diferencia entre los dos  artículos</w:t>
        <w:br/>
        <w:t>radica en que la obligación general del artículo 1.1  se  refiere  al  deber</w:t>
        <w:br/>
        <w:t>del Estado de  respetar  y  garantizar  ‘sin  discriminación’  los  derechos</w:t>
        <w:br/>
        <w:t>contenidos en la Convención Americana. [E]n otras  palabras,  si  un  Estado</w:t>
        <w:br/>
        <w:t>discrimina en el respeto o garantía de un derecho convencional, violaría  el</w:t>
        <w:br/>
        <w:t>artículo 1.1 y el derecho sustantivo en cuestión. Si  por  el  contrario  la</w:t>
        <w:br/>
        <w:t>discriminación se refiere a una protección desigual de la ley interna  o  su</w:t>
        <w:br/>
        <w:t>aplicación, el hecho debe analizarse a la luz del  artículo  24”[277].  Dado</w:t>
        <w:br/>
        <w:t>que  en  el  presente  caso  no  se  configuraron  hechos  relativos  a  una</w:t>
        <w:br/>
        <w:t>protección desigual  derivada  de  una  ley  interna  o  su  aplicación,  no</w:t>
        <w:br/>
        <w:t>corresponde  analizar  la  presunta  violación  del  derecho  a   la   igual</w:t>
        <w:br/>
        <w:t>protección de  la  ley  contenido  en  el  artículo  24  de  la  Convención.</w:t>
        <w:br/>
        <w:t>Atendiendo esto, la Corte  analizará  únicamente  la  alegada  violación  al</w:t>
        <w:br/>
        <w:t>deber de respetar y garantizar sin discriminación  los  derechos  contenidos</w:t>
        <w:br/>
        <w:t>en  la  Convención  Americana,  establecido  en  el  artículo  1.1   de   la</w:t>
        <w:br/>
        <w:t>Convención, con relación al derecho a la educación de Talía.</w:t>
        <w:br/>
        <w:br/>
        <w:t>Para determinar si en el presente caso se configuró una violación  al  deber</w:t>
        <w:br/>
        <w:t>de respetar y garantizar derechos sin discriminación,  la  Corte  analizará:</w:t>
        <w:br/>
        <w:t>a) si hay un vínculo o nexo causal o decisivo entre la situación de salud  y</w:t>
        <w:br/>
        <w:t>la diferencia de trato adoptada por las autoridades estatales  en  el  marco</w:t>
        <w:br/>
        <w:t>del  sistema  educativo,  y  b)  la  justificación  que  se  alegó  para  la</w:t>
        <w:br/>
        <w:t>diferencia  de  trato,  en  orden  a  determinar  si   dicha   justificación</w:t>
        <w:br/>
        <w:t>constituyó un trato discriminatorio que vulneró el derecho  a  la  educación</w:t>
        <w:br/>
        <w:t>en el caso concreto.</w:t>
        <w:br/>
        <w:br/>
        <w:br/>
        <w:t>B.1. La diferencia de trato basada en la condición médica de  Talía  al  ser</w:t>
        <w:br/>
        <w:t>retirada de la escuela</w:t>
        <w:br/>
        <w:br/>
        <w:br/>
        <w:t>Teresa  Lluy  interpuso  una  acción  de  amparo  constitucional  a  fin  de</w:t>
        <w:br/>
        <w:t>salvaguardar el derecho a la educación de Talía en razón  de  su  suspensión</w:t>
        <w:br/>
        <w:t>definitiva de la escuela “Zoila Aurora Palacios”.  Dicha  acción  de  amparo</w:t>
        <w:br/>
        <w:t>fue declarada inadmisible por  el  Tercer  Tribunal  de  lo  Contencioso  de</w:t>
        <w:br/>
        <w:t>Cuenca,  estableciendo  como  fundamento  que  “exist[ía]  un  conflicto  de</w:t>
        <w:br/>
        <w:t>interés, entre los derechos y garantías individuales  de  [Talía]  frente  a</w:t>
        <w:br/>
        <w:t>los  intereses  de  un  conglomerado  estudiantil”[278]  por  lo  que  “[la]</w:t>
        <w:br/>
        <w:t>colisión [hizo] que predomin[aran] los  [derechos]  sociales  y  colectivos,</w:t>
        <w:br/>
        <w:t>como lo es, el derecho a la vida frente al derecho a la educación”[279].</w:t>
        <w:br/>
        <w:br/>
        <w:t>Para efectos de arribar a la conclusión  de  que  era  necesario  que  Talía</w:t>
        <w:br/>
        <w:t>continuase su educación “mediante  una  instrucción  particularizada  [y]  a</w:t>
        <w:br/>
        <w:t>distancia”[280],  el  Tribunal  de  lo  Contencioso  tuvo  en   cuenta   los</w:t>
        <w:br/>
        <w:t>testimonios de SA, el director de la escuela “Zoila Aurora Palacios”,  y  la</w:t>
        <w:br/>
        <w:t>profesora APA, rendidos en la audiencia pública celebrada el  9  de  febrero</w:t>
        <w:br/>
        <w:t>de 2001. Asimismo, fueron  tenidos  en  cuenta  los  oficios  aportados  por</w:t>
        <w:br/>
        <w:t>Teresa Lluy de los médicos JOM y NV,  y  de  RG,  trabajador  social  de  la</w:t>
        <w:br/>
        <w:t>Dirección de Salud quien  coordinó  la  capacitación  al  cuerpo  docente  y</w:t>
        <w:br/>
        <w:t>administrativo de la escuela “Zoila Aurora Palacios” sobre el VIH/SIDA.</w:t>
        <w:br/>
        <w:br/>
        <w:t xml:space="preserve">  De igual manera, en la audiencia pública,  el  Subsecretario  Regional  de</w:t>
        <w:br/>
        <w:t>Educación del Austro rindió su testimonio  y  manifestó  que  “jamás  [hubo]</w:t>
        <w:br/>
        <w:t>disposición alguna  para  que  [Talía]  fuese  retirada  del  plantel”[281].</w:t>
        <w:br/>
        <w:t>Señaló que, si bien hubo una suspensión temporal  de  Talía,  la  misma  era</w:t>
        <w:br/>
        <w:t>facultada por la ley y operaba  “hasta  que  se  reali[zasen]  los  exámenes</w:t>
        <w:br/>
        <w:t>médicos correspondientes y que garanti[zasen] que la [niña] no  contagi[ase]</w:t>
        <w:br/>
        <w:t>su lamentable enfermedad al resto  de  niños  y  personal  que  est[aba]  en</w:t>
        <w:br/>
        <w:t>contacto  con  ella”[282];  por  lo  cual  pidió   al   Tribunal   “que   se</w:t>
        <w:br/>
        <w:t>sacrifi[case] el bien menor por el mayor que es la  comunidad  educativa  de</w:t>
        <w:br/>
        <w:t>la referida escuela”[283].</w:t>
        <w:br/>
        <w:br/>
        <w:t>El director de la escuela alegó que lo que se hizo fue “[proceder]  a  tomar</w:t>
        <w:br/>
        <w:t>decisiones que precaut[elasen] la salud de los niños de primera de básica  y</w:t>
        <w:br/>
        <w:t>que a su vez no viol[asen] los derechos humanos de los  niños”.  Para  ello,</w:t>
        <w:br/>
        <w:t>se exigió que para la incorporación de Talía al plantel  eran  necesario  se</w:t>
        <w:br/>
        <w:t>dieran “informes médicos que garanti[zasen] la  salud  y  el  bienestar  del</w:t>
        <w:br/>
        <w:t>resto de los niños”[284]. Dichos certificados, indicó  el  director,  fueron</w:t>
        <w:br/>
        <w:t>oportunamente allegados, y en ellos se especificaba que Talía  tenía  VIH  y</w:t>
        <w:br/>
        <w:t>que se encontraba en buenas condiciones hematológicas. No obstante,  aseveró</w:t>
        <w:br/>
        <w:t>que “en la escuela [Talía] tuvo algunas hemorragias debido a una  enfermedad</w:t>
        <w:br/>
        <w:t>llamada [púrpura trombocitopénica idiopática]”[285],  enfermedad  que  según</w:t>
        <w:br/>
        <w:t>el director hacía que  “los  riesgos  de  contagio  [fueran]  mayores”[286].</w:t>
        <w:br/>
        <w:t>Además consideró, como riesgo adicional, que Talía estaba en primer  año  de</w:t>
        <w:br/>
        <w:t>educación  básica  “donde  se  trabajaba  con  objetos  cortopunzantes  para</w:t>
        <w:br/>
        <w:t>desarrollar las diferentes especies”[287].</w:t>
        <w:br/>
        <w:br/>
        <w:t>Por su  parte,  la  profesora  APA  declaró  que  Talía  “asistió  a  clases</w:t>
        <w:br/>
        <w:t>normalmente hasta el día 26 de noviembre”. Señaló que ella  “como  profesora</w:t>
        <w:br/>
        <w:t>del aula [se] enter[ó] del problema que tenía [Talía]”, y por  ello  citó  a</w:t>
        <w:br/>
        <w:t>Teresa Lluy junto al director de la escuela con el  propósito  de  saber  si</w:t>
        <w:br/>
        <w:t>Talía tenía o no VIH. En dicha reunión, Teresa  les  contó  que  el  VIH  de</w:t>
        <w:br/>
        <w:t>Talía “era por una transfusión de sangre realizada en la  Cruz  Roja”,  dado</w:t>
        <w:br/>
        <w:t>que había tenido un problema en las  plaquetas.  Además,  la  profesora  APA</w:t>
        <w:br/>
        <w:t>aseguró que en la capacitación dada por la Jefatura de Salud y la  Dirección</w:t>
        <w:br/>
        <w:t>de Educación, el médico tratante de Talía, el doctor OO, le  indicó  que  la</w:t>
        <w:br/>
        <w:t>enfermedad hematológica padecida por Talía estaba controlada, y en  relación</w:t>
        <w:br/>
        <w:t>al riesgo de contagio que tenían  los  compañeros  de  Talía  el  médico  le</w:t>
        <w:br/>
        <w:t>explicó que “sí ha[bía] el  riesgo  pero  en  un  pequeño  porcentaje,  pero</w:t>
        <w:br/>
        <w:t>[que]el riesgo exist[ía]”[288]. Además,  APA  manifestó  que  ella  “[tenía]</w:t>
        <w:br/>
        <w:t>testigos de aquellas hemorragias que tenía [Talía]”[289].</w:t>
        <w:br/>
        <w:br/>
        <w:t>Por otra parte, obran en el expediente los oficios de  los  doctores  JOM  y</w:t>
        <w:br/>
        <w:t>NV,  quienes  indicaron  que  Talía  era  “una   paciente   del   Virus   de</w:t>
        <w:br/>
        <w:t>Inmunodeficiencia Humana  [hasta  ese]  momento  asintomática”[290],  y  que</w:t>
        <w:br/>
        <w:t>además  se  “encontra[ba]   en   buenas   condiciones   hematológicas”[291].</w:t>
        <w:br/>
        <w:t>Asimismo, se encuentran las declaraciones de RG,  trabajador  social  de  la</w:t>
        <w:br/>
        <w:t>Dirección de Salud quien  coordinó  la  capacitación  al  cuerpo  docente  y</w:t>
        <w:br/>
        <w:t>administrativo de la escuela “Zoila  Aurora  Palacios”  sobre  el  VIH/SIDA,</w:t>
        <w:br/>
        <w:t>quien explicó que el virus era una realidad con la que se debía  aprender  a</w:t>
        <w:br/>
        <w:t>convivir, y  que  “exist[ían]  riesgos  que  podría[n]  ser  mínimos  si  se</w:t>
        <w:br/>
        <w:t>t[enían] en cuenta las normas de bioseguridad”[292].</w:t>
        <w:br/>
        <w:br/>
        <w:t>En la resolución del amparo, el Tribunal estableció  que  “[era]  ineludible</w:t>
        <w:br/>
        <w:t>que la suspensión temporal para que concurri[ese Talía] al plantel para  que</w:t>
        <w:br/>
        <w:t>reci[biese] educación estaba supeditada a exámenes médicos que  inform[asen]</w:t>
        <w:br/>
        <w:t>sobre el pleno estado de salud”[293]. Respecto de  los  documentos  médicos,</w:t>
        <w:br/>
        <w:t>el Tribunal expresó que Talía “padece del virus  del  VIH  agravado  por  el</w:t>
        <w:br/>
        <w:t>diagnóstico de [púrpura trombocitopénica idiopática]”[294] y que esa  última</w:t>
        <w:br/>
        <w:t>enfermedad “corresponde  a  una  disminución  de  las  plaquetas  sin  causa</w:t>
        <w:br/>
        <w:t>aparente, que hace que se produzca sangrado”[295]. En ese  orden  de  ideas,</w:t>
        <w:br/>
        <w:t>el Tribunal concluyó  que  “el  sangrado  detectado  por  la  profesora  […]</w:t>
        <w:br/>
        <w:t>implica[ba] un posible riesgo de contaminación al resto de  los  estudiantes</w:t>
        <w:br/>
        <w:t>del plantel”[296].</w:t>
        <w:br/>
        <w:br/>
        <w:t>Teniendo en cuenta estos  elementos,  la  Corte  constata  que  la  decisión</w:t>
        <w:br/>
        <w:t>adoptada a nivel interno tuvo como fundamento principal la situación  médica</w:t>
        <w:br/>
        <w:t>de Talía asociada tanto a la púrpura  trombocitopénica  idiopática  como  al</w:t>
        <w:br/>
        <w:t>VIH; por lo cual este Tribunal concluye que se  realizó  una  diferencia  de</w:t>
        <w:br/>
        <w:t>trato basada en la condición de salud de Talía.  Para  determinar  si  dicha</w:t>
        <w:br/>
        <w:t>diferencia de trato constituyó discriminación, a continuación  se  analizará</w:t>
        <w:br/>
        <w:t>la justificación que hizo el Estado para efectuarla, es  decir,  la  alegada</w:t>
        <w:br/>
        <w:t>protección de la seguridad de los demás niños.</w:t>
        <w:br/>
        <w:br/>
        <w:br/>
        <w:t>B.2. La condición de ser persona con VIH como  categoría  protegida  por  el</w:t>
        <w:br/>
        <w:t>artículo 1.1 de la Convención Americana</w:t>
        <w:br/>
        <w:br/>
        <w:br/>
        <w:t>La Convención Americana no contiene una definición  explícita  del  concepto</w:t>
        <w:br/>
        <w:t>de “discriminación”, sin embargo, a partir de  diversas  referencias  en  el</w:t>
        <w:br/>
        <w:t>corpus iuris en la materia, la Corte ha señalado que  la  discriminación  se</w:t>
        <w:br/>
        <w:t>relaciona con:</w:t>
        <w:br/>
        <w:br/>
        <w:t>toda distinción, exclusión,  restricción  o  preferencia  que  se  basen  en</w:t>
        <w:br/>
        <w:t>determinados motivos, como la  raza,  el  color,  el  sexo,  el  idioma,  la</w:t>
        <w:br/>
        <w:t>religión, la opinión política  o  de  otra  índole,  el  origen  nacional  o</w:t>
        <w:br/>
        <w:t>social, la propiedad, el nacimiento o cualquier  otra  condición  social,  y</w:t>
        <w:br/>
        <w:t>que  tengan  por  objeto  o   por   resultado   anular   o   menoscabar   el</w:t>
        <w:br/>
        <w:t>reconocimiento, goce  o  ejercicio,  en  condiciones  de  igualdad,  de  los</w:t>
        <w:br/>
        <w:t>derechos humanos y libertades fundamentales de todas las personas[297].</w:t>
        <w:br/>
        <w:br/>
        <w:t>Algunos de los principales tratados internacionales de derechos  humanos  se</w:t>
        <w:br/>
        <w:t>han interpretado de tal manera que incluyen el VIH como motivo por  el  cual</w:t>
        <w:br/>
        <w:t>está prohibida la discriminación. Por ejemplo,  el  Pacto  Internacional  de</w:t>
        <w:br/>
        <w:t>Derechos Económicos, Sociales y Culturales  prohíbe  la  discriminación  por</w:t>
        <w:br/>
        <w:t>diversos motivos, incluyendo “cualquier otra condición social”, y el  Comité</w:t>
        <w:br/>
        <w:t>de Derechos Económicos, Sociales y Culturales  de  las  Naciones  Unidas  ha</w:t>
        <w:br/>
        <w:t>confirmado que el “estado de salud (incluidos el  VIH/SIDA)”  es  un  motivo</w:t>
        <w:br/>
        <w:t>prohibido de discriminación[298]. El Comité de  los  Derechos  del  Niño  ha</w:t>
        <w:br/>
        <w:t>llegado a  la  misma  conclusión  en  relación  con  el  artículo  2  de  la</w:t>
        <w:br/>
        <w:t>Convención sobre los Derechos del Niño[299] y también  la  antigua  Comisión</w:t>
        <w:br/>
        <w:t>de Derechos Humanos señaló que la discriminación, actual o presunta,  contra</w:t>
        <w:br/>
        <w:t>las  personas  con  VIH/SIDA  o  con  cualquier  otra  condición  médica  se</w:t>
        <w:br/>
        <w:t>encuentra tutelada al interior de otras condiciones  sociales  presentes  en</w:t>
        <w:br/>
        <w:t>las cláusulas antidiscriminación[300]. Los Relatores Especiales  de  la  ONU</w:t>
        <w:br/>
        <w:t>sobre el derecho a la salud han adoptado esta postura[301].</w:t>
        <w:br/>
        <w:br/>
        <w:t>En el marco de este corpus iuris en la materia, la Corte  considera  que  el</w:t>
        <w:br/>
        <w:t>VIH es un motivo por el cual está prohibida la discriminación  en  el  marco</w:t>
        <w:br/>
        <w:t>del término “otra condición social” establecido en el  artículo  1.1  de  la</w:t>
        <w:br/>
        <w:t>Convención Americana. En  esta  protección  contra  la  discriminación  bajo</w:t>
        <w:br/>
        <w:t>“otra condición social” se encuentra asimismo la condición  de  persona  con</w:t>
        <w:br/>
        <w:t>VIH como aspecto potencialmente generador de discapacidad en aquellos  casos</w:t>
        <w:br/>
        <w:t>donde, además de  las  afectaciones  orgánicas  emanadas  del  VIH,  existan</w:t>
        <w:br/>
        <w:t>barreras económicas, sociales  o  de  otra  índole  derivadas  del  VIH  que</w:t>
        <w:br/>
        <w:t>afecten su desarrollo y participación en la sociedad (supra párr. 240).</w:t>
        <w:br/>
        <w:br/>
        <w:t>La Corte resalta que el efecto jurídico  directo  de  que  una  condición  o</w:t>
        <w:br/>
        <w:t>característica de una persona se  enmarque  dentro  de  las  categorías  del</w:t>
        <w:br/>
        <w:t>artículo 1.1 de la Convención es que el escrutinio  judicial  debe  ser  más</w:t>
        <w:br/>
        <w:t>estricto al valorar diferencias de trato basadas en  dichas  categorías.  La</w:t>
        <w:br/>
        <w:t>capacidad de diferenciación de las autoridades con base  en  esos  criterios</w:t>
        <w:br/>
        <w:t>sospechosos se encuentra limitada, y solo en casos en donde las  autoridades</w:t>
        <w:br/>
        <w:t>demuestren que se  está  en  presencia  de  necesidades  imperiosas,  y  que</w:t>
        <w:br/>
        <w:t>recurrir  a  esa  diferenciación  es  el  único  método  para  alcanzar  esa</w:t>
        <w:br/>
        <w:t>necesidad  imperiosa,  podría  eventualmente  admitirse  el   uso   de   esa</w:t>
        <w:br/>
        <w:t>categoría. Como ejemplo del juicio estricto de igualdad  se  pueden  señalar</w:t>
        <w:br/>
        <w:t>algunas decisiones adoptadas por la Corte Suprema  de  Justicia  de  Estados</w:t>
        <w:br/>
        <w:t>Unidos[302], la Corte Constitucional de Colombia[303], la Corte  Suprema  de</w:t>
        <w:br/>
        <w:t>Argentina[304] y la Sala Constitucional de la Corte Suprema de  Justicia  de</w:t>
        <w:br/>
        <w:t>Costa Rica[305].</w:t>
        <w:br/>
        <w:br/>
        <w:t>En este marco,  la  Corte  resalta  que  tratándose  de  la  prohibición  de</w:t>
        <w:br/>
        <w:t>discriminación por una de  las  categorías  protegidas  contempladas  en  el</w:t>
        <w:br/>
        <w:t>artículo 1.1 de la Convención, la eventual restricción de un  derecho  exige</w:t>
        <w:br/>
        <w:t>una fundamentación rigurosa y  de  mucho  peso,  lo  cual  implica  que  las</w:t>
        <w:br/>
        <w:t>razones utilizadas por el Estado para realizar la  diferenciación  de  trato</w:t>
        <w:br/>
        <w:t>deben ser particularmente serias y estar sustentadas  en  una  argumentación</w:t>
        <w:br/>
        <w:t>exhaustiva. Además, se invierte la carga de la prueba, lo que significa  que</w:t>
        <w:br/>
        <w:t>corresponde a la autoridad demostrar que su decisión no tenía  un  propósito</w:t>
        <w:br/>
        <w:t>ni  un  efecto  discriminatorio[306].  En  el   presente   caso,   ante   la</w:t>
        <w:br/>
        <w:t>comprobación de que el trato diferenciado hacia Talía estaba basado  en  una</w:t>
        <w:br/>
        <w:t>de las categorías prohibidas, el Estado tenía  la  obligación  de  demostrar</w:t>
        <w:br/>
        <w:t>que la decisión  de  retirar  a  Talía  no  tenía  una  finalidad  o  efecto</w:t>
        <w:br/>
        <w:t>discriminatorio. Para examinar la justificación esgrimida por el Estado,  la</w:t>
        <w:br/>
        <w:t>Corte utilizará entonces, en el marco del juicio estricto  de  igualdad,  el</w:t>
        <w:br/>
        <w:t>llamando juicio de proporcionalidad, que ya ha sido utilizado  en  ocasiones</w:t>
        <w:br/>
        <w:t>anteriores para medir si una limitación a un derecho resulta ser  compatible</w:t>
        <w:br/>
        <w:t>con la Convención Americana[307].</w:t>
        <w:br/>
        <w:br/>
        <w:t>Es por lo anterior que, si se estipula una diferencia de trato en  razón  de</w:t>
        <w:br/>
        <w:t>la condición médica o enfermedad, dicha diferencia de trato debe hacerse  en</w:t>
        <w:br/>
        <w:t>base a criterios médicos y la condición real  de  salud  tomando  en  cuenta</w:t>
        <w:br/>
        <w:t>cada caso concreto, evaluando los daños o riesgos reales y  probados,  y  no</w:t>
        <w:br/>
        <w:t>especulativos o  imaginarios.  Por  tanto,  no  pueden  ser  admisibles  las</w:t>
        <w:br/>
        <w:t>especulaciones, presunciones, estereotipos o  consideraciones  generalizadas</w:t>
        <w:br/>
        <w:t>sobre las personas con VIH/SIDA o cualquier otro tipo de enfermedad, aun  si</w:t>
        <w:br/>
        <w:t>estos prejuicios se escudan  en  razones  aparentemente  legítimas  como  la</w:t>
        <w:br/>
        <w:t>protección del derecho a la vida o la salud pública[308].</w:t>
        <w:br/>
        <w:br/>
        <w:t>Al respecto, en el caso Kiyutin v.  Rusia,  el  Tribunal  Europeo  consideró</w:t>
        <w:br/>
        <w:t>como trato discriminatorio el hecho que no se  hubiese  hecho  una  adecuada</w:t>
        <w:br/>
        <w:t>fundamentación a la restricción del derecho a ser  residente  por  el  hecho</w:t>
        <w:br/>
        <w:t>que la víctima tuviese VIH.  Además,  el  Tribunal  observó  que  en  ningún</w:t>
        <w:br/>
        <w:t>momento las autoridades tuvieron en cuenta el estado real  de  salud  de  la</w:t>
        <w:br/>
        <w:t>víctima y los vínculos familiares que pudiesen ligarle a  Rusia.  Así  pues,</w:t>
        <w:br/>
        <w:t>estableció la condición de vulnerabilidad que  enfrentan  las  personas  con</w:t>
        <w:br/>
        <w:t>VIH/SIDA y los prejuicios de los que han sido víctimas a  lo  largo  de  las</w:t>
        <w:br/>
        <w:t>últimas tres décadas[309]. Este caso es significativo en tanto  resalta  que</w:t>
        <w:br/>
        <w:t>la adopción de medidas relativas a personas con  VIH/SIDA  debe  tener  como</w:t>
        <w:br/>
        <w:t>punto de partida su estado de salud real[310].</w:t>
        <w:br/>
        <w:br/>
        <w:br/>
        <w:t>B.3. Inversión de la carga de la prueba, idoneidad y estricta necesidad  del</w:t>
        <w:br/>
        <w:t>medio a través del cual se hizo la diferenciación de trato</w:t>
        <w:br/>
        <w:br/>
        <w:br/>
        <w:t>Como se observa, el examen sobre  si  una  niña  o  niño  con  VIH,  por  su</w:t>
        <w:br/>
        <w:t>condición hematológica, debe ser o no  retirado  de  un  plantel  educativo,</w:t>
        <w:br/>
        <w:t>debe  hacerse  de  manera  estricta  y  rigurosa  a   fin   de   que   dicha</w:t>
        <w:br/>
        <w:t>diferenciación no se considere una discriminación.  Es  responsabilidad  del</w:t>
        <w:br/>
        <w:t>Estado determinar que efectivamente exista una causa  razonable  y  objetiva</w:t>
        <w:br/>
        <w:t>para haber hecho la distinción. En ese orden de ideas,  para  establecer  si</w:t>
        <w:br/>
        <w:t>una diferencia  de  trato  se  fundamentó  en  una  categoría  sospechosa  y</w:t>
        <w:br/>
        <w:t>determinar  si  constituyó  discriminación,  es   necesario   analizar   los</w:t>
        <w:br/>
        <w:t>argumentos expuestos por  las  autoridades  nacionales,  sus  conductas,  el</w:t>
        <w:br/>
        <w:t>lenguaje utilizado y el contexto en que se produjo la decisión[311].</w:t>
        <w:br/>
        <w:br/>
        <w:t>La Corte nota que en el presente  caso  la  restricción  del  derecho  a  la</w:t>
        <w:br/>
        <w:t>educación  de  Talía  tuvo  origen  inicialmente  en  la  decisión  de   las</w:t>
        <w:br/>
        <w:t>autoridades educativas de expulsarla de la escuela “Zoila Aurora  Palacios”,</w:t>
        <w:br/>
        <w:t>decisión que posteriormente  fue  avalada  por  la  providencia  del  Tercer</w:t>
        <w:br/>
        <w:t>Tribunal de lo Contencioso de Cuenca.</w:t>
        <w:br/>
        <w:br/>
        <w:t>En el presente caso la Corte observa que  Talía  asistía  normalmente  a  la</w:t>
        <w:br/>
        <w:t>escuela hasta el momento en que su profesora se enteró de  su  condición  de</w:t>
        <w:br/>
        <w:t>niña con VIH. Las autoridades del colegio: su profesora, el director  de  la</w:t>
        <w:br/>
        <w:t>escuela y el Subsecretario de Educación, en  lugar  de  darle  una  atención</w:t>
        <w:br/>
        <w:t>especializada dada su condición de vulnerabilidad, asumieron  el  caso  como</w:t>
        <w:br/>
        <w:t>un  riesgo  para  los   otros   niños   y   la   suspendieron   para   luego</w:t>
        <w:br/>
        <w:t>expulsarla[312]. Al respecto, el interés superior  de  los  niños  y  niñas,</w:t>
        <w:br/>
        <w:t>tanto de Talía como de sus compañeros de  clase,  exigía  adaptabilidad  del</w:t>
        <w:br/>
        <w:t>entorno educativo a su condición de niña con VIH. Tal como se ha  mencionado</w:t>
        <w:br/>
        <w:t>(supra párr.  235)  para  el  Comité  de  Derechos  Económicos,  Sociales  y</w:t>
        <w:br/>
        <w:t>Culturales, “la  educación  ha  de  tener  la  flexibilidad  necesaria  para</w:t>
        <w:br/>
        <w:t>adaptarse a las necesidades de sociedades y comunidades en transformación  y</w:t>
        <w:br/>
        <w:t>responder a las  necesidades  de  los  alumnos  en  contextos  culturales  y</w:t>
        <w:br/>
        <w:t>sociales variados”[313]. Por su parte, el Comité de los Derechos  del  Niño,</w:t>
        <w:br/>
        <w:t>en su Observación General No. 1 sobre los Propósitos  de  la  Educación,  ha</w:t>
        <w:br/>
        <w:t>señalado que “los  métodos  pedagógicos  deben  adaptarse  a  las  distintas</w:t>
        <w:br/>
        <w:t>necesidades de los distintos niños”[314].</w:t>
        <w:br/>
        <w:br/>
        <w:t>La Corte observa que las autoridades  educativas  no  tomaron  medidas  para</w:t>
        <w:br/>
        <w:t>combatir los prejuicios en torno a la enfermedad de Talía.  En  lo  relativo</w:t>
        <w:br/>
        <w:t>al derecho a  disponer  de  información  oportuna  y  libre  prejuicios,  la</w:t>
        <w:br/>
        <w:t>antigua Comisión de Derechos  Humanos  de  las  Naciones  Unidas  indicó  la</w:t>
        <w:br/>
        <w:t>necesidad que  los  Estados  tomen  las  medidas  necesarias  de  educación,</w:t>
        <w:br/>
        <w:t>capacitación y programas mediáticos a fin de evitar  la  discriminación,  el</w:t>
        <w:br/>
        <w:t>prejuicio y el estigma en todos los ámbitos contra las personas que  padecen</w:t>
        <w:br/>
        <w:t>VIH/SIDA[315].</w:t>
        <w:br/>
        <w:br/>
        <w:t>Igualmente, la Corte resalta que la protección  de  intereses  imperiosos  o</w:t>
        <w:br/>
        <w:t>importantes como la integridad personal de personas  por  supuestos  riesgos</w:t>
        <w:br/>
        <w:t>por la situación de salud de otras personas, se debe hacer a  partir  de  la</w:t>
        <w:br/>
        <w:t>evaluación específica y concreta de dicha situación de salud y  los  riesgos</w:t>
        <w:br/>
        <w:t>reales y probados, y no especulativos o imaginarios que podrían generar.  Ya</w:t>
        <w:br/>
        <w:t>ha sido mencionado (supra párr.  260)  que  no  pueden  ser  admisibles  las</w:t>
        <w:br/>
        <w:t>especulaciones, presunciones o estereotipos sobre  los  riesgos  de  ciertas</w:t>
        <w:br/>
        <w:t>enfermedades, particularmente cuando reproducen el estigma en  torno  a  las</w:t>
        <w:br/>
        <w:t>mismas[316].</w:t>
        <w:br/>
        <w:br/>
        <w:t>En conclusión, la Corte Interamericana observa que al ser, en abstracto,  el</w:t>
        <w:br/>
        <w:t>“interés colectivo” y la “integridad y vida” de las niñas  y  niños  un  fin</w:t>
        <w:br/>
        <w:t>legítimo, la sola referencia al mismo sin probar, en concreto,  los  riesgos</w:t>
        <w:br/>
        <w:t>o daños que podrían  conllevar  la  situación  de  salud  de  una  niña  que</w:t>
        <w:br/>
        <w:t>comparte el colegio con otros niños, no puede servir de medida  idónea  para</w:t>
        <w:br/>
        <w:t>la restricción de un derecho protegido como el de poder  ejercer  todos  los</w:t>
        <w:br/>
        <w:t>derechos humanos sin discriminación alguna por la condición médica[317].  El</w:t>
        <w:br/>
        <w:t>interés  superior  del  niño  no  puede  ser  utilizado  para   amparar   la</w:t>
        <w:br/>
        <w:t>discriminación en contra de una niña por su situación de salud[318].</w:t>
        <w:br/>
        <w:br/>
        <w:t>En el caso que ocupa la atención de la Corte, una determinación a partir  de</w:t>
        <w:br/>
        <w:t>presunciones  infundadas  y  estereotipadas  sobre  los  riesgos  que  puede</w:t>
        <w:br/>
        <w:t>generar el VIH no es adecuada para garantizar el fin  legítimo  de  proteger</w:t>
        <w:br/>
        <w:t>el interés superior del niño. La Corte considera que no son  admisibles  las</w:t>
        <w:br/>
        <w:t>consideraciones basadas en estereotipos por la situación  de  salud  de  las</w:t>
        <w:br/>
        <w:t>personas,  es  decir,  pre-concepciones  de  los  atributos,   conductas   o</w:t>
        <w:br/>
        <w:t>características  poseídas  por  las  personas  que   conviven   con   cierta</w:t>
        <w:br/>
        <w:t>enfermedad  o  el  riesgo  que  dicha  enfermedad  pueda  tener  para  otras</w:t>
        <w:br/>
        <w:t>personas[319]. En el presente caso la  medida  adoptada  estuvo  relacionada</w:t>
        <w:br/>
        <w:t>con prejuicios y con el estigma del que son objeto quienes viven con VIH.</w:t>
        <w:br/>
        <w:br/>
        <w:t>La restricción al derecho a la educación se  establece  en  virtud  de  tres</w:t>
        <w:br/>
        <w:t>razones en la providencia del Tercer Tribunal de lo Contencioso  de  Cuenca:</w:t>
        <w:br/>
        <w:t>1) el diagnóstico de VIH Talía, 2) las hemorragias  de  Talía  como  posible</w:t>
        <w:br/>
        <w:t>fuente de contagio,  y  3)  el  conflicto  de  intereses  entre  la  vida  e</w:t>
        <w:br/>
        <w:t>integridad de los compañeros de Talía y el derecho a la educación de Talía.</w:t>
        <w:br/>
        <w:br/>
        <w:t>Al respecto, la Corte resalta que el objetivo general de proteger la vida  e</w:t>
        <w:br/>
        <w:t>integridad personal de las niñas y los niños que compartían su estancia  con</w:t>
        <w:br/>
        <w:t>Talía en la escuela constituye, en sí mismo, un fin legítimo y  es,  además,</w:t>
        <w:br/>
        <w:t>imperioso. En relación al interés superior del niño, la  Corte  reitera  que</w:t>
        <w:br/>
        <w:t>este principio regulador de la normativa de los derechos de las niñas y  los</w:t>
        <w:br/>
        <w:t>niños se funda en la dignidad misma del ser humano, en  las  características</w:t>
        <w:br/>
        <w:t>propias de los niños y  las  niñas,  y  en  la  necesidad  de  propiciar  el</w:t>
        <w:br/>
        <w:t>desarrollo de éstos, con pleno aprovechamiento de sus  potencialidades[320].</w:t>
        <w:br/>
        <w:t>En el mismo sentido, conviene  observar  que  para  asegurar,  en  la  mayor</w:t>
        <w:br/>
        <w:t>medida posible, la prevalencia del interés superior del niño,  el  preámbulo</w:t>
        <w:br/>
        <w:t>de la Convención sobre los Derechos del Niño  establece  que  éste  requiere</w:t>
        <w:br/>
        <w:t>“cuidados especiales”, y el artículo 19 de la  Convención  Americana  señala</w:t>
        <w:br/>
        <w:t>que debe recibir “medidas especiales de protección”[321].</w:t>
        <w:br/>
        <w:br/>
        <w:t>El tribunal interno fundamentó la decisión en un  supuesto  conflicto  entre</w:t>
        <w:br/>
        <w:t>bienes jurídicos, a saber, el derecho a la vida  de  los  estudiantes  y  el</w:t>
        <w:br/>
        <w:t>derecho a la educación de  Talía,  tomando  como  referencia  las  supuestas</w:t>
        <w:br/>
        <w:t>hemorragias que tenía Talía. Empero, la determinación del riesgo y por  ende</w:t>
        <w:br/>
        <w:t>la identificación del bien jurídico de vida e integridad de los  estudiantes</w:t>
        <w:br/>
        <w:t>como aquel que debía primar, fue una  identificación  errónea  a  partir  de</w:t>
        <w:br/>
        <w:t>presunciones sobre los alcances que podría tener la enfermedad  hematológica</w:t>
        <w:br/>
        <w:t>padecida por Talía, sus síntomas, y su potencial para contagiar a los  demás</w:t>
        <w:br/>
        <w:t>niños y niñas con el virus del VIH.</w:t>
        <w:br/>
        <w:br/>
        <w:t>La Corte considera que la valoración de la prueba en  relación  al  presente</w:t>
        <w:br/>
        <w:t>caso, para efectos de establecer la inminencia del supuesto riesgo, no  tuvo</w:t>
        <w:br/>
        <w:t>en  cuenta  los  aspectos  médicos  aportados  y  privilegió,  a  partir  de</w:t>
        <w:br/>
        <w:t>prejuicios sobre la enfermedad, los testimonios genéricos  referidos  a  las</w:t>
        <w:br/>
        <w:t>hemorragias. En efecto, la Corte observa que constaba un informe médico  que</w:t>
        <w:br/>
        <w:t>aseguraba que Talía se encontraba en buenas condiciones  hematológicas[322].</w:t>
        <w:br/>
        <w:t>Asimismo, la institución tuvo conocimiento del  diagnóstico  de  la  púrpura</w:t>
        <w:br/>
        <w:t>trombocitopénica idiopática mediante una entrevista  con  Teresa  Lluy[323],</w:t>
        <w:br/>
        <w:t>momento en el cual se precisó que Talía padecía VIH aunque para ese  momento</w:t>
        <w:br/>
        <w:t>fuese una paciente asintomática[324].</w:t>
        <w:br/>
        <w:br/>
        <w:t>En esa línea, en la decisión del juez interno  no  se  evidencia  un  juicio</w:t>
        <w:br/>
        <w:t>estricto sobre la necesidad de la  medida,  en  orden  a  determinar  si  no</w:t>
        <w:br/>
        <w:t>existían otras medidas diferentes a las del retiro del  centro  educativo  y</w:t>
        <w:br/>
        <w:t>el confinamiento a “una  instrucción  particularizada  y  a  distancia”.  La</w:t>
        <w:br/>
        <w:t>argumentación respecto a las  pruebas  aportadas  está  guiada  en  torno  a</w:t>
        <w:br/>
        <w:t>prejuicios sobre  el  peligro  que  puede  implicar  el  VIH  o  la  púrpura</w:t>
        <w:br/>
        <w:t>trombocitopénica idiopática, que no constaban claramente en ninguna  de  las</w:t>
        <w:br/>
        <w:t>pruebas aportadas al  proceso  y  que  el  Tribunal  tomó  como  ciertas  al</w:t>
        <w:br/>
        <w:t>establecer que las afirmaciones sobre estas  “no  fue[ron]  impugnada[s]  ni</w:t>
        <w:br/>
        <w:t>redargüida[s] de falsa[s]”[325]. Esta consideración no tenía  en  cuenta  el</w:t>
        <w:br/>
        <w:t>bajo e ínfimo porcentaje de riesgo de contagio  al  que  aludían  tanto  las</w:t>
        <w:br/>
        <w:t>experticias médicas como  la  profesora  que  rindió  su  testimonio  en  el</w:t>
        <w:br/>
        <w:t>proceso.</w:t>
        <w:br/>
        <w:br/>
        <w:t>Atendiendo a que el criterio utilizado para determinar si  Talía  constituía</w:t>
        <w:br/>
        <w:t>un riesgo a la  salud  de  los  otros  estudiantes  de  la  escuela  era  su</w:t>
        <w:br/>
        <w:t>situación de  salud,  se  evidencia  que  el  juez  debía  tener  una  carga</w:t>
        <w:br/>
        <w:t>argumentativa mayor, relativa a la  determinación  de  razones  objetivas  y</w:t>
        <w:br/>
        <w:t>razonables que pudiesen generar una restricción al derecho  a  la  educación</w:t>
        <w:br/>
        <w:t>de Talía. Dichas razones, amparadas  en  el  sustento  probatorio  obtenido,</w:t>
        <w:br/>
        <w:t>debían fundamentarse en criterios médicos atendiendo a lo especializado  del</w:t>
        <w:br/>
        <w:t>análisis para establecer el peligro o riesgo supuesto que  se  cernía  sobre</w:t>
        <w:br/>
        <w:t>los estudiantes de la escuela.</w:t>
        <w:br/>
        <w:br/>
        <w:t>La carga que tuvo que asumir Talía  como  consecuencia  del  estigma  y  los</w:t>
        <w:br/>
        <w:t>estereotipos en torno al VIH la acompañó en  diversos  momentos.  Según  las</w:t>
        <w:br/>
        <w:t>declaraciones de la familia Lluy  y  de  Talía,  no  controvertidas  por  el</w:t>
        <w:br/>
        <w:t>Estado, tenían que ocultar el VIH y la expulsión de la  escuela  para  poder</w:t>
        <w:br/>
        <w:t>ser aceptados en otras instituciones. Talía estuvo matriculada en el  jardín</w:t>
        <w:br/>
        <w:t>infantil “El Cebollar”, la escuela “Brumel”, la  escuela  “12  de  Abril”  y</w:t>
        <w:br/>
        <w:t>“Ángel Polibio Chávez”. Según la declaración de Teresa Lluy, “cada  vez  que</w:t>
        <w:br/>
        <w:t>se enteraban quienes [e]ra[n], en algunos  establecimientos  educativos  fue</w:t>
        <w:br/>
        <w:t>relegada [su] hija […] alegando que no podían tener una niña con  VIH,  pues</w:t>
        <w:br/>
        <w:t>era un riesgo para todos los otros estudiantes. Tanto  los  profesores  como</w:t>
        <w:br/>
        <w:t>los  padres  de  familia,  [l]os  discriminaban,   [l]os   aislaban,   [l]os</w:t>
        <w:br/>
        <w:t>insultaban”[326].</w:t>
        <w:br/>
        <w:br/>
        <w:t>La Corte concluye que  el  riesgo  real  y  significativo  de  contagio  que</w:t>
        <w:br/>
        <w:t>pusiese en riesgo la salud de las niñas y  niños  compañeros  de  Talía  era</w:t>
        <w:br/>
        <w:t>sumamente reducido. En el  marco  de  un  juicio  de  necesidad  y  estricta</w:t>
        <w:br/>
        <w:t>proporcionalidad de la medida, este Tribunal resalta que el  medio  escogido</w:t>
        <w:br/>
        <w:t>constituía la alternativa más lesiva y desproporcionada de  las  disponibles</w:t>
        <w:br/>
        <w:t>para cumplir con la finalidad de proteger la integridad de los  demás  niños</w:t>
        <w:br/>
        <w:t>del colegio.  Si  bien  la  sentencia  del  tribunal  interno  pretendía  la</w:t>
        <w:br/>
        <w:t>protección de los  compañeros  de  clase  de  Talía,  no  se  probó  que  la</w:t>
        <w:br/>
        <w:t>motivación esgrimida en la decisión fuera adecuada para alcanzar dicho  fin.</w:t>
        <w:br/>
        <w:t>En este sentido, en la valoración de  la  autoridad  interna  debía  existir</w:t>
        <w:br/>
        <w:t>suficiente prueba de que las  razones  que  justificaban  la  diferencia  de</w:t>
        <w:br/>
        <w:t>trato no estaban fundadas en estereotipos y  suposiciones.  En  el  presente</w:t>
        <w:br/>
        <w:t>caso  la  decisión  utilizó  argumentos  abstractos  y  estereotipados  para</w:t>
        <w:br/>
        <w:t>fundamentar una decisión que  resultó  extrema  e  innecesaria  por  lo  que</w:t>
        <w:br/>
        <w:t>dichas decisiones constituyen un trato discriminatorio en contra  de  Talía.</w:t>
        <w:br/>
        <w:t>Este trato  evidencia  además  que  no  existió  adaptabilidad  del  entorno</w:t>
        <w:br/>
        <w:t>educativo a la situación de Talía, a través de  medidas  de  bioseguridad  o</w:t>
        <w:br/>
        <w:t>similares que deben  existir  en  todo  establecimiento  educativo  para  la</w:t>
        <w:br/>
        <w:t>prevención general de la transmisión de enfermedades.</w:t>
        <w:br/>
        <w:br/>
        <w:br/>
        <w:t>B.4. Barreras actitudinales asociadas al estigma que sufrieron  Talía  y  su</w:t>
        <w:br/>
        <w:t>familia con posterioridad a la expulsión de la escuela</w:t>
        <w:br/>
        <w:br/>
        <w:br/>
        <w:t>De acuerdo con  Naciones  Unidas  la  discriminación  derivada  de  ser  una</w:t>
        <w:br/>
        <w:t>persona con VIH no  sólo  es  injusta  en  sí,  sino  que  crea  y  mantiene</w:t>
        <w:br/>
        <w:t>condiciones que conducen a la vulnerabilidad social a la  infección  por  el</w:t>
        <w:br/>
        <w:t>VIH, en especial a la falta de acceso a un entorno  favorable  que  promueva</w:t>
        <w:br/>
        <w:t>el cambio de comportamiento de la sociedad  y  le  permita  a  las  personas</w:t>
        <w:br/>
        <w:t>hacer frente al VIH[327]. En este  punto,  las  Directrices  internacionales</w:t>
        <w:br/>
        <w:t>sobre el VIH/SIDA y los derechos humanos de la OACNUDH y  ONUSIDA  aluden  a</w:t>
        <w:br/>
        <w:t>la promoción  de  entornos  que  apoyen  y  habiliten  a  las  personas  con</w:t>
        <w:br/>
        <w:t>VIH[328].</w:t>
        <w:br/>
        <w:br/>
        <w:t>En el presente  caso  los  problemas  de  adaptabilidad  en  el  entorno  se</w:t>
        <w:br/>
        <w:t>reflejaron, entre otros aspectos, en los  problemas  enfrentados  por  Talía</w:t>
        <w:br/>
        <w:t>después de haber sido expulsada de la escuela “Zoila  Aurora  Palacios”.  La</w:t>
        <w:br/>
        <w:t>familia Lluy tuvo que buscar escuelas lejanas para evitar el  trato  que  se</w:t>
        <w:br/>
        <w:t>estaba dando en perjuicio de Talía, quien declaró acerca de la época  de  su</w:t>
        <w:br/>
        <w:t>expulsión que:</w:t>
        <w:br/>
        <w:br/>
        <w:t xml:space="preserve">    “[ella] tenía muchas amigas, pero después de [su] enfermedad, sus papás</w:t>
        <w:br/>
        <w:t xml:space="preserve">    no les dejaban jugar con [ella]. [La] veían feo,  ya  no  [la]  querían</w:t>
        <w:br/>
        <w:t xml:space="preserve">    saludar ni mirar. Se  alejaban,  como  si  [l]e  tuvieran  miedo.  [S]e</w:t>
        <w:br/>
        <w:t xml:space="preserve">    s[intió] muy sola, no entendía por qué”.</w:t>
        <w:br/>
        <w:br/>
        <w:t xml:space="preserve"> La búsqueda  de  escuelas  para  que  Talía  completase  su  educación  fue</w:t>
        <w:br/>
        <w:t>complicada, debido a que en las distintas escuelas  “se  comentaban  de  una</w:t>
        <w:br/>
        <w:t>institución a otra” lo relativo a la condición médica  de  la  niña.  Teresa</w:t>
        <w:br/>
        <w:t>Lluy señaló que cuando llegaban a una nueva escuela para inscribir  a  Talía</w:t>
        <w:br/>
        <w:t>“ya sabían de [ellos y] no [les] dejaban ni llegar a la  puerta  [donde  les</w:t>
        <w:br/>
        <w:t>i]ndicaban que no había cupos y que [s]e [fueran]”[329].</w:t>
        <w:br/>
        <w:br/>
        <w:t>Al respecto, el Comité de los Derechos del Niño ha señalado que el  objetivo</w:t>
        <w:br/>
        <w:t>principal de la educación es “el  desarrollo  de  la  personalidad  de  cada</w:t>
        <w:br/>
        <w:t>niño, de sus dotes naturales y  capacidad[;  así  como]  velar  por  que  se</w:t>
        <w:br/>
        <w:t>asegure a cada niño la preparación fundamental para  la  vida  activa”[330].</w:t>
        <w:br/>
        <w:t>Del mismo modo, la Corte destaca la importancia que tiene  la  educación  en</w:t>
        <w:br/>
        <w:t>el objetivo de reducir la  vulnerabilidad  de  los  niños  con  VIH/SIDA,  a</w:t>
        <w:br/>
        <w:t>través  de  la  facilitación  de  información  pertinente  y  apropiada  que</w:t>
        <w:br/>
        <w:t>contribuya a mejorar el conocimiento y comprensión del  VIH/SIDA,  así  como</w:t>
        <w:br/>
        <w:t>impedir la manifestación de actitudes negativas respecto a las personas  con</w:t>
        <w:br/>
        <w:t>VIH/SIDA y a eliminar las prácticas discriminatorias.  En  el  caso  de  las</w:t>
        <w:br/>
        <w:t>niñas y los niños con VIH/SIDA, es necesario que los Estados  tomen  medidas</w:t>
        <w:br/>
        <w:t>para que éstos tengan acceso a la educación sin limitaciones[331].  En  este</w:t>
        <w:br/>
        <w:t>sentido, la Corte recuerda lo expresado por el Comité de  los  Derechos  del</w:t>
        <w:br/>
        <w:t>Niño, que ha señalado que “[l]a discriminación contra  niños  […]  afectados</w:t>
        <w:br/>
        <w:t>por el VIH/SIDA priva  a  esos  niños  de  la  ayuda  y  el  apoyo  que  más</w:t>
        <w:br/>
        <w:t>necesitan”[332].</w:t>
        <w:br/>
        <w:br/>
        <w:t xml:space="preserve">  En  este  caso,  la  Corte  nota  que  después  del   juicio   de   amparo</w:t>
        <w:br/>
        <w:t>constitucional, Teresa Lluy acudió al programa “Radio Splendid”  denunciando</w:t>
        <w:br/>
        <w:t>la situación acaecida con su hija y la institución “Zoila  Aurora  Palacios”</w:t>
        <w:br/>
        <w:t>y el hecho que Talía no  tenía  un  lugar  donde  estudiar.  Clara  Vinueza,</w:t>
        <w:br/>
        <w:t>directora del jardín de infantes “El Cebollar” escuchó dicho  programa,  por</w:t>
        <w:br/>
        <w:t>lo que se comunicó con Teresa Lluy  y  le  indicó  que  estaba  dispuesta  a</w:t>
        <w:br/>
        <w:t>recibir a Talía  en  su  centro  educativo”[333].  Al  respecto,  la  señora</w:t>
        <w:br/>
        <w:t>Vinueza, quien como directora de un jardín infantil contribuyó a  que  Talía</w:t>
        <w:br/>
        <w:t>pudiera permanecer en el sistema educativo, manifestó que:</w:t>
        <w:br/>
        <w:br/>
        <w:t xml:space="preserve">      “[S]e dirigía a[l jardín infantil] en bus de transporte público. En la</w:t>
        <w:br/>
        <w:t xml:space="preserve">      radio del bus estaban dando a conocer las noticias de  la  mañana.  El</w:t>
        <w:br/>
        <w:t xml:space="preserve">      periodista anunció un caso muy especial: la presencia de una madre que</w:t>
        <w:br/>
        <w:t xml:space="preserve">      lloraba […]  porque en cierto establecimiento educativo que asistía su</w:t>
        <w:br/>
        <w:t xml:space="preserve">      niña, de apenas 5 añitos de edad, cuando fue a retirarla, la  encontró</w:t>
        <w:br/>
        <w:t xml:space="preserve">      fuera del establecimiento. La niña tenía  una  enfermedad  contagiosa.</w:t>
        <w:br/>
        <w:t xml:space="preserve">      [La señora Clara Vinueza] mar[có] el teléfono de la  radio,  indicando</w:t>
        <w:br/>
        <w:t xml:space="preserve">      que estaba dispuesta a recibir a la niña en [su] centro educativo […].</w:t>
        <w:br/>
        <w:t xml:space="preserve">      Durante el período lectivo [Talía] no tuvo problemas  de  salud[,  sin</w:t>
        <w:br/>
        <w:t xml:space="preserve">      embargo] visitaron [el] establecimiento autoridades del Ministerio  de</w:t>
        <w:br/>
        <w:t xml:space="preserve">      Educación en varias ocasiones con el propósito de conocer si  la  niña</w:t>
        <w:br/>
        <w:t xml:space="preserve">      que tenía VIH/SIDA se encontraba estudiando con [ello]s.  [C]on  mucha</w:t>
        <w:br/>
        <w:t xml:space="preserve">      naturalidad y evasivas, cambiaba de tema [y las autoridades] nunca  se</w:t>
        <w:br/>
        <w:t xml:space="preserve">      enteraron que estuvo estudiando con [ello]s. [Ella]  cre[e]  que  [l]e</w:t>
        <w:br/>
        <w:t xml:space="preserve">      hubieran prohibido dejarle seguir estudiando en  el  centro  educativo</w:t>
        <w:br/>
        <w:t xml:space="preserve">      porque decían [que] ‘esa niña p[odía] contagia[r]  a  otros  niños  de</w:t>
        <w:br/>
        <w:t xml:space="preserve">      VIH/SIDA, y se notaba la posición negativa de que la niña  asist[iera]</w:t>
        <w:br/>
        <w:t xml:space="preserve">      a  cualquier  centro  educativo.  [Su]  hija  y  [ella]  […]  fu[eron]</w:t>
        <w:br/>
        <w:t xml:space="preserve">      amenazadas por  las  autoridades  de  educación  que  [las]  visitaron</w:t>
        <w:br/>
        <w:t xml:space="preserve">      algunas veces pidiendo información sobre [Talía,] ya que [les]  decían</w:t>
        <w:br/>
        <w:t xml:space="preserve">      que si la niña estuviese allí, eso sería una grave  falta  y  [..]  la</w:t>
        <w:br/>
        <w:t xml:space="preserve">      sanción [sería la] destitución  de  [su]  cargo  y  el  finiquito  del</w:t>
        <w:br/>
        <w:t xml:space="preserve">      contrato de [su] hija que era maestra en la institución.  Talía  nunca</w:t>
        <w:br/>
        <w:t xml:space="preserve">      pudo participar en un programa social, debido a que no asistía ya  que</w:t>
        <w:br/>
        <w:t xml:space="preserve">      las autoridades le buscaban  constantemente para saber quién  e[ra]  y</w:t>
        <w:br/>
        <w:t xml:space="preserve">      en dónde estaba la niña, pero no para brindarle ayuda sino más bien lo</w:t>
        <w:br/>
        <w:t xml:space="preserve">      contrario[,] parecía una cacería inhumana” [334].</w:t>
        <w:br/>
        <w:br/>
        <w:t>Durante el período lectivo Talía no tuvo dificultad  para  integrarse  a  su</w:t>
        <w:br/>
        <w:t>nuevo ambiente y no tuvo problemas de salud[335]. Por otro lado,  el  Estado</w:t>
        <w:br/>
        <w:t>no ha controvertido el señalamiento en el sentido  de  que  autoridades  del</w:t>
        <w:br/>
        <w:t>Ministerio  de  Educación  indagaron  respecto  a  si  Talía  se  encontraba</w:t>
        <w:br/>
        <w:t>estudiando en “El Cebollar”, por  el  supuesto  riesgo  que  generaría  para</w:t>
        <w:br/>
        <w:t>otros niños. Adicionalmente, en dicho  jardín  infantil  también  recibieron</w:t>
        <w:br/>
        <w:t>visitas de la Cruz Roja del Azuay en presencia de un padre de familia  quien</w:t>
        <w:br/>
        <w:t>conoció de la existencia de una niña con VIH en “El  Cebollar”,  motivo  por</w:t>
        <w:br/>
        <w:t>el cual retiraron a algunos  niños  y  niñas  del  establecimiento[336].  La</w:t>
        <w:br/>
        <w:t>Corte observa que uno de los efectos del estigma lo constituyó la  necesidad</w:t>
        <w:br/>
        <w:t>que tuvieron tanto la familia  Lluy  como  las  profesoras  de  una  de  las</w:t>
        <w:br/>
        <w:t>instituciones educativas que recibió a  Talía,  de  negar  su  situación  de</w:t>
        <w:br/>
        <w:t>persona con VIH para no ser objeto de un trato arbitrario.</w:t>
        <w:br/>
        <w:br/>
        <w:t>Debido a que la institución “El  Cebollar”  solo  era  jardín  de  infantes,</w:t>
        <w:br/>
        <w:t>después de dos períodos lectivos Teresa Lluy debió  conseguir  otra  escuela</w:t>
        <w:br/>
        <w:t>para  Talía.  La  señora  Vinueza  manifestó  que  ayudó  en   dicha   tarea</w:t>
        <w:br/>
        <w:t>comentándole la situación a una amiga de confianza, también  maestra,  quien</w:t>
        <w:br/>
        <w:t>no tuvo problema en recibir a Talía. Sin embargo, la señora Vinueza  sostuvo</w:t>
        <w:br/>
        <w:t>que “[c]on el paso del tiempo las autoridades de educación se enteraron  que</w:t>
        <w:br/>
        <w:t>[Talía] estudió en  [el]  centro  educativo  [“El  Cebollar”]  y  en  varias</w:t>
        <w:br/>
        <w:t>ocasiones  [l]e  llamaron  de  la  Subsecretaría  de  Educación  solicitando</w:t>
        <w:br/>
        <w:t>información sobre la niña”[337].</w:t>
        <w:br/>
        <w:br/>
        <w:t>Dada la precaria situación económica de la familia de  Talía  y  el  estigma</w:t>
        <w:br/>
        <w:t>asociado a su enfermedad, la educación de ésta no fue  estable  en  un  sola</w:t>
        <w:br/>
        <w:t>institución educativa. En una declaración jurada escrita,  no  controvertida</w:t>
        <w:br/>
        <w:t>por el Estado, Talía manifestó que:</w:t>
        <w:br/>
        <w:br/>
        <w:t xml:space="preserve">     “[su m]am[á la] llevó a muchas escuelas que eran muy lejos de [su] casa</w:t>
        <w:br/>
        <w:t xml:space="preserve">     […] tenía[n] que ir en bus alrededor de  una  hora  para  llegar  a  la</w:t>
        <w:br/>
        <w:t xml:space="preserve">     escuela, por lo que [l]e tocaba madrugar  mucho  todos  los  días,  los</w:t>
        <w:br/>
        <w:t xml:space="preserve">     buses iban llenos, el viaje era largo, incómodo” [338].</w:t>
        <w:br/>
        <w:br/>
        <w:br/>
        <w:t>Por otro lado, Iván Lluy  manifestó  que  en  su  colegio  también  enfrentó</w:t>
        <w:br/>
        <w:t>situaciones, relacionadas con el VIH de Talía, que lo  hicieron  deprimirse.</w:t>
        <w:br/>
        <w:t>Al respecto, declaró que “[sus]  profesores  de  frente  [l]e  decían:  ‘¿su</w:t>
        <w:br/>
        <w:t>hermana es la del problema con la Cruz Roja?”[339].</w:t>
        <w:br/>
        <w:br/>
        <w:t>Como se observa, en diversos escenarios del  ámbito  educativo  tanto  Talía</w:t>
        <w:br/>
        <w:t>como su familia fueron objeto de un  entorno  hostil  a  la  enfermedad.  Al</w:t>
        <w:br/>
        <w:t>respecto, teniendo en cuenta que  bajo  la  Convención  de  Naciones  Unidas</w:t>
        <w:br/>
        <w:t>sobre los Derechos de las Personas con Discapacidad, la discapacidad es  una</w:t>
        <w:br/>
        <w:t>manifestación de la inagotable diversidad  humana,  era  obligación  de  las</w:t>
        <w:br/>
        <w:t>instituciones educativas proporcionar un entorno educativo  que  aceptara  y</w:t>
        <w:br/>
        <w:t>celebrara esa diversidad. La Corte  considera  que  la  necesidad  que  tuvo</w:t>
        <w:br/>
        <w:t>Talía Gonzales Lluy, su familia y algunas de sus profesoras  de  ocultar  el</w:t>
        <w:br/>
        <w:t>hecho de que  Talía  vivía  con  VIH  o  esconderse  para  poder  acceder  y</w:t>
        <w:br/>
        <w:t>permanecer en el sistema educativo constituyó un  desconocimiento  al  valor</w:t>
        <w:br/>
        <w:t>de la diversidad humana. El sistema educativo estaba llamado a contribuir  a</w:t>
        <w:br/>
        <w:t>que Talía y su familia pudieran hablar del VIH sin necesidad  de  ocultarlo,</w:t>
        <w:br/>
        <w:t>procurando que ella mantuviera la mayor  autoestima  posible  gracias  a  su</w:t>
        <w:br/>
        <w:t>entorno y en gran medida a partir de una educación de los demás  estudiantes</w:t>
        <w:br/>
        <w:t>y profesores a la luz de lo que implica la riqueza de  la  diversidad  y  la</w:t>
        <w:br/>
        <w:t>necesidad de salvaguardar el principio de no discriminación en todo  ámbito.</w:t>
        <w:br/>
        <w:br/>
        <w:br/>
        <w:br/>
        <w:t>B.5. Alcance de la discriminación ocurrida en el presente caso</w:t>
        <w:br/>
        <w:br/>
        <w:br/>
        <w:t>La Corte constata que la discriminación contra Talía ha  estado  asociada  a</w:t>
        <w:br/>
        <w:t>factores como ser mujer, persona con  VIH,  persona  con  discapacidad,  ser</w:t>
        <w:br/>
        <w:t>menor de edad, y su estatus socio económico. Estos aspectos la hicieron  más</w:t>
        <w:br/>
        <w:t>vulnerable y agravaron los daños que sufrió.</w:t>
        <w:br/>
        <w:br/>
        <w:t>El Comité CEDAW, en su Recomendación General No. 28 relativa al  artículo  2</w:t>
        <w:br/>
        <w:t>de la Convención sobre la Eliminación de todas las formas de  Discriminación</w:t>
        <w:br/>
        <w:t>contra la Mujer, indicó lo siguiente sobre las niñas y adolescentes:</w:t>
        <w:br/>
        <w:br/>
        <w:t>En particular, los Estados partes están obligados a promover la igualdad  de</w:t>
        <w:br/>
        <w:t>los derechos de las niñas, dado que están comprendidas en la  comunidad  más</w:t>
        <w:br/>
        <w:t>amplia de las mujeres y son  más  vulnerables  a  la  discriminación  en  el</w:t>
        <w:br/>
        <w:t>acceso a la educación básica, así como a la trata de personas, el  maltrato,</w:t>
        <w:br/>
        <w:t>la explotación y la violencia. Todas estas situaciones de discriminación  se</w:t>
        <w:br/>
        <w:t>agravan cuando las víctimas son adolescentes.  Por  lo  tanto,  los  Estados</w:t>
        <w:br/>
        <w:t>deberán  prestar  atención  a  las  necesidades  específicas  de  las  niñas</w:t>
        <w:br/>
        <w:t>(adolescentes) ofreciéndoles educación sobre salud sexual y  reproductiva  y</w:t>
        <w:br/>
        <w:t>llevando a cabo programas para prevenir el VIH/SIDA, la  explotación  sexual</w:t>
        <w:br/>
        <w:t>y el embarazo precoz[340].</w:t>
        <w:br/>
        <w:br/>
        <w:t>Acerca de la situación de los familiares  de  niñas  y  niños  con  VIH,  la</w:t>
        <w:br/>
        <w:t>Observación General No. 3  del Comité de  los  Derechos  Niño  respecto  del</w:t>
        <w:br/>
        <w:t>VIH/SIDA y los derechos del niño estableció que  “la  discriminación  es  la</w:t>
        <w:br/>
        <w:t>causante del aumento de la vulnerabilidad de los niños al  VIH  y  el  SIDA,</w:t>
        <w:br/>
        <w:t>así como de los graves efectos que tiene la  epidemia  en  la  vida  de  los</w:t>
        <w:br/>
        <w:t>niños afectados. La discriminación hace que  se  deniegue  a  los  niños  el</w:t>
        <w:br/>
        <w:t>acceso a la  información,  la  educación  […],  los  servicios  de  salud  y</w:t>
        <w:br/>
        <w:t>atención social o a la vida social”. La Observación General  también  señala</w:t>
        <w:br/>
        <w:t>que, en “su forma más extrema, la discriminación  contra  los  niños  y  las</w:t>
        <w:br/>
        <w:t>niñas infectadas por el VIH se manifiesta en su abandono por la familia,  la</w:t>
        <w:br/>
        <w:t>comunidad y la sociedad. La discriminación también  agrava  la  epidemia  al</w:t>
        <w:br/>
        <w:t>acentuar la vulnerabilidad de los niños, en particular los que pertenecen  a</w:t>
        <w:br/>
        <w:t>determinados grupos, los que viven en zonas apartadas o  rurales,  donde  el</w:t>
        <w:br/>
        <w:t>acceso a los servicios es menor. Por  ello,  esos  niños  son  víctimas  por</w:t>
        <w:br/>
        <w:t>partida doble”[341].</w:t>
        <w:br/>
        <w:br/>
        <w:t>La Corte nota que ciertos grupos de  mujeres  padecen  discriminación  a  lo</w:t>
        <w:br/>
        <w:t>largo de su vida con base en más de un factor combinado con su sexo, lo  que</w:t>
        <w:br/>
        <w:t>aumenta su riesgo de sufrir actos de violencia y otras  violaciones  de  sus</w:t>
        <w:br/>
        <w:t>derechos humanos[342].  En  ese  sentido,  la  Relatora  Especial  sobre  la</w:t>
        <w:br/>
        <w:t>violencia contra la mujer, sus causas y  consecuencias  ha  establecido  que</w:t>
        <w:br/>
        <w:t>“la discriminación basada en la raza, el origen étnico, el origen  nacional,</w:t>
        <w:br/>
        <w:t>la capacidad, la clase socioeconómica, la orientación sexual,  la  identidad</w:t>
        <w:br/>
        <w:t>de género,  la  religión,  la  cultura,  la  tradición  y  otras  realidades</w:t>
        <w:br/>
        <w:t>intensifica a menudo los actos de violencia contra las mujeres”[343]. En  el</w:t>
        <w:br/>
        <w:t>caso de las mujeres con VIH/SIDA la perspectiva de género exige entender  la</w:t>
        <w:br/>
        <w:t>convivencia con la enfermedad en el marco de los roles  y  las  expectativas</w:t>
        <w:br/>
        <w:t>que afectan a la vida de las personas, sus opciones e  interacciones  (sobre</w:t>
        <w:br/>
        <w:t>todo en relación a su sexualidad, deseos y comportamientos)[344].</w:t>
        <w:br/>
        <w:br/>
        <w:br/>
        <w:t>En el presente caso, a través de  declaraciones  no  controvertidas  por  el</w:t>
        <w:br/>
        <w:t>Estado, se ilustró sobre el impacto que tuvo la situación de pobreza  de  la</w:t>
        <w:br/>
        <w:t>familia Lluy en la forma de abordar el  VIH  de  Talía  (supra  párr.  215).</w:t>
        <w:br/>
        <w:t>También ha sido explicada la discriminación en el ámbito educativo  asociada</w:t>
        <w:br/>
        <w:t>a la forma como, en forma  prejuiciosa  y  estigmatizante,  se  consideró  a</w:t>
        <w:br/>
        <w:t>Talía Gonzales Lluy como un riesgo para sus compañeros de colegio,  no  solo</w:t>
        <w:br/>
        <w:t>en la época en la que fue expulsada de la escuela  “Zoila  Aurora  Palacios”</w:t>
        <w:br/>
        <w:t>sino en otros momentos en los que  intentó  accesar  al  sistema  educativo.</w:t>
        <w:br/>
        <w:t>Asimismo, en  el  aspecto  laboral,  la  Corte  nota  que  Teresa  Lluy  fue</w:t>
        <w:br/>
        <w:t>despedida de su empleo por el estigma que le  representaba  tener  una  hija</w:t>
        <w:br/>
        <w:t>con VIH; y posteriormente en otros trabajos  que  intentó  realizar  también</w:t>
        <w:br/>
        <w:t>fue despedida debido a la condición de  Talía  de  persona  con  VIH  (supra</w:t>
        <w:br/>
        <w:t>párr. 217).</w:t>
        <w:br/>
        <w:br/>
        <w:t>La Corte nota que en el caso de Talía confluyeron  en  forma  interseccional</w:t>
        <w:br/>
        <w:t>múltiples factores de vulnerabilidad y riesgo de discriminación asociados  a</w:t>
        <w:br/>
        <w:t>su condición de niña, mujer, persona en situación de pobreza y  persona  con</w:t>
        <w:br/>
        <w:t>VIH. La discriminación que vivió Talía no sólo fue ocasionada por  múltiples</w:t>
        <w:br/>
        <w:t>factores, sino que derivó en una  forma  específica  de  discriminación  que</w:t>
        <w:br/>
        <w:t>resultó de la intersección de  dichos  factores,  es  decir,  si  alguno  de</w:t>
        <w:br/>
        <w:t>dichos factores no hubiese existido, la  discriminación  habría  tenido  una</w:t>
        <w:br/>
        <w:t>naturaleza diferente. En efecto, la pobreza impactó en el acceso  inicial  a</w:t>
        <w:br/>
        <w:t>una atención en salud que no fue de calidad y que, por el contrario,  generó</w:t>
        <w:br/>
        <w:t>el contagio con  VIH.  La  situación  de  pobreza  impactó  también  en  las</w:t>
        <w:br/>
        <w:t>dificultades para encontrar un mejor acceso al  sistema  educativo  y  tener</w:t>
        <w:br/>
        <w:t>una vivienda digna. Posteriormente, siendo una niña con VIH, los  obstáculos</w:t>
        <w:br/>
        <w:t>que sufrió Talía en el acceso a la educación tuvieron  un  impacto  negativo</w:t>
        <w:br/>
        <w:t>para  su  desarrollo  integral,  que  es  también  un  impacto  diferenciado</w:t>
        <w:br/>
        <w:t>teniendo en cuenta el rol de la educación para superar los  estereotipos  de</w:t>
        <w:br/>
        <w:t>género. Como niña con VIH necesitaba mayor apoyo del  Estado  para  impulsar</w:t>
        <w:br/>
        <w:t>su proyecto vida. Como mujer, Talía ha señalado los dilemas  que  siente  en</w:t>
        <w:br/>
        <w:t>torno a la maternidad futura y su interacción en relaciones de pareja, y  ha</w:t>
        <w:br/>
        <w:t>hecho visible que no ha contado con consejería adecuada[345].  En  suma,  el</w:t>
        <w:br/>
        <w:t>caso de Talía ilustra que la  estigmatización  relacionada  con  el  VIH  no</w:t>
        <w:br/>
        <w:t>impacta en forma homogénea a todas las personas y que  resultan  más  graves</w:t>
        <w:br/>
        <w:t>los impactos en los grupos que de por sí son marginados.</w:t>
        <w:br/>
        <w:br/>
        <w:t>Teniendo en cuenta todo  lo  anterior,  este  Tribunal  concluye  que  Talía</w:t>
        <w:br/>
        <w:t>Gonzales Lluy sufrió una discriminación derivada de su condición de  persona</w:t>
        <w:br/>
        <w:t>con VIH, niña, mujer, y viviendo  en  condición  de  pobreza.  Por  todo  lo</w:t>
        <w:br/>
        <w:t>anterior, la Corte considera que el Estado ecuatoriano violó  el  derecho  a</w:t>
        <w:br/>
        <w:t>la educación contenido en el artículo 13 del Protocolo de San  Salvador,  en</w:t>
        <w:br/>
        <w:t>relación con los artículos 19 y 1.1 de la Convención Americana en  perjuicio</w:t>
        <w:br/>
        <w:t>de Talía Gonzales Lluy.</w:t>
        <w:br/>
        <w:br/>
        <w:br/>
        <w:t>XI</w:t>
        <w:br/>
        <w:t>GARANTÍAS JUDICIALES Y PROTECCIÓN JUDICIAL</w:t>
        <w:br/>
        <w:br/>
        <w:br/>
        <w:t>En este capítulo la Corte procederá a analizar  los  argumentos  presentados</w:t>
        <w:br/>
        <w:t>por las partes y la Comisión, así como a desarrollar las consideraciones  de</w:t>
        <w:br/>
        <w:t>derecho pertinentes  relacionadas  con  las  alegadas  vulneraciones  a  las</w:t>
        <w:br/>
        <w:t>garantías judiciales y  a  la  protección  judicial.  Para  ese  efecto,  se</w:t>
        <w:br/>
        <w:t>realizará un análisis en el siguiente orden: a) alegatos  y  consideraciones</w:t>
        <w:br/>
        <w:t>en relación con la alegada vulneración al artículo 8 de la Convención, y  b)</w:t>
        <w:br/>
        <w:t>alegatos y consideraciones relativos a la alegada  vulneración  al  artículo</w:t>
        <w:br/>
        <w:t>25 de la  Convención.  Asimismo,  se  analizará  la  alegada  violación  del</w:t>
        <w:br/>
        <w:t>artículo 19 en relación con el artículo 8 del mismo instrumento.</w:t>
        <w:br/>
        <w:br/>
        <w:br/>
        <w:t xml:space="preserve">      Alegadas vulneraciones al artículo 8  de  la  Convención  –  garantías</w:t>
        <w:br/>
        <w:t xml:space="preserve">      judiciales</w:t>
        <w:br/>
        <w:br/>
        <w:br/>
        <w:br/>
        <w:t xml:space="preserve">      A.1. Derecho a ser oído, debida diligencia y  plazo  razonable  en  el</w:t>
        <w:br/>
        <w:t>proceso penal</w:t>
        <w:br/>
        <w:br/>
        <w:br/>
        <w:t xml:space="preserve">   Argumentos de la Comisión y de las partes</w:t>
        <w:br/>
        <w:br/>
        <w:t>La  Comisión señaló que el proceso penal tuvo una duración  de  nueve  años,</w:t>
        <w:br/>
        <w:t>en los cuales  “existieron  diversas  manifestaciones  de  falta  de  debida</w:t>
        <w:br/>
        <w:t>diligencia”. De acuerdo con la Comisión, existió  una  demora  injustificada</w:t>
        <w:br/>
        <w:t>en el ordenamiento  y  la  práctica  de  la  prueba  especializada  genética</w:t>
        <w:br/>
        <w:t>sugerida por los peritos médicos; además “el sumario fue cerrado en  más  de</w:t>
        <w:br/>
        <w:t>tres oportunidades por parte de las autoridades judiciales a  pesar  de  que</w:t>
        <w:br/>
        <w:t>no se había practicado esta prueba fundamental[,  lo  que  provocó]  que  la</w:t>
        <w:br/>
        <w:t>Fiscalía tuviera que solicitar en  múltiples  ocasiones  a  las  autoridades</w:t>
        <w:br/>
        <w:t>judiciales  la  reapertura  del  sumario,  con  las   consecuentes   demoras</w:t>
        <w:br/>
        <w:t>adicionales”.  Asimismo,  la  Comisión   argumentó   que   “[u]na   de   las</w:t>
        <w:br/>
        <w:t>manifestaciones más claras de la falta de diligencia en  el  proceso  penal,</w:t>
        <w:br/>
        <w:t>se relaciona con el paso  de  cuatro  años,  desde  el  momento  en  que  se</w:t>
        <w:br/>
        <w:t>formalizó y aceptó la acusación en contra de [MRR]”. Según la  Comisión,  el</w:t>
        <w:br/>
        <w:t>Estado no realizó diligencias para dar con el paradero  de  MRR,  y  por  el</w:t>
        <w:br/>
        <w:t>contrario,  permaneció  inactivo  durante  cuatro  años  hasta  que  resultó</w:t>
        <w:br/>
        <w:t>aplicable la figura de prescripción, precisamente como  consecuencia  de  su</w:t>
        <w:br/>
        <w:t>falta de debida diligencia.</w:t>
        <w:br/>
        <w:br/>
        <w:t>Los representantes señalaron que la suma total de tiempo  invertido  por  la</w:t>
        <w:br/>
        <w:t>familia Lluy en los casos fue de más de cinco años en  el  proceso  penal  y</w:t>
        <w:br/>
        <w:t>aproximadamente cuatro en el proceso civil, lo cual consideraron  un  tiempo</w:t>
        <w:br/>
        <w:t>excesivo si se toma en cuenta la importancia de  los  derechos  involucrados</w:t>
        <w:br/>
        <w:t>en el caso y la gravedad de la situación de Talía. Agregaron que  cuando  se</w:t>
        <w:br/>
        <w:t>trata  de  proteger  a  personas   que   están   en   especial   estado   de</w:t>
        <w:br/>
        <w:t>vulnerabilidad, como es  el  caso  de  una  persona  con  VIH,  la  oportuna</w:t>
        <w:br/>
        <w:t>resolución de las acciones judiciales tiene  especial  importancia.  Además,</w:t>
        <w:br/>
        <w:t>los representantes alegaron que el Estado vulneró el derecho de  la  familia</w:t>
        <w:br/>
        <w:t>Lluy a ser oída, puesto que las presuntas víctimas no fueron  escuchadas  en</w:t>
        <w:br/>
        <w:t>juicio a pesar de los insistentes reclamos durante  los  procedimientos.  De</w:t>
        <w:br/>
        <w:t>acuerdo con los representantes, durante los procesos penal y civil “sólo  se</w:t>
        <w:br/>
        <w:t>escuch[ó] la versión de la Cruz  Roja”,  o  se  le  escuchó  con  prioridad,</w:t>
        <w:br/>
        <w:t>asignando toda la carga de la prueba a la familia Lluy.</w:t>
        <w:br/>
        <w:br/>
        <w:t>El Estado alegó que debía tenerse en cuenta la complejidad del asunto,  toda</w:t>
        <w:br/>
        <w:t>vez que en el presente caso existían múltiples exámenes médicos  que  se  le</w:t>
        <w:br/>
        <w:t>realizaron a Talía. En el mismo sentido, señaló que en esa época el  Ecuador</w:t>
        <w:br/>
        <w:t>no contaba con la tecnología necesaria para  realizar  exámenes  y  análisis</w:t>
        <w:br/>
        <w:t>que permitieran establecer o eliminar la posibilidad de que  la  transfusión</w:t>
        <w:br/>
        <w:t>sanguínea fuera la causa del contagio de Talía. El Estado también alegó  que</w:t>
        <w:br/>
        <w:t>se debieron realizar gestiones que implicaron tiempo y  costos  para  enviar</w:t>
        <w:br/>
        <w:t>las  muestras  de  sangre  al  exterior  con  los  requerimientos   técnicos</w:t>
        <w:br/>
        <w:t>necesarios para  que  una  institución  extranjera  realizara  los  análisis</w:t>
        <w:br/>
        <w:t>requeridos.</w:t>
        <w:br/>
        <w:br/>
        <w:t>El Estado señaló además que Talía y su familia hicieron uso de los  recursos</w:t>
        <w:br/>
        <w:t>disponibles sin agotarlos conforme lo disponía la normativa nacional, y  que</w:t>
        <w:br/>
        <w:t>la dilación del proceso penal no es imputable a la conducta de la  autoridad</w:t>
        <w:br/>
        <w:t>judicial, sino a las  actuaciones  procesales  de  las  presuntas  víctimas.</w:t>
        <w:br/>
        <w:t>Respecto a la prescripción del proceso, el Estado argumentó que  MRR  habría</w:t>
        <w:br/>
        <w:t>huido del país y no  había  podido  ser  capturada,  pese  a  los  esfuerzos</w:t>
        <w:br/>
        <w:t>realizados para  su  localización.  Por  ese  motivo,  y  de  acuerdo  a  la</w:t>
        <w:br/>
        <w:t>legislación de esa época,  no  se  había  podido  juzgar  a  la  persona  in</w:t>
        <w:br/>
        <w:t>absentia y, transcurrido el tiempo establecido en la ley,  el  ejercicio  de</w:t>
        <w:br/>
        <w:t>la acción penal había prescrito.</w:t>
        <w:br/>
        <w:br/>
        <w:t>Asimismo, el Estado señaló que “las garantías judiciales consagradas  en  el</w:t>
        <w:br/>
        <w:t>artículo 8  de  la  C[onvención]  se  reflejan  cumplidas[,]  atendiendo  al</w:t>
        <w:br/>
        <w:t>derecho de la señora Teresa Lluy en las siguientes  actuaciones  judiciales:</w:t>
        <w:br/>
        <w:t>[d]enuncia, parte policial, versión ante  la  policía,  testimonio  ante  el</w:t>
        <w:br/>
        <w:t>juez, ampliación del testimonio ante  el  juez  y  acusación  [p]articular”.</w:t>
        <w:br/>
        <w:t>Finalmente, el Estado argumentó que se llevaron a cabo  procesos  judiciales</w:t>
        <w:br/>
        <w:t>donde la presunta víctima Teresa Lluy rindió  regularmente  declaraciones  y</w:t>
        <w:br/>
        <w:t>presentó las pruebas que consideró pertinentes. De acuerdo  con  el  Estado,</w:t>
        <w:br/>
        <w:t>“las  decisiones  de  las  autoridades  judiciales,  aunque   a   veces   no</w:t>
        <w:br/>
        <w:t>beneficiaron a las pretensiones de  los  demandantes,  se  deben  considerar</w:t>
        <w:br/>
        <w:t>como actuaciones legales que cumplieron con los  estándares  internacionales</w:t>
        <w:br/>
        <w:t>establecidos en la C[onvención]”.</w:t>
        <w:br/>
        <w:br/>
        <w:t xml:space="preserve">   Consideraciones de la Corte</w:t>
        <w:br/>
        <w:br/>
        <w:t>Respecto al  presunto  incumplimiento  de  la  garantía  judicial  de  plazo</w:t>
        <w:br/>
        <w:t>razonable en el proceso penal,  la  Corte  examinará  los  cuatro  criterios</w:t>
        <w:br/>
        <w:t>establecidos en su jurisprudencia en  la  materia:  i)  la  complejidad  del</w:t>
        <w:br/>
        <w:t>asunto; ii) la actividad procesal del interesado; iii) la  conducta  de  las</w:t>
        <w:br/>
        <w:t>autoridades judiciales,  y  iv)  la  afectación  generada  en  la  situación</w:t>
        <w:br/>
        <w:t>jurídica de la persona involucrada en el  proceso[346].  La  Corte  recuerda</w:t>
        <w:br/>
        <w:t>que corresponde al  Estado  justificar,  con  fundamento  en  los  criterios</w:t>
        <w:br/>
        <w:t>señalados, la razón por la cual ha requerido del  tiempo  transcurrido  para</w:t>
        <w:br/>
        <w:t>tratar el caso y, de no demostrarlo, la  Corte  tiene  amplias  atribuciones</w:t>
        <w:br/>
        <w:t>para hacer su propia estimación al respecto[347].</w:t>
        <w:br/>
        <w:br/>
        <w:t>En el presente caso, el proceso penal comenzó  con  la  denuncia  presentada</w:t>
        <w:br/>
        <w:t>por Teresa Lluy el 29 de septiembre de 1998 y concluyó con  la  declaratoria</w:t>
        <w:br/>
        <w:t>de prescripción emitida el 28 de febrero de 2005 (supra párrs.  86  y  115),</w:t>
        <w:br/>
        <w:t>por lo que la duración del  proceso  fue  de  aproximadamente  seis  años  y</w:t>
        <w:br/>
        <w:t>medio. En vista de lo anterior, la Corte entrará ahora a  determinar  si  el</w:t>
        <w:br/>
        <w:t>plazo transcurridos es razonable conforme a los  criterios  establecidos  en</w:t>
        <w:br/>
        <w:t>su jurisprudencia.</w:t>
        <w:br/>
        <w:br/>
        <w:t>a) la complejidad del asunto</w:t>
        <w:br/>
        <w:br/>
        <w:t>Este Tribunal ha tenido en cuenta  diversos  criterios  para  determinar  la</w:t>
        <w:br/>
        <w:t>complejidad de un proceso. Entre ellos, la  complejidad  de  la  prueba,  la</w:t>
        <w:br/>
        <w:t>pluralidad de sujetos procesales  o  la  cantidad  de  víctimas,  el  tiempo</w:t>
        <w:br/>
        <w:t>transcurrido desde la violación las características del recurso  consagradas</w:t>
        <w:br/>
        <w:t>en  la  legislación  interna  y  el  contexto   en   el   que   ocurrió   la</w:t>
        <w:br/>
        <w:t>violación[348].</w:t>
        <w:br/>
        <w:br/>
        <w:t>La Corte observa que en el presente caso, en el  marco  del  proceso  penal,</w:t>
        <w:br/>
        <w:t>existía cierto nivel de complejidad para obtener las  pruebas  necesarias  a</w:t>
        <w:br/>
        <w:t>fin de determinar la causa del contagio de  Talía,  toda  vez  que  para  el</w:t>
        <w:br/>
        <w:t>momento  de  los  hechos  las  pruebas  de  sangre  requeridas   no   podían</w:t>
        <w:br/>
        <w:t>practicarse en el Ecuador (supra párr.  95).  La  Corte  considera  que  los</w:t>
        <w:br/>
        <w:t>requisitos y trámites para poder obtener las pruebas de  un  laboratorio  en</w:t>
        <w:br/>
        <w:t>Europa constituyeron, en el momento de los  hechos  del  presente  caso,  un</w:t>
        <w:br/>
        <w:t>elemento de complejidad para resolver el proceso penal.</w:t>
        <w:br/>
        <w:br/>
        <w:br/>
        <w:t xml:space="preserve">      b)    la actividad procesal del interesado</w:t>
        <w:br/>
        <w:br/>
        <w:br/>
        <w:t>La Corte nota que existió un impulso procesal promovido  por  las  presuntas</w:t>
        <w:br/>
        <w:t>víctimas y que  no  hay  información  sobre  actividades  de  las  presuntas</w:t>
        <w:br/>
        <w:t>víctimas destinadas a obstaculizar  el  proceso  penal.  La  Corte  toma  en</w:t>
        <w:br/>
        <w:t>cuenta lo alegado por el Estado en el sentido de que las presuntas  víctimas</w:t>
        <w:br/>
        <w:t>habrían realizado actuaciones judiciales que impactaron en  la  duración  de</w:t>
        <w:br/>
        <w:t>los procesos (supra párr. 298); no obstante lo  anterior,  ni  la  acusación</w:t>
        <w:br/>
        <w:t>particular interpuesta fuera del tiempo oportuno, ni la  impugnación  de  un</w:t>
        <w:br/>
        <w:t>auto que no podía ser apelado, pueden considerarse como actividades  de  las</w:t>
        <w:br/>
        <w:t>presuntas víctimas que obstaculizaran  el  proceso.  Tomando  en  cuenta  lo</w:t>
        <w:br/>
        <w:t>anterior, no es posible concluir que la falta  de  conocimiento  técnico  de</w:t>
        <w:br/>
        <w:t>las presuntas víctimas respecto  al  litigio  haya  generado  realmente  una</w:t>
        <w:br/>
        <w:t>obstaculización del proceso penal[349].</w:t>
        <w:br/>
        <w:br/>
        <w:t xml:space="preserve">      c)    La conducta de las autoridades judiciales</w:t>
        <w:br/>
        <w:br/>
        <w:t>La Corte nota que la denuncia penal fue interpuesta el 29 de  septiembre  de</w:t>
        <w:br/>
        <w:t>1998, y el 19 de octubre de  1998  se  abrió  a  trámite  el  proceso  y  se</w:t>
        <w:br/>
        <w:t>recabaron diversas pruebas. Posteriormente, el 8 de septiembre  de  1999  el</w:t>
        <w:br/>
        <w:t>Juez declaró concluido el sumario por primera vez y Teresa Lluy solicitó  su</w:t>
        <w:br/>
        <w:t>reapertura para que se realizara la prueba especializada  de  sangre  en  la</w:t>
        <w:br/>
        <w:t>Universidad de  Lovaina  (supra  párrs.   86,  88  y  96).  El  sumario  fue</w:t>
        <w:br/>
        <w:t>reabierto y el 22 de marzo de 2000 nuevamente fue declarado  concluido,  sin</w:t>
        <w:br/>
        <w:t>que se hubiese ordenado la práctica de la prueba  en  Lovaina,  por  lo  que</w:t>
        <w:br/>
        <w:t>Teresa Lluy solicitó nuevamente que se practicara. El  sumario  fue  abierto</w:t>
        <w:br/>
        <w:t>nuevamente y el 31 de agosto de 2000 se  declaró  nuevamente  concluido  sin</w:t>
        <w:br/>
        <w:t>que dicha prueba hubiese sido practicada. El 15 de enero de 2001 se  dispuso</w:t>
        <w:br/>
        <w:t>la reapertura del sumario a  fin  de  incorporar  la  prueba  especializada.</w:t>
        <w:br/>
        <w:t>Posteriormente el sumario fue nuevamente declarado cerrado el  26  de  marzo</w:t>
        <w:br/>
        <w:t>de 2001 y reabierto en abril del mismo año para  hacerlo  extensivo  a  MRR,</w:t>
        <w:br/>
        <w:t>BRR y PMT (supra párr. 106). BRR y PMT fueron sobreseídos, y dicha  decisión</w:t>
        <w:br/>
        <w:t>fue confirmada por la Primera Sala de la Corte Superior el 18  de  diciembre</w:t>
        <w:br/>
        <w:t>de 2001 (supra párr. 112).  Finalmente, el 28 de febrero de 2005 la  Segunda</w:t>
        <w:br/>
        <w:t>Sala de lo Penal de la Corte Superior de Justicia  del  Azuay  dictaminó  la</w:t>
        <w:br/>
        <w:t>prescripción de la acción, en razón de la no comparecencia de  la  encausada</w:t>
        <w:br/>
        <w:t>MRR a la audiencia de juzgamiento y al no haber podido ser capturada  (supra</w:t>
        <w:br/>
        <w:t>párr. 115).</w:t>
        <w:br/>
        <w:br/>
        <w:t>En vista de lo anterior, esta Corte estima que se produjo una demora  en  el</w:t>
        <w:br/>
        <w:t>ordenamiento de la práctica de la prueba especializada y que  los  numerosos</w:t>
        <w:br/>
        <w:t>cierres del sumario ocasionaron retrasos en el proceso penal. Este  Tribunal</w:t>
        <w:br/>
        <w:t>considera  que  el  Estado  no  ha  demostrado   que   haya   existido   una</w:t>
        <w:br/>
        <w:t>justificación para la demora prolongada al  ordenar  la  realización  de  la</w:t>
        <w:br/>
        <w:t>prueba especializada, ni para el retraso provocado por los diversos  cierres</w:t>
        <w:br/>
        <w:t>del sumario. Por ello, la Corte  considera  que  la  autoridad  judicial  no</w:t>
        <w:br/>
        <w:t>procuró en forma diligente  que  el  plazo  razonable  se  respetara  en  el</w:t>
        <w:br/>
        <w:t>proceso penal.</w:t>
        <w:br/>
        <w:br/>
        <w:t>En lo que respecta a la prescripción de la acción penal,  la  Corte  observa</w:t>
        <w:br/>
        <w:t>que la misma fue aplicada conforme a la legislación ecuatoriana  vigente  al</w:t>
        <w:br/>
        <w:t>momento de los hechos. No obstante lo anterior, la Corte  nota  que  después</w:t>
        <w:br/>
        <w:t>de que se dictó el auto de apertura de la etapa plenaria contra MRR,  el  29</w:t>
        <w:br/>
        <w:t>de octubre de 2001, únicamente se llevaron  a  cabo  tres  oficios  para  la</w:t>
        <w:br/>
        <w:t>captura de MRR: uno el 23 de octubre de 2002, otro el 26 de junio de 2003  y</w:t>
        <w:br/>
        <w:t>otro el 12 de febrero de 2004 (supra párr. 113), en los cuales sólo se  hizo</w:t>
        <w:br/>
        <w:t>mención a que se habría  oficiado  la  captura  de  MRR,  sin  detallar  las</w:t>
        <w:br/>
        <w:t>acciones realizadas para dar con su paradero. Además de esos  tres  oficios,</w:t>
        <w:br/>
        <w:t>entre los que transcurrieron varios meses, no hay prueba de  que  el  Estado</w:t>
        <w:br/>
        <w:t>haya realizado ninguna  otra  acción  encaminada  a  encontrar  a  MRR  o  a</w:t>
        <w:br/>
        <w:t>impulsar de alguna manera el proceso penal. En  vista  de  lo  anterior,  la</w:t>
        <w:br/>
        <w:t>Corte considera que las autoridades no  procuraron  en  forma  diligente  la</w:t>
        <w:br/>
        <w:t>localización de MRR, lo que culminó en la prescripción de la acción penal.</w:t>
        <w:br/>
        <w:br/>
        <w:t>La Corte resalta que la falta de diligencia y efectividad de los  operadores</w:t>
        <w:br/>
        <w:t>de justicia para encontrar a MRR y continuar con la investigación  del  caso</w:t>
        <w:br/>
        <w:t>culminaron en la prescripción de la acción penal. La demora en el proceso  y</w:t>
        <w:br/>
        <w:t>su consecuente prescripción se deben principalmente a la falta de  actuación</w:t>
        <w:br/>
        <w:t>de  las  autoridades  judiciales  ecuatorianas,  sobre  quienes  recaía   la</w:t>
        <w:br/>
        <w:t>responsabilidad de tomar  todas  las  medidas  necesarias  para  investigar,</w:t>
        <w:br/>
        <w:t>juzgar y, en su caso, sancionar a los responsables[350].</w:t>
        <w:br/>
        <w:br/>
        <w:t>Al respecto, la Corte recuerda que ha analizado,  en  casos  anteriores,  la</w:t>
        <w:br/>
        <w:t>falta de diligencia para la  localización  de  personas  contra  quienes  se</w:t>
        <w:br/>
        <w:t>sigue un proceso penal, así como la  falta  de  impulso  por  parte  de  las</w:t>
        <w:br/>
        <w:t>autoridades a los procesos penales en el Ecuador. Por ejemplo,  en  el  Caso</w:t>
        <w:br/>
        <w:t>Albán Cornejo y otros Vs. Ecuador operó la prescripción de la  acción  penal</w:t>
        <w:br/>
        <w:t>incoada en contra del médico que trató a la víctima debido  a  que  no  pudo</w:t>
        <w:br/>
        <w:t>ser  localizado,  y  transcurridos  los  diez  años  establecidos  para   la</w:t>
        <w:br/>
        <w:t>prescripción,  la  acción  penal  fue  declarada  prescrita[351].  De  igual</w:t>
        <w:br/>
        <w:t>manera, en el Caso Suárez Peralta Vs. Ecuador se declaró la prescripción  de</w:t>
        <w:br/>
        <w:t>la acción penal, en consideración del transcurso  de  cinco  años  desde  el</w:t>
        <w:br/>
        <w:t>dictado del auto cabeza del proceso, debido  a  la  falta  de  diligencia  y</w:t>
        <w:br/>
        <w:t>efectividad de  los  operadores  de  justicia  en  impulsar  el  proceso  de</w:t>
        <w:br/>
        <w:t>investigación del caso[352].</w:t>
        <w:br/>
        <w:br/>
        <w:t>La Corte  nota  que  la  reiterada  falta  de  debida  diligencia  en  casos</w:t>
        <w:br/>
        <w:t>relativos al Estado ecuatoriano ha producido que opere  la  prescripción  de</w:t>
        <w:br/>
        <w:t>la acción penal  en  múltiples  ocasiones.  La  Corte  considera  que  estas</w:t>
        <w:br/>
        <w:t>negligencias en los procesos penales generan una denegación de  la  justicia</w:t>
        <w:br/>
        <w:t>en  el  marco  de  los  mismos,  impidiendo  que  se  realice  una  efectiva</w:t>
        <w:br/>
        <w:t>investigación de los responsables.</w:t>
        <w:br/>
        <w:br/>
        <w:br/>
        <w:t xml:space="preserve">   La afectación generada en la situación jurídica de la persona involucrada</w:t>
        <w:br/>
        <w:t xml:space="preserve">      en el proceso e impactos en los derechos de la misma</w:t>
        <w:br/>
        <w:br/>
        <w:br/>
        <w:t>La Corte reitera que, para determinar la razonabilidad  del  plazo  se  debe</w:t>
        <w:br/>
        <w:t>tomar en cuenta la afectación generada por la duración del procedimiento  en</w:t>
        <w:br/>
        <w:t>la situación jurídica de la persona involucrada en el  mismo,  considerando,</w:t>
        <w:br/>
        <w:t>entre otros elementos, la materia objeto de controversia. En  este  sentido,</w:t>
        <w:br/>
        <w:t>este Tribunal ha establecido que si el paso  del  tiempo  incide  de  manera</w:t>
        <w:br/>
        <w:t>relevante en la situación jurídica del individuo,  resultará  necesario  que</w:t>
        <w:br/>
        <w:t>el procedimiento avance con mayor  diligencia  a  fin  de  que  el  caso  se</w:t>
        <w:br/>
        <w:t>resuelva en un tiempo breve[353].</w:t>
        <w:br/>
        <w:br/>
        <w:t>En el presente caso, respecto al proceso penal, la Corte  considera  que  si</w:t>
        <w:br/>
        <w:t>bien no existía una  afectación  en  la  situación  jurídica  de  Talía,  sí</w:t>
        <w:br/>
        <w:t>existía una afectación en su situación personal relativa a su  salud,  a  su</w:t>
        <w:br/>
        <w:t>condición  de  niña  y  a  la  atención  médica  que  requería,  tomando  en</w:t>
        <w:br/>
        <w:t>consideración las condiciones económicas en  que  vivía  su  familia  y  las</w:t>
        <w:br/>
        <w:t>dificultades derivadas de esto.  Sin  la  sentencia  penal  que  determinara</w:t>
        <w:br/>
        <w:t>responsabilidades por el  contagio  de  Talía,  no  era  posible  establecer</w:t>
        <w:br/>
        <w:t>responsables para el pago de daños y perjuicios, situación que impactaba  en</w:t>
        <w:br/>
        <w:t>la vida de Talía y mantenía la compleja situación económica  de  su  familia</w:t>
        <w:br/>
        <w:t>(supra párr. 131).</w:t>
        <w:br/>
        <w:br/>
        <w:t>La Corte considera que en el presente caso  existía  una  debida  diligencia</w:t>
        <w:br/>
        <w:t>excepcional  que  era  necesaria  debido  a  la  particular   situación   de</w:t>
        <w:br/>
        <w:t>vulnerabilidad en que se encontraba Talía, por lo que  era  imperante  tomar</w:t>
        <w:br/>
        <w:t>las medidas pertinentes con el fin de evitar retrasos en la  tramitación  de</w:t>
        <w:br/>
        <w:t>los procesos, de manera que se garantizara la pronta resolución y  ejecución</w:t>
        <w:br/>
        <w:t>de los mismos[354]. Además, la Corte destaca que era  necesario  contar  con</w:t>
        <w:br/>
        <w:t>una condena penal para poder acudir al ámbito civil, lo cual  implicaba  una</w:t>
        <w:br/>
        <w:t>obligación reforzada de actuar con  debida  diligencia  dentro  del  proceso</w:t>
        <w:br/>
        <w:t>penal.</w:t>
        <w:br/>
        <w:br/>
        <w:t>Al respecto, este Tribunal  ha  establecido  que  es  necesario  actuar  con</w:t>
        <w:br/>
        <w:t>especial celeridad cuando,  por  el  propio  diseño  interno  normativo,  la</w:t>
        <w:br/>
        <w:t>posibilidad de activar una acción civil de daños y  perjuicios  depende  del</w:t>
        <w:br/>
        <w:t>proceso penal[355]. Por otra parte, el Tribunal Europeo ha indicado  que  se</w:t>
        <w:br/>
        <w:t>exige una diligencia especial en aquellos casos en los cuales está en  juego</w:t>
        <w:br/>
        <w:t>la integridad de la persona[356].</w:t>
        <w:br/>
        <w:br/>
        <w:t>Asimismo, el Tribunal Europeo ha conocido casos en los cuales el  debate  de</w:t>
        <w:br/>
        <w:t>los procesos en curso se encontraba relacionado  con  la  situación  de  una</w:t>
        <w:br/>
        <w:t>persona con VIH. En el caso X Vs. Francia, el Tribunal  Europeo  analizó  el</w:t>
        <w:br/>
        <w:t>incumplimiento de las garantías judiciales tomando  en  cuenta  que  lo  que</w:t>
        <w:br/>
        <w:t>estaba en juego en el proceso judicial era de crucial  importancia  para  el</w:t>
        <w:br/>
        <w:t>peticionario, debido a la naturaleza de su enfermedad.  El  Tribunal  indicó</w:t>
        <w:br/>
        <w:t>que  en  el  referido  caso  era  requerida  una  “diligencia  excepcional”,</w:t>
        <w:br/>
        <w:t>independientemente de la cantidad de casos pendientes[357]. Asimismo, en  el</w:t>
        <w:br/>
        <w:t>caso F.E. Vs. Francia,  el  Tribunal  Europeo  señaló  que  esta  diligencia</w:t>
        <w:br/>
        <w:t>excepcional debía operar aun entendiendo  cierto  nivel  de  complejidad  en</w:t>
        <w:br/>
        <w:t>este tipo de casos[358].</w:t>
        <w:br/>
        <w:br/>
        <w:t>En una similar situación esta Corte consideró que:</w:t>
        <w:br/>
        <w:br/>
        <w:t xml:space="preserve">      la falta de conclusión del proceso penal ha[bía] tenido  repercusiones</w:t>
        <w:br/>
        <w:t xml:space="preserve">      particulares […] ya que, en la legislación del Estado,  la  reparación</w:t>
        <w:br/>
        <w:t xml:space="preserve">      civil por los daños ocasionados como consecuencia de un hecho  ilícito</w:t>
        <w:br/>
        <w:t xml:space="preserve">      tipificado penalmente p[odía]  estar  sujeta  al  establecimiento  del</w:t>
        <w:br/>
        <w:t xml:space="preserve">      delito en un proceso de naturaleza criminal, por lo que en  la  acción</w:t>
        <w:br/>
        <w:t xml:space="preserve">      civil de resarcimiento tampoco se ha[bía] dictado sentencia de primera</w:t>
        <w:br/>
        <w:t xml:space="preserve">      instancia. Es decir, la falta de justicia en el  orden  penal  ha[bía]</w:t>
        <w:br/>
        <w:t xml:space="preserve">      impedido que [se obtuviera] una compensación civil por los hechos  del</w:t>
        <w:br/>
        <w:t xml:space="preserve">      […] caso[359].</w:t>
        <w:br/>
        <w:br/>
        <w:t>Tomando en consideración i) que en el presente caso la integridad  de  Talía</w:t>
        <w:br/>
        <w:t>estaba en juego; ii) la consecuente urgencia derivada  de  su  condición  de</w:t>
        <w:br/>
        <w:t>niña con VIH, y  iii)  la  crucial  importancia  en  la  resolución  de  los</w:t>
        <w:br/>
        <w:t>procesos para el acceso de Talía y su familia a una reparación por  daños  y</w:t>
        <w:br/>
        <w:t>perjuicios, la Corte concluye que existía una obligación especial de  actuar</w:t>
        <w:br/>
        <w:t>con debida diligencia, y que esta obligación no fue cumplida por el  Estado.</w:t>
        <w:br/>
        <w:br/>
        <w:br/>
        <w:br/>
        <w:t xml:space="preserve">   Conclusión sobre el plazo razonable en el proceso penal</w:t>
        <w:br/>
        <w:br/>
        <w:br/>
        <w:t>Una vez analizados los cuatro elementos  para  determinar  la  razonabilidad</w:t>
        <w:br/>
        <w:t>del plazo en el marco del proceso penal (supra párr.  300),  y  teniendo  en</w:t>
        <w:br/>
        <w:t>cuenta que existía un deber de  actuar  con  excepcional  debida  diligencia</w:t>
        <w:br/>
        <w:t>considerando la situación de Talía (supra párr. 317), la Corte concluye  que</w:t>
        <w:br/>
        <w:t>el Ecuador vulneró la garantía judicial al plazo razonable  prevista  en  el</w:t>
        <w:br/>
        <w:t>artículo 8.1 en relación con  los  artículos  19  y  1.1  de  la  Convención</w:t>
        <w:br/>
        <w:t>Americana en perjuicio de Talía Gonzales Lluy.</w:t>
        <w:br/>
        <w:br/>
        <w:t>La Corte observa que la  Comisión  y  los  representantes  alegaron  que  el</w:t>
        <w:br/>
        <w:t>derecho al plazo razonable también habría sido  vulnerado  en  perjuicio  de</w:t>
        <w:br/>
        <w:t>Teresa Lluy y de Iván Lluy. Al respecto,  este  Tribunal  considera  que  la</w:t>
        <w:br/>
        <w:t>titular de los derechos vulnerados en el presente caso era Talía  y  que  su</w:t>
        <w:br/>
        <w:t>madre actuó en su representación, más no ejerciendo un derecho  propio,  por</w:t>
        <w:br/>
        <w:t>lo que la Corte no considera que deba hacerse un pronunciamiento respecto  a</w:t>
        <w:br/>
        <w:t>Teresa Lluy. En lo que respecta a Iván Lluy, además de  que  la  titularidad</w:t>
        <w:br/>
        <w:t>de los derechos vulnerados era de Talía y no de  Teresa  o  Iván,  la  Corte</w:t>
        <w:br/>
        <w:t>observa que  no  existe  prueba  de  que  Iván  hubiese  participado  en  el</w:t>
        <w:br/>
        <w:t>procedimiento penal ni el procedimiento civil, siendo únicamente Teresa,  en</w:t>
        <w:br/>
        <w:t>representación de Talía, quien participó en los procesos.  En  consecuencia,</w:t>
        <w:br/>
        <w:t>la Corte no considera que sea necesario hacer un pronunciamiento respecto  a</w:t>
        <w:br/>
        <w:t>Iván Lluy.</w:t>
        <w:br/>
        <w:br/>
        <w:br/>
        <w:t>A.2. Debida diligencia y plazo razonable en el proceso civil</w:t>
        <w:br/>
        <w:br/>
        <w:br/>
        <w:t xml:space="preserve">   Argumentos de la Comisión y de las partes</w:t>
        <w:br/>
        <w:br/>
        <w:t>La Comisión señaló que la culminación del proceso civil se dio mediante  una</w:t>
        <w:br/>
        <w:t>declaratoria de nulidad de todo lo actuado desde la admisión de la  demanda,</w:t>
        <w:br/>
        <w:t>por lo que “las autoridades judiciales en  el  ámbito  de  la  acción  civil</w:t>
        <w:br/>
        <w:t>[habrían tardado] cuatro años para finalmente resolver que la demanda  civil</w:t>
        <w:br/>
        <w:t>no cumplía con el requisito necesario para ser admitida”.</w:t>
        <w:br/>
        <w:br/>
        <w:t>Los representantes señalaron que consideran un tiempo excesivo el  invertido</w:t>
        <w:br/>
        <w:t>por la familia  Lluy  en  el  proceso  civil  y  que  no  fueron  escuchados</w:t>
        <w:br/>
        <w:t>debidamente en el proceso (supra párr. 296).</w:t>
        <w:br/>
        <w:br/>
        <w:t>El Estado alegó que las presuntas víctimas siempre fueron escuchadas  dentro</w:t>
        <w:br/>
        <w:t>de  los  procesos  (supra  párr.  299);  y  señaló  que  los  representantes</w:t>
        <w:br/>
        <w:t>fusionaron el análisis de los procesos civil y  penal,  sin  diferenciar  el</w:t>
        <w:br/>
        <w:t>trámite,  tiempos,  formalidades  y  características  de  cada  uno  de  los</w:t>
        <w:br/>
        <w:t>juicios, lo que según el Estado podría inducir a error  de  apreciación  por</w:t>
        <w:br/>
        <w:t>parte de la Corte.</w:t>
        <w:br/>
        <w:br/>
        <w:t xml:space="preserve">   Consideraciones de la Corte</w:t>
        <w:br/>
        <w:br/>
        <w:t>La Corte nota que el proceso civil comenzó con la  solicitud  de  amparo  de</w:t>
        <w:br/>
        <w:t>pobreza presentada por Teresa Lluy el 26 de septiembre de 2001 (supra  párr.</w:t>
        <w:br/>
        <w:t>118)  y concluyó con la declaratoria de nulidad de todo lo actuado,  emitida</w:t>
        <w:br/>
        <w:t>el 18 de mayo de 2006 (supra párr.  131),  es  decir  que  la  duración  del</w:t>
        <w:br/>
        <w:t>proceso fue de aproximadamente cuatro años y medio.</w:t>
        <w:br/>
        <w:br/>
        <w:t>Al  respecto,  atendiendo  los  cuatros   criterios   establecidos   en   su</w:t>
        <w:br/>
        <w:t>jurisprudencia en la materia (supra párr. 300), la Corte  considera  que  no</w:t>
        <w:br/>
        <w:t>se han aportado elementos que permitan concluir que la duración del  proceso</w:t>
        <w:br/>
        <w:t>civil haya sido violatorio de las garantías  de  plazo  razonable  y  debida</w:t>
        <w:br/>
        <w:t>diligencia.</w:t>
        <w:br/>
        <w:br/>
        <w:br/>
        <w:t xml:space="preserve">      A.3. Alegado impacto de la prejudicialidad en el acceso a la justicia</w:t>
        <w:br/>
        <w:br/>
        <w:br/>
        <w:t xml:space="preserve">   Argumentos de la Comisión y de las partes</w:t>
        <w:br/>
        <w:br/>
        <w:t>La Comisión alegó que la demanda de daños y perjuicios  fue  rechazada  como</w:t>
        <w:br/>
        <w:t>consecuencia de la falta de una condena penal en firme. Además, la  Comisión</w:t>
        <w:br/>
        <w:t>señaló que “no existe claridad sobre la manera en que operaba la  denominada</w:t>
        <w:br/>
        <w:t>prejudicialidad en este tipo de casos[;] de los peritajes  recibidos  en  la</w:t>
        <w:br/>
        <w:t>audiencia y, en particular, del peritaje de Diego Zalamea León, resulta  que</w:t>
        <w:br/>
        <w:t>existía un contexto de incerteza jurídica al respecto”.</w:t>
        <w:br/>
        <w:br/>
        <w:t>Los representantes señalaron que en el proceso civil por daños y  perjuicios</w:t>
        <w:br/>
        <w:t>el  juez declaró que no era procedente la  demanda  civil  porque  no  había</w:t>
        <w:br/>
        <w:t>sido declarada la responsabilidad  en  el  proceso  penal  llevado  a  cabo.</w:t>
        <w:br/>
        <w:t>Asimismo, los  representantes  indicaron  que  había  prejudicialidad  penal</w:t>
        <w:br/>
        <w:t>frente al juicio civil. Al respecto,  afirmaron  que  “[e]l  juez  civil  no</w:t>
        <w:br/>
        <w:t>debió haber tardado varios años para declarar algo que  se  sabía  desde  la</w:t>
        <w:br/>
        <w:t>presentación de la demanda”, y que la acción planteada por Teresa  Lluy  era</w:t>
        <w:br/>
        <w:t>de daño moral y no buscaba la indemnización por un delito,  por  lo  que  la</w:t>
        <w:br/>
        <w:t>prueba necesaria era distinta.</w:t>
        <w:br/>
        <w:br/>
        <w:t>El  Estado  señaló  que  la  sentencia  penal  condenatoria  constituye   un</w:t>
        <w:br/>
        <w:t>requisito de prejudicialiad indispensable para el  ejercicio  de  la  acción</w:t>
        <w:br/>
        <w:t>civil de daños y perjuicios derivada del cometimiento de un delito penal  en</w:t>
        <w:br/>
        <w:t>el Ecuador. El Estado consideró que el inadecuado  asesoramiento  legal  que</w:t>
        <w:br/>
        <w:t>tuvo la señora Teresa Lluy le llevó a confundir la vía a través de  la  cual</w:t>
        <w:br/>
        <w:t>debía demandar  a  los  presuntos  responsables,  al  interponer  la  acción</w:t>
        <w:br/>
        <w:t>indemnizatoria civil -que no procedería pues  no  habiendo  sido  encontrada</w:t>
        <w:br/>
        <w:t>ninguna persona culpable en el ámbito penal “resulta[ba] ilógico que se  vea</w:t>
        <w:br/>
        <w:t>obligada a pagar las obligaciones civiles”- y no la acción  de  conocimiento</w:t>
        <w:br/>
        <w:t>ordinaria, diseñada para establecer el derecho a  ser  resarcida  por  daños</w:t>
        <w:br/>
        <w:t>morales. Además, el Estado afirmó que si bien es  cierto  que  la  sentencia</w:t>
        <w:br/>
        <w:t>del juez civil de primera instancia  declaró  improcedente  la  demanda  por</w:t>
        <w:br/>
        <w:t>falta de derecho, la señora Teresa Lluy  tuvo  la  posibilidad  de  impugnar</w:t>
        <w:br/>
        <w:t>esta sentencia que fue confirmada luego por la Corte Suprema de  conformidad</w:t>
        <w:br/>
        <w:t>con el marco jurídico ecuatoriano en la materia.</w:t>
        <w:br/>
        <w:br/>
        <w:t xml:space="preserve">   Consideraciones de la Corte</w:t>
        <w:br/>
        <w:br/>
        <w:t>La Corte observa que el alegato de  los  representantes  y  la  Comisión  se</w:t>
        <w:br/>
        <w:t>centra en una aplicación indebida de la prejudicialidad  por  parte  de  los</w:t>
        <w:br/>
        <w:t>tribunales ecuatorianos, así  como  en  un  contexto  de  falta  de  certeza</w:t>
        <w:br/>
        <w:t>jurídica en torno a dicha figura[360]. Al  respecto,  cabe  señalar  que  la</w:t>
        <w:br/>
        <w:t>prejudicialidad en materia civil se encontraba  prevista  en  el  Código  de</w:t>
        <w:br/>
        <w:t>Procedimiento  Penal  de  1983[361].  Además,  la  prejudicialidad  ha  sido</w:t>
        <w:br/>
        <w:t>analizada en diversos casos en el orden interno  en  el  Ecuador[362],  como</w:t>
        <w:br/>
        <w:t>sucedió en la resolución de la demanda por daños  y  perjuicios  interpuesta</w:t>
        <w:br/>
        <w:t>por Teresa Lluy. Asimismo, la Corte observa que  la  prejudicialidad  existe</w:t>
        <w:br/>
        <w:t>en algunos ordenamientos de la región[363] y ha  sido  valorada  previamente</w:t>
        <w:br/>
        <w:t>por este Tribunal en otros casos[364].</w:t>
        <w:br/>
        <w:br/>
        <w:t>La Corte considera  que  en  este  caso  no  existen  suficientes  elementos</w:t>
        <w:br/>
        <w:t>probatorios que permitan concluir que la existencia  de  prejudicialidad  en</w:t>
        <w:br/>
        <w:t>la normativa ecuatoriana constituye, por  sí  misma,  una  violación  a  las</w:t>
        <w:br/>
        <w:t>garantías judiciales. A este respecto, la Corte considera que si bien en  el</w:t>
        <w:br/>
        <w:t>presente caso operó la prejudicialidad, la misma fue aplicada  con  base  en</w:t>
        <w:br/>
        <w:t>la legislación ecuatoriana vigente al momento de los  hechos,  con  relación</w:t>
        <w:br/>
        <w:t>al recurso presentado por Teresa Lluy.  Asimismo,  este  Tribunal  considera</w:t>
        <w:br/>
        <w:t>que no se han presentado  suficientes  argumentos  y  pruebas  que  permitan</w:t>
        <w:br/>
        <w:t>afirmar que el recurso interpuesto por Teresa Lluy fue el resultado  de  una</w:t>
        <w:br/>
        <w:t>falta de claridad en la legislación ecuatoriana. La  Corte  observa  que  la</w:t>
        <w:br/>
        <w:t>presentación de la demanda de daños y perjuicios pudo obedecer a  una  falta</w:t>
        <w:br/>
        <w:t>de precisión de los representantes de la señora Teresa Lluy a nivel  interno</w:t>
        <w:br/>
        <w:t>y no existen elementos para imputar al  Estado  los  efectos  negativos  que</w:t>
        <w:br/>
        <w:t>pudo haber generado para las presuntas víctimas esa estrategia de litigio  a</w:t>
        <w:br/>
        <w:t>nivel interno o las insuficiencias mismas del litigio.</w:t>
        <w:br/>
        <w:br/>
        <w:br/>
        <w:br/>
        <w:br/>
        <w:br/>
        <w:br/>
        <w:br/>
        <w:br/>
        <w:t xml:space="preserve">      Alegada vulneración al artículo  25  de  la  Convención  –  protección</w:t>
        <w:br/>
        <w:t xml:space="preserve">      judicial</w:t>
        <w:br/>
        <w:br/>
        <w:br/>
        <w:br/>
        <w:t xml:space="preserve">      B.1. Acción de amparo constitucional</w:t>
        <w:br/>
        <w:br/>
        <w:br/>
        <w:t xml:space="preserve">   Argumentos de la Comisión y de las partes</w:t>
        <w:br/>
        <w:br/>
        <w:t>Los representantes señalaron que en el juicio de amparo “el juez  [protegió]</w:t>
        <w:br/>
        <w:t>a quienes no lo solicita[ron] ni [eran] víctimas de  derechos[,  tal  es  el</w:t>
        <w:br/>
        <w:t>caso  de]  los  otros  estudiantes,  los  profesores  y  personas   que   se</w:t>
        <w:br/>
        <w:t>relaciona[ban] con Talía”.</w:t>
        <w:br/>
        <w:br/>
        <w:t>El  Estado  alegó  que  el  amparo  constitucional  fue  presentado  con  el</w:t>
        <w:br/>
        <w:t>patrocinio de la Defensoría del Pueblo, de modo que la  señora  Teresa  Lluy</w:t>
        <w:br/>
        <w:t>tuvo el respaldo institucional del Estado al momento de proponer  la  acción</w:t>
        <w:br/>
        <w:t>de amparo de los derechos de su hija. De igual  manera,  el  Estado  resaltó</w:t>
        <w:br/>
        <w:t>que el órgano jurisdiccional encargado de resolver la acción  de  amparo  se</w:t>
        <w:br/>
        <w:t>pronunció luego de tres  días  de  interpuesto  declarando  inadmisible  tal</w:t>
        <w:br/>
        <w:t>recurso y que “si la señora Teresa Lluy  no  se  sentía  satisfecha  con  la</w:t>
        <w:br/>
        <w:t>resolución dictada por el juez competente, [ésta] podía ser apelada ante  el</w:t>
        <w:br/>
        <w:t>Tribunal Constitucional para su confirmación o revocatoria  definitiva.  Sin</w:t>
        <w:br/>
        <w:t>embargo, la [señora Lluy] no hizo uso de este recurso impugnatorio,  por  lo</w:t>
        <w:br/>
        <w:t>que la decisión de la acción de amparo quedó en firme”.</w:t>
        <w:br/>
        <w:br/>
        <w:t>Finalmente, el Estado informó que dentro del nuevo marco  constitucional  en</w:t>
        <w:br/>
        <w:t>el año 2008, la acción de amparo ha sido  ampliada  y  comprende  la  i)  la</w:t>
        <w:br/>
        <w:t>acción  de  protección,  que  procede  incluso  contra  políticas  públicas,</w:t>
        <w:br/>
        <w:t>personas particulares, personas que prestan  servicios  públicos  impropios,</w:t>
        <w:br/>
        <w:t>y, en casos en que el afectado se  encuentre  en  estado  de  subordinación,</w:t>
        <w:br/>
        <w:t>indefensión o discriminación, y ii) la acción extraordinaria  de  protección</w:t>
        <w:br/>
        <w:t>que procede en contra sentencias y autos definitivos violatorios a  derechos</w:t>
        <w:br/>
        <w:t>constitucionales, sea por acción u omisión.</w:t>
        <w:br/>
        <w:br/>
        <w:t xml:space="preserve">   Consideraciones de la Corte</w:t>
        <w:br/>
        <w:br/>
        <w:t>La Corte observa que el 8 de febrero de 2000,  Teresa  Lluy  con  ayuda  del</w:t>
        <w:br/>
        <w:t>Comisionado del Defensor del Pueblo de Azuay presentó una acción  de  amparo</w:t>
        <w:br/>
        <w:t>constitucional  ante  el  Tercer  Tribunal  Distrital  de   lo   Contencioso</w:t>
        <w:br/>
        <w:t>Administrativo, en  contra  del  Ministerio  de  Educación  y  Cultura,  del</w:t>
        <w:br/>
        <w:t>director de la escuela “Zoila Aurora Palacios” y de  la  profesora  APA,  en</w:t>
        <w:br/>
        <w:t>razón de una presunta privación al derecho a la educación  de  Talía  (supra</w:t>
        <w:br/>
        <w:t>párr. 135).</w:t>
        <w:br/>
        <w:br/>
        <w:t>El 11 de febrero de 2000,  el  Tribunal  Distrital  declaró  inadmisible  el</w:t>
        <w:br/>
        <w:t>recurso de amparo constitucional, considerando que “exist[ía]  un  conflicto</w:t>
        <w:br/>
        <w:t>de intereses, entre los derechos y garantías individuales de [Talía]  frente</w:t>
        <w:br/>
        <w:t>a los intereses de un conglomerado estudiantil,  colisión  que  hac[ía]  que</w:t>
        <w:br/>
        <w:t>predomin[ara]n los sociales o colectivos, como lo es, el derecho a la  vida,</w:t>
        <w:br/>
        <w:t>frente al derecho de la educación”. El Tribunal consideró  que  Talía  podía</w:t>
        <w:br/>
        <w:t>ejercer   su   derecho   a   la   educación,   “mediante   una   instrucción</w:t>
        <w:br/>
        <w:t>particularizada y a distancia” (supra párrs. 141 y 144).</w:t>
        <w:br/>
        <w:br/>
        <w:t>La Corte resalta que  no  cuenta  con  pruebas  que  permitan  sustentar  el</w:t>
        <w:br/>
        <w:t>argumento presentado respecto a la falta de protección judicial de Talía  en</w:t>
        <w:br/>
        <w:t>el trámite del amparo constitucional, por  lo  que  concluye  que  no  puede</w:t>
        <w:br/>
        <w:t>determinarse que haya existido una violación a  la  garantía  de  protección</w:t>
        <w:br/>
        <w:t>judicial. Por consiguiente, la Corte  estima  que  respecto  a  este  amparo</w:t>
        <w:br/>
        <w:t>constitucional el Estado no vulneró el derecho  a  la  protección  judicial,</w:t>
        <w:br/>
        <w:t>previsto en el artículo 25.1 de la Convención.</w:t>
        <w:br/>
        <w:br/>
        <w:br/>
        <w:t xml:space="preserve">      B.2. Proceso penal y civil</w:t>
        <w:br/>
        <w:br/>
        <w:br/>
        <w:t xml:space="preserve">   Argumentos de la Comisión y de las partes</w:t>
        <w:br/>
        <w:br/>
        <w:t>La Comisión sostuvo que  ni  Talía  ni  su  madre  han  recibido  protección</w:t>
        <w:br/>
        <w:t>judicial alguna frente al contagio sufrido por Talía. Según la  Comisión,  a</w:t>
        <w:br/>
        <w:t>Talía, a su madre y a su hermano les ha estado vedado el  acceso  a  obtener</w:t>
        <w:br/>
        <w:t>una indemnización por los daños y perjuicios sufridos como consecuencia  del</w:t>
        <w:br/>
        <w:t>contagio, debido a que la acción penal no culminó con una condena  en  firme</w:t>
        <w:br/>
        <w:t>y, actualmente, se encuentra prescrita. De acuerdo  con  la  Comisión,  esta</w:t>
        <w:br/>
        <w:t>situación refleja una flagrante denegación de justicia y,  en  consecuencia,</w:t>
        <w:br/>
        <w:t>resulta violatoria de los derechos a las garantías judiciales  y  protección</w:t>
        <w:br/>
        <w:t>judicial en perjuicio de Talía y su madre.</w:t>
        <w:br/>
        <w:br/>
        <w:t>Los representantes señalaron que el Estado vulneró  el  artículo  25  de  la</w:t>
        <w:br/>
        <w:t>Convención, relativo al derecho a la protección judicial, debido  a  que  en</w:t>
        <w:br/>
        <w:t>el juicio penal hubo  “una  reiterada  manifestación  de  voluntad  estatal-</w:t>
        <w:br/>
        <w:t>judicial para evitar presentar pruebas solicitadas por Teresa Lluy”;  aunado</w:t>
        <w:br/>
        <w:t>a  que  se  cerró  “tres  veces”  el  sumario  sin   que   las   autoridades</w:t>
        <w:br/>
        <w:t>jurisdiccionales hicieran los requerimientos solicitados  por  Teresa  Lluy.</w:t>
        <w:br/>
        <w:t>Además, los representantes alegaron que el juez penal  tuvo  por  acreditada</w:t>
        <w:br/>
        <w:t>la infracción penal pero no la responsabilidad de los imputados.</w:t>
        <w:br/>
        <w:br/>
        <w:t>El Estado argumentó que “dentro del marco normativo ecuatoriano, el  recurso</w:t>
        <w:br/>
        <w:t>adecuado y efectivo para determinar responsabilidades en cuanto al  contagio</w:t>
        <w:br/>
        <w:t>a  Talía  resultaba  ser  el  juicio  penal,  tendiente  a  procesar  a  los</w:t>
        <w:br/>
        <w:t>responsables  de  la  infracción”,  al   cual   Talía   y   sus   familiares</w:t>
        <w:br/>
        <w:t>efectivamente contaron con el derecho de acceso.  Además, el  Estado  señaló</w:t>
        <w:br/>
        <w:t>que el proceso también fue efectivo y eficaz, pues implicó a  través  de  su</w:t>
        <w:br/>
        <w:t>desarrollo procesal la posibilidad real de alcanzar la  protección  judicial</w:t>
        <w:br/>
        <w:t>requerida.  Así,  durante  la  sustanciación  de  la  etapa  del  sumario  y</w:t>
        <w:br/>
        <w:t>plenario, tanto de oficio como a petición de parte se ordenaron  y  llevaron</w:t>
        <w:br/>
        <w:t>a efecto las diligencias procesales que se consideraron necesarias  para  el</w:t>
        <w:br/>
        <w:t>esclarecimiento de los hechos. Por tanto,  según  el  Estado  no  existieron</w:t>
        <w:br/>
        <w:t>omisiones en  la  recabación  de  la  prueba  al  solicitar  y  ordenar  las</w:t>
        <w:br/>
        <w:t>diligencias probatorias necesarias para determinar lo sucedido.</w:t>
        <w:br/>
        <w:br/>
        <w:t>Asimismo, el Estado alegó que en todas las etapas  procesales,  Talía  y  su</w:t>
        <w:br/>
        <w:t>familia pudieron interponer  los  recursos  disponibles  en  la  legislación</w:t>
        <w:br/>
        <w:t>penal vigente y que por el hecho de que  un  recurso  no  genere  un  efecto</w:t>
        <w:br/>
        <w:t>favorable para  el  reclamante,  “no  por  ello  deviene  necesariamente  en</w:t>
        <w:br/>
        <w:t>ineficaz”.  Finalmente,  el   Estado   rechazó   los   argumentos   de   los</w:t>
        <w:br/>
        <w:t>representantes sobre la reiterada manifestación de la voluntad estatal  para</w:t>
        <w:br/>
        <w:t>evitar las diligencias procesales solicitadas por ellos,  toda  vez  que  el</w:t>
        <w:br/>
        <w:t>enjuiciamiento  penal  “fue  sustanciado  por  los   jueces   y   tribunales</w:t>
        <w:br/>
        <w:t>competentes,   independientes   e   imparciales,   quienes   ajustaron   sus</w:t>
        <w:br/>
        <w:t>actuaciones conforme a derecho y en uso del  poder  exclusivo  y  excluyente</w:t>
        <w:br/>
        <w:t>otorgado desde la Constitución, para decidir conforme a  derecho,  luego  de</w:t>
        <w:br/>
        <w:t>realizar las consideraciones pertinentes sobre la causa que se le sometió  a</w:t>
        <w:br/>
        <w:t>su conocimiento”.</w:t>
        <w:br/>
        <w:br/>
        <w:t xml:space="preserve">   Consideraciones de la Corte</w:t>
        <w:br/>
        <w:br/>
        <w:t>A criterio de este Tribunal, en el presente caso  no  se  aportaron  pruebas</w:t>
        <w:br/>
        <w:t>que permitan concluir que la denuncia penal no era  un  recurso  adecuado  o</w:t>
        <w:br/>
        <w:t>idóneo para determinar las responsabilidades  penales  por  el  contagio  de</w:t>
        <w:br/>
        <w:t>Talía. Asimismo, la  Corte  considera  que  no  cuenta  con  elementos  para</w:t>
        <w:br/>
        <w:t>determinar que existiera una voluntad estatal de no considerar  las  pruebas</w:t>
        <w:br/>
        <w:t>presentadas por Teresa Lluy en los procesos penal y civil,  por  lo  que  no</w:t>
        <w:br/>
        <w:t>existen elementos que demuestren que  las  actuaciones  de  las  autoridades</w:t>
        <w:br/>
        <w:t>judiciales implicaron una afectación en la  protección  judicial  de  Teresa</w:t>
        <w:br/>
        <w:t>Lluy y Talía. Por consiguiente, la Corte estima que respecto a los  procesos</w:t>
        <w:br/>
        <w:t>penal y civil, el Estado no vulneró el derecho  a  la  protección  judicial,</w:t>
        <w:br/>
        <w:t>previsto en el artículo 25.1 de la Convención.</w:t>
        <w:br/>
        <w:br/>
        <w:t xml:space="preserve">       C) Conclusión</w:t>
        <w:br/>
        <w:br/>
        <w:t>La Corte concluye que el Estado vulneró las garantías judiciales  de  debida</w:t>
        <w:br/>
        <w:t>diligencia y plazo razonable previstas en el artículo 8.1  en  relación  con</w:t>
        <w:br/>
        <w:t>los artículos 19 y 1.1 de la Convención Americana en perjuicio de Talía,  en</w:t>
        <w:br/>
        <w:t>lo relativo al proceso penal. Por  otro  lado,  la  Corte  concluye  que  el</w:t>
        <w:br/>
        <w:t>Estado no vulneró las garantías judiciales  de  debida  diligencia  y  plazo</w:t>
        <w:br/>
        <w:t>razonable en el trámite del proceso civil.</w:t>
        <w:br/>
        <w:br/>
        <w:t>Asimismo, la Corte concluye que el Estado no violó las garantías  judiciales</w:t>
        <w:br/>
        <w:t>reconocidas en el  artículo  8.1  de  la  Convención,  en  relación  con  la</w:t>
        <w:br/>
        <w:t>aplicación de la prejudicialidad en el presente caso. Por  último,  respecto</w:t>
        <w:br/>
        <w:t>de la resolución del amparo constitucional y los procesos penal y civil,  la</w:t>
        <w:br/>
        <w:t>Corte considera que  el  Estado  no  vulneró  el  derecho  a  la  protección</w:t>
        <w:br/>
        <w:t>judicial, previsto en el artículo 25.1 de la Convención, en relación con  el</w:t>
        <w:br/>
        <w:t>artículo 1.1 del mismo instrumento.</w:t>
        <w:br/>
        <w:br/>
        <w:t xml:space="preserve">                                     XII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Americana[365], la Corte ha indicado que toda violación  de  una  obligación</w:t>
        <w:br/>
        <w:t>internacional que  haya  producido  daño  comporta  el  deber  de  repararlo</w:t>
        <w:br/>
        <w:t>adecuadamente[366], y que esa disposición recoge una  norma  consuetudinaria</w:t>
        <w:br/>
        <w:t>que  constituye  uno   de   los   principios   fundamentales   del   Derecho</w:t>
        <w:br/>
        <w:t>Internacional contemporáneo sobre responsabilidad de un Estado[367].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 de  violaciones  a  derechos  humanos,  el  Tribunal  determinará</w:t>
        <w:br/>
        <w:t>medidas  para  garantizar   los   derechos   conculcados   y   reparar   las</w:t>
        <w:br/>
        <w:t>consecuencias que las infracciones produjeron[368]. Por tanto, la  Corte  ha</w:t>
        <w:br/>
        <w:t>considerado la necesidad de otorgar diversas medidas de  reparación,  a  fin</w:t>
        <w:br/>
        <w:t>de resarcir los  daños  de  manera  integral,  por  lo  que  además  de  las</w:t>
        <w:br/>
        <w:t>compensaciones pecuniarias,  las  medidas  de  restitución,  rehabilitación,</w:t>
        <w:br/>
        <w:t>satisfacción y garantías de no repetición  tienen  especial  relevancia  por</w:t>
        <w:br/>
        <w:t>los daños ocasionados[369].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derecho[370].</w:t>
        <w:br/>
        <w:br/>
        <w:t>En consideración de las violaciones declaradas en los capítulos  anteriores,</w:t>
        <w:br/>
        <w:t>el Tribunal  procederá  a  analizar  las  pretensiones  presentadas  por  la</w:t>
        <w:br/>
        <w:t>Comisión y los representantes, así como los argumentos del Estado, a la  luz</w:t>
        <w:br/>
        <w:t>de los criterios fijados en la jurisprudencia de la Corte  en  relación  con</w:t>
        <w:br/>
        <w:t>la naturaleza y alcance de la obligación de reparar[371], con el  objeto  de</w:t>
        <w:br/>
        <w:t>disponer las medidas  dirigidas  a  reparar  los  daños  ocasionados  a  las</w:t>
        <w:br/>
        <w:t>víctimas.</w:t>
        <w:br/>
        <w:br/>
        <w:t>A. Parte Lesionada</w:t>
        <w:br/>
        <w:br/>
        <w:t>Este Tribunal reitera que se considera parte lesionada, en los términos  del</w:t>
        <w:br/>
        <w:t>artículo 63.1 de la Convención, a quienes han sido  declarados  víctimas  de</w:t>
        <w:br/>
        <w:t>la violación de algún derecho reconocido en la  misma[372].  Por  lo  tanto,</w:t>
        <w:br/>
        <w:t>esta Corte considera como “parte lesionada” a Talía Gabriela Gonzales  Lluy,</w:t>
        <w:br/>
        <w:t>Teresa Lluy e  Iván  Lluy,  quienes  en  su  carácter  de  víctimas  de  las</w:t>
        <w:br/>
        <w:t>violaciones declaradas en los  capítulos  IX,  X  y  XI  serán  considerados</w:t>
        <w:br/>
        <w:t>beneciarias y beneficiario de las reparaciones que la Corte ordene.</w:t>
        <w:br/>
        <w:br/>
        <w:t>B. Obligación de investigar los hechos e identificar, juzgar y, en su  caso,</w:t>
        <w:br/>
        <w:t>sancionar a los responsables</w:t>
        <w:br/>
        <w:br/>
        <w:t>La Comisión solicitó que se realice una investigación  completa  y  efectiva</w:t>
        <w:br/>
        <w:t>de las violaciones de derechos humanos declaradas en el presente caso.</w:t>
        <w:br/>
        <w:br/>
        <w:t>Los representantes solicitaron a la Corte que ordene al Estado investigar  y</w:t>
        <w:br/>
        <w:t>sancionar a las personas que provocaron la  violación  de  los  derechos  de</w:t>
        <w:br/>
        <w:t>Talía y su familia; ya que estos hechos “no pueden quedar en la impunidad  y</w:t>
        <w:br/>
        <w:t>[…] pueden seguir afectando a otras  personas  en  similares  circunstancias</w:t>
        <w:br/>
        <w:t>que Talía”. Resaltaron que la necesidad de investigar “no debe  restringirse</w:t>
        <w:br/>
        <w:t>a graves violaciones a los derechos civiles relacionadas a delitos”,  y  que</w:t>
        <w:br/>
        <w:t>debe ser de carácter administrativo, civil o constitucional.</w:t>
        <w:br/>
        <w:br/>
        <w:t>En casos anteriores, ante determinadas violaciones, la  Corte  ha  dispuesto</w:t>
        <w:br/>
        <w:t>que  el   Estado   inicie,   según   el   caso,   acciones   disciplinarias,</w:t>
        <w:br/>
        <w:t>administrativas o  penales,  de  acuerdo  con  su  legislación  interna,  en</w:t>
        <w:br/>
        <w:t>relación con los responsables de las distintas irregularidades procesales  e</w:t>
        <w:br/>
        <w:t>investigativas[373]. En el presente caso, este  Tribunal  determinó  que  el</w:t>
        <w:br/>
        <w:t>Estado vulneró la garantía judicial  de  plazo  razonable  en  perjuicio  de</w:t>
        <w:br/>
        <w:t>Talía en el proceso penal y civil (supra párr.  318).  Sin  embargo,  señaló</w:t>
        <w:br/>
        <w:t>que  no  existen  elementos  que  demuestren  que  las  actuaciones  de  las</w:t>
        <w:br/>
        <w:t>autoridades judiciales implicaran una afectación en la  protección  judicial</w:t>
        <w:br/>
        <w:t>de Teresa Lluy y Talía respecto a los procesos civil y  penal  (supra  párr.</w:t>
        <w:br/>
        <w:t>318). Además, la Corte declaró que el Estado no  vulneró  el  derecho  a  la</w:t>
        <w:br/>
        <w:t>protección judicial de Talía respecto al proceso  de  amparo  constitucional</w:t>
        <w:br/>
        <w:t>(supra párr. 335). En vista de lo anterior, la Corte  no  estima  pertinente</w:t>
        <w:br/>
        <w:t>ordenar una reparación respecto de la  apertura  de  nuevas  investigaciones</w:t>
        <w:br/>
        <w:t>administrativas, disciplinarias o penales en relación  con  los  hechos  del</w:t>
        <w:br/>
        <w:t>presente caso.</w:t>
        <w:br/>
        <w:br/>
        <w:t>C. Medidas de restitución, rehabilitación, satisfacción y  garantías  de  no</w:t>
        <w:br/>
        <w:t>repetición</w:t>
        <w:br/>
        <w:br/>
        <w:t xml:space="preserve">           C.1)  Medidas de restitución</w:t>
        <w:br/>
        <w:br/>
        <w:t>Los representantes alegaron que,  al  no  ser  posible  la  restitución  del</w:t>
        <w:br/>
        <w:t>derecho violado en el presente caso, “considerando que el  hecho  violatorio</w:t>
        <w:br/>
        <w:t>ha acarreado secuelas en cada momento de las vidas de la familia y en  todos</w:t>
        <w:br/>
        <w:t>sus espacios de  relaciones  sociales”,  la  indemnización  a  otorgarse  no</w:t>
        <w:br/>
        <w:t>debería ser menor a US$ 100.000,00 (cien mil dólares de los  Estados  Unidos</w:t>
        <w:br/>
        <w:t>de América) para cada una de las víctimas.</w:t>
        <w:br/>
        <w:br/>
        <w:t>Ni el Estado ni la Comisión se refirieron a la solicitud presentada.</w:t>
        <w:br/>
        <w:br/>
        <w:t>En el presente caso, la  Corte  nota  que  no  es  posible  devolver  a  las</w:t>
        <w:br/>
        <w:t>víctimas a  la  situación  anterior  a  las  violaciones  declaradas  en  el</w:t>
        <w:br/>
        <w:t>presente caso, es decir previamente a que Talía fuera  contagiada  con  VIH.</w:t>
        <w:br/>
        <w:t>Debido a lo anterior, la Corte valorará esta  solicitud  planteada  por  los</w:t>
        <w:br/>
        <w:t>representantes en el marco de la indemnización  compensatoria  por  concepto</w:t>
        <w:br/>
        <w:t>de daño inmaterial.</w:t>
        <w:br/>
        <w:br/>
        <w:t xml:space="preserve">           C.2)  Medidas de rehabilitación</w:t>
        <w:br/>
        <w:br/>
        <w:t>La Comisión recomendó proveer, en consulta con Talía, “de  manera  inmediata</w:t>
        <w:br/>
        <w:t>y permanente” el tratamiento médico especializado que requiere.</w:t>
        <w:br/>
        <w:br/>
        <w:t>Los representantes requirieron que, a través del  Ministerio  de  Salud,  se</w:t>
        <w:br/>
        <w:t>brinde a Talía la atención en salud necesaria, incluyendo exámenes  médicos,</w:t>
        <w:br/>
        <w:t>los mejores medicamentos y consultas adecuadas.  Asimismo,  solicitaron  que</w:t>
        <w:br/>
        <w:t>se realice un plan de atención que incluya “un plan de  contingencia  en  el</w:t>
        <w:br/>
        <w:t>caso de que se cambien autoridades o  cualquier  otra  situación  que  pueda</w:t>
        <w:br/>
        <w:t>ocurrir para evitar interrupciones en el servicio y garantizar su derecho  a</w:t>
        <w:br/>
        <w:t>la salud y vida”. Además, reiteraron la necesidad de  que  la  atención  sea</w:t>
        <w:br/>
        <w:t>oportuna, de calidad y con calidez. Por otra parte, en sus alegatos  finales</w:t>
        <w:br/>
        <w:t>escritos, solicitaron que se tomen en cuenta las recomendaciones hechas  por</w:t>
        <w:br/>
        <w:t>la perita Diana Murcia, quien indicó  que  “es  necesario  que  Talía  y  su</w:t>
        <w:br/>
        <w:t>familia ingrese[n] a un proceso terapéutico por  lo  menos  de  ocho  meses,</w:t>
        <w:br/>
        <w:t>mínimo de tres sesiones al mes”, así como la realización de  una  evaluación</w:t>
        <w:br/>
        <w:t>posterior al proceso terapéutico para determinar si es  necesario  prolongar</w:t>
        <w:br/>
        <w:t>la terapia o cambiar el enfoque.  Respecto  de  las  afectaciones  de  salud</w:t>
        <w:br/>
        <w:t>sufridas por Teresa e Iván Lluy, los representantes  solicitaron  reparación</w:t>
        <w:br/>
        <w:t>en el marco de las indemnizaciones compensatorias.</w:t>
        <w:br/>
        <w:br/>
        <w:t>El Estado manifestó que posee política pública vinculada al tratamiento  del</w:t>
        <w:br/>
        <w:t>VIH  de  manera  efectiva,  por  lo  que  la   solicitud   hecha   por   los</w:t>
        <w:br/>
        <w:t>representantes “carece de  fundamento”.  Además,  señaló  que  las  acciones</w:t>
        <w:br/>
        <w:t>llevadas a cabo respecto al tratamiento del VIH se sustentan  en  parámetros</w:t>
        <w:br/>
        <w:t>establecidos por organismos internacionales. Por otra parte, informó que  en</w:t>
        <w:br/>
        <w:t>las provincias de Azuay y Cañar existen trece centros que brindan  servicios</w:t>
        <w:br/>
        <w:t>de  calidad  en  salud,  y  reiteró  que  “espera  que  Talía  […]  continúe</w:t>
        <w:br/>
        <w:t>atendiéndose en el [h]ospital público Homero Castanier” bajo el  cuidado  de</w:t>
        <w:br/>
        <w:t>un doctor especialista en la rama de  medicina  interna  y  responsable  del</w:t>
        <w:br/>
        <w:t>Programa de VIH en dicho hospital. Asimismo, “invit[ó] a Talía Gonzales,  su</w:t>
        <w:br/>
        <w:t>madre y hermano a utilizar los  servicios  de  salud  del  Ecuador,  de  los</w:t>
        <w:br/>
        <w:t>diferentes [h]ospitales y [c]entros de  [s]alud  pública”.  Por  otro  lado,</w:t>
        <w:br/>
        <w:t>durante la audiencia pública el Estado manifestó que, si  la  Corte  declara</w:t>
        <w:br/>
        <w:t>la responsabilidad estatal, “continuará con el protocolo integral  de  salud</w:t>
        <w:br/>
        <w:t>que ha venido dando[,] e implementará el manejo ambulatorio del  mismo,  con</w:t>
        <w:br/>
        <w:t>acceso al tratamiento antirretroviral  necesario  y  otorgamiento  de  apoyo</w:t>
        <w:br/>
        <w:t>psicológico y asistencia social a Talía y su madre, en las instituciones  de</w:t>
        <w:br/>
        <w:t>la red pública de  salud  en  las  distintas  especialidades  y  niveles  de</w:t>
        <w:br/>
        <w:t>atención”.</w:t>
        <w:br/>
        <w:br/>
        <w:t>La Corte nota lo  informado  por  los  representantes  en  la  solicitud  de</w:t>
        <w:br/>
        <w:t>Medidas Provisionales presentada dentro del proceso, en el  sentido  de  que</w:t>
        <w:br/>
        <w:t>desde el mes de mayo de 2014 hasta  la  fecha  Talía  ha  venido  recibiendo</w:t>
        <w:br/>
        <w:t>atención médica en el hospital de Azogues, perteneciente a  la  red  pública</w:t>
        <w:br/>
        <w:t>de salud del Ecuador. Los representantes señalaron que durante este  período</w:t>
        <w:br/>
        <w:t>su salud  se  ha  estado  deteriorando,  y  su  conteo  de  células  CD4  ha</w:t>
        <w:br/>
        <w:t>disminuido con rapidez[374]. Según los representantes, la  medicina  que  le</w:t>
        <w:br/>
        <w:t>otorgan en la red pública “no hace que [su] salud mejore, n[i] se  mantengan</w:t>
        <w:br/>
        <w:t>bien [sus] defensas”.  Por  ello,  los  representantes  solicitaron  que  se</w:t>
        <w:br/>
        <w:t>nombre una comisión de alto nivel, conformada por personas de  confianza  de</w:t>
        <w:br/>
        <w:t>Talía, para que puedan determinar las condiciones  necesarias  para  que  su</w:t>
        <w:br/>
        <w:t>salud se restablezca, y que el Estado “corra con todos los  gastos  erogados</w:t>
        <w:br/>
        <w:t>para la atención emergente de salud de Talía”.</w:t>
        <w:br/>
        <w:br/>
        <w:t xml:space="preserve"> Al respecto,  la  Comisión  “expres[ó]  su  profunda  preocupación  por  la</w:t>
        <w:br/>
        <w:t>información  presentada  por  [los]  representante[s]  en  cuanto   [a]   la</w:t>
        <w:br/>
        <w:t>situación precaria de salud, específicamente  la  disminución  progresiva  y</w:t>
        <w:br/>
        <w:t>acelerada de las defensas  de  Talía”,  y  observó  que  su  salud,  vida  e</w:t>
        <w:br/>
        <w:t>integridad personal “están seriamente  amenazadas”.  Por  ello,  resaltó  la</w:t>
        <w:br/>
        <w:t>importancia de que la Corte  “establezca  la  necesidad  de  que  el  Estado</w:t>
        <w:br/>
        <w:t>provea inmediatamente a la  beneficiaria  el  tratamiento  antir[r]etroviral</w:t>
        <w:br/>
        <w:t>específico que requiere según su situación concreta de salud,  a  través  de</w:t>
        <w:br/>
        <w:t>los medios públicos o privados que los ofrezcan”.</w:t>
        <w:br/>
        <w:br/>
        <w:t>Por  otra  parte,  el  Estado  alegó  que,  de  acuerdo  al  Informe  Médico</w:t>
        <w:br/>
        <w:t>Especializado del Ministerio de Salud Pública de 20 de  julio  de  2015,  ha</w:t>
        <w:br/>
        <w:t>estado  realizando  diversos  controles  de  la  salud  de  Talía[375].  Sin</w:t>
        <w:br/>
        <w:t>embargo, el Estado estima que “existe una  probabilidad  de  resistencia  al</w:t>
        <w:br/>
        <w:t>tratamiento”, por lo que resaltó la importancia de practicar  un  examen  de</w:t>
        <w:br/>
        <w:t>genotipificación y dosificación medicamentosa a  Talía  para  determinar  el</w:t>
        <w:br/>
        <w:t>tratamiento futuro con el que se trataría su condición. Asimismo, el  Estado</w:t>
        <w:br/>
        <w:t>informó que Talía ha presentado dificultades para  realizarse  los  exámenes</w:t>
        <w:br/>
        <w:t>necesarios, por lo que el doctor tratante “ha procedido a realizar  llamadas</w:t>
        <w:br/>
        <w:t>telefónicas frecuentes, a partir del día […] 15 de julio de 2014[;  pero  la</w:t>
        <w:br/>
        <w:t>señora Teresa Lluy le ha indicado] que su hija se encuentra  en  tratamiento</w:t>
        <w:br/>
        <w:t>con un [m]édico privado”. Finalmente, el Estado señaló, que la  Ministra  de</w:t>
        <w:br/>
        <w:t>Salud Pública conformó de forma inmediata una Comisión Médica de Alto  Nivel</w:t>
        <w:br/>
        <w:t>para que pueda determinar las condiciones necesarias  para  el  mejoramiento</w:t>
        <w:br/>
        <w:t>de la salud de Talía[376].</w:t>
        <w:br/>
        <w:br/>
        <w:t>La Corte resalta que, en el marco de la presente Sentencia, se  declaró  que</w:t>
        <w:br/>
        <w:t>Talía adquirió el virus del VIH como  consecuencia  directa  de  acciones  y</w:t>
        <w:br/>
        <w:t>omisiones del Estado en el marco de la inspección, vigilancia y  control  de</w:t>
        <w:br/>
        <w:t>la prestación de servicios de salud por parte del Estado.  En  consecuencia,</w:t>
        <w:br/>
        <w:t>si  bien  este  Tribunal  reconoce  como  positivo  y  valora  el   esfuerzo</w:t>
        <w:br/>
        <w:t>institucional que  se  viene  llevando  a  cabo  para  lograr  una  atención</w:t>
        <w:br/>
        <w:t>sanitaria de calidad  a  través  del  sector  público,  la  Corte  considera</w:t>
        <w:br/>
        <w:t>pertinente que,  para  que  la  atención  en  salud  proyecte  una  vocación</w:t>
        <w:br/>
        <w:t>reparadora en el caso  concreto,  se  suministre  el  nivel  de  prevención,</w:t>
        <w:br/>
        <w:t>tratamiento, atención y apoyo que requiera Talía  para  la  atención  de  su</w:t>
        <w:br/>
        <w:t>salud.</w:t>
        <w:br/>
        <w:br/>
        <w:t>Por ello, la Corte estima, como lo ha hecho  en  otros  casos[377],  que  es</w:t>
        <w:br/>
        <w:t>preciso disponer una medida de atención que brinde una atención  adecuada  a</w:t>
        <w:br/>
        <w:t>los  padecimientos  físicos  y  psicológicos  sufridos   por   Talía,   como</w:t>
        <w:br/>
        <w:t>consecuencia de las violaciones establecidas  en  esta  Sentencia.  De  este</w:t>
        <w:br/>
        <w:t>modo, este Tribunal dispone la obligación a  cargo  del  Estado  de  brindar</w:t>
        <w:br/>
        <w:t>gratuitamente, a través de instituciones de salud públicas especializadas  o</w:t>
        <w:br/>
        <w:t>personal de salud especializado, y de forma inmediata, oportuna, adecuada  y</w:t>
        <w:br/>
        <w:t>efectiva, el  tratamiento  médico  y  psicológico  o  psiquiátrico  a  Talía</w:t>
        <w:br/>
        <w:t>Gonzales Lluy, incluyendo el suministro gratuito  de  los  medicamentos  que</w:t>
        <w:br/>
        <w:t>eventualmente se requieran, tomando en consideración sus  padecimientos.  En</w:t>
        <w:br/>
        <w:t>el caso de que el Estado careciera de ellas deberá recurrir a  instituciones</w:t>
        <w:br/>
        <w:t>privadas o de la sociedad civil especializadas. Asimismo,  los  tratamientos</w:t>
        <w:br/>
        <w:t>respectivos deberán prestarse, en la medida de lo posible, en el centro  más</w:t>
        <w:br/>
        <w:t>cercano a su lugar de residencia  en  el  Ecuador  por  el  tiempo  que  sea</w:t>
        <w:br/>
        <w:t>necesario. La víctima o sus representantes legales disponen de un  plazo  de</w:t>
        <w:br/>
        <w:t>seis meses, contado a partir de la notificación de  la  presente  Sentencia,</w:t>
        <w:br/>
        <w:t>para dar a conocer al Estado su intención de  recibir  atención  psicológica</w:t>
        <w:br/>
        <w:t>y/o psiquiátrica.</w:t>
        <w:br/>
        <w:br/>
        <w:br/>
        <w:t>Asimismo, en situaciones de urgencia, la Corte dispone que el Estado  deberá</w:t>
        <w:br/>
        <w:t>adoptar las recomendaciones de la médica o médico  de  confianza  que  Talía</w:t>
        <w:br/>
        <w:t>señale. Además, si el médico o la médica de confianza determina  que  existe</w:t>
        <w:br/>
        <w:t>un motivo fundado por el que Talía  deba  recibir  atención  en  el  sistema</w:t>
        <w:br/>
        <w:t>privado de salud, el Estado deberá cubrir  los  gastos  necesarios  para  el</w:t>
        <w:br/>
        <w:t>restablecimiento de su salud. Correspondrá al  Estado  acreditar  ante  este</w:t>
        <w:br/>
        <w:t>Tribunal la permanencia  de  esta  medida.  Respecto  de  la  misma,  deberá</w:t>
        <w:br/>
        <w:t>presentar un informe cada tres meses.</w:t>
        <w:br/>
        <w:br/>
        <w:t xml:space="preserve">           C.3)  Medidas de satisfacción</w:t>
        <w:br/>
        <w:br/>
        <w:br/>
        <w:t xml:space="preserve">      C.3.1) Publicación de la Sentencia</w:t>
        <w:br/>
        <w:br/>
        <w:br/>
        <w:t>Los representantes solicitaron que el Estado publique el resumen oficial  de</w:t>
        <w:br/>
        <w:t>la Sentencia en el Registro Oficial;  en  un  diario  de  mayor  circulación</w:t>
        <w:br/>
        <w:t>nacional y local, en  la  ciudad  de  Cuenca;  y  en  las  páginas  web  del</w:t>
        <w:br/>
        <w:t>Ministerio de Justicia, Derechos  Humanos  y  Cultos,  Ministerio  de  Salud</w:t>
        <w:br/>
        <w:t>Pública, y Ministerio de Educación.</w:t>
        <w:br/>
        <w:br/>
        <w:t>El Estado señaló que, en caso de que la Corte determine su  responsabilidad,</w:t>
        <w:br/>
        <w:t>“consideraría publicar el resumen oficial de la [S]entencia en el  periódico</w:t>
        <w:br/>
        <w:t>‘El  Telégrafo’,  diario  de  circulación   nacional,   [y]   acogería   las</w:t>
        <w:br/>
        <w:t>publicaciones  en  los  diferentes  portales  web   de   las   instituciones</w:t>
        <w:br/>
        <w:t>solicitadas”. Asimismo, señaló que publicaría  en  el  Registro  Oficial  el</w:t>
        <w:br/>
        <w:t>resumen oficial de la Sentencia, en razón de “la importancia que  el  Estado</w:t>
        <w:br/>
        <w:t>[…] da a este tipo de medidas que ayudan a […] que la población  en  general</w:t>
        <w:br/>
        <w:t>esté informada de la resolución dictada por la Corte y sus alcances”.</w:t>
        <w:br/>
        <w:br/>
        <w:t>La Comisión no se refirió a dicha solicitud.</w:t>
        <w:br/>
        <w:br/>
        <w:t>La Corte dispone, como lo ha  hecho  en  otros  casos[378],  que  el  Estado</w:t>
        <w:br/>
        <w:t>publique, en un plazo de seis meses, contado a partir de la notificación  de</w:t>
        <w:br/>
        <w:t>la presente Sentencia: a)  el  resumen  oficial  de  la  presente  Sentencia</w:t>
        <w:br/>
        <w:t>elaborado por la Corte, por una sola  vez,  en  el  diario  oficial;  b)  el</w:t>
        <w:br/>
        <w:t>resumen oficial de la presente Sentencia, por una sola vez, en un diario  de</w:t>
        <w:br/>
        <w:t>amplia circulación nacional, y c) la presente Sentencia  en  su  integridad,</w:t>
        <w:br/>
        <w:t>disponible al menos por un período de un año, en un  sitio  web  oficial  de</w:t>
        <w:br/>
        <w:t>carácter nacional, de manera accesible al público.</w:t>
        <w:br/>
        <w:br/>
        <w:br/>
        <w:t>C.3.2) Acto público de reconocimiento de responsabilidad internacional</w:t>
        <w:br/>
        <w:br/>
        <w:br/>
        <w:br/>
        <w:t>Los representantes solicitaron que  el  Estado,  mediante  cadena  nacional,</w:t>
        <w:br/>
        <w:t>pida disculpas por las violaciones a los derechos declaradas en  este  caso,</w:t>
        <w:br/>
        <w:t>así  como  por  “las  humillaciones  recibidas  por  múltiples  funcionarios</w:t>
        <w:br/>
        <w:t>estatales, reconociendo los más de 16  años  de  lucha”  de  la  familia;  y</w:t>
        <w:br/>
        <w:t>señalando  las  responsabilidades  individuales  e  institucionales  con  el</w:t>
        <w:br/>
        <w:t>objeto de evitar que estos hechos vuelvan a suceder.</w:t>
        <w:br/>
        <w:br/>
        <w:t>El Estado solicitó en su escrito de contestación y en sus  alegatos  finales</w:t>
        <w:br/>
        <w:t>escritos que se rechace la  solicitud  de  los  representantes  de  realizar</w:t>
        <w:br/>
        <w:t>mediante  cadena  nacional  las  disculpas  públicas  por  las   violaciones</w:t>
        <w:br/>
        <w:t>declaradas en este caso, siendo que la sentencia, como  tal,  constituye  un</w:t>
        <w:br/>
        <w:t>mecanismo  de  satisfacción.  Sin  embargo,  durante  el  transcurso  de  la</w:t>
        <w:br/>
        <w:t>audiencia  pública  manifestó  que  de  declararse  su  responsabilidad  “la</w:t>
        <w:br/>
        <w:t>Ministra de Salud Pública como máxima autoridad en materia de salud  pública</w:t>
        <w:br/>
        <w:t>efectuará la disculpa pública a Talía […] y su madre en  relación  al  hecho</w:t>
        <w:br/>
        <w:t>específico reconocido por el Estado”.</w:t>
        <w:br/>
        <w:br/>
        <w:t>La Comisión señaló que es necesario que el reconocimiento incluya todos  los</w:t>
        <w:br/>
        <w:t>hechos y violaciones de derechos humanos ocurridas en este caso.</w:t>
        <w:br/>
        <w:br/>
        <w:t>La Corte estima necesario, como lo ha hecho en otros casos[379] con  el  fin</w:t>
        <w:br/>
        <w:t>de reparar el daño ocasionado a las víctimas y de  evitar  que  hechos  como</w:t>
        <w:br/>
        <w:t>los de este caso se repitan, disponer que el Estado realice un acto  público</w:t>
        <w:br/>
        <w:t>de  reconocimiento  de  responsabilidad  internacional  en  el  Ecuador,  en</w:t>
        <w:br/>
        <w:t>relación con los hechos  de  este  caso.  En  dicho  acto  se  deberá  hacer</w:t>
        <w:br/>
        <w:t>referencia a las violaciones de derechos humanos declaradas en  la  presente</w:t>
        <w:br/>
        <w:t>Sentencia. Asimismo, deberá llevarse a cabo mediante una  ceremonia  pública</w:t>
        <w:br/>
        <w:t>en  presencia  de  altos  funcionarios  del  Estado,   así   como   con   la</w:t>
        <w:br/>
        <w:t>participación de las víctimas de este caso. El  Estado  deberá  acordar  con</w:t>
        <w:br/>
        <w:t>las víctimas o sus representantes la  modalidad  de  cumplimiento  del  acto</w:t>
        <w:br/>
        <w:t>público de reconocimiento, así como las particularidades que  se  requieran,</w:t>
        <w:br/>
        <w:t>tales como el lugar y la fecha para su realización.  Para  ello,  el  Estado</w:t>
        <w:br/>
        <w:t>cuenta con el plazo de un año, contado a partir de  la  notificación  de  la</w:t>
        <w:br/>
        <w:t>presente Sentencia.</w:t>
        <w:br/>
        <w:br/>
        <w:br/>
        <w:br/>
        <w:t>C.3.3) Beca de estudio</w:t>
        <w:br/>
        <w:br/>
        <w:br/>
        <w:br/>
        <w:t>El Estado alegó en audiencia pública que la calificación obtenida por  Talía</w:t>
        <w:br/>
        <w:t>para  acceder  a  la  universidad  la  hizo  acreedora  de  un  cupo  en  la</w:t>
        <w:br/>
        <w:t>Universidad de Cuenca, que es una universidad  pública  y  gratuita.  Señaló</w:t>
        <w:br/>
        <w:t>que su desempeño académico  “determinará  la  posibilidad  de  que  […]  sea</w:t>
        <w:br/>
        <w:t>candidata a una beca de excelencia que implica la  financiación  del  Estado</w:t>
        <w:br/>
        <w:t>para  que  realice  estudios  superiores  o  de  pos[grado]   en   cualquier</w:t>
        <w:br/>
        <w:t>universidad del mundo en la que sea aceptada”.</w:t>
        <w:br/>
        <w:br/>
        <w:t>La Comisión solicitó en el  Informe  de  Fondo  que  el  Estado  provea,  en</w:t>
        <w:br/>
        <w:t>consulta con  Talía  Gonzales  Lluy,  “la  educación  primaria,  superior  y</w:t>
        <w:br/>
        <w:t>universitaria, de manera gratuita”.  Posteriormente,  en  sus  observaciones</w:t>
        <w:br/>
        <w:t>finales escritas, señaló que el  ofrecimiento  relacionado  con  la  posible</w:t>
        <w:br/>
        <w:t>beca de excelencia “no pareciera ser una prestación que el Estado  le  va  a</w:t>
        <w:br/>
        <w:t>otorgar [a Talía], sino que dependería de su desempeño académico”.</w:t>
        <w:br/>
        <w:br/>
        <w:t>Los representantes solicitaron en el transcurso de la audiencia pública  que</w:t>
        <w:br/>
        <w:t>“se considere como una reparación la beca por los esfuerzos  extraordinarios</w:t>
        <w:br/>
        <w:t>que ha demostrado en el sistema educativo la beca de excelente a Talía”.</w:t>
        <w:br/>
        <w:br/>
        <w:t>Este Tribunal nota que Talía  ingresó  en  el  año  2013  a  la  Universidad</w:t>
        <w:br/>
        <w:t>Estatal de Cuenca  en  la  carrera  de  Diseño  Gráfico,  de  la  que  debió</w:t>
        <w:br/>
        <w:t>retirarse por afectaciones a su salud derivadas de  actividades  propias  de</w:t>
        <w:br/>
        <w:t>dicha carrera. Debido a  esto,  a  partir  del  año  2015  Talía  ingresó  a</w:t>
        <w:br/>
        <w:t>estudiar Psicología Social en dicha Universidad.  Tomando  en  consideración</w:t>
        <w:br/>
        <w:t>lo anterior, la Corte valora lo manifestado por el Estado  en  la  audiencia</w:t>
        <w:br/>
        <w:t>pública respecto a la  posibilidad  de  que  Talía  acceda  a  una  beca  de</w:t>
        <w:br/>
        <w:t>excelencia. Sin embargo, este Tribunal observa que la beca  a  la  que  hace</w:t>
        <w:br/>
        <w:t>referencia el Estado corresponde a un ofrecimiento de carácter  general  que</w:t>
        <w:br/>
        <w:t>realiza el Estado a todos aquellos estudiantes ecuatorianos que muestran  un</w:t>
        <w:br/>
        <w:t>alto rendimiento académico, por lo que  no  responde  particularmente  a  un</w:t>
        <w:br/>
        <w:t>reconocimiento a la calidad de víctima de  Talía.  En  virtud  de  ello,  la</w:t>
        <w:br/>
        <w:t>Corte dispone que el Estado otorgue a Talía  Gonzales  Lluy  una  beca  para</w:t>
        <w:br/>
        <w:t>continuar sus estudios universitarios que no se encuentre condicionada a  la</w:t>
        <w:br/>
        <w:t>obtención  de  calificaciones  que  la  hagan  acreedora  de  una  beca   de</w:t>
        <w:br/>
        <w:t>excelencia. Dicha beca deberá cubrir  todos  los  gastos  para  la  completa</w:t>
        <w:br/>
        <w:t>finalización de sus estudios, tanto material académico como  manutención  de</w:t>
        <w:br/>
        <w:t>ser necesaria. La víctima o sus representantes legales cuentan con un  plazo</w:t>
        <w:br/>
        <w:t>de  seis  meses,  contado  a  partir  de  la  notificación  de  la  presente</w:t>
        <w:br/>
        <w:t>Sentencia, para dar a conocer al Estado su intención de recibir dicha  beca.</w:t>
        <w:br/>
        <w:br/>
        <w:br/>
        <w:t xml:space="preserve"> Asimismo, el Estado deberá otorgar a Talía una beca para la realización  de</w:t>
        <w:br/>
        <w:t>un posgrado “en cualquier universidad del mundo en  la  que  sea  aceptada”.</w:t>
        <w:br/>
        <w:t>Esta beca deberá ser entregada con independencia del desempeño académico  de</w:t>
        <w:br/>
        <w:t>Talía durante sus estudios en la carrera, y deberá otorgársele,  en  cambio,</w:t>
        <w:br/>
        <w:t>en atención a su calidad de víctima por las  violaciones  declaradas  en  la</w:t>
        <w:br/>
        <w:t>presente Sentencia. Para tal efecto, una vez que culmine su  carrera,  Talía</w:t>
        <w:br/>
        <w:t>deberá informar al Estado y a este Tribunal, en el plazo de 24 meses,  sobre</w:t>
        <w:br/>
        <w:t>el posgrado que decidió realizar y de su aceptación en el mismo.  El  Estado</w:t>
        <w:br/>
        <w:t>deberá cubrir los costos académicos y de manutención  previamente,  conforme</w:t>
        <w:br/>
        <w:t>al costo de vida del país en que Talía vaya a  realizar  sus  estudios[380],</w:t>
        <w:br/>
        <w:t>de forma tal que la víctima no deba erogar  los  montos  correspondientes  a</w:t>
        <w:br/>
        <w:t>estos rubros para luego ser reintegrados.</w:t>
        <w:br/>
        <w:br/>
        <w:br/>
        <w:t xml:space="preserve">      C.3.4) Entrega de una vivienda</w:t>
        <w:br/>
        <w:br/>
        <w:br/>
        <w:t>El Estado señaló durante la audiencia pública que  “formalizará  la  entrega</w:t>
        <w:br/>
        <w:t>de una vivienda digna en la provincia de Azuay para garantizar el derecho  a</w:t>
        <w:br/>
        <w:t>la vida de Talía”.</w:t>
        <w:br/>
        <w:br/>
        <w:t>La Comisión valoró positivamente el ofrecimiento de una vivienda  hecho  por</w:t>
        <w:br/>
        <w:t>el Estado.</w:t>
        <w:br/>
        <w:br/>
        <w:t>Los representantes solicitaron durante la audiencia pública que  se  otorgue</w:t>
        <w:br/>
        <w:t>a Talía la vivienda digna en el programa planteado por el Estado.</w:t>
        <w:br/>
        <w:br/>
        <w:t>Este Tribunal toma nota  del  ofrecimiento  estatal,  realizado  durante  la</w:t>
        <w:br/>
        <w:t>audiencia pública, de otorgar una vivienda digna a  Talía  en  la  provincia</w:t>
        <w:br/>
        <w:t>del Azuay con el fin de garantizar su derecho a la  vida.  La  Corte  valora</w:t>
        <w:br/>
        <w:t>positivamente la  voluntad  manifestada  por  el  Estado,  y  considera  que</w:t>
        <w:br/>
        <w:t>constituye un paso importante para la reparación en el  presente  caso[381].</w:t>
        <w:br/>
        <w:t>En consecuencia, ordena que el Estado entregue a  Talía  Gonzales  Lluy  una</w:t>
        <w:br/>
        <w:t>vivienda digna en el plazo de un año, contado a partir de la emisión  de  la</w:t>
        <w:br/>
        <w:t>presente Sentencia. La entrega de la vivienda deberá ser a título  gratuito,</w:t>
        <w:br/>
        <w:t>“por  lo  que  las  víctimas  no  erogarán  impuestos,  contraprestación   o</w:t>
        <w:br/>
        <w:t>aportación alguna”[382].</w:t>
        <w:br/>
        <w:br/>
        <w:t xml:space="preserve">           C.4)  Garantías de no repetición</w:t>
        <w:br/>
        <w:br/>
        <w:br/>
        <w:t xml:space="preserve">      C.4.1) Garantías de no repetición en materia de salud</w:t>
        <w:br/>
        <w:br/>
        <w:br/>
        <w:br/>
        <w:t xml:space="preserve">      Alegatos de las partes y de la Comisión</w:t>
        <w:br/>
        <w:br/>
        <w:t>La Comisión solicitó a la Corte disponer mecanismos  de  no  repetición  que</w:t>
        <w:br/>
        <w:t>incluyan:  i)  la  implementación  de  mecanismos  serios  y  efectivos   de</w:t>
        <w:br/>
        <w:t>supervisión y fiscalización  periódica  del  funcionamiento  y  sistemas  de</w:t>
        <w:br/>
        <w:t>registro de los bancos de sangre que operan en el  Ecuador,  incluyendo  los</w:t>
        <w:br/>
        <w:t>privados y públicos; ii) la implementación de mecanismos serios y  efectivos</w:t>
        <w:br/>
        <w:t>de supervisión y  fiscalización  periódica  de  los  hospitales  públicos  y</w:t>
        <w:br/>
        <w:t>privados, a fin de  asegurar  que  en  su  funcionamiento  cuenten  con  las</w:t>
        <w:br/>
        <w:t>salvaguardas  necesarias  para  verificar  la  seguridad  de  los  productos</w:t>
        <w:br/>
        <w:t>sanguíneos  que  se  utilizan  para  actividades  transfusionales;  iii)  la</w:t>
        <w:br/>
        <w:t>implementación de programas de capacitación al personal  de  los  bancos  de</w:t>
        <w:br/>
        <w:t>sangre que operan en el Ecuador, a fin de asegurar que ejerzan  sus  labores</w:t>
        <w:br/>
        <w:t>de manera compatible  con  los  estándares  técnicos  mínimos  de  seguridad</w:t>
        <w:br/>
        <w:t>reconocidos  internacionalmente,  y  iv)  la  provisión  de  tratamiento   y</w:t>
        <w:br/>
        <w:t>atención en salud gratuita a niños y  niñas  con  VIH  que  no  cuenten  con</w:t>
        <w:br/>
        <w:t>recursos para ello. Por otra parte, en sus  observaciones  finales  escritas</w:t>
        <w:br/>
        <w:t>la Comisión resaltó la  importancia  de  determinar  “si  en  la  actualidad</w:t>
        <w:br/>
        <w:t>existe una regulación suficiente y específica para este  tipo  de  servicios</w:t>
        <w:br/>
        <w:t>de salud conforme a los estándares internacionales y  […]  la  existencia  e</w:t>
        <w:br/>
        <w:t>implementación efectiva de  mecanismos  […]  específicos  de  supervisión  y</w:t>
        <w:br/>
        <w:t>fiscalización”.</w:t>
        <w:br/>
        <w:br/>
        <w:t>Los representantes manifestaron que, “a pesar de los grandes avances que  ha</w:t>
        <w:br/>
        <w:t>hecho el gobierno [ecuatoriano] en materia de salud, el  caso  de  Talía  es</w:t>
        <w:br/>
        <w:t>una  demostración  de  que  las  políticas  públicas  en   VIH/SIDA   siguen</w:t>
        <w:br/>
        <w:t>deficitarias en  relación  a  los  estándares  internacionales”.  Por  ello,</w:t>
        <w:br/>
        <w:t>señalaron que una forma de no repetición sería la  expedición  de  normas  y</w:t>
        <w:br/>
        <w:t>políticas para que se respeten los derechos de las personas  con  VIH,  para</w:t>
        <w:br/>
        <w:t>que tengan control mensual, trimestral y anual de  todas  las  instituciones</w:t>
        <w:br/>
        <w:t>de salud, públicas y privadas,  en  las  que  se  establezcan  con  claridad</w:t>
        <w:br/>
        <w:t>sanciones e indemnizaciones inmediatas para aquellos casos  en  que  “ocurra</w:t>
        <w:br/>
        <w:t>una situación similar a la de Talía”.  Además,  solicitaron  que  el  Estado</w:t>
        <w:br/>
        <w:t>preste apoyo al “seguimiento de la influencia del  entorno  jurídico  en  la</w:t>
        <w:br/>
        <w:t>prevención, el tratamiento, la atención y el apoyo al VIH”. Por otra  parte,</w:t>
        <w:br/>
        <w:t>requirieron que se tome en consideración  la  información  aportada  por  la</w:t>
        <w:br/>
        <w:t>Defensoría del Pueblo[383], así como el informe de la perita  Solíz  Torres,</w:t>
        <w:br/>
        <w:t>donde señala que existe un estancamiento en  el  Ecuador  en  cuanto  a  los</w:t>
        <w:br/>
        <w:t>esfuerzos  nacionales  de  aplicación  de  los  programas  de   tratamiento,</w:t>
        <w:br/>
        <w:t>atención y apoyo, así como en  esfuerzos  para  satisfacer  las  necesidades</w:t>
        <w:br/>
        <w:t>relacionadas con el VIH de los huérfanos otros niños vulnerables. En  virtud</w:t>
        <w:br/>
        <w:t>de ello,  determinaron  que  “el  Estado  debe  evitar  la  privatización  y</w:t>
        <w:br/>
        <w:t>‘mercantilización de la sangre’”.</w:t>
        <w:br/>
        <w:br/>
        <w:t>Asimismo, los representantes señalaron en sus alegatos finales escritos  que</w:t>
        <w:br/>
        <w:t>“[l]a mejor manera de garantizar y medir el cumplimiento  de  una  sentencia</w:t>
        <w:br/>
        <w:t>es mediante el sistema de indicadores de derechos”, y  alegaron  que  en  el</w:t>
        <w:br/>
        <w:t>presente caso convendría considerar  el  contexto  financiero  y  compromiso</w:t>
        <w:br/>
        <w:t>presupuestario, las capacidades estatales y los  “tres  ejes  transversales:</w:t>
        <w:br/>
        <w:t>igualdad  y  no  discriminación,  acceso  a  la  justicia  y  acceso  a   la</w:t>
        <w:br/>
        <w:t>información y participación”. Finalmente,  solicitaron  específicamente  que</w:t>
        <w:br/>
        <w:t>i) se actualice la  información  sobre  las  personas  con  VIH,  servicios,</w:t>
        <w:br/>
        <w:t>disponibilidad de médicos especialistas, medicinas y  presupuestos;  ii)  se</w:t>
        <w:br/>
        <w:t>realicen reportes de casos y se  les  dé  seguimiento;  iii)  se  evalúe  la</w:t>
        <w:br/>
        <w:t>calidad y calidez del servicio periódicamente, con la  participación  activa</w:t>
        <w:br/>
        <w:t>de personas con VIH; iv)  se  planifiquen,  oportuna  y  adecuadamente,  las</w:t>
        <w:br/>
        <w:t>compras públicas de medicinas e insumos necesarios; v) se evalúe el  impacto</w:t>
        <w:br/>
        <w:t>de la planificación; vi) se garantice el  acceso  a  la  atención  médica  y</w:t>
        <w:br/>
        <w:t>servicios de salud que garanticen la atención  integral;  vii)  se  capacite</w:t>
        <w:br/>
        <w:t>continuamente a especialistas tratantes sobre los derechos de  las  personas</w:t>
        <w:br/>
        <w:t>con VIH y a los servidores  públicos  relacionados  con  el  VIH;  viii)  se</w:t>
        <w:br/>
        <w:t>difundan  y  apliquen  los  procedimientos  establecidos  en  la   Guía   de</w:t>
        <w:br/>
        <w:t>Prevención y Control de la Planificación Materno- Infantil del  VIH,  y  ix)</w:t>
        <w:br/>
        <w:t>se dé seguimiento a las unidades públicas y privadas encargadas  de  ofrecer</w:t>
        <w:br/>
        <w:t>servicios a personas con VIH.</w:t>
        <w:br/>
        <w:br/>
        <w:t>El Estado señaló que  el  derecho  a  la  salud  se  encuentra  recogido  en</w:t>
        <w:br/>
        <w:t>diversas disposiciones de  su  Constitución  Política  como  base  de  otros</w:t>
        <w:br/>
        <w:t>derechos que sustenten el buen vivir; y “es garantizado  mediante  políticas</w:t>
        <w:br/>
        <w:t>económicas, sociales, culturales, educativas  y  ambientales”  así  como  el</w:t>
        <w:br/>
        <w:t>acceso a “programas, acciones y servicios de promoción y  atención  integral</w:t>
        <w:br/>
        <w:t>de  salud,  salud  sexual  y  salud  reproductiva”.  Además,  alegó  que  la</w:t>
        <w:br/>
        <w:t>prestación de los servicios  de  salud  “se  rigen  por  los  principios  de</w:t>
        <w:br/>
        <w:t>equidad,    universalidad,    solidaridad,    interculturalidad,    calidad,</w:t>
        <w:br/>
        <w:t>eficiencia, eficacia,  precaución  y  bioética,  con  enfoque  de  género  y</w:t>
        <w:br/>
        <w:t>generacional”. El Estado indicó que cuenta con un Sistema Nacional de  Salud</w:t>
        <w:br/>
        <w:t>universal y gratuito que garantiza la promoción, prevención, recuperación  y</w:t>
        <w:br/>
        <w:t>rehabilitación en todos los niveles, “y propicia la participación  ciudadana</w:t>
        <w:br/>
        <w:t>y el control social”. Según el Estado, los servicios en salud son  “seguros,</w:t>
        <w:br/>
        <w:t>de calidad y calidez, y garantizan el consentimiento informado, el acceso  a</w:t>
        <w:br/>
        <w:t>la información y a la confidencialidad de la información de los  pacientes”;</w:t>
        <w:br/>
        <w:t>y comprenden todos los niveles de atención, así como los  procedimientos  de</w:t>
        <w:br/>
        <w:t>diagnóstico, tratamiento, medicamentos y  rehabilitación.  También,  resaltó</w:t>
        <w:br/>
        <w:t>que  ha  acreditado  seis  de  sus  hospitales  públicos  a  través  de  una</w:t>
        <w:br/>
        <w:t>organización internacional.</w:t>
        <w:br/>
        <w:br/>
        <w:t>Asimismo, informó que la Ley para la Prevención y  Asistencia  Integral  del</w:t>
        <w:br/>
        <w:t>VIH SIDA “declara de  interés  nacional  la  lucha  contra  el  […]  SIDA[,]</w:t>
        <w:br/>
        <w:t>dispone  mecanismos  de  prevención[,]  garantiza  una  adecuada  vigilancia</w:t>
        <w:br/>
        <w:t>epidemiológica[,] y facilita  el  tratamiento  a  las  personas  afectadas”.</w:t>
        <w:br/>
        <w:t>Además, el Ministerio de Salud Pública cuenta con un Reglamento de  Atención</w:t>
        <w:br/>
        <w:t>a Personas con SIDA, que promueve la atención  especializada  y  protege  el</w:t>
        <w:br/>
        <w:t>derecho de las personas con VIH para acceder a servicios de salud. Por  otro</w:t>
        <w:br/>
        <w:t>lado, creó en 2012  un  Comité  Multisectorial  de  VIH/SIDA,  cuya  función</w:t>
        <w:br/>
        <w:t>principal es “definir las líneas estratégicas […] de política  pública  para</w:t>
        <w:br/>
        <w:t>el diseño, implementación,  evaluación  y  financiamiento  de  la  respuesta</w:t>
        <w:br/>
        <w:t>nacional al VIH”. Dicho Comité elaboró  una  Estrategia  Nacional  de  Salud</w:t>
        <w:br/>
        <w:t>Pública para VIH/SIDA ITS, que busca ampliar la cobertura y  calidad  de  la</w:t>
        <w:br/>
        <w:t>atención de los servicios de  salud;  así  como  del  diagnóstico  oportuno,</w:t>
        <w:br/>
        <w:t>atención integral, rehabilitación o cuidados paliativos, y la  participación</w:t>
        <w:br/>
        <w:t>ciudadana en los sistemas de protección y control social en VIH/SIDA.</w:t>
        <w:br/>
        <w:br/>
        <w:t>Por otra parte, el Estado solicitó  a  la  Corte  que  valore  las  acciones</w:t>
        <w:br/>
        <w:t>adoptadas por el mismo en el marco del cumplimiento de la sentencia  emitida</w:t>
        <w:br/>
        <w:t>en  el  caso  Albán  Cornejo  y  otros  vs.  Ecuador,   en   particular   la</w:t>
        <w:br/>
        <w:t>incorporación de capacitación virtual en derechos  humanos  a  profesionales</w:t>
        <w:br/>
        <w:t>de la salud en el Sistema Nacional de Salud; la  reimpresión  masiva  de  la</w:t>
        <w:br/>
        <w:t>Ley de Derechos y  Amparo  del  Paciente;  el  módulo  sobre  mala  práctica</w:t>
        <w:br/>
        <w:t>profesional incluido en el curso  de  formación  continua  sobre  el  Código</w:t>
        <w:br/>
        <w:t>Orgánico Integral Penal dirigido a administradores de justicia y  defensores</w:t>
        <w:br/>
        <w:t>públicos, y el curso de Mala Práctica Profesional dirigido a  operadores  de</w:t>
        <w:br/>
        <w:t>justicia.</w:t>
        <w:br/>
        <w:br/>
        <w:br/>
        <w:t xml:space="preserve">    Consideraciones de la Corte</w:t>
        <w:br/>
        <w:br/>
        <w:t>La Corte nota que el derecho a la salud se  encuentra  actualmente  regulado</w:t>
        <w:br/>
        <w:t>en diversos instrumentos normativos en el Ecuador.  En  este  sentido,  este</w:t>
        <w:br/>
        <w:t>Tribunal advierte que la Constitución del Ecuador[384], la Ley  Orgánica  de</w:t>
        <w:br/>
        <w:t>Salud de 2006[385], la Ley Orgánica de  Discapacidades  de  2012[386]  y  el</w:t>
        <w:br/>
        <w:t>Código de la Niñez y Adolescencia de 2003[387]  contienen  disposiciones  de</w:t>
        <w:br/>
        <w:t>alcance general respecto de la protección del derecho a la salud.</w:t>
        <w:br/>
        <w:br/>
        <w:t>De  acuerdo  con  ONUSIDA,  para  el  año  2014  existían  en   el   Ecuador</w:t>
        <w:br/>
        <w:t>aproximadamente 7,600 mujeres de al menos 15 años que vivían  con  VIH[388].</w:t>
        <w:br/>
        <w:t>Respecto a los instrumentos adoptados para la atención de personas con  VIH,</w:t>
        <w:br/>
        <w:t>este Tribunal observa que la  Ley  Orgánica  de  Salud  y  la  Ley  para  la</w:t>
        <w:br/>
        <w:t>Prevención y  Asistencia  Integral  del  VIH/SIDA  del  2000[389]  contienen</w:t>
        <w:br/>
        <w:t>disposiciones específicas respecto a la atención de personas con VIH/SIDA  y</w:t>
        <w:br/>
        <w:t>a la adopción de políticas y programas de prevención. Además,  constata  que</w:t>
        <w:br/>
        <w:t>el Estado cuenta con un Manual del Modelo  de  Atención  Integral  de  Salud</w:t>
        <w:br/>
        <w:t>adoptado en 2013 que  establece  prestaciones  de  prevención,  detección  y</w:t>
        <w:br/>
        <w:t>consejería de VIH/SIDA para todos los niños,  adolescentes  y  adultos[390];</w:t>
        <w:br/>
        <w:t>con la adopción de los Objetivos de Desarrollo del  Milenio  que  contemplan</w:t>
        <w:br/>
        <w:t>como una de sus metas reducir la  propagación  de  VIH/SIDA  y  alcanzar  el</w:t>
        <w:br/>
        <w:t>acceso  universal  a  su  tratamiento[391].  Asimismo,  la  Corte  nota   la</w:t>
        <w:br/>
        <w:t>incorporación de diversas líneas de investigación  en  materia  de  VIH/SIDA</w:t>
        <w:br/>
        <w:t>dentro de la Prioridades de Investigación  en  Salud  2013-2017[392],  y  la</w:t>
        <w:br/>
        <w:t>estrategia de atención gratuita, integral y con medicamentos para niños  con</w:t>
        <w:br/>
        <w:t>VIH/SIDA,  contemplada  dentro  del  Plan  Nacional  Decenal  de  Protección</w:t>
        <w:br/>
        <w:t>Integral a  la  Niñez  y  Adolescencia  de  2004[393].  Además,  observa  la</w:t>
        <w:br/>
        <w:t>creación del Bono “Joaquín Gallegos Lara”  de  2010[394],  y  el  Reglamento</w:t>
        <w:br/>
        <w:t>para la atención a personas con VIH/SIDA del Ministerio de Salud Pública  de</w:t>
        <w:br/>
        <w:t>2002[395]. Finalmente, la Corte constata la creación del Comité  Ecuatoriano</w:t>
        <w:br/>
        <w:t>Multisectorial de VIH/SIDA en 2011[396], y de  una  Estrategia  Nacional  de</w:t>
        <w:br/>
        <w:t>Salud Pública para VIH/SIDA-ITS en 2012[397]. En virtud de ello, y  ante  la</w:t>
        <w:br/>
        <w:t>insuficiencia de información y argumentos concretos y específicos sobre  los</w:t>
        <w:br/>
        <w:t>problemas que enfrentarían estas políticas, la Corte  considera  que  no  es</w:t>
        <w:br/>
        <w:t>pertinente, en las circunstancias del presente caso,  ordenar  la  adopción,</w:t>
        <w:br/>
        <w:t>modificación o adecuación  de  normas  específicas  de  derecho  interno  en</w:t>
        <w:br/>
        <w:t>relación con la atención a personas con VIH/SIDA.</w:t>
        <w:br/>
        <w:br/>
        <w:t>En cuanto a la solicitud hecha por  el  Ecuador  respecto  a  que  la  Corte</w:t>
        <w:br/>
        <w:t>considere las  acciones  adoptadas  en  el  marco  del  cumplimiento  de  la</w:t>
        <w:br/>
        <w:t>sentencia emitida en el Caso Albán Cornejo vs. Ecuador, la Corte estima  que</w:t>
        <w:br/>
        <w:t>no es necesario ordenar una nueva medida dirigida a la difusión  de  la  Ley</w:t>
        <w:br/>
        <w:t>de Derechos  y  Amparo  del  Paciente[398].  Sin  perjuicio  de  ello,  este</w:t>
        <w:br/>
        <w:t>Tribunal dispone que el Estado realice un programa para la  capacitación  de</w:t>
        <w:br/>
        <w:t>funcionarios en salud sobre mejores prácticas y derechos  de  los  pacientes</w:t>
        <w:br/>
        <w:t>con VIH, así como sobre la aplicación de los procedimientos establecidos  en</w:t>
        <w:br/>
        <w:t>la Guía de Atención Integral para Adultos y Adolescentes con  infección  por</w:t>
        <w:br/>
        <w:t>VIH/SIDA y la adopción de medidas  positivas  para  evitar  o  revertir  las</w:t>
        <w:br/>
        <w:t>situaciones de  discriminación  que  sufren  las  personas  con  VIH,  y  en</w:t>
        <w:br/>
        <w:t>especial las niñas y los niños con VIH, en el que  se  haga  mención  a  los</w:t>
        <w:br/>
        <w:t>estándares establecidos en la  presente  Sentencia.  Corresponde  al  Estado</w:t>
        <w:br/>
        <w:t>acreditar ante este Tribunal la permanencia de esta medida.</w:t>
        <w:br/>
        <w:br/>
        <w:t>Por otra parte, en cuanto a los mecanismos de  supervisión  y  fiscalización</w:t>
        <w:br/>
        <w:t>de los bancos de sangre y la verificación de la seguridad de  los  productos</w:t>
        <w:br/>
        <w:t>sanguíneos utilizados para actividades transfusionales,  la  Corte  constata</w:t>
        <w:br/>
        <w:t>que el Ecuador cuenta actualmente con programas de  evaluación  externa  del</w:t>
        <w:br/>
        <w:t>desempeño de los  bancos  de  sangre  y  programas  de  control  interno  en</w:t>
        <w:br/>
        <w:t>serología, los cuales son fiscalizados por el Ministerio de Salud Pública  a</w:t>
        <w:br/>
        <w:t>través del Programa Nacional de Sangre, conforme a lo establecido en la  Ley</w:t>
        <w:br/>
        <w:t>Orgánica de Salud del año 2006[399]. Además, según  informó  el  Ministerio,</w:t>
        <w:br/>
        <w:t>se estableció que previo a la distribución de  componentes  sanguíneos  para</w:t>
        <w:br/>
        <w:t>transfusión se realice una prueba de amplificación de ácidos nucleicos,  con</w:t>
        <w:br/>
        <w:t>el fin  de  disminuir  las  posibilidades  de  que  se  realicen  donaciones</w:t>
        <w:br/>
        <w:t>infectadas. También,  el  Estado  ha  adoptado  un  Manual  sobre  Criterios</w:t>
        <w:br/>
        <w:t>Técnicos para el Uso Clínico de Sangre y Hemocomponentes, un Manual  Técnico</w:t>
        <w:br/>
        <w:t>de Hemovigilancia en bancos de sangre, y Criterios Técnicos  Administrativos</w:t>
        <w:br/>
        <w:t>para la  Implementación  de  Servicios  de  Medicina  Transfusional  en  las</w:t>
        <w:br/>
        <w:t>Unidades Operativas con Servicio de Internación[400]. En  este  sentido,  la</w:t>
        <w:br/>
        <w:t>Corte recuerda el deber estatal de supervisar y fiscalizar continuamente  el</w:t>
        <w:br/>
        <w:t>funcionamiento de los bancos de sangre y hospitales, a fin de  asegurar  que</w:t>
        <w:br/>
        <w:t>se  apliquen  los  estándares  técnicos  mínimos  de  seguridad  reconocidos</w:t>
        <w:br/>
        <w:t>internacionalmente en esta materia. Sin embargo,  este  Tribunal  no  estima</w:t>
        <w:br/>
        <w:t>necesario ordenar una medida de reparación en este sentido en el  marco  del</w:t>
        <w:br/>
        <w:t>presente caso.</w:t>
        <w:br/>
        <w:br/>
        <w:br/>
        <w:t>C.4.2)  Garantías  de  no  repetición  en  materia   de   educación   y   no</w:t>
        <w:br/>
        <w:t>discriminación</w:t>
        <w:br/>
        <w:br/>
        <w:br/>
        <w:t xml:space="preserve">      Alegatos de las partes y de la Comisión</w:t>
        <w:br/>
        <w:br/>
        <w:t>Los representantes solicitaron que se adopten medidas contra  el  estigma  y</w:t>
        <w:br/>
        <w:t>la discriminación, como la sensibilización de la sociedad, la policía  y  la</w:t>
        <w:br/>
        <w:t>judicatura; además de capacitaciones a los trabajadores en  salud  sobre  no</w:t>
        <w:br/>
        <w:t>discriminación,  confidencialidad  y  consentimiento  informado,  así   como</w:t>
        <w:br/>
        <w:t>prestar apoyo a  las  campañas  nacionales  de  aprendizaje  sobre  derechos</w:t>
        <w:br/>
        <w:t>humanos. También, requirieron que se asegure que las respuestas  del  Estado</w:t>
        <w:br/>
        <w:t>frente al VIH y el SIDA satisfagan las  necesidades  específicas  de  niñas,</w:t>
        <w:br/>
        <w:t>mujeres, personas pobres y sus familias, a lo largo de su vida.  Finalmente,</w:t>
        <w:br/>
        <w:t>en sus alegatos finales escritos, solicitaron que se realice difusión  sobre</w:t>
        <w:br/>
        <w:t>el VIH y la necesidad de respetar a las personas que viven con VIH  a  nivel</w:t>
        <w:br/>
        <w:t>nacional, educacional y en otros ámbitos de la vida social.</w:t>
        <w:br/>
        <w:br/>
        <w:t>El Estado resaltó, respecto a la  política  pública  en  educación,  que  el</w:t>
        <w:br/>
        <w:t>derecho a la educación  “constituye  un  área  prioritaria  en  el  tema  de</w:t>
        <w:br/>
        <w:t>implementación de políticas públicas vinculadas a la construcción  del  buen</w:t>
        <w:br/>
        <w:t>vivir”. Además, señaló que la educación, primaria y superior en el  Ecuador,</w:t>
        <w:br/>
        <w:t>es gratuita y universal, “y proporciona sin  costo,  servicios  de  carácter</w:t>
        <w:br/>
        <w:t>social y de apoyo psicológico” en  el  marco  del  sistema  de  inclusión  y</w:t>
        <w:br/>
        <w:t>equidad social. Asimismo, indicó que el Ministerio de Educación  cuenta  con</w:t>
        <w:br/>
        <w:t>un Programa Nacional de Educación para la Democracia y el  Buen  Vivir,  que</w:t>
        <w:br/>
        <w:t>funciona como un “mecanismo de participación  y  promoción  de  derechos”  y</w:t>
        <w:br/>
        <w:t>contempla temas  de  educación  para  la  sexualidad,  educación  ambiental,</w:t>
        <w:br/>
        <w:t>educación para la salud, educación preventiva del uso  indebido  de  drogas,</w:t>
        <w:br/>
        <w:t>orientación y bienestar estudiantil, y educación familiar.</w:t>
        <w:br/>
        <w:br/>
        <w:t>En este sentido, el Estado hizo referencia al Acuerdo  Ministerial  No.  436</w:t>
        <w:br/>
        <w:t>adoptado en 2008, en el que el Ministerio de Educación acordó  “[garantizar]</w:t>
        <w:br/>
        <w:t>a los niños,  niñas,  adolescentes  y  jóvenes  víctimas  del  VIH/SIDA  que</w:t>
        <w:br/>
        <w:t>pertenecen  al  Sistema  Educativo  Nacional[,]   sin   discriminación,   ni</w:t>
        <w:br/>
        <w:t>limitaciones de ningún tipo, el ejercicio pleno de sus derechos”;  así  como</w:t>
        <w:br/>
        <w:t>“[encargar]  a  las  Subsecretarías  Regionales  de  Educación   y   a   las</w:t>
        <w:br/>
        <w:t>Direcciones  Provinciales[,]  a  través  de  la  Supervisión  Educativa,  la</w:t>
        <w:br/>
        <w:t>responsabilidad de verificar,  controlar  y  realizar  el  seguimiento”  del</w:t>
        <w:br/>
        <w:t>Acuerdo. Además, el Estado manifestó que el Consejo de  Educación  Superior,</w:t>
        <w:br/>
        <w:t>mediante la Resolución No.  166  de  2009,  prohibió  “la  exclusión  de  la</w:t>
        <w:br/>
        <w:t>comunidad académica a una persona que vive con VIH-SIDA, en  virtud  de  que</w:t>
        <w:br/>
        <w:t>violenta el principio  de  no  discriminación”,  y  ordenó  disponer  a  las</w:t>
        <w:br/>
        <w:t>instituciones de educación superior “la incorporación  de  la  respuesta  al</w:t>
        <w:br/>
        <w:t>VIH en la cultura, políticas institucionales, estructuras, procesos,  planes</w:t>
        <w:br/>
        <w:t>de estudio y presupuesto de la institución”.</w:t>
        <w:br/>
        <w:br/>
        <w:t>Por otra parte, el Ecuador alegó que las  políticas  empleadas  respecto  al</w:t>
        <w:br/>
        <w:t>VIH “se encuentran amparadas en  las  garantías  de  respeto,  protección  y</w:t>
        <w:br/>
        <w:t>promoción de  derechos  humanos,  e  inclusive  ha[n]  sido  avalad[a]s  por</w:t>
        <w:br/>
        <w:t>organismos  internacionales”.  En  este   sentido,   resaltó   que   en   su</w:t>
        <w:br/>
        <w:t>Constitución se establece el derecho al  trato  igualitario  y  la  atención</w:t>
        <w:br/>
        <w:t>prioritaria para grupos vulnerables. Señaló que cuenta con un  bono  de  US$</w:t>
        <w:br/>
        <w:t>240,00 (doscientos cuarenta dólares de los Estados Unidos  de  América)  que</w:t>
        <w:br/>
        <w:t>se  otorga  a  favor  de  las  personas  con  discapacidad  severa   o   con</w:t>
        <w:br/>
        <w:t>enfermedades catastróficas, raras o huérfanas, así como a todos los  menores</w:t>
        <w:br/>
        <w:t>de catorce años viviendo con VIH/SIDA[401]. Para el  otorgamiento  de  dicho</w:t>
        <w:br/>
        <w:t>bono, informó que la Secretaría Técnica de Discapacidades emitió en  el  año</w:t>
        <w:br/>
        <w:t>2014 un Instructivo técnico para la inclusión, exclusión y bloqueo  temporal</w:t>
        <w:br/>
        <w:t>de  las  personas  con  discapacidad  severa  en  situación   socioeconómica</w:t>
        <w:br/>
        <w:t>crítica, de las personas con enfermedades catastróficas, raras  o  huérfanas</w:t>
        <w:br/>
        <w:t>en situación socioeconómica crítica y menores de 14 años viviendo  con  VIH-</w:t>
        <w:br/>
        <w:t>SIDA en situación socioeconómica crítica; donde establece los  requisitos  y</w:t>
        <w:br/>
        <w:t>procesos a seguir para obtener los beneficios.</w:t>
        <w:br/>
        <w:br/>
        <w:t>Por ello, el Estado concluyó que cuenta con los mecanismos  necesarios  para</w:t>
        <w:br/>
        <w:t>proteger y garantizar los derechos de las personas con VIH/SIDA, por lo  que</w:t>
        <w:br/>
        <w:t>la Corte “no podría pronunciarse respecto a las garantías de  no  repetición</w:t>
        <w:br/>
        <w:t>solicitadas por los representantes”.</w:t>
        <w:br/>
        <w:br/>
        <w:t xml:space="preserve">    Consideraciones de la Corte</w:t>
        <w:br/>
        <w:br/>
        <w:t>Este  Tribunal  constata   que   el   Ecuador   ha   implementado   diversas</w:t>
        <w:br/>
        <w:t>disposiciones relacionadas a  educación  y  VIH.  Por  ejemplo,  en  la  Ley</w:t>
        <w:br/>
        <w:t>Orgánica  de  Salud  se  prevé  la  elaboración  de  políticas  y  programas</w:t>
        <w:br/>
        <w:t>educativos de implementación obligatoria en los establecimientos  educativos</w:t>
        <w:br/>
        <w:t>para la difusión y orientación en materia de salud sexual y reproductiva,  a</w:t>
        <w:br/>
        <w:t>fin de prevenir el  VIH  y  otras  afecciones  de  transmisión  sexual[402].</w:t>
        <w:br/>
        <w:t>Asimismo, el Plan Nacional Decenal de  Protección  Integral  a  la  Niñez  y</w:t>
        <w:br/>
        <w:t>Adolescencia establece  como  uno  de  sus  objetivos  “promover  el  acceso</w:t>
        <w:br/>
        <w:t>universal de niños, niñas  y  adolescentes  a  los  servicios  de  educación</w:t>
        <w:br/>
        <w:t>conforme a su edad”, y contempla  dentro  de  sus  políticas  garantizar  el</w:t>
        <w:br/>
        <w:t>acceso y permanencia de los niños a la educación  pública  y  gratuita.  Del</w:t>
        <w:br/>
        <w:t>mismo modo, el Código de la Niñez y  Adolescencia  dispone  que  el  sistema</w:t>
        <w:br/>
        <w:t>educativo debe garantizar  el  acceso  y  permanencia  de  todo  niño  a  la</w:t>
        <w:br/>
        <w:t>educación  básica,  y  contemplar  propuestas  educacionales   flexibles   y</w:t>
        <w:br/>
        <w:t>alternativas para atender las necesidades de todos los niños, con  prioridad</w:t>
        <w:br/>
        <w:t>de  quienes  tienen  discapacidad,  trabajan,  o  viven  una  situación  que</w:t>
        <w:br/>
        <w:t>requiera mayores oportunidades para aprender[403].</w:t>
        <w:br/>
        <w:br/>
        <w:t>Respecto a la no discriminación,  el  Código  de  la  Niñez  y  Adolescencia</w:t>
        <w:br/>
        <w:t>señala que “[t]odos los niños, niñas y adolescentes son iguales ante la  ley</w:t>
        <w:br/>
        <w:t>y no serán discriminados por causa de su […] estado de  salud,  discapacidad</w:t>
        <w:br/>
        <w:t>[…] o cualquier  otra  situación  propia”[404].  Además,  el  Ministerio  de</w:t>
        <w:br/>
        <w:t>Educación adoptó en noviembre de 2008  una  decisión  donde  prohíbe  a  las</w:t>
        <w:br/>
        <w:t>autoridades de los establecimientos  educativos  exigir  a  los  estudiantes</w:t>
        <w:br/>
        <w:t>realizarse cualquier tipo de prueba relacionada con  la  identificación  del</w:t>
        <w:br/>
        <w:t>VIH/SIDA; y acordó garantizar a los  niños  y  jóvenes  con  VIH/SIDA,  “sin</w:t>
        <w:br/>
        <w:t>discriminación ni limitaciones de ningún tipo, el  ejercicio  pleno  de  sus</w:t>
        <w:br/>
        <w:t>derechos”[405]. Del mismo modo, mediante resolución del Consejo Nacional  de</w:t>
        <w:br/>
        <w:t>Educación Superior de mayo de 2009, se prohibió la exigencia  de  la  prueba</w:t>
        <w:br/>
        <w:t>de  VIH  para  cualquier  procedimiento  en  una  institución  de  educación</w:t>
        <w:br/>
        <w:t>superior; se prohibió la exclusión de la comunidad académica a  una  persona</w:t>
        <w:br/>
        <w:t>con VIH “en virtud de que violenta el principio de no discriminación”, y  se</w:t>
        <w:br/>
        <w:t>encargó a las instituciones a realizar acciones dirigidas a  la  prevención,</w:t>
        <w:br/>
        <w:t>utilizando información libre de estereotipos y perjuicios,  para  contribuir</w:t>
        <w:br/>
        <w:t>a  la   educación,   erradicación   de   estigmas   y   discriminación   por</w:t>
        <w:br/>
        <w:t>VIH/SIDA[406]. También, el  Plan  Nacional  para  el  Buen  Vivir  2013-2017</w:t>
        <w:br/>
        <w:t>establece “la generación de mecanismos de acceso al sistema  educativo  para</w:t>
        <w:br/>
        <w:t>la población históricamente aislada y mecanismos para deconstruir  y  evitar</w:t>
        <w:br/>
        <w:t>la reproducción de prácticas discriminatorias  excluyentes  dentro  y  fuera</w:t>
        <w:br/>
        <w:t>del sistema  educativo”[407].  Finalmente,  la  Ley  para  la  Prevención  y</w:t>
        <w:br/>
        <w:t>Asistencia  Integral  del  VIH/SIDA  dispone  que  “[n]inguna  persona  será</w:t>
        <w:br/>
        <w:t>discriminada a causa de estar afectada por el VIH/SIDA”[408].</w:t>
        <w:br/>
        <w:br/>
        <w:t>La Corte nota que en el presente caso el Estado  vulneró  el  derecho  a  la</w:t>
        <w:br/>
        <w:t>educación de Talía al haber  sido  ésta  expulsada  de  la  escuela  por  su</w:t>
        <w:br/>
        <w:t>condición y al no haber  adaptado  el  Estado  el  entorno  educativo  a  su</w:t>
        <w:br/>
        <w:t>situación (supra párr. 293).  No obstante, la  Corte  valora  los  esfuerzos</w:t>
        <w:br/>
        <w:t>realizados por el Estado con el fin de garantizar la  no  discriminación  en</w:t>
        <w:br/>
        <w:t>el ámbito educativo. Dado que los representantes no presentaron  información</w:t>
        <w:br/>
        <w:t>y argumentos específicos y concretos sobre la insuficiencia y  problemas  de</w:t>
        <w:br/>
        <w:t>implementación en estas políticas públicas, la Corte no  estima  conveniente</w:t>
        <w:br/>
        <w:t>ordenar una reparación específica respecto a este tema.</w:t>
        <w:br/>
        <w:br/>
        <w:t xml:space="preserve">      D. Indemnización compensatoria</w:t>
        <w:br/>
        <w:br/>
        <w:t>La  Comisión  solicitó  a  la  Corte  en  su  Informe   de   Fondo   reparar</w:t>
        <w:br/>
        <w:t>integralmente a Talía Gonzales Lluy y a su  madre  por  las  violaciones  de</w:t>
        <w:br/>
        <w:t>derechos humanos sufridas, incluyendo el aspecto material y moral.</w:t>
        <w:br/>
        <w:br/>
        <w:t>Los  representantes,  en  sus  alegatos  finales  escritos,  enfatizaron  la</w:t>
        <w:br/>
        <w:t>necesidad de que la reparación considere la vida entera de Talía.</w:t>
        <w:br/>
        <w:br/>
        <w:t>El  Estado  manifestó  que  “es  contrario  a  la  naturaleza  del   sistema</w:t>
        <w:br/>
        <w:t>[interamericano],  que  los  representantes  traten  de  obtener  beneficios</w:t>
        <w:br/>
        <w:t>económicos […]  excesivos”  y  solicitó  a  la  Corte  desconocer  el  rubro</w:t>
        <w:br/>
        <w:t>pretendido por los representantes en el presente caso.</w:t>
        <w:br/>
        <w:br/>
        <w:br/>
        <w:t>D.1)  Daño material</w:t>
        <w:br/>
        <w:br/>
        <w:br/>
        <w:br/>
        <w:t xml:space="preserve">      Argumentos de las partes y de la Comisión</w:t>
        <w:br/>
        <w:br/>
        <w:t>Los representantes señalaron que las víctimas de este caso  “han  sufrido  y</w:t>
        <w:br/>
        <w:t>sufren  pérdidas”  y  dejaron  de  percibir  ingresos  económicos,  lo   que</w:t>
        <w:br/>
        <w:t>configuró  un  daño  material  que  debe  ser  reparado.  En  este  sentido,</w:t>
        <w:br/>
        <w:t>indicaron que las víctimas han incurrido en diversos gastos por salud  desde</w:t>
        <w:br/>
        <w:t>la enfermedad de Talía, que incluyen el cobro  de  reactivos  hecho  por  la</w:t>
        <w:br/>
        <w:t>Cruz  Roja[409];  los  exámenes  de  rutina  y  alimentación   especial   de</w:t>
        <w:br/>
        <w:t>Talía[410]; pasajes de transporte a Quito desde el  año  2001  al  2014;  la</w:t>
        <w:br/>
        <w:t>realización del examen de genotipo viral para  el  juicio[411];  pasajes  de</w:t>
        <w:br/>
        <w:t>avión de Cuenca  a  Quito[412];  alimentos  nutricionales[413];  gastos  por</w:t>
        <w:br/>
        <w:t>internamiento[414]; exámenes de enfermedades oportunistas[415]; exámenes  de</w:t>
        <w:br/>
        <w:t>carga viral CD4 y  CD8[416],  y  tratamientos  farmacológicos[417].  Además,</w:t>
        <w:br/>
        <w:t>solicitaron que  se  tome  en  consideración  el  costo  que  tendrían  “las</w:t>
        <w:br/>
        <w:t>necesarias terapias psicológicas [para] cada  uno  de  los  miembros  de  la</w:t>
        <w:br/>
        <w:t>familia  Lluy”,  y   estimaron   los   gastos   efectuados   en   salud   en</w:t>
        <w:br/>
        <w:t>aproximadamente US$ 90.000,00 (noventa mil dólares de los Estados Unidos  de</w:t>
        <w:br/>
        <w:t>América).</w:t>
        <w:br/>
        <w:br/>
        <w:t>Por otra parte, los representantes manifestaron que  la  familia  Lluy  tuvo</w:t>
        <w:br/>
        <w:t>que endeudarse para hacerle frente a la “atención de  salud  [y]  gastos  de</w:t>
        <w:br/>
        <w:t>sobrevivencia”.  Señalaron  que  Teresa  Lluy  tiene  que  pagar  deudas   a</w:t>
        <w:br/>
        <w:t>“amistades[,] cooperativas[,] bancos [y] chulqueros”[418],  las  cuales  han</w:t>
        <w:br/>
        <w:t>ascendido a US$ 148.000,00 (ciento  cuarenta  y  ocho  mil  dólares  de  los</w:t>
        <w:br/>
        <w:t>Estados Unidos de América). Alegaron que por las violaciones a los  derechos</w:t>
        <w:br/>
        <w:t>humanos  sufridas  por  su   familia,   Teresa   Lluy   dejó   de   percibir</w:t>
        <w:br/>
        <w:t>aproximadamente  US$  117.000,00  (ciento  diecisiete  mil  dólares  de  los</w:t>
        <w:br/>
        <w:t>Estados Unidos de América),  monto  que  se  deriva  si  “se  multiplica  la</w:t>
        <w:br/>
        <w:t>remuneración que recibía ante[s] de la violación[,] se le resta lo que  gana</w:t>
        <w:br/>
        <w:t>ahora   en   promedio   y   se   multiplica   por   el   número   de    años</w:t>
        <w:br/>
        <w:t>transcurridos”[419]. Por otra  parte,  solicitaron  que  se  consideren  las</w:t>
        <w:br/>
        <w:t>declaraciones juramentadas y los testimonios presentados ante la Corte  como</w:t>
        <w:br/>
        <w:t>prueba   para   demostrar   los   costos   que   no   pudieron   acreditarse</w:t>
        <w:br/>
        <w:t>documentalmente;  así  como  que  el  Tribunal  considere  que   los   daños</w:t>
        <w:br/>
        <w:t>materiales se prolongan en el tiempo y continuarán aún después  de  expedida</w:t>
        <w:br/>
        <w:t>la sentencia.</w:t>
        <w:br/>
        <w:br/>
        <w:t>En virtud de ello, los  representantes  solicitaron  una  indemnización  por</w:t>
        <w:br/>
        <w:t>concepto de daño material de US$  1.500.000,00  (un  millón  quinientos  mil</w:t>
        <w:br/>
        <w:t>dólares de los Estados Unidos de América) a favor de  Talía  Gonzales  Lluy;</w:t>
        <w:br/>
        <w:t>US$ 1.000.000,00 (un millón de dólares de los Estados Unidos de  América)  a</w:t>
        <w:br/>
        <w:t>favor de Teresa Lluy, y US$ 750.000,00 (setecientos  cincuenta  mil  dólares</w:t>
        <w:br/>
        <w:t>de los Estados Unidos de América) a favor de Iván Lluy.</w:t>
        <w:br/>
        <w:br/>
        <w:t>El Estado alegó que la información aportada por las  presuntas  víctimas  no</w:t>
        <w:br/>
        <w:t>puede ser valorada  de  manera  apropiada  por  la  Corte,  al  tratarse  de</w:t>
        <w:br/>
        <w:t>declaraciones  juradas,  “algunas  facturas  […]  ilegibles  [y]  documentos</w:t>
        <w:br/>
        <w:t>insuficientes para calcular de manera apropiada los rubros”. En  particular,</w:t>
        <w:br/>
        <w:t>respecto  al  daño  material  solicitado  para  Talía  Gonzales,  el  Estado</w:t>
        <w:br/>
        <w:t>consideró que “al momento en que ocurrieron los hechos Talía  tenía  3  años</w:t>
        <w:br/>
        <w:t>de edad, por lo que, en ningún caso pudo  ser  víctima  de  daño  material”.</w:t>
        <w:br/>
        <w:t>Señaló  que  las  “penosas  consecuencias”  detalladas  por  Talía  en   sus</w:t>
        <w:br/>
        <w:t>declaraciones podrán ser valoradas dentro del daño inmaterial, pero no  como</w:t>
        <w:br/>
        <w:t>parte del daño material. Igualmente, señalaron que la víctima no  ha  dejado</w:t>
        <w:br/>
        <w:t>de percibir ningún ingreso, ya  que  no  ha  ejercido  actividad  laboral  o</w:t>
        <w:br/>
        <w:t>económica.</w:t>
        <w:br/>
        <w:br/>
        <w:t>Respecto de Teresa Lluy, el Estado señaló que “no existen respaldos  válidos</w:t>
        <w:br/>
        <w:t>que  indiquen  la  ratificación  de  la  documentación”  señalada  por   los</w:t>
        <w:br/>
        <w:t>representantes; y que  el  hospital  Militar  certificó  que  el  rubro  por</w:t>
        <w:br/>
        <w:t>atención médica cobrado ha sido de US$  117,53  (ciento  diecisiete  dólares</w:t>
        <w:br/>
        <w:t>con cincuenta y tres centavos de los Estados Unidos de América).  Por  ello,</w:t>
        <w:br/>
        <w:t>manifestó que los gastos enunciados por los representantes “son  irreales  y</w:t>
        <w:br/>
        <w:t>sin respaldo alguno”. Por otra parte, afirmó que el máximo  de  los  valores</w:t>
        <w:br/>
        <w:t>justificados en transporte desde  el  año  1998  hasta  el  2014  no  podría</w:t>
        <w:br/>
        <w:t>superar los US$ 1.056,00 (mil  cincuenta  y  seis  dólares  de  los  Estados</w:t>
        <w:br/>
        <w:t>Unidos de América). Respecto de la adquisición de  suplementos  vitamínicos,</w:t>
        <w:br/>
        <w:t>el Estado señaló que únicamente se puede  verificar  el  desembolso  de  US$</w:t>
        <w:br/>
        <w:t>2.295,81 (dos mil doscientos noventa  y  cinco  dólares  con  ochenta  y  un</w:t>
        <w:br/>
        <w:t>centavos de los Estados Unidos de América).</w:t>
        <w:br/>
        <w:br/>
        <w:t>Asimismo, el Ecuador indicó que el rubro por el examen realizado en  Bélgica</w:t>
        <w:br/>
        <w:t>tuvo un costo de US$ 3,20 (tres dólares con veinte centavos de  los  Estados</w:t>
        <w:br/>
        <w:t>Unidos de América); y manifestó que no puede  valorarse  el  monto  señalado</w:t>
        <w:br/>
        <w:t>por gastos de arriendo al no haberse adjuntado prueba al respecto.  Respecto</w:t>
        <w:br/>
        <w:t>de los préstamos señalados por los representantes, el Estado alegó  que  “no</w:t>
        <w:br/>
        <w:t>puede asegurar que los montos expuestos hayan  sido  empleados  directamente</w:t>
        <w:br/>
        <w:t>en Talía, en razón de la inexistente documentación probatoria[;]  por  tanto</w:t>
        <w:br/>
        <w:t>dicha pretensión debería ser desechada”.  Del  mismo  modo,  señaló  que  la</w:t>
        <w:br/>
        <w:t>afirmación sobre el ingreso  mensual  de  Teresa  Lluy  cuando  laboraba  en</w:t>
        <w:br/>
        <w:t>Yambal “carece de fundamento probatorio”.</w:t>
        <w:br/>
        <w:br/>
        <w:t>En cuanto al daño material solicitado para Iván Lluy, el Estado solicitó  se</w:t>
        <w:br/>
        <w:t>rechace la pretensión, en virtud de  que  en  el  Informe  de  Fondo  no  se</w:t>
        <w:br/>
        <w:t>dispuso reparación alguna a su favor. Sin perjuicio de ello, resaltó que  no</w:t>
        <w:br/>
        <w:t>se aportó documentación para respaldar que Iván tuviese que trabajar  a  sus</w:t>
        <w:br/>
        <w:t>16 años para ayudar a su madre y hermana. Señaló  que,  de  acuerdo  con  la</w:t>
        <w:br/>
        <w:t>información del Instituto Ecuatoriano de Seguridad Social y el  Servicio  de</w:t>
        <w:br/>
        <w:t>Rentas Internas, Iván comenzó a laborar a los 18  años.  Además,  el  Estado</w:t>
        <w:br/>
        <w:t>informó que Iván “cuenta con bienes dentro de su  patrimonio”,  por  lo  que</w:t>
        <w:br/>
        <w:t>“no ha sido afectado materialmente, todo lo contrario, […]  ha  logrado  con</w:t>
        <w:br/>
        <w:t>su esfuerzo conformar un patrimonio”.</w:t>
        <w:br/>
        <w:br/>
        <w:t>Finalmente, el Estado concluyó que, “en virtud de la inexistencia de  acervo</w:t>
        <w:br/>
        <w:t>probatorio, no es posible evaluar  montos  concretos  respecto  al  supuesto</w:t>
        <w:br/>
        <w:t>daño material infringido” a las víctimas de este caso, por  lo  que  debería</w:t>
        <w:br/>
        <w:t>acudirse  al  parámetro  de  equidad  en  caso  de  que  se   determina   la</w:t>
        <w:br/>
        <w:t>responsabilidad internacional. En este sentido, señaló que,  en  comparación</w:t>
        <w:br/>
        <w:t>con otros casos similares en que se ha determinado  la  responsabilidad  del</w:t>
        <w:br/>
        <w:t>Estado ecuatoriano, el rubro por daño material no  podría  superar  los  US$</w:t>
        <w:br/>
        <w:t>52.500,00 (cincuenta y dos mil quinientos dólares de los Estados  Unidos  de</w:t>
        <w:br/>
        <w:t>América) para la víctima directa  y  US$  9.833,00  (nueve  mil  ochocientos</w:t>
        <w:br/>
        <w:t>treinta y tres dólares de los Estados Unidos de América) para  las  víctimas</w:t>
        <w:br/>
        <w:t>indirectas.</w:t>
        <w:br/>
        <w:br/>
        <w:br/>
        <w:t xml:space="preserve">      Consideraciones de la Corte</w:t>
        <w:br/>
        <w:br/>
        <w:t>La Corte ha desarrollado en su jurisprudencia el concepto de  daño  material</w:t>
        <w:br/>
        <w:t>y los supuestos en  que  corresponde  indemnizarlo[420].  Este  Tribunal  ha</w:t>
        <w:br/>
        <w:t>establecido que el daño material abarca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caso[421].</w:t>
        <w:br/>
        <w:br/>
        <w:t>De la documentación aportada la Corte nota que, en  la  declaración  rendida</w:t>
        <w:br/>
        <w:t>ante  fedatario  público,  Teresa  Lluy  señaló  que  “perd[ió]  todo   para</w:t>
        <w:br/>
        <w:t>solventar los gastos y atender las necesidades que tenía Talía por  el  VIH:</w:t>
        <w:br/>
        <w:t>consultas médicas, viajes para controles médicos, alimentación especial  [y]</w:t>
        <w:br/>
        <w:t>medicamentos[. G]astaba alrededor  de  $500  a  $1.500  mensuales”.  Además,</w:t>
        <w:br/>
        <w:t>alegó que todos los gastos han corrido por su cuenta, que tiene juicios  por</w:t>
        <w:br/>
        <w:t>mora pendientes y “amenazas de los chulqueros” para que  pague  sus  deudas.</w:t>
        <w:br/>
        <w:t>Asimismo, indicó que actualmente gana aproximadamente  US$  100,00  al  mes,</w:t>
        <w:br/>
        <w:t>producto de la venta informal de alimentos en la calle; y que requieren  del</w:t>
        <w:br/>
        <w:t>apoyo económico de su hijo Iván. Por otra parte, Iván Lluy declaró que  para</w:t>
        <w:br/>
        <w:t>afrontar los gastos de su familia tuvo que dejar la universidad  y  trabajar</w:t>
        <w:br/>
        <w:t>de mensajero, limpiando oficinas y de  mesero,  ya  que  “[l]as  necesidades</w:t>
        <w:br/>
        <w:t>[l]os consumían y ninguna autoridad del  Estado  [l]os  tomaba  en  cuenta”.</w:t>
        <w:br/>
        <w:t>Además, señaló que ha tenido que asumir todos  los  gastos  para  darle  una</w:t>
        <w:br/>
        <w:t>buena alimentación y tratamiento adecuado a su hermana.  Por  último,  Talía</w:t>
        <w:br/>
        <w:t>manifestó que su madre y hermano “se endeudaron y  sacrificaron  mucho  para</w:t>
        <w:br/>
        <w:t>dar[l]e todo lo que necesit[a] para estar viva”.</w:t>
        <w:br/>
        <w:br/>
        <w:t>La Corte constata que  los  representantes  aportaron  prueba  de  distintas</w:t>
        <w:br/>
        <w:t>deudas a nombre de Iván y Teresa  Lluy[422],  así  como  de  la  demanda  de</w:t>
        <w:br/>
        <w:t>juicio ejecutivo presentada por  la  Cooperativa  de  Ahorro  y  Crédito  La</w:t>
        <w:br/>
        <w:t>Merced ante el Juzgado Civil de Cuenca[423]. Asimismo,  constan  dentro  del</w:t>
        <w:br/>
        <w:t>acervo probatorio recibos por exámenes médicos, suplementos  alimenticios  y</w:t>
        <w:br/>
        <w:t>transporte[424]. Sin embargo, sobre la base de la  prueba  existente  en  el</w:t>
        <w:br/>
        <w:t>expediente, la Corte no puede cuantificar con  precisión  el  monto  que  la</w:t>
        <w:br/>
        <w:t>familia  Lluy  habría  erogado  con  motivo  de  los  hechos,  al  no  poder</w:t>
        <w:br/>
        <w:t>determinarse con claridad los conceptos de cada uno de los gastos  y  deudas</w:t>
        <w:br/>
        <w:t>esgrimidas. No  obstante,  este  Tribunal  reconoce  que  las  víctimas  han</w:t>
        <w:br/>
        <w:t>incurrido en diversos gastos por el tratamiento médico y cuidados  que  debe</w:t>
        <w:br/>
        <w:t>recibir Talía Gonzales Lluy, por lo que fija en equidad a favor de Teresa  e</w:t>
        <w:br/>
        <w:t>Iván Lluy, la suma de US$ 50.000,00 (cincuenta mil dólares  de  los  Estados</w:t>
        <w:br/>
        <w:t>Unidos de América) para cada uno, por concepto de daño material.</w:t>
        <w:br/>
        <w:br/>
        <w:br/>
        <w:t>D.2)  Daño inmaterial</w:t>
        <w:br/>
        <w:br/>
        <w:br/>
        <w:t>Argumentos de las partes y de la Comisión</w:t>
        <w:br/>
        <w:br/>
        <w:t>Los representantes  alegaron  que,  considerando  los  sufrimientos  por  la</w:t>
        <w:br/>
        <w:t>violación persistente  e  invalorable  a  los  derechos  humanos  que  tiene</w:t>
        <w:br/>
        <w:t>relación con  tres  personas  en  particular  vulnerabilidad  que  requerían</w:t>
        <w:br/>
        <w:t>protección especial, el monto del daño inmaterial no puede ser menor  a  US$</w:t>
        <w:br/>
        <w:t>1.000.000,00 (un millón de  dólares  de  los  Estados  Unidos  de  América).</w:t>
        <w:br/>
        <w:t>Además, los representantes mencionaron  que,  en  el  contexto  ecuatoriano,</w:t>
        <w:br/>
        <w:t>donde se ha compensado en  la  justicia  ecuatoriana  al  Presidente  de  la</w:t>
        <w:br/>
        <w:t>República con “sentencias millonarias”, no es “descabellada”  la  pretensión</w:t>
        <w:br/>
        <w:t>de las víctimas de este caso. Sin perjuicio de ello, señalaron  que  “en  el</w:t>
        <w:br/>
        <w:t>peor de los casos”, se tome en consideración el  criterio  ofrecido  por  el</w:t>
        <w:br/>
        <w:t>perito Marcelo Pazmiño, que propone multiplicar los años de  expectativa  de</w:t>
        <w:br/>
        <w:t>vida de la mujer ecuatoriana, de 72 años y calcular el número de  meses  por</w:t>
        <w:br/>
        <w:t>el valor de una canasta básica familiar.</w:t>
        <w:br/>
        <w:br/>
        <w:t>El Estado solicitó a la Corte que, en el supuesto de que  determine  que  el</w:t>
        <w:br/>
        <w:t>Estado  es  responsable  en  el  presente  caso,  “en   aplicación   de   la</w:t>
        <w:br/>
        <w:t>jurisprudencia interamericana, el daño  moral  sea  calculado  en  equidad”,</w:t>
        <w:br/>
        <w:t>tomando en cuenta las sentencias relacionadas con el derecho a la salud  por</w:t>
        <w:br/>
        <w:t>las que el Ecuador ha sido condenado. Para ello, solicitó que  utilice  como</w:t>
        <w:br/>
        <w:t>parámetros los montos otorgados por la Corte en  los  casos  Albán  Cornejo,</w:t>
        <w:br/>
        <w:t>Vera Vera y Suárez Peralta. En este sentido, el Estado señaló que  el  “daño</w:t>
        <w:br/>
        <w:t>moral ocasionado a la víctima directa,  en  caso  de  que  el  Tribunal  así</w:t>
        <w:br/>
        <w:t>determine, […] no podrá superar los US[$] 52.500[,00] (cincuenta y  dos  mil</w:t>
        <w:br/>
        <w:t>quinientos dólares [de los Estados Unidos de América]”.  Para  las  víctimas</w:t>
        <w:br/>
        <w:t>indirectas, el Ecuador  alegó  que  el  monto  no  podría  superar  los  US$</w:t>
        <w:br/>
        <w:t>12.500,00 (doce mil quinientos dólares de los Estados  Unidos  de  América).</w:t>
        <w:br/>
        <w:t>Por otra parte, el Estado alegó que Iván Lluy no ha acudido a ningún  centro</w:t>
        <w:br/>
        <w:t>de salud pública para tratarse psicológica o psiquiátricamente, por  lo  que</w:t>
        <w:br/>
        <w:t>indicó doce centros de  atención  psicológica  y  dos  centros  de  atención</w:t>
        <w:br/>
        <w:t>psiquiátrica a los que éste podría acudir.</w:t>
        <w:br/>
        <w:br/>
        <w:t>Consideraciones de la Corte</w:t>
        <w:br/>
        <w:br/>
        <w:t>La  jurisprudencia  internacional  ha  establecido  reiteradamente  que   la</w:t>
        <w:br/>
        <w:t>sentencia  puede  constituir  per  se  una  forma  de  reparación[425].   No</w:t>
        <w:br/>
        <w:t>obstante, la Corte ha desarrollado en su jurisprudencia el concepto de  daño</w:t>
        <w:br/>
        <w:t>inmaterial  y  ha  establecido  que  éste  “puede   comprender   tanto   los</w:t>
        <w:br/>
        <w:t>sufrimientos y las aflicciones  causados  a  la  víctima  directa  y  a  sus</w:t>
        <w:br/>
        <w:t>allegados, el menoscabo de valores muy  significativos  para  las  personas,</w:t>
        <w:br/>
        <w:t>así como las alteraciones, de carácter no pecuniario, en las condiciones  de</w:t>
        <w:br/>
        <w:t>existencia de la víctima o su familia”[426].</w:t>
        <w:br/>
        <w:br/>
        <w:t>En el presente caso, la Corte nota que según el dictamen pericial  de  Sonia</w:t>
        <w:br/>
        <w:t>Nivelo, el contagio y la convivencia con el VIH le ha generado a Talía  “una</w:t>
        <w:br/>
        <w:t>grave perturbación psicológica”, y una “depresión prolongada  de  estado  de</w:t>
        <w:br/>
        <w:t>ánimo”, “distimia” y “un trastorno de la personalidad y  del  comportamiento</w:t>
        <w:br/>
        <w:t>debido a [la] enfermedad”. Asimismo, en declaración rendida  ante  fedatario</w:t>
        <w:br/>
        <w:t>público, Talía manifestó que se ha sentido muy  sola,  no  ha  podido  tener</w:t>
        <w:br/>
        <w:t>amigos duraderos y ha padecido de rabia y tristeza. Además,  señaló  que  en</w:t>
        <w:br/>
        <w:t>oportunidades “qu[iso] morir […] para que ya no [l]e d[ieran] más  pastillas</w:t>
        <w:br/>
        <w:t>que [l]e h[icieran] sufrir”, y que ha enfrentado rechazo  y  discriminación.</w:t>
        <w:br/>
        <w:t>Al momento de conocer de su enfermedad pensó “que era una  amenaza  para  la</w:t>
        <w:br/>
        <w:t>familia y todas las personas que [la]  rodeaban”,  y  le  tiene  “terror  al</w:t>
        <w:br/>
        <w:t>rechazo”. Finalmente, manifestó que tiene que estar escondiéndose, no  puede</w:t>
        <w:br/>
        <w:t>llevar una vida normal, y que “est[á] condenada a vivir así  por  el  tiempo</w:t>
        <w:br/>
        <w:t>que [l]e queda de vida”.</w:t>
        <w:br/>
        <w:br/>
        <w:t>Respecto de Teresa Lluy, la perita Sonia Nivelo estimó que ésta presenta  un</w:t>
        <w:br/>
        <w:t>“trastorno mixto ansioso-depresivo”, así como “rasgos de reacción  a  estrés</w:t>
        <w:br/>
        <w:t>agudo”, a raíz del “aislamiento,  el  estigma  social,  […]  la  pérdida  de</w:t>
        <w:br/>
        <w:t>empleo  [y  a]l  enfrentar  […]  la  enfermedad  de  su  hija  sin   ninguna</w:t>
        <w:br/>
        <w:t>preparación y sin ningún soporte social”.  Además,  resaltó  que  padece  de</w:t>
        <w:br/>
        <w:t>diabetes  emocional,  hipertensión,  dolores  físicos  crónicos,  aprensión,</w:t>
        <w:br/>
        <w:t>tensión  muscular  e  hiperactividad  vegetativa.  Por  otra  parte,  en  la</w:t>
        <w:br/>
        <w:t>declaración rendida ante fedatario público,  Teresa  indicó  que  cuando  se</w:t>
        <w:br/>
        <w:t>enteró del contagio de su hija su  vida  se  derrumbó,  quedó  destrozada  y</w:t>
        <w:br/>
        <w:t>preocupada por la vida de su hija; y desde  entonces  ha  sido  tratada  con</w:t>
        <w:br/>
        <w:t>discriminación y agresividad. Asimismo, señaló que vivía con mucho miedo  de</w:t>
        <w:br/>
        <w:t>que su hija enfermara por las condiciones en las que les tocó vivir,  y  sus</w:t>
        <w:br/>
        <w:t>hijos y ella pasaban “tensos, asustados, ofuscados deprimidos, sin ganas  de</w:t>
        <w:br/>
        <w:t>vivir”. Finalmente, indicó que le diagnosticaron diabetes  emotiva,  a  raíz</w:t>
        <w:br/>
        <w:t>del estrés sufrido por la situación de su hija.</w:t>
        <w:br/>
        <w:br/>
        <w:t>Por su parte, en la evaluación psicológica realizada  por  la  perita  Sonia</w:t>
        <w:br/>
        <w:t>Nivelo, Iván Lluy presentó “reacciones  de  estrés  grave  y  trastornos  de</w:t>
        <w:br/>
        <w:t>adaptación”,  humor  depresivo,  ansiedad,  preocupación,   sentimiento   de</w:t>
        <w:br/>
        <w:t>incapacidad  para  afrontar  problemas;  así  como  sentimientos   de   ira,</w:t>
        <w:br/>
        <w:t>frustración, desesperanza y culpa.  La  perita  diagnosticó  que  Iván  Lluy</w:t>
        <w:br/>
        <w:t>padecía depresión moderada. En su declaración ante fedatario  público,  Iván</w:t>
        <w:br/>
        <w:t>manifestó  que  su  vida  “fue  horriblemente  afectada”  al  enterarse  del</w:t>
        <w:br/>
        <w:t>contagio de su hermana, “[m]uchas veces no  pud[o]  aguantar  y  solo  podía</w:t>
        <w:br/>
        <w:t>llorar”. Además, señaló que le fue diagnosticada “depresión mayor”,  y  tuvo</w:t>
        <w:br/>
        <w:t>que tomar medicamentos por un año y medio. Asimismo, la Corte  constata  que</w:t>
        <w:br/>
        <w:t>en la declaración rendida ante fedatario público por su madre, Teresa  Lluy,</w:t>
        <w:br/>
        <w:t>ésta señaló que cuando tuvo que trasladarse  con  Talía  a  Quito  para  que</w:t>
        <w:br/>
        <w:t>fuera atendida, “[s]u hijo pasaba en  Cuenca  completamente  solo,  a  veces</w:t>
        <w:br/>
        <w:t>dormía en los parques o donde encontraba un hueco porque  no  tenía[n]  para</w:t>
        <w:br/>
        <w:t>arriendo”.</w:t>
        <w:br/>
        <w:br/>
        <w:t>Por  ello,  considerando  las  circunstancias   del   presente   caso,   los</w:t>
        <w:br/>
        <w:t>sufrimientos que las violaciones cometidas  causaron  a  las  víctimas,  así</w:t>
        <w:br/>
        <w:t>como el cambio en las condiciones de vida y las restantes  consecuencias  de</w:t>
        <w:br/>
        <w:t>orden inmaterial que éstas sufrieron, la Corte estima  pertinente  fijar  en</w:t>
        <w:br/>
        <w:t>equidad, por concepto de daño inmaterial, una  indemnización  equivalente  a</w:t>
        <w:br/>
        <w:t>US$  350.000,00 (trescientos cincuenta mil dólares de los Estados Unidos  de</w:t>
        <w:br/>
        <w:t>América) a favor de Talía Gonzales Lluy; US$ 30.000,00 (treinta mil  dólares</w:t>
        <w:br/>
        <w:t>de los Estados Unidos de América) a favor de Teresa Lluy,  y  US$  25.000,00</w:t>
        <w:br/>
        <w:t>(veinticinco mil dólares de los Estados Unidos de América) a favor  de  Iván</w:t>
        <w:br/>
        <w:t>Lluy.</w:t>
        <w:br/>
        <w:br/>
        <w:t>E. Costas y gastos</w:t>
        <w:br/>
        <w:br/>
        <w:t>Los representantes alegaron que las  víctimas  han  incurrido  en  múltiples</w:t>
        <w:br/>
        <w:t>gastos por las gestiones realizadas a  nivel  interno  y  en  el  curso  del</w:t>
        <w:br/>
        <w:t>procedimiento ante el sistema interamericano; que incluyen lo  erogado  para</w:t>
        <w:br/>
        <w:t>asistir  a  audiencias,  gastos  de  correo,  reproducción  de   documentos,</w:t>
        <w:br/>
        <w:t>movilización, hospedaje y alimentación.  Por ello, solicitaron  a  la  Corte</w:t>
        <w:br/>
        <w:t>considerar en equidad el reintegro de US$ 50.000,00 (cincuenta  mil  dólares</w:t>
        <w:br/>
        <w:t>de los Estados Unidos de América) por concepto de costas y gastos,  “siempre</w:t>
        <w:br/>
        <w:t>que no se conceda el Fondo de [A]sistencia [L]egal a [V]íctimas”.</w:t>
        <w:br/>
        <w:br/>
        <w:t>El Estado alegó que “los representantes […] conocen la obligación de  emitir</w:t>
        <w:br/>
        <w:t>facturas por los servicios profesionales”, por lo que al no contar  con  los</w:t>
        <w:br/>
        <w:t>documentos que confirmen la pretensión solicitada, el Estado entendería  por</w:t>
        <w:br/>
        <w:t>costas y gastos un rubro no mayor a US$ 10.000,00 (diez mil dólares  de  los</w:t>
        <w:br/>
        <w:t>Estados Unidos de América).</w:t>
        <w:br/>
        <w:br/>
        <w:t>La Corte reitera que,  conforme  a  su  jurisprudencia[427],  las  costas  y</w:t>
        <w:br/>
        <w:t>gastos hacen parte del concepto de reparación, toda  vez  que  la  actividad</w:t>
        <w:br/>
        <w:t>desplegada por las víctimas con el fin de obtener justicia,  tanto  a  nivel</w:t>
        <w:br/>
        <w:t>nacional como internacional, implica erogaciones que deben  ser  compensadas</w:t>
        <w:br/>
        <w:t>cuando la responsabilidad internacional del  Estado  es  declarada  mediante</w:t>
        <w:br/>
        <w:t>una sentencia condenatoria. En cuanto al reembolso de las costas  y  gastos,</w:t>
        <w:br/>
        <w:t>corresponde  al  Tribunal  apreciar  prudentemente  su  alcance,   el   cual</w:t>
        <w:br/>
        <w:t>comprende los gastos generados  ante  las  autoridades  de  la  jurisdicción</w:t>
        <w:br/>
        <w:t>interna, así como los generados en el curso  del  proceso  ante  el  sistema</w:t>
        <w:br/>
        <w:t>interamericano, teniendo en cuenta las circunstancias del  caso  concreto  y</w:t>
        <w:br/>
        <w:t>la naturaleza de la jurisdicción internacional  de  protección  de  derechos</w:t>
        <w:br/>
        <w:t>humanos. Esta apreciación puede ser realizada con base en  el  principio  de</w:t>
        <w:br/>
        <w:t>equidad y tomando en cuenta los gastos señalados  por  las  partes,  siempre</w:t>
        <w:br/>
        <w:t>que su quantum sea razonable[428].</w:t>
        <w:br/>
        <w:br/>
        <w:t>Este Tribunal ha señalado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Corte”[429]. Asimismo, la Corte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mismos[430].</w:t>
        <w:br/>
        <w:br/>
        <w:t>En el presente caso, no consta en el expediente respaldo probatorio  preciso</w:t>
        <w:br/>
        <w:t>en  relación  con  las  costas  y  gastos  en  los  cuales  incurrieron  los</w:t>
        <w:br/>
        <w:t>representantes de las  víctimas.  No  obstante  ello,  este  Tribunal  puede</w:t>
        <w:br/>
        <w:t>inferir que los representantes incurrieron en gastos relativos al  ejercicio</w:t>
        <w:br/>
        <w:t>de su representación legal durante el proceso ante esta Corte. Asimismo,  es</w:t>
        <w:br/>
        <w:t>razonable suponer que durante los años de trámite del presente caso ante  la</w:t>
        <w:br/>
        <w:t>Comisión  las  víctimas  y   los   representantes   realizaron   erogaciones</w:t>
        <w:br/>
        <w:t>económicas. Teniendo en cuenta lo anterior, la  Corte  fija  en  equidad  la</w:t>
        <w:br/>
        <w:t>cantidad de US$ 10.000 (diez mil dólares de los Estados Unidos  de  América)</w:t>
        <w:br/>
        <w:t>que deberán ser entregados a los representantes por  concepto  de  costas  y</w:t>
        <w:br/>
        <w:t>gastos por la tramitación del proceso  ante  el  sistema  interamericano  de</w:t>
        <w:br/>
        <w:t>derechos humanos. En la etapa de supervisión de cumplimiento de la  presente</w:t>
        <w:br/>
        <w:t>Sentencia, la Corte podrá disponer el reembolso por parte del Estado  a  las</w:t>
        <w:br/>
        <w:t>víctimas  o  sus  representantes  de   gastos   posteriores   razonables   y</w:t>
        <w:br/>
        <w:t>debidamente comprobados[431].</w:t>
        <w:br/>
        <w:br/>
        <w:t>F. Reintegro de los gastos al Fondo de Asistencia Legal de Víctimas</w:t>
        <w:br/>
        <w:br/>
        <w:t>Los representantes de  las  víctimas  solicitaron  el  apoyo  del  Fondo  de</w:t>
        <w:br/>
        <w:t>Asistencia Legal de Víctimas de la Corte  para  cubrir  gastos  del  litigio</w:t>
        <w:br/>
        <w:t>ante la Corte. Mediante la Resolución del Presidente  de  7  de  octubre  de</w:t>
        <w:br/>
        <w:t>2014,  se  declaró  procedente  la  solicitud  y  se  autorizó  otorgar   la</w:t>
        <w:br/>
        <w:t>asistencia económica necesaria para la presentación de  un  máximo  de  tres</w:t>
        <w:br/>
        <w:t>declaraciones  y  dos  peritajes,  en  audiencia  o  por  afidávit,   y   la</w:t>
        <w:br/>
        <w:t>comparecencia  de  uno  de  los  representantes  en  la  audiencia   pública</w:t>
        <w:br/>
        <w:t>convocada en el presente caso.</w:t>
        <w:br/>
        <w:br/>
        <w:t>El 30 de junio de 2015 le fue remitido al Estado un informe  de  erogaciones</w:t>
        <w:br/>
        <w:t>según lo dispuesto en el artículo 5 del Reglamento  de  la  Corte  sobre  el</w:t>
        <w:br/>
        <w:t>funcionamiento  del  referido  Fondo.  El  Estado  señaló   que   no   tenía</w:t>
        <w:br/>
        <w:t>observaciones sobre las erogaciones realizadas  en  el  presente  caso,  las</w:t>
        <w:br/>
        <w:t>cuales ascendieron a  la  suma  de  US$  4.649,54  (cuatro  mil  seiscientos</w:t>
        <w:br/>
        <w:t>cuarenta y nueve dólares, cincuenta y cuatro centavos de los Estados  Unidos</w:t>
        <w:br/>
        <w:t>de América) por los gastos incurridos. Este monto deberá ser  reintegrado  a</w:t>
        <w:br/>
        <w:t>la Corte Interamericana en el plazo de noventa días, contados  a  partir  de</w:t>
        <w:br/>
        <w:t>la notificación de la presente Sentencia.</w:t>
        <w:br/>
        <w:br/>
        <w:t>G. Modalidad de cumplimiento de los pagos ordenados</w:t>
        <w:br/>
        <w:br/>
        <w:t>El Estado deberá efectuar el pago de las  indemnizaciones  por  concepto  de</w:t>
        <w:br/>
        <w:t>daño material e inmaterial, así como el reintegro de  las  costas  y  gastos</w:t>
        <w:br/>
        <w:t>establecidos en la presente Sentencia directamente a las personas  indicadas</w:t>
        <w:br/>
        <w:t>en la misma, dentro del plazo de un año contado a partir de la  notificación</w:t>
        <w:br/>
        <w:t>del presente Fallo, en los términos de los siguientes párrafos.</w:t>
        <w:br/>
        <w:br/>
        <w:t>En caso de que los beneficiarios fallezcan antes de que les sean  entregadas</w:t>
        <w:br/>
        <w:t>las indemnizaciones respectivas, éstas  se  efectuarán  directamente  a  sus</w:t>
        <w:br/>
        <w:t>derecho habientes, conforme al derecho interno aplicable.</w:t>
        <w:br/>
        <w:br/>
        <w:t>El Estado debe cumplir sus  obligaciones  monetarias  mediante  el  pago  en</w:t>
        <w:br/>
        <w:t>dólares de los  Estados  Unidos  de  América,  utilizando  para  el  cálculo</w:t>
        <w:br/>
        <w:t>respectivo el tipo de cambio que se encuentre vigente en la bolsa  de  Nueva</w:t>
        <w:br/>
        <w:t>York, Estados Unidos de América, el día anterior al pago.</w:t>
        <w:br/>
        <w:br/>
        <w:t>Si por causas atribuibles a los beneficiarios de  las  indemnizaciones  o  a</w:t>
        <w:br/>
        <w:t>sus  derecho  habientes  no  fuese  posible  el  pago  de   las   cantidades</w:t>
        <w:br/>
        <w:t>determinadas dentro del plazo indicado, el Estado consignará  dichos  montos</w:t>
        <w:br/>
        <w:t>a su favor en una cuenta  o  certificado  de  depósito  en  una  institución</w:t>
        <w:br/>
        <w:t>financiera ecuatoriana  solvente,  en  dólares  de  los  Estados  Unidos  de</w:t>
        <w:br/>
        <w:t>América, y en las condiciones financieras más  favorables  que  permitan  la</w:t>
        <w:br/>
        <w:t>legislación y  la  práctica  bancaria  del  Estado.  Si  no  se  reclama  la</w:t>
        <w:br/>
        <w:t>indemnización  correspondiente  una  vez  transcurridos   diez   años,   las</w:t>
        <w:br/>
        <w:t>cantidades serán devueltas al Estado con los intereses devengados.</w:t>
        <w:br/>
        <w:br/>
        <w:t>Las cantidades asignadas en la presente  Sentencia  como  indemnización  por</w:t>
        <w:br/>
        <w:t>daño material e inmaterial, y como reintegro de costas y gastos deberán  ser</w:t>
        <w:br/>
        <w:t>entregadas a  las  personas  indicadas  en  forma  íntegra,  conforme  a  lo</w:t>
        <w:br/>
        <w:t>establecido en este Fallo, sin reducciones derivadas  de  eventuales  cargas</w:t>
        <w:br/>
        <w:t>fiscales.</w:t>
        <w:br/>
        <w:br/>
        <w:t>En caso de que el Estado incurriera en mora, incluyendo en el  reintegro  de</w:t>
        <w:br/>
        <w:t>los gastos al Fondo  de  Asistencia  Legal  de  Víctimas,  deberá  pagar  un</w:t>
        <w:br/>
        <w:t>interés sobre la cantidad  adeudada,  correspondiente  al  interés  bancario</w:t>
        <w:br/>
        <w:t>moratorio en la República del Ecuador.</w:t>
        <w:br/>
        <w:br/>
        <w:t xml:space="preserve">                                    XIII</w:t>
        <w:br/>
        <w:t xml:space="preserve">                             PUNTOS RESOLUTIVOS</w:t>
        <w:br/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 xml:space="preserve">   1. Aceptar el reconocimiento de un hecho efectuado por el Estado, en  los</w:t>
        <w:br/>
        <w:t xml:space="preserve">      términos de los párrafos 49 y 50 de la Sentencia.</w:t>
        <w:br/>
        <w:br/>
        <w:t xml:space="preserve">   2. Desestimar la excepción preliminar relativa  a  la  alegada  falta  de</w:t>
        <w:br/>
        <w:t xml:space="preserve">      agotamiento de los recursos internos interpuesta por el Estado, en los</w:t>
        <w:br/>
        <w:t xml:space="preserve">      términos de los párrafos 27 a 33 de esta  Sentencia.</w:t>
        <w:br/>
        <w:br/>
        <w:t>DECLARA,</w:t>
        <w:br/>
        <w:br/>
        <w:t>Por unanimidad, que</w:t>
        <w:br/>
        <w:br/>
        <w:t xml:space="preserve">   3. El Estado es responsable por la violación de los derechos a la vida  e</w:t>
        <w:br/>
        <w:t xml:space="preserve">      integridad personal,  reconocidos  en  los  artículos  4  y  5  de  la</w:t>
        <w:br/>
        <w:t xml:space="preserve">      Convención Americana, en relación con el artículo 1.1 de la misma, por</w:t>
        <w:br/>
        <w:t xml:space="preserve">      la violación de la obligación de fiscalización  y  supervisión  de  la</w:t>
        <w:br/>
        <w:t xml:space="preserve">      prestación de servicios de  salud,  en  perjuicio  de  Talía  Gabriela</w:t>
        <w:br/>
        <w:t xml:space="preserve">      Gonzales Lluy, en los términos de los  párrafos  167  a  191  de  esta</w:t>
        <w:br/>
        <w:t xml:space="preserve">      Sentencia.</w:t>
        <w:br/>
        <w:br/>
        <w:t xml:space="preserve">   4. El Estado es responsable por la violación del derecho a la  integridad</w:t>
        <w:br/>
        <w:t xml:space="preserve">      personal, reconocido en el artículo 5.1 de la Convención Americana, en</w:t>
        <w:br/>
        <w:t xml:space="preserve">      relación con el artículo 1.1 de la misma, en perjuicio de Teresa  Lluy</w:t>
        <w:br/>
        <w:t xml:space="preserve">      e Iván Mauricio Lluy, en los términos de los párrafos  211  a  229  de</w:t>
        <w:br/>
        <w:t xml:space="preserve">      esta Sentencia.</w:t>
        <w:br/>
        <w:br/>
        <w:t xml:space="preserve">   5. El Estado es responsable por la violación del derecho a la  educación,</w:t>
        <w:br/>
        <w:t xml:space="preserve">      reconocido en el  artículo  13  del  Protocolo  de  San  Salvador,  en</w:t>
        <w:br/>
        <w:t xml:space="preserve">      relación con los artículos 1.1 y 19 de  la  Convención  Americana,  en</w:t>
        <w:br/>
        <w:t xml:space="preserve">      perjuicio de Talía Gabriela Gonzales Lluy,  en  los  términos  de  los</w:t>
        <w:br/>
        <w:t xml:space="preserve">      párrafos 233 a 291 de esta Sentencia.</w:t>
        <w:br/>
        <w:br/>
        <w:t xml:space="preserve">   6. El Estado es responsable por la violación de la garantía judicial  del</w:t>
        <w:br/>
        <w:t xml:space="preserve">      plazo razonable en el proceso penal, reconocida en el artículo 8.1  de</w:t>
        <w:br/>
        <w:t xml:space="preserve">      la Convención Americana, en relación con los artículos 19 y 1.1 de  la</w:t>
        <w:br/>
        <w:t xml:space="preserve">      misma, en perjuicio de Talía Gabriela Gonzales Lluy, en  los  términos</w:t>
        <w:br/>
        <w:t xml:space="preserve">      de los párrafos 298 a 316 de esta Sentencia.</w:t>
        <w:br/>
        <w:br/>
        <w:t xml:space="preserve">   7. El Estado no es responsable por la violación de la  garantía  judicial</w:t>
        <w:br/>
        <w:t xml:space="preserve">      del plazo razonable en el proceso civil, reconocida en el artículo 8.1</w:t>
        <w:br/>
        <w:t xml:space="preserve">      de la Convención Americana, en relación con los artículos 19 y 1.1  de</w:t>
        <w:br/>
        <w:t xml:space="preserve">      la misma, en  perjuicio  de  Talía  Gabriela  Gonzales  Lluy,  en  los</w:t>
        <w:br/>
        <w:t xml:space="preserve">      términos de los párrafos 322 y 327 de esta Sentencia.</w:t>
        <w:br/>
        <w:br/>
        <w:br/>
        <w:t xml:space="preserve">   8. El Estado no  es  responsable  por  la  violación  del  derecho  a  la</w:t>
        <w:br/>
        <w:t xml:space="preserve">      protección judicial, reconocido en el artículo 25.1 de  la  Convención</w:t>
        <w:br/>
        <w:t xml:space="preserve">      Americana, en relación con  el  artículo  1.1  de  la  misma,  en  los</w:t>
        <w:br/>
        <w:t xml:space="preserve">      términos de los párrafos 331 a 333 y 338 de esta Sentencia.</w:t>
        <w:br/>
        <w:br/>
        <w:t>Y DISPONE,</w:t>
        <w:br/>
        <w:br/>
        <w:t>por unanimidad que:</w:t>
        <w:br/>
        <w:br/>
        <w:t xml:space="preserve">   9. Esta Sentencia constituye per se una forma de reparación.</w:t>
        <w:br/>
        <w:br/>
        <w:t xml:space="preserve">  10.  El  Estado  debe  brindar  gratuitamente  y  en  forma  oportuna,  el</w:t>
        <w:br/>
        <w:t xml:space="preserve">      tratamiento médico y  psicológico  o  psiquiátrico  a  Talía  Gabriela</w:t>
        <w:br/>
        <w:t xml:space="preserve">      Gonzales Lluy, incluyendo el suministro gratuito de  los  medicamentos</w:t>
        <w:br/>
        <w:t xml:space="preserve">      que requiera, en los términos de los párrafos 355 a 360 de la presente</w:t>
        <w:br/>
        <w:t xml:space="preserve">      Sentencia.</w:t>
        <w:br/>
        <w:br/>
        <w:t xml:space="preserve">  11. El Estado debe realizar en el plazo de seis  meses,  a  partir  de  la</w:t>
        <w:br/>
        <w:t xml:space="preserve">      notificación de la presente Sentencia, las publicaciones indicadas  en</w:t>
        <w:br/>
        <w:t xml:space="preserve">      el párrafo 364 de la Sentencia,  en  los  términos  dispuestos  en  la</w:t>
        <w:br/>
        <w:t xml:space="preserve">      misma. Esta publicación debe mantenerse en una página web  oficial  al</w:t>
        <w:br/>
        <w:t xml:space="preserve">      menos por un año.</w:t>
        <w:br/>
        <w:br/>
        <w:t xml:space="preserve">  12. El Estado debe realizar en  el  plazo  de  un  año,  a  partir  de  la</w:t>
        <w:br/>
        <w:t xml:space="preserve">      notificación  de  la  presente   Sentencia,   el   acto   público   de</w:t>
        <w:br/>
        <w:t xml:space="preserve">      reconocimiento de responsabilidad internacional indicado en el párrafo</w:t>
        <w:br/>
        <w:t xml:space="preserve">      368 de la Sentencia, en los términos dispuestos en la misma.</w:t>
        <w:br/>
        <w:br/>
        <w:t xml:space="preserve">  13. El Estado debe otorgar a Talía Gabriela Gonzales Lluy  una  beca  para</w:t>
        <w:br/>
        <w:t xml:space="preserve">      continuar sus estudios universitarios que no se encuentre condicionada</w:t>
        <w:br/>
        <w:t xml:space="preserve">      a la obtención de calificaciones que la hagan acreedora de una beca de</w:t>
        <w:br/>
        <w:t xml:space="preserve">      excelencia, en los términos del párrafo  372  de  esta  Sentencia.  Se</w:t>
        <w:br/>
        <w:t xml:space="preserve">      establece  un  plazo  de  seis  meses  para  que  la  víctima  o   sus</w:t>
        <w:br/>
        <w:t xml:space="preserve">      representantes legales  den  a  conocer  al  Estado  su  intención  de</w:t>
        <w:br/>
        <w:t xml:space="preserve">      recibirla.</w:t>
        <w:br/>
        <w:br/>
        <w:t xml:space="preserve">  14. El Estado debe otorgar a Talía Gabriela Gonzales Lluy una beca para la</w:t>
        <w:br/>
        <w:t xml:space="preserve">      realización de un posgrado, que no  se  encuentre  condicionada  a  su</w:t>
        <w:br/>
        <w:t xml:space="preserve">      desempeño académico  durante  sus  estudios  en  la  carrera,  en  los</w:t>
        <w:br/>
        <w:t xml:space="preserve">      términos del párrafo 373 de esta Sentencia. Para tal efecto,  una  vez</w:t>
        <w:br/>
        <w:t xml:space="preserve">      que culmine su carrera, Talía deberá  informar  al  Estado  y  a  este</w:t>
        <w:br/>
        <w:t xml:space="preserve">      Tribunal, en el plazo de 24  meses,  sobre  el  posgrado  que  decidió</w:t>
        <w:br/>
        <w:t xml:space="preserve">      realizar y su aceptación en el mismo.</w:t>
        <w:br/>
        <w:br/>
        <w:t xml:space="preserve">  15. El Estado debe entregar a Talía Gabriela Gonzales  Lluy  una  vivienda</w:t>
        <w:br/>
        <w:t xml:space="preserve">      digna en el plazo de un año, a título gratuito, en  los  términos  del</w:t>
        <w:br/>
        <w:t xml:space="preserve">      párrafo 377 de esta Sentencia.</w:t>
        <w:br/>
        <w:br/>
        <w:t xml:space="preserve">  16.  El  Estado  debe  realizar  un  programa  para  la  capacitación   de</w:t>
        <w:br/>
        <w:t xml:space="preserve">      funcionarios en salud  sobre  mejores  prácticas  y  derechos  de  los</w:t>
        <w:br/>
        <w:t xml:space="preserve">      pacientes con VIH, en los términos de los párrafos 384 a 386  de  esta</w:t>
        <w:br/>
        <w:t xml:space="preserve">      Sentencia.</w:t>
        <w:br/>
        <w:br/>
        <w:t xml:space="preserve">  17. El Estado debe pagar, dentro del plazo  de  un  año  a  partir  de  la</w:t>
        <w:br/>
        <w:t xml:space="preserve">      notificación de esta Sentencia, las cantidades fijadas en los párrafos</w:t>
        <w:br/>
        <w:t xml:space="preserve">      409 y 416 por concepto  de  indemnizaciones  por  daños  materiales  e</w:t>
        <w:br/>
        <w:t xml:space="preserve">      inmateriales, así como  el  reintegro  de  costas  y  gastos,  en  los</w:t>
        <w:br/>
        <w:t xml:space="preserve">      términos del párrafo 421 de esta Sentencia.</w:t>
        <w:br/>
        <w:br/>
        <w:t xml:space="preserve">  18. El Estado debe reintegrar al Fondo de Asistencia Legal de Víctimas  de</w:t>
        <w:br/>
        <w:t xml:space="preserve">      la Corte  Interamericana  de  Derechos  Humanos  la  cantidad  erogada</w:t>
        <w:br/>
        <w:t xml:space="preserve">      durante la tramitación del presente caso, en los términos del  párrafo</w:t>
        <w:br/>
        <w:t xml:space="preserve">      423 de esta Sentencia.</w:t>
        <w:br/>
        <w:br/>
        <w:t xml:space="preserve">  19. El Estado debe rendir al Tribunal un informe, dentro del plazo  de  un</w:t>
        <w:br/>
        <w:t xml:space="preserve">      año contado a partir de la notificación de esta Sentencia,  sobre  las</w:t>
        <w:br/>
        <w:t xml:space="preserve">      medidas adoptadas para cumplir con la misma. Los informes relacionados</w:t>
        <w:br/>
        <w:t xml:space="preserve">      con  la  atención  médica  y  psicológica   o   psiquiátrica   deberán</w:t>
        <w:br/>
        <w:t xml:space="preserve">      presentarse cada tres meses.</w:t>
        <w:br/>
        <w:br/>
        <w:t>La  Corte  supervisará  el  cumplimiento  íntegro  de  esta  Sentencia,   en</w:t>
        <w:br/>
        <w:t>ejercicio de sus atribuciones y en cumplimiento de sus  deberes  conforme  a</w:t>
        <w:br/>
        <w:t>la Convención Americana sobre Derechos Humanos,  y  dará  por  concluido  el</w:t>
        <w:br/>
        <w:t>presente caso una vez que el  Estado  haya  dado  cabal  cumplimiento  a  lo</w:t>
        <w:br/>
        <w:t>dispuesto en la misma.</w:t>
        <w:br/>
        <w:br/>
        <w:t>Los Jueces Humberto Antonio Sierra Porto,  Alberto  Pérez  Pérez  y  Eduardo</w:t>
        <w:br/>
        <w:t>Ferrer  Mac-Gregor  Poisot  hicieron  conocer   a   la   Corte   sus   votos</w:t>
        <w:br/>
        <w:t>concurrentes, los cuales acompañan esta Sentencia.  Los  Jueces  Roberto  F.</w:t>
        <w:br/>
        <w:t>Caldas y Manuel E. Ventura Robles se  adhirieron  al  voto  concurrente  del</w:t>
        <w:br/>
        <w:t>Juez Eduardo Ferrer Mac-Gregor Poisot.</w:t>
        <w:br/>
        <w:br/>
        <w:t>Redactada en español en San José, Costa Rica, el 1 de septiembre de 2015.</w:t>
        <w:br/>
        <w:br/>
        <w:br/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t>Roberto F.  Caldas                                       Manuel  E.  Ventura</w:t>
        <w:br/>
        <w:t>Robles</w:t>
        <w:br/>
        <w:br/>
        <w:br/>
        <w:br/>
        <w:br/>
        <w:br/>
        <w:t>Diego García-Sayán                                                   Alberto</w:t>
        <w:br/>
        <w:t>Pérez Pérez</w:t>
        <w:br/>
        <w:br/>
        <w:br/>
        <w:br/>
        <w:br/>
        <w:br/>
        <w:t>Eduardo  Vio  Grossi                                                 Eduardo</w:t>
        <w:br/>
        <w:t>Ferrer Mac-Gregor 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       Humberto Antonio Sierra Porto</w:t>
        <w:br/>
        <w:br/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t xml:space="preserve">           VOTO CONCURRENTE DEL JUEZ HUMBERTO ANTONIO SIERRA PORTO</w:t>
        <w:br/>
        <w:br/>
        <w:t xml:space="preserve">          SENTENCIA DE LA CORTE INTERAMERICANA DE DERECHOS HUMANOS</w:t>
        <w:br/>
        <w:br/>
        <w:t xml:space="preserve">                 CASO CASO GONZALES LLUY Y OTROS VS. ECUADOR</w:t>
        <w:br/>
        <w:br/>
        <w:t xml:space="preserve">                    SENTENCIA DE 1 DE SEPTIEMBRE DE 2015</w:t>
        <w:br/>
        <w:br/>
        <w:t xml:space="preserve">          (Excepciones Preliminares, Fondo, Reparaciones y Costas)</w:t>
        <w:br/>
        <w:br/>
        <w:br/>
        <w:t xml:space="preserve">   A. Introducción</w:t>
        <w:br/>
        <w:br/>
        <w:br/>
        <w:t xml:space="preserve">     1.  La  finalidad  del  presente  voto  concurrente   es   ampliar   y</w:t>
        <w:br/>
        <w:t xml:space="preserve">        complementar las  razones  por  las  cuales  considero  que  no  es</w:t>
        <w:br/>
        <w:t xml:space="preserve">        necesario declarar la violación del artículo 26 de la Convención de</w:t>
        <w:br/>
        <w:t xml:space="preserve">        la Americana sobre Derechos Humanos (en adelante “la Convención”  o</w:t>
        <w:br/>
        <w:t xml:space="preserve">        “la Convención Americana”) para alcanzar la efectiva  protección  y</w:t>
        <w:br/>
        <w:t xml:space="preserve">        garantía de los derechos  económicos,  sociales  y  culturales  (en</w:t>
        <w:br/>
        <w:t xml:space="preserve">        adelante “DESC”). Por el contrario, mi opinión  jurídica  sobre  la</w:t>
        <w:br/>
        <w:t xml:space="preserve">        materia es que esta vía para intentar hacer justiciables los  DESC,</w:t>
        <w:br/>
        <w:t xml:space="preserve">        en el marco del sistema interamericano, puede llegar a ser  incluso</w:t>
        <w:br/>
        <w:t xml:space="preserve">        más problemática que otras vías existentes y ya  aplicadas  por  la</w:t>
        <w:br/>
        <w:t xml:space="preserve">        Corte. Por ejemplo, en  el  presente  caso  la  Corte  protegió  el</w:t>
        <w:br/>
        <w:t xml:space="preserve">        derecho a la salud vía conexidad con los derechos a la vida y a  la</w:t>
        <w:br/>
        <w:t xml:space="preserve">        integridad  personal,  al  declarar  vulnerada  “la  obligación  de</w:t>
        <w:br/>
        <w:t xml:space="preserve">        fiscalización y supervisión de la prestación de servicios de salud,</w:t>
        <w:br/>
        <w:t xml:space="preserve">        en el marco del derecho a la integridad personal y de la obligación</w:t>
        <w:br/>
        <w:t xml:space="preserve">        de no poner en riesgo la vida”[432].</w:t>
        <w:br/>
        <w:br/>
        <w:t xml:space="preserve">     2.  Al respecto, quisiera aclarar que parto de  la  premisa  según  la</w:t>
        <w:br/>
        <w:t xml:space="preserve">        cual es  necesario  que  existan  mecanismos  para  proteger  estos</w:t>
        <w:br/>
        <w:t xml:space="preserve">        derechos, razón por la cual entiendo  la  buena  intención  de  los</w:t>
        <w:br/>
        <w:t xml:space="preserve">        jueces y académicos que propenden por una  aplicación  directa  del</w:t>
        <w:br/>
        <w:t xml:space="preserve">        artículo 26 de la Convención. Sin  embargo,  me  parece  importante</w:t>
        <w:br/>
        <w:t xml:space="preserve">        señalar los principales problemas que, en  mi  opinión,  surgen  de</w:t>
        <w:br/>
        <w:t xml:space="preserve">        esta propuesta y que son, a su vez,  las  razones  por  las  cuales</w:t>
        <w:br/>
        <w:t xml:space="preserve">        estimo que la Corte Interamericana no debe adoptar esta posición.</w:t>
        <w:br/>
        <w:br/>
        <w:br/>
        <w:t xml:space="preserve">     3. Para sustentar lo anterior procederé entonces a  analizar:  i)  los</w:t>
        <w:br/>
        <w:t xml:space="preserve">        alcances del  artículo  26  de  la  Convención  Americana;  ii)  la</w:t>
        <w:br/>
        <w:t xml:space="preserve">        limitación de  competencia  establecida  en  el  Protocolo  de  San</w:t>
        <w:br/>
        <w:t xml:space="preserve">        Salvador, y iii) la utilización de la interpretación evolutiva y el</w:t>
        <w:br/>
        <w:t xml:space="preserve">        principio  pro  homine.  Finalmente  y  a  manera  de   conclusión,</w:t>
        <w:br/>
        <w:t xml:space="preserve">        realizaré algunas consideraciones generales sobre la  naturaleza  y</w:t>
        <w:br/>
        <w:t xml:space="preserve">        competencias de los tribunales de derechos humanos.</w:t>
        <w:br/>
        <w:br/>
        <w:t xml:space="preserve">   B. Alcances del artículo 26 de la Convención Americana</w:t>
        <w:br/>
        <w:br/>
        <w:br/>
        <w:t xml:space="preserve">     4. Antes de comenzar con el estudio del artículo 26 de  la  Convención</w:t>
        <w:br/>
        <w:t xml:space="preserve">        quisiera aclarar  que  mi  posición  sobre  este  tema  se  refiere</w:t>
        <w:br/>
        <w:t xml:space="preserve">        exclusivamente a la competencia que la Corte  Interamericana  tiene</w:t>
        <w:br/>
        <w:t xml:space="preserve">        para declarar vulnerados los derechos establecidos en el  Protocolo</w:t>
        <w:br/>
        <w:t xml:space="preserve">        de San Salvador, por lo que no  me  referiré  de  manera  amplia  a</w:t>
        <w:br/>
        <w:t xml:space="preserve">        algunas discusiones que se dan en el  marco  del  debate  sobre  la</w:t>
        <w:br/>
        <w:t xml:space="preserve">        justiciabilidad de los  DESC.  En  particular,  pienso  que  no  es</w:t>
        <w:br/>
        <w:t xml:space="preserve">        relevante ahondar en la discusión sobre el carácter prestacional de</w:t>
        <w:br/>
        <w:t xml:space="preserve">        los DESC, por cuanto es claro que todos los tipos  de  derechos  lo</w:t>
        <w:br/>
        <w:t xml:space="preserve">        son en mayor o menor medida. Tampoco considero que con mi  posición</w:t>
        <w:br/>
        <w:t xml:space="preserve">        se desconozca la naturaleza indivisible de  los  derechos  humanos,</w:t>
        <w:br/>
        <w:t xml:space="preserve">        dado que distingo entre las obligaciones que se  le  generan  a  un</w:t>
        <w:br/>
        <w:t xml:space="preserve">        Estado por la firma y ratificación del tratado, y las  competencias</w:t>
        <w:br/>
        <w:t xml:space="preserve">        que ese mismo tratado pueda otorgar al órgano  o  tribunal  que  lo</w:t>
        <w:br/>
        <w:t xml:space="preserve">        supervise.  Al  respecto,  es  cierto  que   los   derechos   están</w:t>
        <w:br/>
        <w:t xml:space="preserve">        intrínsecamente conectados y no deben ser vistos de manera aislada,</w:t>
        <w:br/>
        <w:t xml:space="preserve">        razón por  la  cual  apoyo  la  justiciabilidad  de  los  DESC  vía</w:t>
        <w:br/>
        <w:t xml:space="preserve">        conexidad, pero la indivisibilidad de los derechos no es suficiente</w:t>
        <w:br/>
        <w:t xml:space="preserve">        para modificar la competencia de  un  tribunal,  como  lo  proponen</w:t>
        <w:br/>
        <w:t xml:space="preserve">        quienes pretenden una  justiciabilidad  directa  por  medio  de  la</w:t>
        <w:br/>
        <w:t xml:space="preserve">        interpretación amplia del artículo 26 de la Convención.</w:t>
        <w:br/>
        <w:br/>
        <w:t xml:space="preserve">     5. Una vez precisado lo anterior, me parece pertinente en primer lugar</w:t>
        <w:br/>
        <w:t xml:space="preserve">        establecer cuáles son las obligaciones que se generan del  artículo</w:t>
        <w:br/>
        <w:t xml:space="preserve">        26 de la Convención. Este artículo estipula que:</w:t>
        <w:br/>
        <w:br/>
        <w:t xml:space="preserve">                                CAPITULO III</w:t>
        <w:br/>
        <w:t xml:space="preserve">                 DERECHOS ECONOMICOS, SOCIALES Y CULTURALES</w:t>
        <w:br/>
        <w:br/>
        <w:br/>
        <w:t xml:space="preserve">                     Artículo 26.  Desarrollo Progresivo</w:t>
        <w:br/>
        <w:br/>
        <w:br/>
        <w:t xml:space="preserve">   Los Estados Partes se comprometen a adoptar providencias, tanto a  nivel</w:t>
        <w:br/>
        <w:t xml:space="preserve">   interno  como  mediante  la  cooperación  internacional,   especialmente</w:t>
        <w:br/>
        <w:t xml:space="preserve">   económica y técnica, para lograr progresivamente la plena efectividad de</w:t>
        <w:br/>
        <w:t xml:space="preserve">   los derechos que se derivan de las normas económicas, sociales  y  sobre</w:t>
        <w:br/>
        <w:t xml:space="preserve">   educación, ciencia y cultura, contenidas en la Carta de la  Organización</w:t>
        <w:br/>
        <w:t xml:space="preserve">   de los Estados Americanos, reformada por el Protocolo de  Buenos  Aires,</w:t>
        <w:br/>
        <w:t xml:space="preserve">   en la medida de los recursos disponibles, por vía  legislativa  u  otros</w:t>
        <w:br/>
        <w:t xml:space="preserve">   medios apropiados. (Subrayado fuera del texto)</w:t>
        <w:br/>
        <w:br/>
        <w:t xml:space="preserve">     6. Sobre el alcance del artículo 26,  la  Corte  ha  indicado  que  la</w:t>
        <w:br/>
        <w:t xml:space="preserve">        obligación principal que  se  desprende  de  este  artículo  es  el</w:t>
        <w:br/>
        <w:t xml:space="preserve">        desarrollo  progresivo  de  los  derechos  económicos,  sociales  y</w:t>
        <w:br/>
        <w:t xml:space="preserve">        culturales[433], el cual conlleva “un deber – si bien  condicionado</w:t>
        <w:br/>
        <w:t xml:space="preserve">        – de no-regresividad, que no siempre deberá ser entendido como  una</w:t>
        <w:br/>
        <w:t xml:space="preserve">        prohibición  de  medidas  que  restrinjan  el   ejercicio   de   un</w:t>
        <w:br/>
        <w:t xml:space="preserve">        derecho”[434]. Además, la  Corte  manifestó  que  las  obligaciones</w:t>
        <w:br/>
        <w:t xml:space="preserve">        generales de los artículos 1 y  2  de  la  Convención  también  son</w:t>
        <w:br/>
        <w:t xml:space="preserve">        aplicables a este artículo[435].</w:t>
        <w:br/>
        <w:br/>
        <w:t xml:space="preserve">     7. Ahora bien, el artículo 26 no establece un  catálogo  de  derechos,</w:t>
        <w:br/>
        <w:t xml:space="preserve">        sino que realiza una remisión directa a la Carta de la Organización</w:t>
        <w:br/>
        <w:t xml:space="preserve">        de Estados Americanos (en adelante “Carta” o “Carta de la OEA”). De</w:t>
        <w:br/>
        <w:t xml:space="preserve">        una lectura de la Carta se puede concluir que esta tampoco contiene</w:t>
        <w:br/>
        <w:t xml:space="preserve">        un catálogo de derechos subjetivos claros y precisos, sino que  por</w:t>
        <w:br/>
        <w:t xml:space="preserve">        el contrario se trata de un listado de  metas  y  expectativas  que</w:t>
        <w:br/>
        <w:t xml:space="preserve">        persiguen los Estados de la región, lo  cual  dificulta  vislumbrar</w:t>
        <w:br/>
        <w:t xml:space="preserve">        cuáles son los derechos a los que se hace mención en  el  artículo.</w:t>
        <w:br/>
        <w:t xml:space="preserve">        En concreto, no hay referencias expresas a los DESC y para  afirmar</w:t>
        <w:br/>
        <w:t xml:space="preserve">        que  efectivamente  se  encuentran  consagrados  en  la  Carta   es</w:t>
        <w:br/>
        <w:t xml:space="preserve">        necesario  realizar  una  labor  interpretativa  bastante  extensa.</w:t>
        <w:br/>
        <w:t xml:space="preserve">        Ejemplo de lo anterior es el  derecho  a  la  salud,  el  cual  fue</w:t>
        <w:br/>
        <w:t xml:space="preserve">        materia de análisis en el presente caso.  Algunos  autores  afirman</w:t>
        <w:br/>
        <w:t xml:space="preserve">        que dicho derecho está notoriamente  consagrado  en  la  Carta,  no</w:t>
        <w:br/>
        <w:t xml:space="preserve">        obstante, cuando se busca en el texto de la  misma,  se  encuentran</w:t>
        <w:br/>
        <w:t xml:space="preserve">        solamente dos referencias vagas en los artículos 34[436] y 45[437].</w:t>
        <w:br/>
        <w:t xml:space="preserve">        Al respecto, concuerdo plenamente con que  “no  es  suficiente  con</w:t>
        <w:br/>
        <w:t xml:space="preserve">        solo inferir un derecho por su nombre desde la  Carta,  también  es</w:t>
        <w:br/>
        <w:t xml:space="preserve">        necesario que la  Carta  establezca  el  contenido  mínimo  de  ese</w:t>
        <w:br/>
        <w:t xml:space="preserve">        derecho. Este contenido mínimo podría ser clarificado luego - hasta</w:t>
        <w:br/>
        <w:t xml:space="preserve">        cierto punto - por otros instrumentos internacionales. Definir todo</w:t>
        <w:br/>
        <w:t xml:space="preserve">        el contenido y  el  alcance  de  un  derecho  por  medio  de  otros</w:t>
        <w:br/>
        <w:t xml:space="preserve">        instrumentos resultaría inevitablemente en una modificación  de  la</w:t>
        <w:br/>
        <w:t xml:space="preserve">        Carta”[438].</w:t>
        <w:br/>
        <w:br/>
        <w:br/>
        <w:t xml:space="preserve">     8. En este sentido, cabe recalcar que:</w:t>
        <w:br/>
        <w:br/>
        <w:br/>
        <w:t xml:space="preserve">   “La inclusión [del artículo 26] en el  texto  convencional  requiere  el</w:t>
        <w:br/>
        <w:t xml:space="preserve">   esfuerzo teórico por dotarla de sentido, acorde con las demás normas  de</w:t>
        <w:br/>
        <w:t xml:space="preserve">   la Convención y los principios que rigen su interpretación, evitando dos</w:t>
        <w:br/>
        <w:t xml:space="preserve">   posturas que entendemos  incorrectas  [entre  ellas],  la  tentación  de</w:t>
        <w:br/>
        <w:t xml:space="preserve">   introducir mediante este  artículo  un  catálogo  completo  de  derechos</w:t>
        <w:br/>
        <w:t xml:space="preserve">   sociales  que  evidentemente  los  Estados  no  tuvieron  intención   de</w:t>
        <w:br/>
        <w:t xml:space="preserve">   incorporar en el sistema de la Convención, diseñado principalmente  para</w:t>
        <w:br/>
        <w:t xml:space="preserve">   la tutela de derechos civiles y políticos”[439].</w:t>
        <w:br/>
        <w:br/>
        <w:t xml:space="preserve">     9. Si bien hubiera sido deseable cuando se estableció el  artículo  26</w:t>
        <w:br/>
        <w:t xml:space="preserve">        que se utilizara una técnica legislativa menos problemática como lo</w:t>
        <w:br/>
        <w:t xml:space="preserve">        es el sistema de remisiones complejo a  la  Carta  de  la  OEA,  lo</w:t>
        <w:br/>
        <w:t xml:space="preserve">        cierto es que la remisión es a la  Carta  y  no  a  la  Declaración</w:t>
        <w:br/>
        <w:t xml:space="preserve">        Americana de los Derechos y Deberes  del  Hombre,  lo  cual  podría</w:t>
        <w:br/>
        <w:t xml:space="preserve">        haber producido  una  interpretación  distinta,  debido  a  que  la</w:t>
        <w:br/>
        <w:t xml:space="preserve">        declaración sí cuenta con referencias más claras a  los  DESC[440].</w:t>
        <w:br/>
        <w:t xml:space="preserve">        Lamentablemente, este no es el caso[441].</w:t>
        <w:br/>
        <w:br/>
        <w:t xml:space="preserve">    10. Por otra parte, se ha  afirmado  que  la  Corte  Interamericana  ya</w:t>
        <w:br/>
        <w:t xml:space="preserve">        habría aceptado en el caso Acevedo Buendía  y  otros  (“Cesantes  y</w:t>
        <w:br/>
        <w:t xml:space="preserve">        Jubilados de la Contraloría”) Vs. Perú que el  artículo  26  de  la</w:t>
        <w:br/>
        <w:t xml:space="preserve">        Convención contiene en catálogo preciso de DESC, los cuales  serían</w:t>
        <w:br/>
        <w:t xml:space="preserve">        exigibles de manera directa. En mi opinión, el alcance  que  se  le</w:t>
        <w:br/>
        <w:t xml:space="preserve">        está tratando de dar a esta Sentencia es excesivo. En primer lugar,</w:t>
        <w:br/>
        <w:t xml:space="preserve">        en la Sentencia no se declara la violación del  artículo  26  y  el</w:t>
        <w:br/>
        <w:t xml:space="preserve">        estudio que se realiza es precisamente en torno a la obligación  de</w:t>
        <w:br/>
        <w:t xml:space="preserve">        desarrollo progresivo y no respecto a una exigibilidad  directa  de</w:t>
        <w:br/>
        <w:t xml:space="preserve">        algún derecho en particular. En  segundo  lugar,  la  Sentencia  no</w:t>
        <w:br/>
        <w:t xml:space="preserve">        define ni aclara cuál sería el DESC que se estaría tutelando, ni su</w:t>
        <w:br/>
        <w:t xml:space="preserve">        alcance o contenido mínimo. En tercer lugar, incluso si se quisiera</w:t>
        <w:br/>
        <w:t xml:space="preserve">        derivar algún tipo de justiciabilidad directa de la  afirmación  de</w:t>
        <w:br/>
        <w:t xml:space="preserve">        que las obligaciones  de  respeto  y  garantía  son  aplicables  al</w:t>
        <w:br/>
        <w:t xml:space="preserve">        artículo 26 de la Convención, cabe recalcar que estas  afirmaciones</w:t>
        <w:br/>
        <w:t xml:space="preserve">        son un obiter dictum de la Sentencia, por cuanto no tienen relación</w:t>
        <w:br/>
        <w:t xml:space="preserve">        directa con la decisión final que fue la de no declarar violado  el</w:t>
        <w:br/>
        <w:t xml:space="preserve">        artículo 26[442].  Además,  este  punto  de  la  Sentencia  no  fue</w:t>
        <w:br/>
        <w:t xml:space="preserve">        reiterada en la jurisprudencia posterior de la Corte a pesar de que</w:t>
        <w:br/>
        <w:t xml:space="preserve">        se han presentado casos en la que las violaciones alegadas  podrían</w:t>
        <w:br/>
        <w:t xml:space="preserve">        haberle permitido a la Corte reafirmar  su  posición,  por  lo  que</w:t>
        <w:br/>
        <w:t xml:space="preserve">        quedan dudas si después de seis años de adoptado el Fallo se  puede</w:t>
        <w:br/>
        <w:t xml:space="preserve">        considerar un  precedente  constante.  Finalmente,  esta  Sentencia</w:t>
        <w:br/>
        <w:t xml:space="preserve">        tiene un problema de base importante, porque no hizo mención alguna</w:t>
        <w:br/>
        <w:t xml:space="preserve">        al Protocolo de  San  Salvador,  lo  cual  como  se  estudiará  más</w:t>
        <w:br/>
        <w:t xml:space="preserve">        adelante, es fundamental para entender la competencia de  la  Corte</w:t>
        <w:br/>
        <w:t xml:space="preserve">        en esta materia.</w:t>
        <w:br/>
        <w:br/>
        <w:t xml:space="preserve">    11. Teniendo en cuenta lo anterior, es posible arribar  a  una  primera</w:t>
        <w:br/>
        <w:t xml:space="preserve">        conclusión y es que el artículo 26 de la  Convención  Americana  no</w:t>
        <w:br/>
        <w:t xml:space="preserve">        contiene un catálogo de derechos subjetivos establecido  de  manera</w:t>
        <w:br/>
        <w:t xml:space="preserve">        clara, precisamente por los problemas que genera la remisión  a  la</w:t>
        <w:br/>
        <w:t xml:space="preserve">        Carta de la OEA. Por tanto, la obligación que este artículo implica</w:t>
        <w:br/>
        <w:t xml:space="preserve">        y  que  la  Corte  puede  supervisar  de  manera  directa   es   el</w:t>
        <w:br/>
        <w:t xml:space="preserve">        cumplimiento  de  la  obligación  de  desarrollo  progresivo  y  su</w:t>
        <w:br/>
        <w:t xml:space="preserve">        consecuente deber de  no  regresividad,  de  los  derechos  que  se</w:t>
        <w:br/>
        <w:t xml:space="preserve">        pudieran derivar de la Carta más allá de la  simple  referencia  al</w:t>
        <w:br/>
        <w:t xml:space="preserve">        nombre, como lo podría ser el derecho al trabajo[443].</w:t>
        <w:br/>
        <w:br/>
        <w:t xml:space="preserve">   C. El Protocolo de San Salvador</w:t>
        <w:br/>
        <w:br/>
        <w:br/>
        <w:t xml:space="preserve">    12. Como se señaló anteriormente, no es  posible  abordar  los  debates</w:t>
        <w:br/>
        <w:t xml:space="preserve">        sobre la competencia de la Corte Interamericana en materia de  DESC</w:t>
        <w:br/>
        <w:t xml:space="preserve">        sin tener en cuenta al Protocolo de San Salvador. En efecto, en  el</w:t>
        <w:br/>
        <w:t xml:space="preserve">        decimoctavo período ordinario de sesiones  celebrado  en  1988,  la</w:t>
        <w:br/>
        <w:t xml:space="preserve">        Asamblea General de la OEA abrió a firma el Protocolo  Adicional  a</w:t>
        <w:br/>
        <w:t xml:space="preserve">        la Convención  Americana  sobre  Derechos  Humanos  en  materia  de</w:t>
        <w:br/>
        <w:t xml:space="preserve">        Derechos  Económicos,  Sociales  y  Culturales  (Protocolo  de  San</w:t>
        <w:br/>
        <w:t xml:space="preserve">        Salvador). El texto del Protocolo se basó en un borrador de trabajo</w:t>
        <w:br/>
        <w:t xml:space="preserve">        preparado por la Comisión Interamericana[444] y fue adoptado el  17</w:t>
        <w:br/>
        <w:t xml:space="preserve">        de noviembre de  1988.  El  Protocolo  entró  en  vigor  el  16  de</w:t>
        <w:br/>
        <w:t xml:space="preserve">        noviembre de 1999 después de la ratificación de 11 Estados y  a  la</w:t>
        <w:br/>
        <w:t xml:space="preserve">        fecha ha sido ratificado por 16 Estados[445].</w:t>
        <w:br/>
        <w:br/>
        <w:t xml:space="preserve">    13. Sobre la naturaleza de los protocolos, cabe recordar que  éstos  en</w:t>
        <w:br/>
        <w:t xml:space="preserve">        el derecho internacional público son acuerdos  independientes  pero</w:t>
        <w:br/>
        <w:t xml:space="preserve">        subsidiarios a un  tratado  que  adicionan,  aclaran,  modifican  o</w:t>
        <w:br/>
        <w:t xml:space="preserve">        complementan el contenido procedimental o sustancial del mismo.  La</w:t>
        <w:br/>
        <w:t xml:space="preserve">        existencia de un protocolo está directamente ligada a la existencia</w:t>
        <w:br/>
        <w:t xml:space="preserve">        del tratado, es decir, sin tratado base no existe protocolo[446].</w:t>
        <w:br/>
        <w:br/>
        <w:br/>
        <w:t xml:space="preserve">    14. La relevancia del Protocolo radica en que es mediante este  tratado</w:t>
        <w:br/>
        <w:t xml:space="preserve">        que los Estados de la región tomaron la decisión de definir  cuáles</w:t>
        <w:br/>
        <w:t xml:space="preserve">        son los DESC que están obligados a cumplir. Asimismo, establecieron</w:t>
        <w:br/>
        <w:t xml:space="preserve">        de manera clara y precisa el  contenido  de  dichos  derechos.  Por</w:t>
        <w:br/>
        <w:t xml:space="preserve">        ejemplo, el artículo 10 del Protocolo  consagra  el  derecho  a  la</w:t>
        <w:br/>
        <w:t xml:space="preserve">        salud de la siguiente manera:</w:t>
        <w:br/>
        <w:br/>
        <w:br/>
        <w:t xml:space="preserve">                                 Artículo 10</w:t>
        <w:br/>
        <w:t xml:space="preserve">                             Derecho a la Salud</w:t>
        <w:br/>
        <w:br/>
        <w:br/>
        <w:t xml:space="preserve">   1. Toda persona tiene derecho a la salud, entendida como el disfrute del</w:t>
        <w:br/>
        <w:t xml:space="preserve">   más alto nivel de bienestar físico, mental y social.</w:t>
        <w:br/>
        <w:t xml:space="preserve">   2. Con el fin de hacer efectivo el derecho a la salud los Estados partes</w:t>
        <w:br/>
        <w:t xml:space="preserve">   se  comprometen  a  reconocer  la  salud  como   un   bien   público   y</w:t>
        <w:br/>
        <w:t xml:space="preserve">   particularmente a adoptar las siguientes medidas  para  garantizar  este</w:t>
        <w:br/>
        <w:t xml:space="preserve">   derecho:</w:t>
        <w:br/>
        <w:t xml:space="preserve">   a. la atención primaria de la salud, entendiendo como tal la  asistencia</w:t>
        <w:br/>
        <w:t xml:space="preserve">   sanitaria esencial </w:t>
        <w:br/>
        <w:t xml:space="preserve">   puesta al alcance de todos los individuos y familiares de la comunidad;</w:t>
        <w:br/>
        <w:t xml:space="preserve">   b. la extensión de los beneficios de los servicios de salud a todos  los</w:t>
        <w:br/>
        <w:t xml:space="preserve">   individuos sujetos </w:t>
        <w:br/>
        <w:t xml:space="preserve">   a la jurisdicción del Estado;</w:t>
        <w:br/>
        <w:t xml:space="preserve">   c.  la  total   inmunización   contra   las   principales   enfermedades</w:t>
        <w:br/>
        <w:t xml:space="preserve">   infecciosas;</w:t>
        <w:br/>
        <w:t xml:space="preserve">   d. la  prevención  y  el  tratamiento  de  las  enfermedades  endémicas,</w:t>
        <w:br/>
        <w:t xml:space="preserve">   profesionales y de </w:t>
        <w:br/>
        <w:t xml:space="preserve">   otra índole;</w:t>
        <w:br/>
        <w:t xml:space="preserve">   e. la educación de la población sobre la prevención y tratamiento de los</w:t>
        <w:br/>
        <w:t xml:space="preserve">   problemas de </w:t>
        <w:br/>
        <w:t xml:space="preserve">   salud, y</w:t>
        <w:br/>
        <w:t xml:space="preserve">   f. la satisfacción de las necesidades de salud de los grupos de más alto</w:t>
        <w:br/>
        <w:t xml:space="preserve">   riesgo y que </w:t>
        <w:br/>
        <w:t xml:space="preserve">   por sus condiciones de pobreza sean más vulnerables.</w:t>
        <w:br/>
        <w:br/>
        <w:t xml:space="preserve">    15. Sin embargo, los Estados tomaron la decisión soberana de restringir</w:t>
        <w:br/>
        <w:t xml:space="preserve">        cuáles de los DESC consagrados en el Protocolo podían ser objeto de</w:t>
        <w:br/>
        <w:t xml:space="preserve">        supervisión por medio del mecanismo de peticiones  individuales  al</w:t>
        <w:br/>
        <w:t xml:space="preserve">        establecer en el artículo 19.6 que:</w:t>
        <w:br/>
        <w:br/>
        <w:t xml:space="preserve">   6. En el caso de que los derechos establecidos  en  el  párrafo  a)  del</w:t>
        <w:br/>
        <w:t xml:space="preserve">   artículo 8 y en el artículo 13 fuesen violados por una acción  imputable</w:t>
        <w:br/>
        <w:t xml:space="preserve">   directamente a un Estado parte del  presente  Protocolo,  tal  situación</w:t>
        <w:br/>
        <w:t xml:space="preserve">   podría  dar  lugar,   mediante   la   participación   de   la   Comisión</w:t>
        <w:br/>
        <w:t xml:space="preserve">   Interamericana de  Derechos  Humanos,  y  cuando  proceda  de  la  Corte</w:t>
        <w:br/>
        <w:t xml:space="preserve">   Interamericana de Derechos Humanos,  a  la  aplicación  del  sistema  de</w:t>
        <w:br/>
        <w:t xml:space="preserve">   peticiones individuales regulado por los artículos 44 a 51 y 61 a 69  de</w:t>
        <w:br/>
        <w:t xml:space="preserve">   la Convención Americana sobre Derechos  Humanos.  (Subrayado  fuera  del</w:t>
        <w:br/>
        <w:t xml:space="preserve">   texto)</w:t>
        <w:br/>
        <w:br/>
        <w:t xml:space="preserve">    16. Es así como, mediante esta  disposición,  los  Estados  resolvieron</w:t>
        <w:br/>
        <w:t xml:space="preserve">        limitar la competencia de la Comisión y de la Corte para conocer de</w:t>
        <w:br/>
        <w:t xml:space="preserve">        casos contenciosos que no se encuentren  relacionados  con  algunos</w:t>
        <w:br/>
        <w:t xml:space="preserve">        derechos sindicales y con el derecho a la educación. En efecto,  en</w:t>
        <w:br/>
        <w:t xml:space="preserve">        el presente caso la Corte ejerciendo la competencia que  le  otorga</w:t>
        <w:br/>
        <w:t xml:space="preserve">        este artículo declaró la vulneración del  derecho  a  la  educación</w:t>
        <w:br/>
        <w:t xml:space="preserve">        consagrado en el artículo 13 del Protocolo de San Salvador[447].</w:t>
        <w:br/>
        <w:br/>
        <w:t xml:space="preserve">    17. Ahora bien, esta limitación de competencia no debe entenderse  como</w:t>
        <w:br/>
        <w:t xml:space="preserve">        contradictoria con lo dispuesto con el artículo 26 de la Convención</w:t>
        <w:br/>
        <w:t xml:space="preserve">        Americana, si se tiene en cuenta que esta norma expresa la voluntad</w:t>
        <w:br/>
        <w:t xml:space="preserve">        posterior y más específica de los Estados sobre la  competencia  de</w:t>
        <w:br/>
        <w:t xml:space="preserve">        la Corte  Interamericana  sobre  DESC.  Tampoco  se  debe  leer  la</w:t>
        <w:br/>
        <w:t xml:space="preserve">        Convención Americana de  forma  aislada  sin  tener  en  cuenta  su</w:t>
        <w:br/>
        <w:t xml:space="preserve">        Protocolo, por cuanto son tratados complementarios  que  deben  ser</w:t>
        <w:br/>
        <w:t xml:space="preserve">        leídos e interpretados de manera conjunta. De manera que  la  Corte</w:t>
        <w:br/>
        <w:t xml:space="preserve">        puede conocer de casos contenciosos en  los  que  se  argumente  la</w:t>
        <w:br/>
        <w:t xml:space="preserve">        violación de la obligación de desarrollo progresivo de los derechos</w:t>
        <w:br/>
        <w:t xml:space="preserve">        que se pudieran derivar de la Carta, en virtud el artículo 26 de la</w:t>
        <w:br/>
        <w:t xml:space="preserve">        Convención, así  como  de  aquellos  casos  en  que  se  alegue  la</w:t>
        <w:br/>
        <w:t xml:space="preserve">        vulneración de los artículos 8.a y 13 del Protocolo.</w:t>
        <w:br/>
        <w:br/>
        <w:t xml:space="preserve">    18. Asimismo, es relevante señalar que las obligaciones  generadas  por</w:t>
        <w:br/>
        <w:t xml:space="preserve">        el Protocolo a los Estados Parte son independientes al hecho de que</w:t>
        <w:br/>
        <w:t xml:space="preserve">        la Corte tenga competencia para declarar violaciones en el marco de</w:t>
        <w:br/>
        <w:t xml:space="preserve">        su  función  contenciosa.  Simplemente  para   la   vigilancia   de</w:t>
        <w:br/>
        <w:t xml:space="preserve">        cumplimiento  de  estos  derechos  los  Estados  dispusieron  otros</w:t>
        <w:br/>
        <w:t xml:space="preserve">        mecanismos, como lo son los establecidos en los demás  incisos  del</w:t>
        <w:br/>
        <w:t xml:space="preserve">        artículo 19 del Protocolo, tales como la  posibilidad  de  formular</w:t>
        <w:br/>
        <w:t xml:space="preserve">        observaciones y recomendaciones sobre la situación de los  DESC  en</w:t>
        <w:br/>
        <w:t xml:space="preserve">        el informe anual de la Comisión Interamericana.</w:t>
        <w:br/>
        <w:br/>
        <w:t xml:space="preserve">    19. No obstante a que la disposición del artículo  19.6  del  Protocolo</w:t>
        <w:br/>
        <w:t xml:space="preserve">        deja establecida la limitación de  competencia  de  forma  clara  y</w:t>
        <w:br/>
        <w:t xml:space="preserve">        precisa, algunos autores han señalado que se debe acudir al  método</w:t>
        <w:br/>
        <w:t xml:space="preserve">        de interpretación evolutiva  y  al  principio  pro  homine  con  la</w:t>
        <w:br/>
        <w:t xml:space="preserve">        finalidad de actualizar el sentido y alcance normativo del artículo</w:t>
        <w:br/>
        <w:t xml:space="preserve">        26 de la Convención. Por ello, a continuación procederé a  estudiar</w:t>
        <w:br/>
        <w:t xml:space="preserve">        algunos de los argumentos  que  se  exponen  para  justificar  esta</w:t>
        <w:br/>
        <w:t xml:space="preserve">        posición.</w:t>
        <w:br/>
        <w:br/>
        <w:br/>
        <w:t xml:space="preserve">   D. Interpretación evolutiva y principio pro homine</w:t>
        <w:br/>
        <w:br/>
        <w:t xml:space="preserve">    20. Sobre este punto, quienes propenden por una justiciabilidad directa</w:t>
        <w:br/>
        <w:t xml:space="preserve">        de los DESC por  vía  de  la  aplicación  del  artículo  26  de  la</w:t>
        <w:br/>
        <w:t xml:space="preserve">        Convención, han argumentado que una manera de superar la barrera de</w:t>
        <w:br/>
        <w:t xml:space="preserve">        competencia estipulada en el Protocolo sería mediante la aplicación</w:t>
        <w:br/>
        <w:t xml:space="preserve">        de una interpretación evolutiva. En particular, utilizan el derecho</w:t>
        <w:br/>
        <w:t xml:space="preserve">        comparado  como  herramienta,  debido  a  que   varios   tribunales</w:t>
        <w:br/>
        <w:t xml:space="preserve">        constitucionales de  los  países  de  la  región  han  aceptado  la</w:t>
        <w:br/>
        <w:t xml:space="preserve">        justiciabilidad directa de los DESC.  Al  respecto,  considero  que</w:t>
        <w:br/>
        <w:t xml:space="preserve">        esta temática debe ser abordada por dos vías. La primera implica un</w:t>
        <w:br/>
        <w:t xml:space="preserve">        examen de los demás métodos interpretativos con los que  se  cuenta</w:t>
        <w:br/>
        <w:t xml:space="preserve">        en el derecho internacional, ya que el método evolutivo  no  es  el</w:t>
        <w:br/>
        <w:t xml:space="preserve">        único que debe ser tenido en cuenta. En segundo lugar, expondré  mi</w:t>
        <w:br/>
        <w:t xml:space="preserve">        opinión sobre cómo debe ser valorado el derecho comparado  en  este</w:t>
        <w:br/>
        <w:t xml:space="preserve">        tema.</w:t>
        <w:br/>
        <w:br/>
        <w:t xml:space="preserve">    21. Sobre los métodos  de  interpretación  que  deben  ser  tenidos  en</w:t>
        <w:br/>
        <w:t xml:space="preserve">        cuenta, los artículos 31 y 32 de la Convención de  Viena  sobre  el</w:t>
        <w:br/>
        <w:t xml:space="preserve">        Derecho de los Tratados establecen los principales métodos. Esto ha</w:t>
        <w:br/>
        <w:t xml:space="preserve">        sido acogido por la Corte Interamericana en su  jurisprudencia,  de</w:t>
        <w:br/>
        <w:t xml:space="preserve">        manera que además del método evolutivo ha utilizado otros criterios</w:t>
        <w:br/>
        <w:t xml:space="preserve">        de  interpretación,  tales  como  la  interpretación  literal,   la</w:t>
        <w:br/>
        <w:t xml:space="preserve">        interpretación sistemática  y  la  interpretación  teleológica.  Al</w:t>
        <w:br/>
        <w:t xml:space="preserve">        respecto, la Corte ha entendido que la interpretación   literal  es</w:t>
        <w:br/>
        <w:t xml:space="preserve">        aquella que se realiza de buena fe conforme al sentido corriente de</w:t>
        <w:br/>
        <w:t xml:space="preserve">        los términos. Este tipo de interpretación  ha  sido  usada  por  la</w:t>
        <w:br/>
        <w:t xml:space="preserve">        Corte a través del significado literal  de  algunas  expresiones  o</w:t>
        <w:br/>
        <w:t xml:space="preserve">        palabras de la Convención y otros  tratados[448].  De  otra  parte,</w:t>
        <w:br/>
        <w:t xml:space="preserve">        según la interpretación sistemática, la Corte ha sostenido que  las</w:t>
        <w:br/>
        <w:t xml:space="preserve">        normas  deben  ser  interpretadas  como  parte  de  un  todo   cuyo</w:t>
        <w:br/>
        <w:t xml:space="preserve">        significado y alcance deben fijarse en función del sistema jurídico</w:t>
        <w:br/>
        <w:t xml:space="preserve">        al  cual  pertenecen[449].  En   el   marco   de   este   tipo   de</w:t>
        <w:br/>
        <w:t xml:space="preserve">        interpretación, el Tribunal ha analizado los trabajos preparatorios</w:t>
        <w:br/>
        <w:t xml:space="preserve">        de la Declaración Americana y de la Convención Americana, así  como</w:t>
        <w:br/>
        <w:t xml:space="preserve">        algunos de los  instrumentos  del  sistema  universal  de  derechos</w:t>
        <w:br/>
        <w:t xml:space="preserve">        humanos y otros sistemas regionales de protección como el europeo y</w:t>
        <w:br/>
        <w:t xml:space="preserve">        el africano[450].  Asimismo,  la  Corte  también  ha  utilizado  la</w:t>
        <w:br/>
        <w:t xml:space="preserve">        interpretación teleológica.  Respecto  a  esta  interpretación,  la</w:t>
        <w:br/>
        <w:t xml:space="preserve">        Corte ha analizado el propósito de las normas  involucradas  en  la</w:t>
        <w:br/>
        <w:t xml:space="preserve">        interpretación, considerado pertinente el objeto y fin del  tratado</w:t>
        <w:br/>
        <w:t xml:space="preserve">        mismo y los  propósitos  del  sistema  interamericano  de  derechos</w:t>
        <w:br/>
        <w:t xml:space="preserve">        humanos. Por último, la interpretación evolutiva implica que:</w:t>
        <w:br/>
        <w:br/>
        <w:t xml:space="preserve">   los  tratados  de  derechos  humanos  son   instrumentos   vivos,   cuya</w:t>
        <w:br/>
        <w:t xml:space="preserve">   interpretación tiene que acompañar la evolución de  los  tiempos  y  las</w:t>
        <w:br/>
        <w:t xml:space="preserve">   condiciones  de  vida  actuales.   Tal   interpretación   evolutiva   es</w:t>
        <w:br/>
        <w:t xml:space="preserve">   consecuente con las reglas generales de interpretación  establecidas  en</w:t>
        <w:br/>
        <w:t xml:space="preserve">   el artículo 29 de la Convención Americana, así como en la Convención  de</w:t>
        <w:br/>
        <w:t xml:space="preserve">   Viena sobre el Derecho de los Tratados. Al efectuar  una  interpretación</w:t>
        <w:br/>
        <w:t xml:space="preserve">   evolutiva la  Corte  le  ha  otorgado  especial  relevancia  al  derecho</w:t>
        <w:br/>
        <w:t xml:space="preserve">   comparado,  razón  por  la  cual  ha  utilizado  normativa  nacional   o</w:t>
        <w:br/>
        <w:t xml:space="preserve">   jurisprudencia  de  tribunales  internos   a   la   hora   de   analizar</w:t>
        <w:br/>
        <w:t xml:space="preserve">   controversias específicas en los casos contenciosos[451].</w:t>
        <w:br/>
        <w:br/>
        <w:t xml:space="preserve">    22. Al respecto, cabe señalar que los métodos de  interpretación  deben</w:t>
        <w:br/>
        <w:t xml:space="preserve">        ser utilizados cuando  una  norma  es  ambigua,  situación  que  no</w:t>
        <w:br/>
        <w:t xml:space="preserve">        considero que se dé respecto a la  limitación  de  competencia  que</w:t>
        <w:br/>
        <w:t xml:space="preserve">        estipula el artículo 19.6 del Protocolo de San Salvador respecto al</w:t>
        <w:br/>
        <w:t xml:space="preserve">        artículo  26  de  la  Convención,  puesto  que,  como   se   indicó</w:t>
        <w:br/>
        <w:t xml:space="preserve">        anteriormente, la norma es clara en su sentido. Sin perjuicio de lo</w:t>
        <w:br/>
        <w:t xml:space="preserve">        anterior, si se quisiera hacer una interpretación de la norma no es</w:t>
        <w:br/>
        <w:t xml:space="preserve">        suficiente con  hacer  uso  de  uno  de  los  diversos  métodos  de</w:t>
        <w:br/>
        <w:t xml:space="preserve">        interpretación existentes, por  cuanto  estos  son  complementarios</w:t>
        <w:br/>
        <w:t xml:space="preserve">        entre sí y ninguno tiene una mayor jerarquía que el otro.</w:t>
        <w:br/>
        <w:br/>
        <w:t xml:space="preserve">    23. A manera de ejemplo utilizaré los otros métodos  de  interpretación</w:t>
        <w:br/>
        <w:t xml:space="preserve">        para demostrar que estos, en vez de  sustentar  la  justiciabilidad</w:t>
        <w:br/>
        <w:t xml:space="preserve">        directa de los DESC por medio del artículo  26  de  la  Convención,</w:t>
        <w:br/>
        <w:t xml:space="preserve">        apoyan la posición que he venido defendiendo en el  presente  voto.</w:t>
        <w:br/>
        <w:t xml:space="preserve">        Respecto a la interpretación literal de las dos normas, a saber  el</w:t>
        <w:br/>
        <w:t xml:space="preserve">        artículo 26 de la Convención  y  el  19.6  del  Protocolo,  implica</w:t>
        <w:br/>
        <w:t xml:space="preserve">        justamente lo que he venido realizando, y es  concluir  que  de  la</w:t>
        <w:br/>
        <w:t xml:space="preserve">        lectura de las dos normas se puede derivar que no fue  voluntad  de</w:t>
        <w:br/>
        <w:t xml:space="preserve">        los Estados establecer una opción de justiciabilidad directa en  el</w:t>
        <w:br/>
        <w:t xml:space="preserve">        artículo 26 y, por el contrario, en el artículo  19.6  determinaron</w:t>
        <w:br/>
        <w:t xml:space="preserve">        una limitación  de  competencia.  La  interpretación  literal  hace</w:t>
        <w:br/>
        <w:t xml:space="preserve">        referencia a la buena fe con que se deben interpretar los  tratados</w:t>
        <w:br/>
        <w:t xml:space="preserve">        y, esto es relevante en este punto, por  cuanto  pareciera  que  la</w:t>
        <w:br/>
        <w:t xml:space="preserve">        intensión de llegar  a  un  resultado  concreto  en  algunos  casos</w:t>
        <w:br/>
        <w:t xml:space="preserve">        desorienta el sentido literal de la norma  o  lleva  a  hacer  caso</w:t>
        <w:br/>
        <w:t xml:space="preserve">        omiso de normas o factores relevantes para la interpretación.</w:t>
        <w:br/>
        <w:br/>
        <w:br/>
        <w:t xml:space="preserve">    24. Con relación a la interpretación sistemática, para  determinar  los</w:t>
        <w:br/>
        <w:t xml:space="preserve">        alcances del artículo 26 de la Convención  no  se  debe  obviar  lo</w:t>
        <w:br/>
        <w:t xml:space="preserve">        establecido  en  el  Protocolo,   ya   que,   como   se   manifestó</w:t>
        <w:br/>
        <w:t xml:space="preserve">        anteriormente, los dos tratados deben ser leídos de forma conjunta.</w:t>
        <w:br/>
        <w:t xml:space="preserve">        Por esto, una interpretación sistemática que solo utilice  a  otros</w:t>
        <w:br/>
        <w:t xml:space="preserve">        artículos de la Convención no puede  ser  considerada  valida.  Por</w:t>
        <w:br/>
        <w:t xml:space="preserve">        otra parte, algunos autores manifiestan que de  una  interpretación</w:t>
        <w:br/>
        <w:t xml:space="preserve">        sistemática con base en el  artículo  4  del  Protocolo  se  podría</w:t>
        <w:br/>
        <w:t xml:space="preserve">        llegar a concluir la inaplicación del artículo 19.6 del  Protocolo.</w:t>
        <w:br/>
        <w:t xml:space="preserve">        Al respecto, el mencionado artículo indica que:</w:t>
        <w:br/>
        <w:br/>
        <w:t xml:space="preserve">                                 Artículo 4</w:t>
        <w:br/>
        <w:t xml:space="preserve">                        No Admisión de Restricciones</w:t>
        <w:br/>
        <w:br/>
        <w:br/>
        <w:t xml:space="preserve">   No podrá restringirse o menoscabarse ninguno de los derechos reconocidos</w:t>
        <w:br/>
        <w:t xml:space="preserve">   o vigentes en un </w:t>
        <w:br/>
        <w:t xml:space="preserve">   Estado  en  virtud  de  su  legislación  interna   o   de   convenciones</w:t>
        <w:br/>
        <w:t xml:space="preserve">   internacionales, a pretexto de que el </w:t>
        <w:br/>
        <w:t xml:space="preserve">   presente Protocolo no los reconoce o los reconoce en menor grado.</w:t>
        <w:br/>
        <w:br/>
        <w:br/>
        <w:t xml:space="preserve">    25. Al respecto, considero que esta norma  sería  aplicable  si  en  el</w:t>
        <w:br/>
        <w:t xml:space="preserve">        artículo 26 de la Convención  se  hubiese  estipulado  un  catálogo</w:t>
        <w:br/>
        <w:t xml:space="preserve">        donde estuvieran los DESC claramente establecidos, pero como ya  se</w:t>
        <w:br/>
        <w:t xml:space="preserve">        expresó, esto no es así, por lo que no se puede argumentar que  son</w:t>
        <w:br/>
        <w:t xml:space="preserve">        dos normas que realmente estén compitiendo. Además, no sería lógico</w:t>
        <w:br/>
        <w:t xml:space="preserve">        pensar  que  este  artículo  cancela  o  deroga  la  limitación  de</w:t>
        <w:br/>
        <w:t xml:space="preserve">        competencia  del  artículo  19.6,  por  cuanto  éste  no  restringe</w:t>
        <w:br/>
        <w:t xml:space="preserve">        derechos, sino competencias de la Comisión y de la Corte. Confundir</w:t>
        <w:br/>
        <w:t xml:space="preserve">        la restricción de un derecho con las limitaciones  de  competencias</w:t>
        <w:br/>
        <w:t xml:space="preserve">        podría conllevar al resultado absurdo  de  abrir  completamente  la</w:t>
        <w:br/>
        <w:t xml:space="preserve">        competencia de la Corte, incluso en contravía de la voluntad de los</w:t>
        <w:br/>
        <w:t xml:space="preserve">        Estados.</w:t>
        <w:br/>
        <w:br/>
        <w:t xml:space="preserve">    26. Con relación a la interpretación teleológica, algunos han  afirmado</w:t>
        <w:br/>
        <w:t xml:space="preserve">        que este método es favorable a la justiciabilidad  directa  de  los</w:t>
        <w:br/>
        <w:t xml:space="preserve">        DESC  por  dos  vías,  a  saber:  i)  el  fin  último  del  sistema</w:t>
        <w:br/>
        <w:t xml:space="preserve">        interamericano es la protección de  los  derechos  humanos  y  esto</w:t>
        <w:br/>
        <w:t xml:space="preserve">        implica intentar  hacer  exigibles  el  mayor  número  de  derechos</w:t>
        <w:br/>
        <w:t xml:space="preserve">        posibles, y ii) cuando se creó el artículo 26 de la  Convención  la</w:t>
        <w:br/>
        <w:t xml:space="preserve">        intención de los Estados no era la de excluir la posibilidad de  la</w:t>
        <w:br/>
        <w:t xml:space="preserve">        exigibilidad directa de los  DESC.  Sobre  el  primer  punto,  cabe</w:t>
        <w:br/>
        <w:t xml:space="preserve">        señalar que precisamente el Protocolo de  San  Salvador  tuvo  como</w:t>
        <w:br/>
        <w:t xml:space="preserve">        finalidad incorporar en el sistema  interamericano  de  manera  más</w:t>
        <w:br/>
        <w:t xml:space="preserve">        exacta los DESC y ampliar el ámbito de protección del sistema,  por</w:t>
        <w:br/>
        <w:t xml:space="preserve">        lo que no es justo posicionar al  Protocolo  como  un  tratado  que</w:t>
        <w:br/>
        <w:t xml:space="preserve">        atentaría contra el fin del sistema interamericano por  simplemente</w:t>
        <w:br/>
        <w:t xml:space="preserve">        establecer reglas de competencia. Además,  sobre  este  punto  debe</w:t>
        <w:br/>
        <w:t xml:space="preserve">        recalcarse que “[s]i el sentido corriente  de  una  disposición  es</w:t>
        <w:br/>
        <w:t xml:space="preserve">        claro  en  no  otorgar  jurisdicción  a  los  órganos  del  sistema</w:t>
        <w:br/>
        <w:t xml:space="preserve">        interamericano, el objeto y fin  de  la  Convención  no  se  pueden</w:t>
        <w:br/>
        <w:t xml:space="preserve">        utilizar para derribar ese resultado”[452].</w:t>
        <w:br/>
        <w:br/>
        <w:br/>
        <w:t xml:space="preserve">    27.  Con  relación  al  segundo  argumento,  si   bien   los   trabajos</w:t>
        <w:br/>
        <w:t xml:space="preserve">        preparatorios son  medios  de  interpretación  complementarios,  la</w:t>
        <w:br/>
        <w:t xml:space="preserve">        Corte Interamericana en algunos casos los ha  usado  para  intentar</w:t>
        <w:br/>
        <w:t xml:space="preserve">        vislumbrar la finalidad o propósito que perseguían los  Estados  al</w:t>
        <w:br/>
        <w:t xml:space="preserve">        momento de crear el tratado. En efecto, en la  Sentencia  del  Caso</w:t>
        <w:br/>
        <w:t xml:space="preserve">        Acevedo Buendía y otros (“Cesantes y Jubilados de la  Contraloría”)</w:t>
        <w:br/>
        <w:t xml:space="preserve">        Vs. Perú se hizo referencia  a  los  mismos  con  la  intensión  de</w:t>
        <w:br/>
        <w:t xml:space="preserve">        mostrar que los Estados habrían podido  estar  de  acuerdo  con  la</w:t>
        <w:br/>
        <w:t xml:space="preserve">        justiciabilidad directa de los DESC cuando se discutió el  artículo</w:t>
        <w:br/>
        <w:t xml:space="preserve">        26 de la Convención. Al respecto, cabe resaltar que:</w:t>
        <w:br/>
        <w:br/>
        <w:t xml:space="preserve">   El Tribunal solo presentó los puntos de vista de  aquellos  Estados  que</w:t>
        <w:br/>
        <w:t xml:space="preserve">   trataron de materializar el ejercicio  de  los  DESC  por  medio  de  la</w:t>
        <w:br/>
        <w:t xml:space="preserve">   actividad de la Corte. No se hizo mención de los países que se opusieron</w:t>
        <w:br/>
        <w:t xml:space="preserve">   a la exigibilidad de los DESC y, más importante,  como  Burgorgue-Larsen</w:t>
        <w:br/>
        <w:t xml:space="preserve">   recalca: nada se dijo sobre el proceso por el cual en  última  instancia</w:t>
        <w:br/>
        <w:t xml:space="preserve">   se dio lugar a la elaboración de Artículo 26 como tal. Tampoco  se  dijo</w:t>
        <w:br/>
        <w:t xml:space="preserve">   nada sobre el alcance que los diferentes Estados  estaban  dispuestos  a</w:t>
        <w:br/>
        <w:t xml:space="preserve">   otorgar a  este  artículo.  ¿Significa  esto  que  el  artículo  era  el</w:t>
        <w:br/>
        <w:t xml:space="preserve">   resultado de un compromiso,  o  esto  representa  aquellos  Estados  que</w:t>
        <w:br/>
        <w:t xml:space="preserve">   estaban a favor de dar a los derechos económicos y sociales un lugar tan</w:t>
        <w:br/>
        <w:t xml:space="preserve">   importante? Claramente, los silencios de la Corte  fueron  parte  de  su</w:t>
        <w:br/>
        <w:t xml:space="preserve">   estrategia para llegar a su  objetivo,  pase  lo  que  pase,  es  decir,</w:t>
        <w:br/>
        <w:t xml:space="preserve">   confiriendo el alcance más amplio posible  sobre  el  artículo  26.  Sin</w:t>
        <w:br/>
        <w:t xml:space="preserve">   embargo, dejando fuera a Brasil y Guatemala, los trabajos  preparatorios</w:t>
        <w:br/>
        <w:t xml:space="preserve">   muestran cuán reacios fueron la mayoría de los  Estados  para  reconocer</w:t>
        <w:br/>
        <w:t xml:space="preserve">   que  lo  que  iba  a  convertirse  en  el  artículo   26   debería   ser</w:t>
        <w:br/>
        <w:t xml:space="preserve">   procesable[453]. (Subrayado fuera del texto)</w:t>
        <w:br/>
        <w:br/>
        <w:br/>
        <w:t xml:space="preserve">    28. Respecto al uso del derecho comparado como una vía para  fortalecer</w:t>
        <w:br/>
        <w:t xml:space="preserve">        una posible interpretación evolutiva en  la  materia,  si  bien  es</w:t>
        <w:br/>
        <w:t xml:space="preserve">        cierto que la mayoría de la Constituciones  de  los  países  de  la</w:t>
        <w:br/>
        <w:t xml:space="preserve">        región consagran catálogos de  DESC  y  en  muchos  se  concede  la</w:t>
        <w:br/>
        <w:t xml:space="preserve">        posibilidad de justiciabilidad directa de los  mismos,  estimo  que</w:t>
        <w:br/>
        <w:t xml:space="preserve">        esto no es un argumento suficiente  para  ampliar  el  alcance  del</w:t>
        <w:br/>
        <w:t xml:space="preserve">        artículo 26 de la Convención. Al  respecto,  reitero  que  son  los</w:t>
        <w:br/>
        <w:t xml:space="preserve">        mismos Estados los que tomaron la decisión  de  no  garantizar  una</w:t>
        <w:br/>
        <w:t xml:space="preserve">        justiciabilidad directa en  este  artículo  y,  por  el  contrario,</w:t>
        <w:br/>
        <w:t xml:space="preserve">        cuando crearon  el  catálogo  de  derechos  mediante  el  Protocolo</w:t>
        <w:br/>
        <w:t xml:space="preserve">        resolvieron limitar la competencia de la Corte. Entonces,  si  bien</w:t>
        <w:br/>
        <w:t xml:space="preserve">        internamente los Estados han  ido  ampliando  su  posición,  no  le</w:t>
        <w:br/>
        <w:t xml:space="preserve">        compete a la Corte  modificar  la  voluntad  que  fue  inicialmente</w:t>
        <w:br/>
        <w:t xml:space="preserve">        expresada en el Protocolo. En este sentido, la Convención Americana</w:t>
        <w:br/>
        <w:t xml:space="preserve">        en sus artículos 31, 76 y 77  determina  que,  en  caso  de  querer</w:t>
        <w:br/>
        <w:t xml:space="preserve">        reconocer  otros  derechos,  es  posible   realizar   enmiendas   o</w:t>
        <w:br/>
        <w:t xml:space="preserve">        protocolos que lo permitan. Por ello, concuerdo con que  “[s]i  los</w:t>
        <w:br/>
        <w:t xml:space="preserve">        Estados quieren realmente tomarse en serio el tema es  urgente  una</w:t>
        <w:br/>
        <w:t xml:space="preserve">        revisión de los tratados en la materia para que sean  ellos  mismos</w:t>
        <w:br/>
        <w:t xml:space="preserve">        quienes decidan actualizar sus obligaciones sobre el tema”[454].</w:t>
        <w:br/>
        <w:br/>
        <w:t xml:space="preserve">    29. Por otra parte, algunos autores  acuden  al  principio  pro  homine</w:t>
        <w:br/>
        <w:t xml:space="preserve">        establecido en el artículo 29 de la  Convención  para  afirmar  que</w:t>
        <w:br/>
        <w:t xml:space="preserve">        este propende por la  exigibilidad  directa  de  los  DESC  vía  el</w:t>
        <w:br/>
        <w:t xml:space="preserve">        artículo 26, dado que esta posición  sería  más  garantista.  Sobre</w:t>
        <w:br/>
        <w:t xml:space="preserve">        este  principio,  la  Corte  ha  establecido  que  “el  sistema  de</w:t>
        <w:br/>
        <w:t xml:space="preserve">        protección internacional debe ser entendido como una  integralidad,</w:t>
        <w:br/>
        <w:t xml:space="preserve">        principio recogido en el artículo 29 de la Convención Americana, el</w:t>
        <w:br/>
        <w:t xml:space="preserve">        cual impone un marco de protección que siempre da preferencia a  la</w:t>
        <w:br/>
        <w:t xml:space="preserve">        interpretación o a la norma que más favorezca los  derechos  de  la</w:t>
        <w:br/>
        <w:t xml:space="preserve">        persona humana, objetivo angular de protección de todo el [s]istema</w:t>
        <w:br/>
        <w:t xml:space="preserve">        [i]nteramericano.   En   este   sentido,   la   adopción   de   una</w:t>
        <w:br/>
        <w:t xml:space="preserve">        interpretación restrictiva en cuanto al alcance de  la  competencia</w:t>
        <w:br/>
        <w:t xml:space="preserve">        de este Tribunal no  sólo  iría  contra  el  objeto  y  fin  de  la</w:t>
        <w:br/>
        <w:t xml:space="preserve">        Convención, sino que además afectaría el efecto  útil  del  tratado</w:t>
        <w:br/>
        <w:t xml:space="preserve">        mismo  y  de  la  garantía  de  protección   que   establece,   con</w:t>
        <w:br/>
        <w:t xml:space="preserve">        consecuencias negativas para la presunta víctima en el ejercicio de</w:t>
        <w:br/>
        <w:t xml:space="preserve">        su derecho de acceso a la justicia”[455]. En efecto,  el  principio</w:t>
        <w:br/>
        <w:t xml:space="preserve">        pro homine debe ser aplicado cuando la Corte se encuentre frente  a</w:t>
        <w:br/>
        <w:t xml:space="preserve">        dos posibles interpretaciones válidas y ciertas. Justamente, lo que</w:t>
        <w:br/>
        <w:t xml:space="preserve">        ha demostrado el análisis llevado a cabo en el presente voto es que</w:t>
        <w:br/>
        <w:t xml:space="preserve">        la justiciabilidad directa de los DESC a partir del artículo 26  de</w:t>
        <w:br/>
        <w:t xml:space="preserve">        la Convención no es una interpretación válida, dado que lo  que  se</w:t>
        <w:br/>
        <w:t xml:space="preserve">        está  intentando  es  derivar  un  enunciado   normativo   que   no</w:t>
        <w:br/>
        <w:t xml:space="preserve">        corresponde a la norma[456].</w:t>
        <w:br/>
        <w:br/>
        <w:t xml:space="preserve">   E. Conclusión y consideraciones finales</w:t>
        <w:br/>
        <w:br/>
        <w:t xml:space="preserve">    30. Una  vez  expuestos  los  argumentos  jurídicos  que  sustentan  mi</w:t>
        <w:br/>
        <w:t xml:space="preserve">        decisión en  la  presente  Sentencia,  me  parece  adecuado  además</w:t>
        <w:br/>
        <w:t xml:space="preserve">        presentar otras razones que refuerzan el sentido  de  mi  posición.</w:t>
        <w:br/>
        <w:t xml:space="preserve">        Para empezar, uno de los motivos por los cuales los  argumentos  de</w:t>
        <w:br/>
        <w:t xml:space="preserve">        quienes están en pro de la justiciabilidad directa de  los  DESC  a</w:t>
        <w:br/>
        <w:t xml:space="preserve">        través del artículo 26 no me  parecen  persuasivos,  es  porque  no</w:t>
        <w:br/>
        <w:t xml:space="preserve">        logran fundamentar cómo esta vía, que implica ir en contravía de lo</w:t>
        <w:br/>
        <w:t xml:space="preserve">        expresamente señalado por el Protocolo, es una mejor opción que las</w:t>
        <w:br/>
        <w:t xml:space="preserve">        otras vías  de  protección  que  ha  utilizado  la  Corte  como  la</w:t>
        <w:br/>
        <w:t xml:space="preserve">        conexidad con el derecho a la vida o a la integridad personal, o el</w:t>
        <w:br/>
        <w:t xml:space="preserve">        concepto de “vida digna”. Algunos autores manifiestan que  esto  es</w:t>
        <w:br/>
        <w:t xml:space="preserve">        necesario para dar un ámbito de protección específico de los  DESC,</w:t>
        <w:br/>
        <w:t xml:space="preserve">        sin tener en cuenta que el Protocolo de  San  Salvador  creó  dicho</w:t>
        <w:br/>
        <w:t xml:space="preserve">        ámbito de protección, mas concluyó que la Corte sólo  conocería  de</w:t>
        <w:br/>
        <w:t xml:space="preserve">        manera directa de los derechos consagrados en el artículo 8.a y  13</w:t>
        <w:br/>
        <w:t xml:space="preserve">        del Protocolo. Además, no se ha demostrado que la utilización de la</w:t>
        <w:br/>
        <w:t xml:space="preserve">        conexidad o  del  concepto  de  “vida  digna”  como  mecanismos  de</w:t>
        <w:br/>
        <w:t xml:space="preserve">        protección indirecta de los  DESC[457]  no  sea  efectivo  para  la</w:t>
        <w:br/>
        <w:t xml:space="preserve">        protección y garantía de los derechos de las víctimas, o que no sea</w:t>
        <w:br/>
        <w:t xml:space="preserve">        una opción garantista. Coincido  con  que  es  importante  que  las</w:t>
        <w:br/>
        <w:t xml:space="preserve">        líneas jurisprudenciales sean garantistas y de  avanzada,  pero  en</w:t>
        <w:br/>
        <w:t xml:space="preserve">        estos casos donde la protección se puede alcanzar  por  vías  menos</w:t>
        <w:br/>
        <w:t xml:space="preserve">        gravosas y controvertidas es mejor optar por medios más efectivos y</w:t>
        <w:br/>
        <w:t xml:space="preserve">        dejar de lado algunas pretensiones académicas.</w:t>
        <w:br/>
        <w:br/>
        <w:t xml:space="preserve">    31. En efecto, en la presente Sentencia la Corte decidió  analizar  las</w:t>
        <w:br/>
        <w:t xml:space="preserve">        afectaciones a la salud de Talía Gonzales Lluy por ser una  persona</w:t>
        <w:br/>
        <w:t xml:space="preserve">        con VIH a través de los derechos a la vida y a integridad  personal</w:t>
        <w:br/>
        <w:t xml:space="preserve">        consagrados en los artículos 4 y  5  de  la  Convención.  Esta  vía</w:t>
        <w:br/>
        <w:t xml:space="preserve">        argumentativa no impidió que la Corte realizará importantes avances</w:t>
        <w:br/>
        <w:t xml:space="preserve">        con relación a los  requisitos  de  disponibilidad,  accesibilidad,</w:t>
        <w:br/>
        <w:t xml:space="preserve">        aceptabilidad y calidad en la prestación de los servicios de salud,</w:t>
        <w:br/>
        <w:t xml:space="preserve">        así como a la obligación de regular,  fiscalizar  y  supervisar  la</w:t>
        <w:br/>
        <w:t xml:space="preserve">        prestación de servicios en centros de salud privados.  Lo  anterior</w:t>
        <w:br/>
        <w:t xml:space="preserve">        no implica la creación de un nuevo derecho, sino darle contenido  y</w:t>
        <w:br/>
        <w:t xml:space="preserve">        alcance a derechos como la vida  e  integridad  que  sí  se  hallan</w:t>
        <w:br/>
        <w:t xml:space="preserve">        consagrados en la Convención y, por tanto, aceptado por los Estados</w:t>
        <w:br/>
        <w:t xml:space="preserve">        Parte.</w:t>
        <w:br/>
        <w:br/>
        <w:t xml:space="preserve">    32. Por otra parte,  otra  de  mis  preocupaciones  se  centra  en  que</w:t>
        <w:br/>
        <w:t xml:space="preserve">        expandir la competencia de la Corte desconociendo  la  voluntad  de</w:t>
        <w:br/>
        <w:t xml:space="preserve">        los Estados conlleva la deslegitimación del Tribunal y pone en tela</w:t>
        <w:br/>
        <w:t xml:space="preserve">        de juicio los avances jurisprudenciales que ya se han conseguido en</w:t>
        <w:br/>
        <w:t xml:space="preserve">        otros temas con mucho esfuerzo. La legitimidad  de  los  Tribunales</w:t>
        <w:br/>
        <w:t xml:space="preserve">        está dada, en primer lugar, por la  voluntad  de  los  Estados  que</w:t>
        <w:br/>
        <w:t xml:space="preserve">        decidieron crearlos, así como por sus sentencias, la motivación que</w:t>
        <w:br/>
        <w:t xml:space="preserve">        presenten  en  ellas  y  su  apego  al  Derecho.  Si  la  Corte  se</w:t>
        <w:br/>
        <w:t xml:space="preserve">        extralimita de las funciones que le son  dadas  por  la  Convención</w:t>
        <w:br/>
        <w:t xml:space="preserve">        Americana y demás  tratados  del  sistema  interamericano,  estaría</w:t>
        <w:br/>
        <w:t xml:space="preserve">        minando la legitimidad y confianza que los Estados  depositaron  en</w:t>
        <w:br/>
        <w:t xml:space="preserve">        ella. Una decisión que implicara  desconocer  la  voluntad  de  los</w:t>
        <w:br/>
        <w:t xml:space="preserve">        Estados en este punto puede acarrear una  reacción  negativa  o  un</w:t>
        <w:br/>
        <w:t xml:space="preserve">        malestar que pone en peligro el sistema. Si bien la  Corte  no  fue</w:t>
        <w:br/>
        <w:t xml:space="preserve">        creada para complacer a los Estados, pues tiene la misión de juzgar</w:t>
        <w:br/>
        <w:t xml:space="preserve">        su  responsabilidad  internacional,  tampoco   puede   generar   un</w:t>
        <w:br/>
        <w:t xml:space="preserve">        desbalance  tal  que  pudiera  implicar  la  desprotección  de  los</w:t>
        <w:br/>
        <w:t xml:space="preserve">        derechos humanos que busca salvaguardar. En este sentido, concuerdo</w:t>
        <w:br/>
        <w:t xml:space="preserve">        con que:</w:t>
        <w:br/>
        <w:br/>
        <w:t xml:space="preserve">   “una interpretación de la Corte sobre el alcance  del  artículo  26  que</w:t>
        <w:br/>
        <w:t xml:space="preserve">   permita el acceso directo a violaciones de los  DESC  podría  constituir</w:t>
        <w:br/>
        <w:t xml:space="preserve">   tanto la ampliación  de  la  jurisdicción  como  la  ampliación  de  las</w:t>
        <w:br/>
        <w:t xml:space="preserve">   ‘oportunidades para detectar, denunciar o remediar  el  incumplimiento’,</w:t>
        <w:br/>
        <w:t xml:space="preserve">   en cualquier caso, es posible que produzca una reacción hostil por parte</w:t>
        <w:br/>
        <w:t xml:space="preserve">   del Estado. Una vez más, en ambos casos,  la  hostilidad  de  un  estado</w:t>
        <w:br/>
        <w:t xml:space="preserve">   surgiría principalmente de su creencia de que el organismo supranacional</w:t>
        <w:br/>
        <w:t xml:space="preserve">   está participando en más o en un tipo diferente  de  supervisión  de  la</w:t>
        <w:br/>
        <w:t xml:space="preserve">   aceptada  inicialmente  por  parte  del  Estado.  En  este  modelo,   la</w:t>
        <w:br/>
        <w:t xml:space="preserve">   percepción del estado es más importante que la corrección (en la  medida</w:t>
        <w:br/>
        <w:t xml:space="preserve">   en que esto puede  ser  juzgado  de  manera  objetiva)  de  la  decisión</w:t>
        <w:br/>
        <w:t xml:space="preserve">   supranacional. Si, como se argumenta, los estados entienden los términos</w:t>
        <w:br/>
        <w:t xml:space="preserve">   de la Convención Americana y la decisión de la Corte en  el  caso  Cinco</w:t>
        <w:br/>
        <w:t xml:space="preserve">   Pensionistas y casos posteriores, como límites en el acceso directo para</w:t>
        <w:br/>
        <w:t xml:space="preserve">   litigar los DESC a través del artículo 26, una interpretación más amplia</w:t>
        <w:br/>
        <w:t xml:space="preserve">   de dicho  artículo  por  parte  de  la  Corte  constituiría  una  extra-</w:t>
        <w:br/>
        <w:t xml:space="preserve">   legalización”[458].</w:t>
        <w:br/>
        <w:br/>
        <w:br/>
        <w:t xml:space="preserve">    33. Finalmente, considero que los tribunales de derechos humanos,  como</w:t>
        <w:br/>
        <w:t xml:space="preserve">        la Corte Interamericana, no pueden entrar a suplir las deficiencias</w:t>
        <w:br/>
        <w:t xml:space="preserve">        democráticas de los países, razón por la cual se debe ser cauteloso</w:t>
        <w:br/>
        <w:t xml:space="preserve">        en la materia[459]. Los tribunales de derechos humanos deben buscar</w:t>
        <w:br/>
        <w:t xml:space="preserve">        la protección de los derechos de  las  minorías,  pero  ateniéndose</w:t>
        <w:br/>
        <w:t xml:space="preserve">        siempre a las competencias que les han sido atribuidas. Del balance</w:t>
        <w:br/>
        <w:t xml:space="preserve">        que la Corte logre entre la tentación de expandir  en  demasía  sus</w:t>
        <w:br/>
        <w:t xml:space="preserve">        competencias y la necesidad de avanzar en los estándares  jurídicos</w:t>
        <w:br/>
        <w:t xml:space="preserve">        para la efectiva protección y garantía  de  los  derechos  humanos,</w:t>
        <w:br/>
        <w:t xml:space="preserve">        depende  en  gran  medida  la  estabilidad  y  futuro  del  sistema</w:t>
        <w:br/>
        <w:t xml:space="preserve">        interamericano.</w:t>
        <w:br/>
        <w:br/>
        <w:br/>
        <w:br/>
        <w:br/>
        <w:br/>
        <w:t xml:space="preserve">                        Humberto Antonio Sierra Porto</w:t>
        <w:br/>
        <w:t xml:space="preserve">                                    Juez</w:t>
        <w:br/>
        <w:br/>
        <w:br/>
        <w:t>Pablo Saavedra Alessandri</w:t>
        <w:br/>
        <w:t xml:space="preserve">      Secretario</w:t>
        <w:br/>
        <w:br/>
        <w:br/>
        <w:br/>
        <w:br/>
        <w:br/>
        <w:t xml:space="preserve">                            VOTO CONCURRENTE DEL</w:t>
        <w:br/>
        <w:t xml:space="preserve">                          JUEZ ALBERTO PÉREZ PÉREZ</w:t>
        <w:br/>
        <w:br/>
        <w:t xml:space="preserve">                   CASO GONZALES LLUY Y OTROS VS. ECUADOR</w:t>
        <w:br/>
        <w:br/>
        <w:t xml:space="preserve">                    SENTENCIA DE 1 DE SEPTIEMBRE DE 2015</w:t>
        <w:br/>
        <w:t xml:space="preserve">           (Excepciones Preliminares, Fondo, Reparaciones y Costas)</w:t>
        <w:br/>
        <w:br/>
        <w:br/>
        <w:t xml:space="preserve">                          1.  Comparto  plenamente  el  contenido   de   la</w:t>
        <w:br/>
        <w:t xml:space="preserve">                             Sentencia dictada en el  presente  caso  y  el</w:t>
        <w:br/>
        <w:t xml:space="preserve">                             profundo sentimiento  de  solidaridad  con  la</w:t>
        <w:br/>
        <w:t xml:space="preserve">                             víctima y de comprensión de sus  sufrimientos.</w:t>
        <w:br/>
        <w:t xml:space="preserve">                             No obstante, he sentido la necesidad de emitir</w:t>
        <w:br/>
        <w:t xml:space="preserve">                             un  voto  concurrente  habida  cuenta  de  las</w:t>
        <w:br/>
        <w:t xml:space="preserve">                             constantes  propuestas   hechas   durante   la</w:t>
        <w:br/>
        <w:t xml:space="preserve">                             deliberación del caso  para  que  se  invocara</w:t>
        <w:br/>
        <w:t xml:space="preserve">                             como derecho principal violado por  la  acción</w:t>
        <w:br/>
        <w:t xml:space="preserve">                             del Estado el derecho a la salud, es decir, un</w:t>
        <w:br/>
        <w:t xml:space="preserve">                             derecho no incluido entre los que reconoce  la</w:t>
        <w:br/>
        <w:t xml:space="preserve">                             Convención Americana sobre  Derechos  Humanos,</w:t>
        <w:br/>
        <w:t xml:space="preserve">                             sino entre los que reconoce  el  Protocolo  de</w:t>
        <w:br/>
        <w:t xml:space="preserve">                             San Salvador, y que  no  es  uno  de  los  dos</w:t>
        <w:br/>
        <w:t xml:space="preserve">                             derechos que el artículo 19 de dicho Protocolo</w:t>
        <w:br/>
        <w:t xml:space="preserve">                             incluye en el régimen de protección específico</w:t>
        <w:br/>
        <w:t xml:space="preserve">                             del sistema, es decir, la intervención de  los</w:t>
        <w:br/>
        <w:t xml:space="preserve">                             órganos    del    sistema:     la     Comisión</w:t>
        <w:br/>
        <w:t xml:space="preserve">                             Interamericana de Derechos Humanos y la  Corte</w:t>
        <w:br/>
        <w:t xml:space="preserve">                             Interamericana de Derechos Humanos.  Considero</w:t>
        <w:br/>
        <w:t xml:space="preserve">                             que esas propuestas son totalmente infundadas,</w:t>
        <w:br/>
        <w:t xml:space="preserve">                             por las razones que paso a exponer.</w:t>
        <w:br/>
        <w:br/>
        <w:t xml:space="preserve">   I. RECONOCIMIENTO DE DERECHOS E INCLUSIÓN EN EL RÉGIMEN DE PROTECCIÓN</w:t>
        <w:br/>
        <w:br/>
        <w:t xml:space="preserve">                          2.  La  Convención  Americana  cumple  una  doble</w:t>
        <w:br/>
        <w:t xml:space="preserve">                             función con respecto a los derechos enunciados</w:t>
        <w:br/>
        <w:t xml:space="preserve">                             en ella: por un lado los reconoce, y por  otro</w:t>
        <w:br/>
        <w:t xml:space="preserve">                             los incluye en un régimen de protección que es</w:t>
        <w:br/>
        <w:t xml:space="preserve">                             la  novedad  sustancial  aportada  por   dicho</w:t>
        <w:br/>
        <w:t xml:space="preserve">                             instrumento.</w:t>
        <w:br/>
        <w:br/>
        <w:t xml:space="preserve">        A. Reconocimiento de derechos</w:t>
        <w:br/>
        <w:br/>
        <w:t xml:space="preserve">                          3. La Convención Americana reconoce los  derechos</w:t>
        <w:br/>
        <w:t xml:space="preserve">                             civiles y políticos incluidos en  el  Capítulo</w:t>
        <w:br/>
        <w:t xml:space="preserve">                             II   de   la   Parte   I[460]:   derecho    al</w:t>
        <w:br/>
        <w:t xml:space="preserve">                             reconocimiento de  la  personalidad  jurídica,</w:t>
        <w:br/>
        <w:t xml:space="preserve">                             derecho a la vida,  derecho  a  la  integridad</w:t>
        <w:br/>
        <w:t xml:space="preserve">                             personal, prohibición de la  esclavitud  y  la</w:t>
        <w:br/>
        <w:t xml:space="preserve">                             servidumbre, derecho a la  libertad  personal,</w:t>
        <w:br/>
        <w:t xml:space="preserve">                             garantías judiciales, principio de legalidad y</w:t>
        <w:br/>
        <w:t xml:space="preserve">                             retroactividad,  derecho  a  indemnización  en</w:t>
        <w:br/>
        <w:t xml:space="preserve">                             caso de error judicial, protección de la honra</w:t>
        <w:br/>
        <w:t xml:space="preserve">                             y la dignidad, libertad  de  conciencia  y  de</w:t>
        <w:br/>
        <w:t xml:space="preserve">                             religión,  libertad  de   pensamiento   y   de</w:t>
        <w:br/>
        <w:t xml:space="preserve">                             expresión,   derecho   de   rectificación    o</w:t>
        <w:br/>
        <w:t xml:space="preserve">                             respuesta, derecho  de  reunión,  libertad  de</w:t>
        <w:br/>
        <w:t xml:space="preserve">                             asociación, protección a la  familia,  derecho</w:t>
        <w:br/>
        <w:t xml:space="preserve">                             al nombre, derechos del  niño,  derecho  a  la</w:t>
        <w:br/>
        <w:t xml:space="preserve">                             nacionalidad, derecho a la propiedad  privada,</w:t>
        <w:br/>
        <w:t xml:space="preserve">                             derecho  de  circulación  y   de   residencia,</w:t>
        <w:br/>
        <w:t xml:space="preserve">                             derechos políticos, igualdad  ante  la  ley  y</w:t>
        <w:br/>
        <w:t xml:space="preserve">                             protección judicial. Ésos son los  derechos  y</w:t>
        <w:br/>
        <w:t xml:space="preserve">                             libertades  “incluidos  en   el   régimen   de</w:t>
        <w:br/>
        <w:t xml:space="preserve">                             protección de esta Convención” [461].</w:t>
        <w:br/>
        <w:br/>
        <w:t xml:space="preserve">                          4. Esto  no  significa  que  sólo  existan  estos</w:t>
        <w:br/>
        <w:t xml:space="preserve">                             derechos y libertades, sino que sólo determina</w:t>
        <w:br/>
        <w:t xml:space="preserve">                             cuáles son los derechos y libertades incluidos</w:t>
        <w:br/>
        <w:t xml:space="preserve">                             en el régimen de protección de la  Convención:</w:t>
        <w:br/>
        <w:t xml:space="preserve">                             por un lado, los artículos 31, 76 y 77 regulan</w:t>
        <w:br/>
        <w:t xml:space="preserve">                             la  forma  en  que  se  podrán  incluir  otros</w:t>
        <w:br/>
        <w:t xml:space="preserve">                             derechos en el régimen  de  protección  de  la</w:t>
        <w:br/>
        <w:t xml:space="preserve">                             Convención; por  otro  lado,  el  artículo  29</w:t>
        <w:br/>
        <w:t xml:space="preserve">                             (“Normas de Interpretación”,  incluido  en  el</w:t>
        <w:br/>
        <w:t xml:space="preserve">                             Capítulo   IV,   “Suspensión   de   Garantías,</w:t>
        <w:br/>
        <w:t xml:space="preserve">                             Interpretación y Aplicación”)  reconoce  otros</w:t>
        <w:br/>
        <w:t xml:space="preserve">                             derechos y garantías (en  particular  los  que</w:t>
        <w:br/>
        <w:t xml:space="preserve">                             “son inherentes al ser humano o que se deriven</w:t>
        <w:br/>
        <w:t xml:space="preserve">                             de  la  forma   democrática   republicana   de</w:t>
        <w:br/>
        <w:t xml:space="preserve">                             gobierno”),  pero  nada  dice  acerca  de   su</w:t>
        <w:br/>
        <w:t xml:space="preserve">                             inclusión en el régimen de protección.</w:t>
        <w:br/>
        <w:br/>
        <w:t xml:space="preserve">                          5. El artículo 31,  titulado  “Reconocimiento  de</w:t>
        <w:br/>
        <w:t xml:space="preserve">                             Otros Derechos”, regula la forma en  que  esos</w:t>
        <w:br/>
        <w:t xml:space="preserve">                             otros derechos “[p]odrán ser incluidos  en  el</w:t>
        <w:br/>
        <w:t xml:space="preserve">                             régimen de  protección  de  esta  Convención”:</w:t>
        <w:br/>
        <w:t xml:space="preserve">                             “por  los  procedimientos  previstos  en   los</w:t>
        <w:br/>
        <w:t xml:space="preserve">                             artículos 76 y 77”.</w:t>
        <w:br/>
        <w:br/>
        <w:t xml:space="preserve">                          6. Ello significa que  existen  “otros  derechos”</w:t>
        <w:br/>
        <w:t xml:space="preserve">                             además de los reconocidos  por  la  Convención</w:t>
        <w:br/>
        <w:t xml:space="preserve">                             que pueden ser justiciables según  el  derecho</w:t>
        <w:br/>
        <w:t xml:space="preserve">                             interno o según  otro  ordenamiento  jurídico,</w:t>
        <w:br/>
        <w:t xml:space="preserve">                             pero sólo quedarán “reconocidos” a los efectos</w:t>
        <w:br/>
        <w:t xml:space="preserve">                             de la  Convención  (artículo  1.1)  y  estarán</w:t>
        <w:br/>
        <w:t xml:space="preserve">                             incluidos en el régimen de  protección  creado</w:t>
        <w:br/>
        <w:t xml:space="preserve">                             por  ésta  cuando   se   hayan   seguido   los</w:t>
        <w:br/>
        <w:t xml:space="preserve">                             procedimientos del artículo 76 o del  artículo</w:t>
        <w:br/>
        <w:t xml:space="preserve">                             77 (sea por enmiendas o protocolos).</w:t>
        <w:br/>
        <w:br/>
        <w:t xml:space="preserve">        B. El régimen de protección</w:t>
        <w:br/>
        <w:br/>
        <w:t xml:space="preserve">                          7. El régimen de protección  está  fijado  en  la</w:t>
        <w:br/>
        <w:t xml:space="preserve">                             Parte  II,  “Medios  de  la  Protección”,  que</w:t>
        <w:br/>
        <w:t xml:space="preserve">                             asigna  esta   competencia   a   la   Comisión</w:t>
        <w:br/>
        <w:t xml:space="preserve">                             Interamericana de  Derechos  Humanos  y  a  la</w:t>
        <w:br/>
        <w:t xml:space="preserve">                             Corte  Interamericana  de   Derechos   Humanos</w:t>
        <w:br/>
        <w:t xml:space="preserve">                             (según el artículo 33). Todo  ese  régimen  de</w:t>
        <w:br/>
        <w:t xml:space="preserve">                             protección  está  referido  a   los   derechos</w:t>
        <w:br/>
        <w:t xml:space="preserve">                             humanos establecidos en la Convención o a  los</w:t>
        <w:br/>
        <w:t xml:space="preserve">                             derechos  y  libertades  reconocidos  por   la</w:t>
        <w:br/>
        <w:t xml:space="preserve">                             Convención.    Veamos    las     disposiciones</w:t>
        <w:br/>
        <w:t xml:space="preserve">                             pertinentes:</w:t>
        <w:br/>
        <w:br/>
        <w:t xml:space="preserve">     a) La Comisión (Capítulo VII): Los artículos pertinentes se refieren a</w:t>
        <w:br/>
        <w:t xml:space="preserve">        la competencia de la Comisión, a la admisibilidad de los casos y al</w:t>
        <w:br/>
        <w:t xml:space="preserve">        procedimiento. La Comisión tiene competencia. en relación  con  las</w:t>
        <w:br/>
        <w:t xml:space="preserve">        “peticiones”  presentadas  por  “[c]ualquier  persona  o  grupo  de</w:t>
        <w:br/>
        <w:t xml:space="preserve">        personas, o entidad no gubernamental legalmente reconocida en uno o</w:t>
        <w:br/>
        <w:t xml:space="preserve">        más  Estados  miembros  de  la   Organización   [de   los   Estados</w:t>
        <w:br/>
        <w:t xml:space="preserve">        Americanos]” que “contengan denuncias o quejas de violación de esta</w:t>
        <w:br/>
        <w:t xml:space="preserve">        Convención  por  un  Estado  parte”  (artículo  44)   o   con   las</w:t>
        <w:br/>
        <w:t xml:space="preserve">        “comunicaciones en que un Estado parte alegue que otro Estado parte</w:t>
        <w:br/>
        <w:t xml:space="preserve">        ha incurrido en violaciones de los derechos humanos establecidos en</w:t>
        <w:br/>
        <w:t xml:space="preserve">        esta Convención” artículo 45).  Debe  considerar  inadmisible  toda</w:t>
        <w:br/>
        <w:t xml:space="preserve">        petición o comunicación que “no exponga hechos que caractericen una</w:t>
        <w:br/>
        <w:t xml:space="preserve">        violación  de  los  derechos  garantizados  por  esta   Convención”</w:t>
        <w:br/>
        <w:t xml:space="preserve">        (artículo 47.b).  Y  la  Sección  relativa  al  “Procedimiento”  se</w:t>
        <w:br/>
        <w:t xml:space="preserve">        refiere  al  caso  de  que  la  Comisión  reciba  una  petición   o</w:t>
        <w:br/>
        <w:t xml:space="preserve">        comunicación en la que se alegue la violación de cualquiera de  los</w:t>
        <w:br/>
        <w:t xml:space="preserve">        derechos que consagra esta Convención”.</w:t>
        <w:br/>
        <w:br/>
        <w:t xml:space="preserve">     b) La Corte (Capítulo VIII): Los artículos pertinentes se  refieren  a</w:t>
        <w:br/>
        <w:t xml:space="preserve">        los casos que pueden someterse a la Corte y  a  la  competencia  de</w:t>
        <w:br/>
        <w:t xml:space="preserve">        ésta. En cuanto al sometimiento de casos: sólo puede conocer de  un</w:t>
        <w:br/>
        <w:t xml:space="preserve">        caso que le sometan los Estados  Partes  o  la  Comisión  luego  de</w:t>
        <w:br/>
        <w:t xml:space="preserve">        haberse agotado los procedimientos ante la Comisión (artículo  61),</w:t>
        <w:br/>
        <w:t xml:space="preserve">        de modo que son aplicables todas las normas citadas respecto de  la</w:t>
        <w:br/>
        <w:t xml:space="preserve">        Comisión. En cuanto a la competencia, incumbe a la Corte decidir si</w:t>
        <w:br/>
        <w:t xml:space="preserve">        “hubo violación  de  un  derecho  o  libertad  protegidos  en  esta</w:t>
        <w:br/>
        <w:t xml:space="preserve">        Convención”, y en caso afirmativo “dispondrá que  se  garantice  al</w:t>
        <w:br/>
        <w:t xml:space="preserve">        lesionado en el goce de su derecho o libertad  conculcados”,  y  si</w:t>
        <w:br/>
        <w:t xml:space="preserve">        corresponde que  se  reparen  las  consecuencias  de  la  medida  o</w:t>
        <w:br/>
        <w:t xml:space="preserve">        situación que ha configurado “la vulneración de esos derechos”.</w:t>
        <w:br/>
        <w:br/>
        <w:t xml:space="preserve">                          8. Alcance de la “compétence de  la  compétence”.</w:t>
        <w:br/>
        <w:t xml:space="preserve">                             Añadir derechos no es competencia de la  Corte</w:t>
        <w:br/>
        <w:t xml:space="preserve">                             Interamericana,  sino  de  los   Estados.   La</w:t>
        <w:br/>
        <w:t xml:space="preserve">                             competencia de decidir en cada  caso  concreto</w:t>
        <w:br/>
        <w:t xml:space="preserve">                             si tiene o no competencia no significa que  la</w:t>
        <w:br/>
        <w:t xml:space="preserve">                             Corte pueda modificar el alcance y el  sentido</w:t>
        <w:br/>
        <w:t xml:space="preserve">                             de  la  competencia   que   le   asignan   las</w:t>
        <w:br/>
        <w:t xml:space="preserve">                             disposiciones de la Convención.</w:t>
        <w:br/>
        <w:br/>
        <w:t xml:space="preserve">  II. MERO COMPROMISO DE DESARROLLO PROGRESIVO</w:t>
        <w:br/>
        <w:t xml:space="preserve">      Y NO RECONOCIMIENTO DE DERECHOS</w:t>
        <w:br/>
        <w:br/>
        <w:t xml:space="preserve">                          9.   La  lectura  del  artículo  26,  único   del</w:t>
        <w:br/>
        <w:t xml:space="preserve">                             Capítulo  III  de   la   Parte   I   (Derechos</w:t>
        <w:br/>
        <w:t xml:space="preserve">                             Económicos, Sociales y Culturales) y  titulado</w:t>
        <w:br/>
        <w:t xml:space="preserve">                             “Desarrollo Progresivo” demuestra que  en  ese</w:t>
        <w:br/>
        <w:t xml:space="preserve">                             artículo  no  se  reconocen  o  consagran  los</w:t>
        <w:br/>
        <w:t xml:space="preserve">                             derechos económicos,  sociales  y  culturales,</w:t>
        <w:br/>
        <w:t xml:space="preserve">                             sino  que  establece  algo  muy  distinto:  el</w:t>
        <w:br/>
        <w:t xml:space="preserve">                             compromiso   de   los   Estados   de    lograr</w:t>
        <w:br/>
        <w:t xml:space="preserve">                             progresivamente la plena  efectividad  de  los</w:t>
        <w:br/>
        <w:t xml:space="preserve">                             derechos  económicos,  sociales  y  culturales</w:t>
        <w:br/>
        <w:t xml:space="preserve">                             que derivan de las normas  pertinentes  de  la</w:t>
        <w:br/>
        <w:t xml:space="preserve">                             Carta  de  la  Organización  de  los   Estados</w:t>
        <w:br/>
        <w:t xml:space="preserve">                             Americanos  “en  la  medida  de  los  recursos</w:t>
        <w:br/>
        <w:t xml:space="preserve">                             disponibles”.  El  texto   del   artículo   es</w:t>
        <w:br/>
        <w:t xml:space="preserve">                             absolutamente  claro,  y  también  lo  es   su</w:t>
        <w:br/>
        <w:t xml:space="preserve">                             contexto. Esta interpretación  es  corroborada</w:t>
        <w:br/>
        <w:t xml:space="preserve">                             por los acuerdos ulteriores entre las partes y</w:t>
        <w:br/>
        <w:t xml:space="preserve">                             por la conducta ulterior de  éstas.  Asimismo,</w:t>
        <w:br/>
        <w:t xml:space="preserve">                             los  antecedentes   de   la   disposición   la</w:t>
        <w:br/>
        <w:t xml:space="preserve">                             confirman plenamente.</w:t>
        <w:br/>
        <w:br/>
        <w:t xml:space="preserve">        A. Reglas de interpretación de los tratados</w:t>
        <w:br/>
        <w:br/>
        <w:t xml:space="preserve">                         10.  Según  la  regla  general  de  interpretación</w:t>
        <w:br/>
        <w:t xml:space="preserve">                             contenida en el artículo 31 de  la  Convención</w:t>
        <w:br/>
        <w:t xml:space="preserve">                             de Viena sobre el Derecho de los Tratados, “1.</w:t>
        <w:br/>
        <w:t xml:space="preserve">                             Un tratado deberá interpretarse  de  buena  fe</w:t>
        <w:br/>
        <w:t xml:space="preserve">                             conforme al  sentido  corriente  que  haya  de</w:t>
        <w:br/>
        <w:t xml:space="preserve">                             atribuirse a los términos del  tratado  en  el</w:t>
        <w:br/>
        <w:t xml:space="preserve">                             contexto de estos  y  teniendo  en  cuenta  su</w:t>
        <w:br/>
        <w:t xml:space="preserve">                             objeto y fin”. El  contexto  comprende,  entre</w:t>
        <w:br/>
        <w:t xml:space="preserve">                             otras  cosas,  el  preámbulo  del  tratado,  y</w:t>
        <w:br/>
        <w:t xml:space="preserve">                             “[j]untamente  con  el  contexto”  habrán   de</w:t>
        <w:br/>
        <w:t xml:space="preserve">                             tenerse en cuenta los acuerdos ulteriores y la</w:t>
        <w:br/>
        <w:t xml:space="preserve">                             práctica ulterior:</w:t>
        <w:br/>
        <w:br/>
        <w:t xml:space="preserve">     a) “todo acuerdo ulterior entre las partes acerca de la interpretación</w:t>
        <w:br/>
        <w:t xml:space="preserve">        del tratado o de la aplicación de sus disposiciones” y</w:t>
        <w:br/>
        <w:br/>
        <w:t xml:space="preserve">     c) “toda práctica ulteriormente seguida en la aplicación  del  tratado</w:t>
        <w:br/>
        <w:t xml:space="preserve">        por  la  cual  conste  el  acuerdo  de  las  partes  acerca  de  la</w:t>
        <w:br/>
        <w:t xml:space="preserve">        interpretación del tratado”.</w:t>
        <w:br/>
        <w:br/>
        <w:t xml:space="preserve">                         11.  También  se  podrá  “acudir   a   medios   de</w:t>
        <w:br/>
        <w:t xml:space="preserve">                             interpretación complementarios, en  particular</w:t>
        <w:br/>
        <w:t xml:space="preserve">                             a los trabajos preparatorios del tratado  y  a</w:t>
        <w:br/>
        <w:t xml:space="preserve">                             las circunstancias  de  su  celebración,  para</w:t>
        <w:br/>
        <w:t xml:space="preserve">                             confirmar  el   sentido   resultante   de   la</w:t>
        <w:br/>
        <w:t xml:space="preserve">                             aplicación del artículo 31[462].</w:t>
        <w:br/>
        <w:br/>
        <w:t xml:space="preserve">                         12. La jurisprudencia de la  Corte  Interamericana</w:t>
        <w:br/>
        <w:t xml:space="preserve">                             correctamente interpretada, tampoco respalda a</w:t>
        <w:br/>
        <w:t xml:space="preserve">                             la posición contraria a la  aquí  expuesta.  A</w:t>
        <w:br/>
        <w:t xml:space="preserve">                             veces se cita el caso Acevedo Buendía en apoyo</w:t>
        <w:br/>
        <w:t xml:space="preserve">                             de la tesis de que el artículo 26  reconoce  a</w:t>
        <w:br/>
        <w:t xml:space="preserve">                             los derechos económicos, sociales y culturales</w:t>
        <w:br/>
        <w:t xml:space="preserve">                             como tales, pero un análisis de  la  sentencia</w:t>
        <w:br/>
        <w:t xml:space="preserve">                             revela que no es así.</w:t>
        <w:br/>
        <w:br/>
        <w:t xml:space="preserve">        C. El Protocolo de San Salvador como aplicación de los artículos</w:t>
        <w:br/>
        <w:t xml:space="preserve">           31 y 77 y como acuerdo ulterior o práctica ulterior</w:t>
        <w:br/>
        <w:br/>
        <w:t xml:space="preserve">                         13.  En  relación  con  los  derechos  económicos,</w:t>
        <w:br/>
        <w:t xml:space="preserve">                             sociales y culturales, los Estados partes  han</w:t>
        <w:br/>
        <w:t xml:space="preserve">                             seguido efectivamente el camino  del  artículo</w:t>
        <w:br/>
        <w:t xml:space="preserve">                             77, en el Protocolo de San Salvador  (adoptado</w:t>
        <w:br/>
        <w:t xml:space="preserve">                             el 17 de noviembre de 1988 y entrado en  vigor</w:t>
        <w:br/>
        <w:t xml:space="preserve">                             el 16 de noviembre de 1999). Dicho Protocolo:</w:t>
        <w:br/>
        <w:br/>
        <w:t xml:space="preserve">     a) Proclama “la estrecha relación que existe entre la vigencia de  los</w:t>
        <w:br/>
        <w:t xml:space="preserve">        derechos económicos, sociales y culturales y  la  de  los  derechos</w:t>
        <w:br/>
        <w:t xml:space="preserve">        civiles y  políticos,  por  cuanto  las  diferentes  categorías  de</w:t>
        <w:br/>
        <w:t xml:space="preserve">        derechos constituyen un todo indisoluble que encuentra su  base  en</w:t>
        <w:br/>
        <w:t xml:space="preserve">        el reconocimiento de la dignidad de la persona humana, por lo  cual</w:t>
        <w:br/>
        <w:t xml:space="preserve">        exigen una tutela y promoción permanente con el objeto de lograr su</w:t>
        <w:br/>
        <w:t xml:space="preserve">        vigencia plena, sin que jamás pueda justificarse  la  violación  de</w:t>
        <w:br/>
        <w:t xml:space="preserve">        unos en  aras  de  la  realización  de  otros”  (Preámbulo,  tercer</w:t>
        <w:br/>
        <w:t xml:space="preserve">        párrafo).</w:t>
        <w:br/>
        <w:br/>
        <w:t xml:space="preserve">     d) Reconoce numerosos  derechos  económicos,  sociales  y  culturales:</w:t>
        <w:br/>
        <w:t xml:space="preserve">        derecho  al  trabajo  y  a  condiciones   justas,   equitativas   y</w:t>
        <w:br/>
        <w:t xml:space="preserve">        satisfactorias  de  trabajo;  derechos  sindicales;  derecho  a  la</w:t>
        <w:br/>
        <w:t xml:space="preserve">        seguridad social; derecho a la salud; derecho a un  medio  ambiente</w:t>
        <w:br/>
        <w:t xml:space="preserve">        sano; derecho a la alimentación; derecho a la educación; derecho  a</w:t>
        <w:br/>
        <w:t xml:space="preserve">        los  beneficios  de  la  cultura;  derecho  a  la  constitución   y</w:t>
        <w:br/>
        <w:t xml:space="preserve">        protección de la familia; derecho de la niñez;  protección  de  los</w:t>
        <w:br/>
        <w:t xml:space="preserve">        ancianos, y protección de los minusválidos.</w:t>
        <w:br/>
        <w:br/>
        <w:t xml:space="preserve">     e) Pero sólo incluye en el régimen de protección de  la  Convención  a</w:t>
        <w:br/>
        <w:t xml:space="preserve">        dos de ellos (en un caso sólo parcialmente): “[e]n el caso  de  que</w:t>
        <w:br/>
        <w:t xml:space="preserve">        los derechos establecidos en el párrafo a) del artículo 8[463] y en</w:t>
        <w:br/>
        <w:t xml:space="preserve">        el artículo  13[464]  fuesen  violados  por  una  acción  imputable</w:t>
        <w:br/>
        <w:t xml:space="preserve">        directamente  a  un  Estado  parte  del  presente  Protocolo,   tal</w:t>
        <w:br/>
        <w:t xml:space="preserve">        situación  podría  dar  lugar,  mediante  la  participación  de  la</w:t>
        <w:br/>
        <w:t xml:space="preserve">        Comisión Interamericana de Derechos Humanos, y cuando proceda de la</w:t>
        <w:br/>
        <w:t xml:space="preserve">        Corte Interamericana de  Derechos  Humanos,  a  la  aplicación  del</w:t>
        <w:br/>
        <w:t xml:space="preserve">        sistema de peticiones individuales regulado por los artículos 44  a</w:t>
        <w:br/>
        <w:t xml:space="preserve">        51 y 61 a 69 de la Convención Americana  sobre  Derechos  Humanos”.</w:t>
        <w:br/>
        <w:t xml:space="preserve">        (artículo 19.6 del Protocolo de San Salvador). Quiere decir que  el</w:t>
        <w:br/>
        <w:t xml:space="preserve">        sistema del Protocolo es muy distinto del sistema de la Convención.</w:t>
        <w:br/>
        <w:t xml:space="preserve">        Mientras que en esta última  el  reconocimiento  de  un  derecho  o</w:t>
        <w:br/>
        <w:t xml:space="preserve">        libertad implica su inclusión en el régimen de  protección,  en  el</w:t>
        <w:br/>
        <w:t xml:space="preserve">        Protocolo  el  reconocimiento  no  acarrea  como  consecuencia   la</w:t>
        <w:br/>
        <w:t xml:space="preserve">        inclusión. Ésta es excepcional y se da sólo en dos casos.</w:t>
        <w:br/>
        <w:br/>
        <w:t xml:space="preserve">                         14.  El  Protocolo  de  San  Salvador   constituye</w:t>
        <w:br/>
        <w:t xml:space="preserve">                             también un acuerdo ulterior entre los  Estados</w:t>
        <w:br/>
        <w:t xml:space="preserve">                             partes y una práctica ulterior  de  éstos  que</w:t>
        <w:br/>
        <w:t xml:space="preserve">                             confirma la interpretación del artículo 26  ya</w:t>
        <w:br/>
        <w:t xml:space="preserve">                             expuesta.</w:t>
        <w:br/>
        <w:br/>
        <w:t xml:space="preserve"> III. DIFERENCIA CON LA INTERPRETACIÓN PROGRESIVA</w:t>
        <w:br/>
        <w:br/>
        <w:t xml:space="preserve">                         15. Por consiguiente, la Corte  Interamericana  no</w:t>
        <w:br/>
        <w:t xml:space="preserve">                             puede  asumir  competencia  respecto   de   la</w:t>
        <w:br/>
        <w:t xml:space="preserve">                             presunta violación de un derecho o libertad no</w:t>
        <w:br/>
        <w:t xml:space="preserve">                             incluido en el régimen de protección ni por la</w:t>
        <w:br/>
        <w:t xml:space="preserve">                             Convención Americana ni por  el  Protocolo  de</w:t>
        <w:br/>
        <w:t xml:space="preserve">                             San Salvador. En algunas  ocasiones  podrá  –y</w:t>
        <w:br/>
        <w:t xml:space="preserve">                             así lo ha hecho en varios casos,  incluido  el</w:t>
        <w:br/>
        <w:t xml:space="preserve">                             presente–   lograr   un   resultado    análogo</w:t>
        <w:br/>
        <w:t xml:space="preserve">                             aplicando, correctamente, otras disposiciones,</w:t>
        <w:br/>
        <w:t xml:space="preserve">                             como  las  que  protegen  el  derecho   a   la</w:t>
        <w:br/>
        <w:t xml:space="preserve">                             integridad personal, a la propiedad  o  a  las</w:t>
        <w:br/>
        <w:t xml:space="preserve">                             garantías judiciales y la protección judicial.</w:t>
        <w:br/>
        <w:br/>
        <w:t xml:space="preserve">                         16. Tampoco se puede invocar un principio como  el</w:t>
        <w:br/>
        <w:t xml:space="preserve">                             de  la  interpretación   progresiva   de   los</w:t>
        <w:br/>
        <w:t xml:space="preserve">                             instrumentos   internacionales   para   añadir</w:t>
        <w:br/>
        <w:t xml:space="preserve">                             derechos al régimen de protección.  El  ámbito</w:t>
        <w:br/>
        <w:t xml:space="preserve">                             adecuado de aplicación de ese principio es  el</w:t>
        <w:br/>
        <w:t xml:space="preserve">                             de la interpretación de un derecho o libertad,</w:t>
        <w:br/>
        <w:t xml:space="preserve">                             o de una obligación estatal, que exista y esté</w:t>
        <w:br/>
        <w:t xml:space="preserve">                             incluida en el régimen  de  protección  de  la</w:t>
        <w:br/>
        <w:t xml:space="preserve">                             Convención  o  el  Protocolo,  en  un  sentido</w:t>
        <w:br/>
        <w:t xml:space="preserve">                             distinto y generalmente más amplio que el  que</w:t>
        <w:br/>
        <w:t xml:space="preserve">                             le  hayan  dado  originalmente  sus   autores.</w:t>
        <w:br/>
        <w:t xml:space="preserve">                             Ejemplo  de  esto  es  la  inclusión   de   la</w:t>
        <w:br/>
        <w:t xml:space="preserve">                             orientación de género dentro de la mención  de</w:t>
        <w:br/>
        <w:t xml:space="preserve">                             “cualquier otra condición social” como uno  de</w:t>
        <w:br/>
        <w:t xml:space="preserve">                             los motivos de discriminación  prohibidos  por</w:t>
        <w:br/>
        <w:t xml:space="preserve">                             el artículo 1.1 de la Convención[465].</w:t>
        <w:br/>
        <w:br/>
        <w:t xml:space="preserve">  IV. LOS TRABAJOS PREPARATORIOS</w:t>
        <w:br/>
        <w:br/>
        <w:t xml:space="preserve">                         17. La preparación de la Convención  Americana  se</w:t>
        <w:br/>
        <w:t xml:space="preserve">                             extendió durante muchos años, y en algunos  de</w:t>
        <w:br/>
        <w:t xml:space="preserve">                             los proyectos se  reconocían  varios  derechos</w:t>
        <w:br/>
        <w:t xml:space="preserve">                             económicos, sociales y culturales, aunque ello</w:t>
        <w:br/>
        <w:t xml:space="preserve">                             no implicaba necesariamente su inclusión en el</w:t>
        <w:br/>
        <w:t xml:space="preserve">                             mismo régimen de protección previsto para  los</w:t>
        <w:br/>
        <w:t xml:space="preserve">                             derechos  civiles  y   políticos.   Entendemos</w:t>
        <w:br/>
        <w:t xml:space="preserve">                             adecuado limitar el análisis a la  Conferencia</w:t>
        <w:br/>
        <w:t xml:space="preserve">                             Especializada  Interamericana  sobre  Derechos</w:t>
        <w:br/>
        <w:t xml:space="preserve">                             Humanos  en  la  que  se   adoptó   el   texto</w:t>
        <w:br/>
        <w:t xml:space="preserve">                             definitivo de la Convención Americana.</w:t>
        <w:br/>
        <w:br/>
        <w:t xml:space="preserve">                         18.  Ante  todo,  es  preciso   señalar   que   la</w:t>
        <w:br/>
        <w:t xml:space="preserve">                             caracterización de esos antecedentes hecha  en</w:t>
        <w:br/>
        <w:t xml:space="preserve">                             la sentencia del Caso Acevedo Buendía y  otros</w:t>
        <w:br/>
        <w:t xml:space="preserve">                             (“Cesantes y Jubilados de la Contraloría”) Vs.</w:t>
        <w:br/>
        <w:t xml:space="preserve">                             Perú  no  es  correcta.  Allí   se   dice   lo</w:t>
        <w:br/>
        <w:t xml:space="preserve">                             siguiente:</w:t>
        <w:br/>
        <w:br/>
        <w:t xml:space="preserve">        En este sentido el Tribunal recuerda que el contenido del  artículo</w:t>
        <w:br/>
        <w:t xml:space="preserve">      26 de la Convención fue objeto de un intenso debate  en  los  trabajos</w:t>
        <w:br/>
        <w:t xml:space="preserve">      preparatorios de ésta, nacido del interés de los Estados por consignar</w:t>
        <w:br/>
        <w:t xml:space="preserve">      una  “mención  directa”  a  los  “derechos”  económicos,  sociales   y</w:t>
        <w:br/>
        <w:t xml:space="preserve">      culturales; “una  disposición  que  establezca  cierta  obligatoriedad</w:t>
        <w:br/>
        <w:t xml:space="preserve">      jurídica […] en su cumplimiento y aplicación” [Chile]; así  como  “los</w:t>
        <w:br/>
        <w:t xml:space="preserve">      [respectivos] mecanismos [para su] promoción y protección” [Chile], ya</w:t>
        <w:br/>
        <w:t xml:space="preserve">      que  el  Anteproyecto   de   tratado   elaborado   por   la   Comisión</w:t>
        <w:br/>
        <w:t xml:space="preserve">      Interamericana hacía referencia a aquellos en dos  artículos  que,  de</w:t>
        <w:br/>
        <w:t xml:space="preserve">      acuerdo con algunos Estados, sólo “recog[ían] en  un  texto  meramente</w:t>
        <w:br/>
        <w:t xml:space="preserve">      declarativo, conclusiones establecidas en  la  Conferencia  de  Buenos</w:t>
        <w:br/>
        <w:t xml:space="preserve">      Aires” [Uruguay]. La revisión de dichos trabajos preparatorios  de  la</w:t>
        <w:br/>
        <w:t xml:space="preserve">      Convención demuestra también que las principales  observaciones  sobre</w:t>
        <w:br/>
        <w:t xml:space="preserve">      la base de las cuales ésta fue aprobada pusieron especial  énfasis  en</w:t>
        <w:br/>
        <w:t xml:space="preserve">      “dar a los  derechos  económicos,  sociales  y  culturales  la  máxima</w:t>
        <w:br/>
        <w:t xml:space="preserve">      protección compatible con las condiciones peculiares a la gran mayoría</w:t>
        <w:br/>
        <w:t xml:space="preserve">      de los Estados Americanos” [Brasil]. Así, como parte del debate en los</w:t>
        <w:br/>
        <w:t xml:space="preserve">      trabajos preparatorios,  también  se  propuso  “hac[er]  posible  [la]</w:t>
        <w:br/>
        <w:t xml:space="preserve">      ejecución [de dichos derechos] mediante la acción de  los  tribunales”</w:t>
        <w:br/>
        <w:t xml:space="preserve">      [Guatemala]. (Se han sustituido las notas de  pie  de  página  por  la</w:t>
        <w:br/>
        <w:t xml:space="preserve">      mención del Estado al que se atribuyen las distintas propuestas)</w:t>
        <w:br/>
        <w:br/>
        <w:t xml:space="preserve">                         19.  El  estudio  directo  de  las  actas  de   la</w:t>
        <w:br/>
        <w:t xml:space="preserve">                             Conferencia Especializada revela  un  panorama</w:t>
        <w:br/>
        <w:t xml:space="preserve">                             sumamente  distinto.  Para  comenzar,  en   la</w:t>
        <w:br/>
        <w:t xml:space="preserve">                             Sentencia de la Corte se recogen fragmentos de</w:t>
        <w:br/>
        <w:t xml:space="preserve">                             observaciones hechas por cuatro Estados  sobre</w:t>
        <w:br/>
        <w:t xml:space="preserve">                             un total de 23 Estados participantes, lo  cual</w:t>
        <w:br/>
        <w:t xml:space="preserve">                             dista  de  indicar  un  movimiento  masivo   o</w:t>
        <w:br/>
        <w:t xml:space="preserve">                             mayoritario   en   determinado   sentido.   En</w:t>
        <w:br/>
        <w:t xml:space="preserve">                             realidad, hubo observaciones de varios Estados</w:t>
        <w:br/>
        <w:t xml:space="preserve">                             más.  A  continuación  se  transcriben   todas</w:t>
        <w:br/>
        <w:t xml:space="preserve">                             ellas:</w:t>
        <w:br/>
        <w:br/>
        <w:t xml:space="preserve">      Observaciones del Uruguay[466]</w:t>
        <w:br/>
        <w:br/>
        <w:t xml:space="preserve">        10.      El Artículo 25°, Apartado 2, recoge en un texto  meramente</w:t>
        <w:br/>
        <w:t xml:space="preserve">      declarativo, conclusiones establecidas en  la  Conferencia  de  Buenos</w:t>
        <w:br/>
        <w:t xml:space="preserve">      Aires. Su contenido no parece propio de una convención, pero quizás no</w:t>
        <w:br/>
        <w:t xml:space="preserve">      sea políticamente conveniente oponerse a la inclusión de dicho texto.</w:t>
        <w:br/>
        <w:br/>
        <w:t xml:space="preserve">      Observaciones de Chile[467]</w:t>
        <w:br/>
        <w:br/>
        <w:t xml:space="preserve">        14. Las disposiciones que han quedado en el proyecto en materia  de</w:t>
        <w:br/>
        <w:t xml:space="preserve">      derechos económicos,  sociales  y  culturales,  son  las  que  merecen</w:t>
        <w:br/>
        <w:t xml:space="preserve">      mayores reparos de forma y fondo. Ellas son los artículos 25, 26 y 41.</w:t>
        <w:br/>
        <w:t xml:space="preserve">      Se  ha   eliminado   toda   mención   directa   a   dichos   derechos;</w:t>
        <w:br/>
        <w:t xml:space="preserve">      indirectamente, en el artículo 25, párrafo 1,  hay  un  reconocimiento</w:t>
        <w:br/>
        <w:t xml:space="preserve">      insuficiente de "la necesidad de que los Estados Partes  dediquen  sus</w:t>
        <w:br/>
        <w:t xml:space="preserve">      máximos esfuerzos para que en derecho interno sean adoptados y, en  su</w:t>
        <w:br/>
        <w:t xml:space="preserve">      caso, garantizados los demás derechos consignados  en  la  Declaración</w:t>
        <w:br/>
        <w:t xml:space="preserve">      Americana de los Derechos y Deberes  del  Hombre  y  que  no  hubieren</w:t>
        <w:br/>
        <w:t xml:space="preserve">      quedado incluidos en  los  artículos  precedentes”.  Si,  como  se  ha</w:t>
        <w:br/>
        <w:t xml:space="preserve">      pretendido justificarlo, la omisión de estos derechos –que ni siquiera</w:t>
        <w:br/>
        <w:t xml:space="preserve">      son objeto de un tratamiento en un capítulo separado del proyecto-  se</w:t>
        <w:br/>
        <w:t xml:space="preserve">      debe a su inclusión en capítulos especiales de la Carta de la  O.E.A.,</w:t>
        <w:br/>
        <w:t xml:space="preserve">      en su texto una vez que se aprueben las  enmiendas  contenidas  en  el</w:t>
        <w:br/>
        <w:t xml:space="preserve">      Protocolo de Buenos Aires, debería al  menos  hacerse  una  referencia</w:t>
        <w:br/>
        <w:t xml:space="preserve">      explícita a las normas aprobadas en  dicho  Protocolo,  que  aluden  a</w:t>
        <w:br/>
        <w:t xml:space="preserve">      derechos económicos, sociales o culturales.</w:t>
        <w:br/>
        <w:br/>
        <w:t xml:space="preserve">        15. En buena técnica jurídica, sin embargo, a estos derechos se les</w:t>
        <w:br/>
        <w:t xml:space="preserve">      debería dar una redacción apropiada dentro del proyecto de Convención,</w:t>
        <w:br/>
        <w:t xml:space="preserve">      para que  se  pueda  controlar  su  aplicación.  Naturalmente  que  su</w:t>
        <w:br/>
        <w:t xml:space="preserve">      enumeración no debería estar  en  contradicción  con  las  normas  del</w:t>
        <w:br/>
        <w:t xml:space="preserve">      Protocolo de Buenos Aires. Las normas económicas de  dicho  Protocolo,</w:t>
        <w:br/>
        <w:t xml:space="preserve">      por ejemplo, que son las únicas que se consignan  en  el  proyecto  de</w:t>
        <w:br/>
        <w:t xml:space="preserve">      Convención (art. 5, párrafo 2), tienen en el documento en estudio  una</w:t>
        <w:br/>
        <w:t xml:space="preserve">      redacción que no tiene relación alguna con un proyecto  de  Convención</w:t>
        <w:br/>
        <w:t xml:space="preserve">      de Derechos Humanos. Una simple lectura del  párrafo  aludido  así  lo</w:t>
        <w:br/>
        <w:t xml:space="preserve">      confirma. Debería sugerirse, si se mantiene el  criterio  de  redactar</w:t>
        <w:br/>
        <w:t xml:space="preserve">      una Convención única, la técnica seguida por Naciones Unidas y por  el</w:t>
        <w:br/>
        <w:t xml:space="preserve">      Consejo de Europa, de enumerar los  derechos  económicos,  sociales  y</w:t>
        <w:br/>
        <w:t xml:space="preserve">      culturales, estableciendo además detalladamente  los  medios  para  su</w:t>
        <w:br/>
        <w:t xml:space="preserve">      promoción y control.</w:t>
        <w:br/>
        <w:br/>
        <w:t xml:space="preserve">        16. A este respecto, es digno de considerarse el punto  relativo  a</w:t>
        <w:br/>
        <w:t xml:space="preserve">      decidir si la Comisión de Derechos Humanos, tal como  está  concebida,</w:t>
        <w:br/>
        <w:t xml:space="preserve">      es decir,  como  órgano  jurídico  y  cuasi  judicial,  es  el  órgano</w:t>
        <w:br/>
        <w:t xml:space="preserve">      apropiado para recibir informes periódicos sobre estos derechos. Si la</w:t>
        <w:br/>
        <w:t xml:space="preserve">      Organización  de  los  Estados  Americanos  va  a  tener  un   Consejo</w:t>
        <w:br/>
        <w:t xml:space="preserve">      Interamericano  Económico  y  Social  y  un   Consejo   Interamericano</w:t>
        <w:br/>
        <w:t xml:space="preserve">      Cultural, ambos con Comisiones Ejecutivas Permanentes, sería del  caso</w:t>
        <w:br/>
        <w:t xml:space="preserve">      examinar si no corresponde más bien a  estos  órganos  de  la  OEA  el</w:t>
        <w:br/>
        <w:t xml:space="preserve">      examen de los informes periódicos a que se refiere el artículo 41.  De</w:t>
        <w:br/>
        <w:t xml:space="preserve">      este  modo,  la  Comisión  de  Derechos  Humanos  quedaría  sólo   con</w:t>
        <w:br/>
        <w:t xml:space="preserve">      competencia para considerar peticiones y quejas sobre derechos civiles</w:t>
        <w:br/>
        <w:t xml:space="preserve">      y políticos, de  acuerdo  con  su  origen,  composición  y  normas  de</w:t>
        <w:br/>
        <w:t xml:space="preserve">      funcionamiento.</w:t>
        <w:br/>
        <w:br/>
        <w:t xml:space="preserve">        17. En todo caso, debería  consignarse  respecto  de  los  derechos</w:t>
        <w:br/>
        <w:t xml:space="preserve">      económicos, sociales  y  culturales  una  disposición  que  establezca</w:t>
        <w:br/>
        <w:t xml:space="preserve">      cierta obligatoriedad jurídica (hasta donde lo permite  la  naturaleza</w:t>
        <w:br/>
        <w:t xml:space="preserve">      de estos derechos) en su cumplimiento y aplicación. Para  ello,  sería</w:t>
        <w:br/>
        <w:t xml:space="preserve">      necesario contemplar una cláusula  semejante  a  la  del  artículo  2,</w:t>
        <w:br/>
        <w:t xml:space="preserve">      párrafo 1, del Pacto de Naciones Unidas sobre la materia. Ese  párrafo</w:t>
        <w:br/>
        <w:t xml:space="preserve">      es del tenor siguiente:</w:t>
        <w:br/>
        <w:br/>
        <w:t xml:space="preserve">              "1. Cada uno de los Estados Partes en el  presente  Pacto  se</w:t>
        <w:br/>
        <w:t xml:space="preserve">           compromete a adoptar medidas, tanto por separado  como  mediante</w:t>
        <w:br/>
        <w:t xml:space="preserve">           la asistencia y la  cooperación  internacionales,  especialmente</w:t>
        <w:br/>
        <w:t xml:space="preserve">           económicas y técnicas, hasta el máximo de los  recursos  de  que</w:t>
        <w:br/>
        <w:t xml:space="preserve">           disponga, para lograr progresivamente la plena efectividad,  por</w:t>
        <w:br/>
        <w:t xml:space="preserve">           todos los medios apropiados inclusive en particular la  adopción</w:t>
        <w:br/>
        <w:t xml:space="preserve">           de medidas legislativas, de los derechos aquí reconocidos".</w:t>
        <w:br/>
        <w:br/>
        <w:t xml:space="preserve">      Observaciones de Argentina[468]</w:t>
        <w:br/>
        <w:br/>
        <w:t xml:space="preserve">        Artículo 25, segunda parte y 26: Se observa que, si bien la segunda</w:t>
        <w:br/>
        <w:t xml:space="preserve">      parte del artículo 25 es una trascripción textual del artículo 31,  de</w:t>
        <w:br/>
        <w:t xml:space="preserve">      la Carta de la O.E.A., reformada por el Protocolo de Buenos Aires,  el</w:t>
        <w:br/>
        <w:t xml:space="preserve">      artículo 26 obliga a  los  Estados  a  informar  periódicamente  a  la</w:t>
        <w:br/>
        <w:t xml:space="preserve">      Comisión de Derechos Humanos sobre las medidas que  hubieran  adoptado</w:t>
        <w:br/>
        <w:t xml:space="preserve">      para lograr los  fines  mencionados  en  el  artículo  25.  Además  el</w:t>
        <w:br/>
        <w:t xml:space="preserve">      artículo  26  reconoce  a  la   Comisión   el   derecho   a   formular</w:t>
        <w:br/>
        <w:t xml:space="preserve">      recomendaciones  al  respecto,  a  los  Estados,  lo  que,  con   toda</w:t>
        <w:br/>
        <w:t xml:space="preserve">      evidencia, escapa y excede a su competencia y posibilidades. Por  otra</w:t>
        <w:br/>
        <w:t xml:space="preserve">      parte no se da a los Estados posibilidad de formular  observaciones  a</w:t>
        <w:br/>
        <w:t xml:space="preserve">      las citadas recomendaciones  de  la  Comisión.  Por  lo  expuesto,  se</w:t>
        <w:br/>
        <w:t xml:space="preserve">      sugiere la revisión y reconsideración del artículo 26.</w:t>
        <w:br/>
        <w:br/>
        <w:t xml:space="preserve">      Observaciones de la República Dominicana[469] Artículo 25  (Nótese  el</w:t>
        <w:br/>
        <w:t xml:space="preserve">   cambio de orden)</w:t>
        <w:br/>
        <w:br/>
        <w:t xml:space="preserve">        Párrafo 1: Creemos que es preferible suprimir este  párrafo  puesto</w:t>
        <w:br/>
        <w:t xml:space="preserve">      que en el Artículo 70 ya se prevé un procedimiento por el que se puede</w:t>
        <w:br/>
        <w:t xml:space="preserve">      lograr la ampliación gradual de la protección en forma de que  incluya</w:t>
        <w:br/>
        <w:t xml:space="preserve">      otros derechos que figuran en la Declaración Americana de los Derechos</w:t>
        <w:br/>
        <w:t xml:space="preserve">      y Deberes del Hombre. Las obligaciones de  los  Estados  Partes  deben</w:t>
        <w:br/>
        <w:t xml:space="preserve">      estipularse con claridad y sin tratar vagamente  de  incorporar  otras</w:t>
        <w:br/>
        <w:t xml:space="preserve">      obligaciones por alusión.</w:t>
        <w:br/>
        <w:br/>
        <w:t xml:space="preserve">        Párrafo 2: Puesto que este  párrafo  es  una  reafirmación  de  los</w:t>
        <w:br/>
        <w:t xml:space="preserve">      objetivos económicos y  sociales  acordados  cuando  se  firmaron  las</w:t>
        <w:br/>
        <w:t xml:space="preserve">      enmiendas a la Carta de la OEA en 1967,  este  artículo  debe  también</w:t>
        <w:br/>
        <w:t xml:space="preserve">      reafirmarlo, y la forma debe ser igual a la de la Carta enmendada.</w:t>
        <w:br/>
        <w:br/>
        <w:t xml:space="preserve">      El título propuesto y el texto modificado serían:</w:t>
        <w:br/>
        <w:br/>
        <w:t xml:space="preserve">        Artículo 25. Objetivos Económicos y Sociales.  Los  Estados  Partes</w:t>
        <w:br/>
        <w:t xml:space="preserve">      reafirman el acuerdo establecido en las Enmiendas a la Carta de la OEA</w:t>
        <w:br/>
        <w:t xml:space="preserve">      firmadas en 1967 de dedicar todo esfuerzo para lograr  los  siguientes</w:t>
        <w:br/>
        <w:t xml:space="preserve">      objetivos básicos a fin de acelerar su desarrollo económico y  social,</w:t>
        <w:br/>
        <w:t xml:space="preserve">      de acuerdo con sus propios métodos y procedimientos y en el  marco  de</w:t>
        <w:br/>
        <w:t xml:space="preserve">      los  principios  democráticos  y  de  las  instituciones  del  sistema</w:t>
        <w:br/>
        <w:t xml:space="preserve">      interamericano: (a) el incremento  sustancial  y  auto  sostenido  del</w:t>
        <w:br/>
        <w:t xml:space="preserve">      producto nacional  por  habitante;  (b)  distribución  equitativa  del</w:t>
        <w:br/>
        <w:t xml:space="preserve">      ingreso nacional; (c) Sistemas impositivos  adecuados  y  equitativos;</w:t>
        <w:br/>
        <w:t xml:space="preserve">      (d) Modernización  de  la  vida  rural  y  reformas  que  conduzcan  a</w:t>
        <w:br/>
        <w:t xml:space="preserve">      regímenes  equitativos  y  eficaces  de  tenencia  de  tierra,   mayor</w:t>
        <w:br/>
        <w:t xml:space="preserve">      productividad   agrícola,   expansión   del   uso   de   la    tierra,</w:t>
        <w:br/>
        <w:t xml:space="preserve">      diversificación  de  la  producción  y  mejores   sistemas   para   la</w:t>
        <w:br/>
        <w:t xml:space="preserve">      industrialización  y  comercialización  de  productos   agrícolas,   y</w:t>
        <w:br/>
        <w:t xml:space="preserve">      fortalecimiento y ampliación de los medios para alcanzar estos  fines;</w:t>
        <w:br/>
        <w:t xml:space="preserve">      (e) Industrialización  acelerada  y  diversificada,  especialmente  de</w:t>
        <w:br/>
        <w:t xml:space="preserve">      bienes de capital e intermedios; (f) Estabilidad del nivel de  precios</w:t>
        <w:br/>
        <w:t xml:space="preserve">      internos en armonía con el desarrollo económico sostenido y  el  logro</w:t>
        <w:br/>
        <w:t xml:space="preserve">      de la justicia social; (g) Salarios justos, oportunidades de empleo  y</w:t>
        <w:br/>
        <w:t xml:space="preserve">      condiciones de trabajo aceptables para todos; (h) Erradicación  rápida</w:t>
        <w:br/>
        <w:t xml:space="preserve">      del analfabetismo y ampliación, para todos, de las oportunidades en el</w:t>
        <w:br/>
        <w:t xml:space="preserve">      campo de la educación; (i) Protección de la capacidad potencial humana</w:t>
        <w:br/>
        <w:t xml:space="preserve">      mediante la extensión y aplicación de la ciencia médica  moderna;  (j)</w:t>
        <w:br/>
        <w:t xml:space="preserve">      Alimentación  apropiada,  especialmente   acelerando   los   esfuerzos</w:t>
        <w:br/>
        <w:t xml:space="preserve">      nacionales para aumentar la producción y disponibilidad de  alimentos;</w:t>
        <w:br/>
        <w:t xml:space="preserve">      (k) Vivienda adecuada para todos los sectores  de  la  población;  (l)</w:t>
        <w:br/>
        <w:t xml:space="preserve">      Condiciones urbanas que ofrezcan la oportunidad para  una  vida  sana,</w:t>
        <w:br/>
        <w:t xml:space="preserve">      productiva y  plena;  (m)  Promoción  de  la  iniciativa  e  inversión</w:t>
        <w:br/>
        <w:t xml:space="preserve">      privadas de acuerdo con la acción que se tome en el sector público,  y</w:t>
        <w:br/>
        <w:t xml:space="preserve">      (n) Ampliación y diversificación de las exportaciones.</w:t>
        <w:br/>
        <w:br/>
        <w:t xml:space="preserve">      Observaciones de México[470]</w:t>
        <w:br/>
        <w:br/>
        <w:t xml:space="preserve">        III-3. Despierta serias dudas la  conveniencia  de  incluir  en  el</w:t>
        <w:br/>
        <w:t xml:space="preserve">      anteproyecto los derechos consagrados en el artículo 25 del  Proyecto:</w:t>
        <w:br/>
        <w:t xml:space="preserve">      Por una parte, tal enunciación podría resultar  repetitiva,  toda  vez</w:t>
        <w:br/>
        <w:t xml:space="preserve">      que ya figura en el Artículo 51 del Protocolo de Reformas a  la  Carta</w:t>
        <w:br/>
        <w:t xml:space="preserve">      de la O.E.A. Enseguida, a  diferencia  de  todos  los  demás  derechos</w:t>
        <w:br/>
        <w:t xml:space="preserve">      aludidos en el proyecto -que son derechos de que disfruta el individuo</w:t>
        <w:br/>
        <w:t xml:space="preserve">      como persona o como miembro de un grupo  social  determinado-  resulta</w:t>
        <w:br/>
        <w:t xml:space="preserve">      difícil en un momento dado establecer con precisión cuáles serían el o</w:t>
        <w:br/>
        <w:t xml:space="preserve">      las personas que resultaran directamente afectadas en el caso  de  que</w:t>
        <w:br/>
        <w:t xml:space="preserve">      fueran violados los derechos contenidos en el  referido  artículo  25.</w:t>
        <w:br/>
        <w:t xml:space="preserve">      Otro tanto podría decirse  en  cuanto  hace  al  grado  de  dificultad</w:t>
        <w:br/>
        <w:t xml:space="preserve">      implícito  en  determinar  cuál  sería,  en  su  caso,  la   autoridad</w:t>
        <w:br/>
        <w:t xml:space="preserve">      responsable de semejante violación.</w:t>
        <w:br/>
        <w:br/>
        <w:t xml:space="preserve">      Observaciones de Guatemala[471]</w:t>
        <w:br/>
        <w:br/>
        <w:t xml:space="preserve">      III) En el caso de los Derechos Económicos, Sociales y Culturales</w:t>
        <w:br/>
        <w:br/>
        <w:t xml:space="preserve">        Artículo 24.  Para  proteger  y  promover  la  observancia  de  los</w:t>
        <w:br/>
        <w:t xml:space="preserve">      derechos  económicos,  sociales  y  culturales  anunciados   en   esta</w:t>
        <w:br/>
        <w:t xml:space="preserve">      Convención, la Comisión  Americana  de  Derechos  Humanos,  además  de</w:t>
        <w:br/>
        <w:t xml:space="preserve">      emplear otras medidas admitidas por el derecho  internacional  vigente</w:t>
        <w:br/>
        <w:t xml:space="preserve">      en América, tendrá competencia para:</w:t>
        <w:br/>
        <w:br/>
        <w:t xml:space="preserve">              a) recabar de los Estados Partes informes sobre  las  medidas</w:t>
        <w:br/>
        <w:t xml:space="preserve">           que hayan adoptado y los progresos  realizados  con  el  fin  de</w:t>
        <w:br/>
        <w:t xml:space="preserve">           asegurar el respeto de dichos derechos,</w:t>
        <w:br/>
        <w:br/>
        <w:t xml:space="preserve">              b)  Separadamente,  o  en  cooperación  con   los   gobiernos</w:t>
        <w:br/>
        <w:t xml:space="preserve">           interesados,  llevar  a  cabo  estudios  e  investigaciones   en</w:t>
        <w:br/>
        <w:t xml:space="preserve">           relación a estos derechos;</w:t>
        <w:br/>
        <w:br/>
        <w:t xml:space="preserve">              c) Aprobar recomendaciones de carácter general o  específicas</w:t>
        <w:br/>
        <w:t xml:space="preserve">           para uno o varios Estados;</w:t>
        <w:br/>
        <w:br/>
        <w:t xml:space="preserve">              d) Gestionar de la Asamblea General o de otros órganos de  la</w:t>
        <w:br/>
        <w:t xml:space="preserve">           Organización de Estados Americanos la cooperación necesaria y la</w:t>
        <w:br/>
        <w:t xml:space="preserve">           adopción de las medidas pertinentes;</w:t>
        <w:br/>
        <w:br/>
        <w:t xml:space="preserve">           e) Celebrar reuniones regionales y técnicas;</w:t>
        <w:br/>
        <w:br/>
        <w:t xml:space="preserve">              e)  Propiciar  la  conclusión  de  convenciones  y   acuerdos</w:t>
        <w:br/>
        <w:t xml:space="preserve">           internacionales sobre la materia;</w:t>
        <w:br/>
        <w:br/>
        <w:t xml:space="preserve">           f) Entrar  en  arreglos  con  entidades  técnicas  nacionales  e</w:t>
        <w:br/>
        <w:t xml:space="preserve">        internacionales.</w:t>
        <w:br/>
        <w:br/>
        <w:t xml:space="preserve">        Artículo 25. Los Estados Partes se comprometen  a  presentar  a  la</w:t>
        <w:br/>
        <w:t xml:space="preserve">      Comisión informes periódicos sobre las medidas adoptadas con el fin de</w:t>
        <w:br/>
        <w:t xml:space="preserve">      garantizar la observancia  de  los  derechos  económicos;  sociales  y</w:t>
        <w:br/>
        <w:t xml:space="preserve">      culturales. La periodicidad de estos informes será determinada por  la</w:t>
        <w:br/>
        <w:t xml:space="preserve">      Comisión. También se obligan a presentar a la Comisión copia  de  los,</w:t>
        <w:br/>
        <w:t xml:space="preserve">      informes que en relación a la observancia de estos derechos transmitan</w:t>
        <w:br/>
        <w:t xml:space="preserve">      a otros Órganos, Organismos u Organizaciones internacionales.</w:t>
        <w:br/>
        <w:br/>
        <w:t xml:space="preserve">        Artículo 26. i) La Comisión podrá señalar  a  la  atención  de  los</w:t>
        <w:br/>
        <w:t xml:space="preserve">      órganos internacionales que se ocupen de cooperación o  de  asistencia</w:t>
        <w:br/>
        <w:t xml:space="preserve">      técnica o a la de cualquier otro órgano internacional calificado  toda</w:t>
        <w:br/>
        <w:t xml:space="preserve">      cuestión surgida de los informes  a  que  se  refieren  los  artículos</w:t>
        <w:br/>
        <w:t xml:space="preserve">      anteriores de esta Convención que pueda servir para que dichos órganos</w:t>
        <w:br/>
        <w:t xml:space="preserve">      se  pronuncien,  cada  uno  dentro  de  su   competencia,   sobre   la</w:t>
        <w:br/>
        <w:t xml:space="preserve">      conveniencia de adoptar medidas internacionales capaces de  contribuir</w:t>
        <w:br/>
        <w:t xml:space="preserve">      a la aplicación progresiva de la presente Convención.</w:t>
        <w:br/>
        <w:br/>
        <w:t xml:space="preserve">        ii)  La  Comisión  solicitará  a  los  referidos  órganos  que   le</w:t>
        <w:br/>
        <w:t xml:space="preserve">      transmitan el resultado de  los  exámenes  realizados,  así  como  las</w:t>
        <w:br/>
        <w:t xml:space="preserve">      medidas que dichos organismos adopten por propia iniciativa  con  base</w:t>
        <w:br/>
        <w:t xml:space="preserve">      en los informes referidos.</w:t>
        <w:br/>
        <w:br/>
        <w:t xml:space="preserve">        Artículo 27. La Comisión considerará los informes que reciba de los</w:t>
        <w:br/>
        <w:t xml:space="preserve">      Estados, de entidades nacionales e internacionales  y  de  personas  o</w:t>
        <w:br/>
        <w:t xml:space="preserve">      grupos de personas individuales y, si lo estimare  conveniente,  podrá</w:t>
        <w:br/>
        <w:t xml:space="preserve">      dar a publicidad los informes que reciba, así  como  las  medidas  que</w:t>
        <w:br/>
        <w:t xml:space="preserve">      hubiera adoptado o las solicitudes dirigidas a otras entidades, con el</w:t>
        <w:br/>
        <w:t xml:space="preserve">      objeto de permitir la formación de un juicio  de  la  opinión  pública</w:t>
        <w:br/>
        <w:t xml:space="preserve">      nacional e internacional.</w:t>
        <w:br/>
        <w:br/>
        <w:t xml:space="preserve">      Observaciones de Brasil[472]</w:t>
        <w:br/>
        <w:br/>
        <w:t xml:space="preserve">      Artículo 25 Sustitúyase el texto del proyecto por el siguiente:</w:t>
        <w:br/>
        <w:br/>
        <w:t xml:space="preserve">        1.  Los  Estados  Partes  en  esta  Convención  se  comprometen   a</w:t>
        <w:br/>
        <w:t xml:space="preserve">      incorporar progresivamente a su derecho interno:</w:t>
        <w:br/>
        <w:br/>
        <w:t xml:space="preserve">              a) los derechos contemplados en la Declaración  Americana  de</w:t>
        <w:br/>
        <w:t xml:space="preserve">           Derechos y Deberes del Hombre que no hayan sido incluidos  entre</w:t>
        <w:br/>
        <w:t xml:space="preserve">           los derechos definidos en los artículos precedentes:</w:t>
        <w:br/>
        <w:br/>
        <w:t xml:space="preserve">              b) los derechos  y  beneficios  contemplados  en  las  normas</w:t>
        <w:br/>
        <w:t xml:space="preserve">           económicas,  sociales  y  sobre  educación,  ciencia  y  cultura</w:t>
        <w:br/>
        <w:t xml:space="preserve">           establecidas en los artículos 31, 43 y 47  de  la  Carta  de  la</w:t>
        <w:br/>
        <w:t xml:space="preserve">           Organización de los Estados Americanos, formada por el Protocolo</w:t>
        <w:br/>
        <w:t xml:space="preserve">           de Buenos Aires.</w:t>
        <w:br/>
        <w:br/>
        <w:t xml:space="preserve">        2. La ley podrá excluir los servicios públicos  y  las  actividades</w:t>
        <w:br/>
        <w:t xml:space="preserve">      esenciales, del derecho de huelga"</w:t>
        <w:br/>
        <w:br/>
        <w:t xml:space="preserve">      Justificación</w:t>
        <w:br/>
        <w:br/>
        <w:t xml:space="preserve">        Los derechos civiles y políticos comportan  una  eficaz  protección</w:t>
        <w:br/>
        <w:t xml:space="preserve">      jurisdiccional  tanto  interna,  cuanto   internacional   contra   las</w:t>
        <w:br/>
        <w:t xml:space="preserve">      violaciones  practicadas  por   los   órganos   del   Estado   o   sus</w:t>
        <w:br/>
        <w:t xml:space="preserve">      representantes.  Al  revés,  los  derechos  económicos,   sociales   y</w:t>
        <w:br/>
        <w:t xml:space="preserve">      culturales son contemplados en grado  y  forma  muy  diversos  por  la</w:t>
        <w:br/>
        <w:t xml:space="preserve">      legislación  de  los  diferentes  Estados  Americanos  y,  aunque  los</w:t>
        <w:br/>
        <w:t xml:space="preserve">      Gobiernos   deseen   reconocerlos   todos,   su    vigencia    depende</w:t>
        <w:br/>
        <w:t xml:space="preserve">      substancialmente de la disponibilidad de recursos  materiales  que  le</w:t>
        <w:br/>
        <w:t xml:space="preserve">      permitan  su  implementación.  El  Artículo  25  del  proyecto  se  ha</w:t>
        <w:br/>
        <w:t xml:space="preserve">      inspirado en tal concepto pero su texto no corresponde a su intención.</w:t>
        <w:br/>
        <w:t xml:space="preserve">      La redacción del párrafo 1 es vaga, limitándose a una manifestación de</w:t>
        <w:br/>
        <w:t xml:space="preserve">      intención. Por su vez, el párrafo 2, al reproducir  el  contenido  del</w:t>
        <w:br/>
        <w:t xml:space="preserve">      Artículo 31 del Protocolo de Buenos Aires olvidó el derecho de  huelga</w:t>
        <w:br/>
        <w:t xml:space="preserve">      ya consagrado, con ciertas limitaciones, por el derecho interno de los</w:t>
        <w:br/>
        <w:t xml:space="preserve">      Estados Americanos, así como las normas  sobre  educación,  ciencia  y</w:t>
        <w:br/>
        <w:t xml:space="preserve">      cultura previstas en el Artículo 47 del mismo Protocolo.  La  enmienda</w:t>
        <w:br/>
        <w:t xml:space="preserve">      tiene por objeto dar a los derechos económicos, sociales y  culturales</w:t>
        <w:br/>
        <w:t xml:space="preserve">      la máxima protección compatible con las condiciones  peculiares  a  la</w:t>
        <w:br/>
        <w:t xml:space="preserve">      gran mayoría de los Estados Americanos.</w:t>
        <w:br/>
        <w:br/>
        <w:t xml:space="preserve">                         20.  Luego  de  algunos  debates  en  los  que  se</w:t>
        <w:br/>
        <w:t xml:space="preserve">                             reiteraron algunas posiciones  anteriores  sin</w:t>
        <w:br/>
        <w:t xml:space="preserve">                             llegar a un consenso,  y  en  ninguno  de  los</w:t>
        <w:br/>
        <w:t xml:space="preserve">                             cuales  se  propuso  incluir  a  los  derechos</w:t>
        <w:br/>
        <w:t xml:space="preserve">                             económicos,  sociales  y  culturales   en   el</w:t>
        <w:br/>
        <w:t xml:space="preserve">                             régimen  de  protección  previsto   para   los</w:t>
        <w:br/>
        <w:t xml:space="preserve">                             derechos civiles y políticos,  se  redactó  un</w:t>
        <w:br/>
        <w:t xml:space="preserve">                             capítulo con  dos  artículos.  El  primero  de</w:t>
        <w:br/>
        <w:t xml:space="preserve">                             ellos era igual al del artículo 26 incluido en</w:t>
        <w:br/>
        <w:t xml:space="preserve">                             el texto definitivo de la Convención, mientras</w:t>
        <w:br/>
        <w:t xml:space="preserve">                             que el segundo establecía un tenue e indirecto</w:t>
        <w:br/>
        <w:t xml:space="preserve">                             régimen de “control  de  cumplimiento  de  las</w:t>
        <w:br/>
        <w:t xml:space="preserve">                             obligaciones”. En la parte titulada “Artículos</w:t>
        <w:br/>
        <w:t xml:space="preserve">                             revisados por la Comisión de Estilo” figura el</w:t>
        <w:br/>
        <w:t xml:space="preserve">                             texto  de  los  artículos  26  y  27  que   se</w:t>
        <w:br/>
        <w:t xml:space="preserve">                             sometieron a votación[473]:</w:t>
        <w:br/>
        <w:br/>
        <w:t xml:space="preserve">                                Capítulo III</w:t>
        <w:br/>
        <w:br/>
        <w:t xml:space="preserve">                 DERECHOS ECONÓMICOS, SOCIALES Y CULTURALES</w:t>
        <w:br/>
        <w:br/>
        <w:t xml:space="preserve">        Artículo 26.   Desarrollo Progresivo</w:t>
        <w:br/>
        <w:br/>
        <w:t xml:space="preserve">        Los Estados Partes se comprometen a adoptar providencias,  tanto  a</w:t>
        <w:br/>
        <w:t xml:space="preserve">      nivel   interno   como   mediante   la   cooperación    internacional,</w:t>
        <w:br/>
        <w:t xml:space="preserve">      especialmente económica y técnica para lograr progresivamente la plena</w:t>
        <w:br/>
        <w:t xml:space="preserve">      efectividad de los derechos y se derivan  de  las  normas  económicas,</w:t>
        <w:br/>
        <w:t xml:space="preserve">      sociales y sobre educación, ciencia y cultura, contenidas en la  Carta</w:t>
        <w:br/>
        <w:t xml:space="preserve">      de la  Organización  de  los  Estados  Americanos,  reformada  por  el</w:t>
        <w:br/>
        <w:t xml:space="preserve">      Protocolo de Buenas Aires, en la medida de los  recursos  disponibles,</w:t>
        <w:br/>
        <w:t xml:space="preserve">      por vía, legislativa u otros medios apropiados.</w:t>
        <w:br/>
        <w:br/>
        <w:t xml:space="preserve">        Artículo 27.   Control del Cumplimiento de las Obligaciones</w:t>
        <w:br/>
        <w:br/>
        <w:t xml:space="preserve">        Los Estados Partes deben remitir a la  Comisión  Interamericana  de</w:t>
        <w:br/>
        <w:t xml:space="preserve">      Derechos  Humanos  copia  de  los  informes  y  estudios  que  en  sus</w:t>
        <w:br/>
        <w:t xml:space="preserve">      respectivos campos someten anualmente a las Comisiones Ejecutivas  del</w:t>
        <w:br/>
        <w:t xml:space="preserve">      Consejo Interamericano Económico y Social y del Consejo Interamericano</w:t>
        <w:br/>
        <w:t xml:space="preserve">      para la Educación, la Ciencia y la  Cultura,  a  fin  de  que  aquélla</w:t>
        <w:br/>
        <w:t xml:space="preserve">      verifique si se están cumpliendo las obligaciones antes  determinadas,</w:t>
        <w:br/>
        <w:t xml:space="preserve">      que son la sustentación indispensable para el ejercicio de  los  otros</w:t>
        <w:br/>
        <w:t xml:space="preserve">      derechos consagrados en esta Convención.</w:t>
        <w:br/>
        <w:br/>
        <w:t xml:space="preserve">                         21. En la segunda sesión plenaria[474]  figura  la</w:t>
        <w:br/>
        <w:t xml:space="preserve">                             siguiente decisión:</w:t>
        <w:br/>
        <w:br/>
        <w:br/>
        <w:t xml:space="preserve">      Se aprueba el Artículo 26 sin sufrir ninguna alteración y  se  suprime</w:t>
        <w:br/>
        <w:t xml:space="preserve">      el Artículo 27. En consecuencia  se  adelanta  la  numeración  de  los</w:t>
        <w:br/>
        <w:t xml:space="preserve">      artículos subsiguientes.</w:t>
        <w:br/>
        <w:t xml:space="preserve">              Quiere decir, pues, que  en  ningún  momento  se  propuso  la</w:t>
        <w:br/>
        <w:t xml:space="preserve">           inclusión de los derechos económicos sociales y culturales en el</w:t>
        <w:br/>
        <w:t xml:space="preserve">           régimen de protección previsto por la Convención, que se mantuvo</w:t>
        <w:br/>
        <w:t xml:space="preserve">           limitado a los derechos civiles y políticos reconocidos en ella.</w:t>
        <w:br/>
        <w:br/>
        <w:t xml:space="preserve">   V. CONCLUSIONES</w:t>
        <w:br/>
        <w:br/>
        <w:t xml:space="preserve">                         22.  En  conclusión,  del  artículo   26   de   la</w:t>
        <w:br/>
        <w:t xml:space="preserve">                             Convención Americana no se puede deducir ni el</w:t>
        <w:br/>
        <w:t xml:space="preserve">                             reconocimiento  específico  de  los   derechos</w:t>
        <w:br/>
        <w:t xml:space="preserve">                             económicos,  sociales  y  culturales   ni   su</w:t>
        <w:br/>
        <w:t xml:space="preserve">                             inclusión  en   el   régimen   de   protección</w:t>
        <w:br/>
        <w:t xml:space="preserve">                             establecido    por    la    Convención.     El</w:t>
        <w:br/>
        <w:t xml:space="preserve">                             reconocimiento  de   otros   derechos   y   su</w:t>
        <w:br/>
        <w:t xml:space="preserve">                             inclusión  en  el  régimen  de  protección  no</w:t>
        <w:br/>
        <w:t xml:space="preserve">                             incumben  a  la  Corte  sino  a  los   Estados</w:t>
        <w:br/>
        <w:t xml:space="preserve">                             Miembros, mediante enmiendas (artículo  76)  o</w:t>
        <w:br/>
        <w:t xml:space="preserve">                             protocolos  (artículo  77)  que  apliquen   el</w:t>
        <w:br/>
        <w:t xml:space="preserve">                             artículo 31.</w:t>
        <w:br/>
        <w:br/>
        <w:t xml:space="preserve">                         23. No se trata de un caso en que la  Corte  pueda</w:t>
        <w:br/>
        <w:t xml:space="preserve">                             hacer una legítima  interpretación  progresiva</w:t>
        <w:br/>
        <w:t xml:space="preserve">                             mediante la cual se precise o varía  la  forma</w:t>
        <w:br/>
        <w:t xml:space="preserve">                             en que ha de entenderse un derecho o  libertad</w:t>
        <w:br/>
        <w:t xml:space="preserve">                             reconocido por la Convención.  La  competencia</w:t>
        <w:br/>
        <w:t xml:space="preserve">                             de   la   competencia   (compétence   de    la</w:t>
        <w:br/>
        <w:t xml:space="preserve">                             compétence) no permite a la Corte modificar su</w:t>
        <w:br/>
        <w:t xml:space="preserve">                             propia competencia, sino decidir en cada  caso</w:t>
        <w:br/>
        <w:t xml:space="preserve">                             concreto  y  de  conformidad  con  las  normas</w:t>
        <w:br/>
        <w:t xml:space="preserve">                             pertinentes  si  en  ese  caso  tiene   o   no</w:t>
        <w:br/>
        <w:t xml:space="preserve">                             competencia.</w:t>
        <w:br/>
        <w:br/>
        <w:t xml:space="preserve">                         24. Por consiguiente, no corresponde que la  Corte</w:t>
        <w:br/>
        <w:t xml:space="preserve">                             considere,  y   eventualmente   declare,   una</w:t>
        <w:br/>
        <w:t xml:space="preserve">                             violación del derecho a la salud.</w:t>
        <w:br/>
        <w:br/>
        <w:br/>
        <w:br/>
        <w:br/>
        <w:br/>
        <w:br/>
        <w:br/>
        <w:t xml:space="preserve">                             Alberto Pérez Pérez</w:t>
        <w:br/>
        <w:t xml:space="preserve">                                    Juez</w:t>
        <w:br/>
        <w:br/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br/>
        <w:br/>
        <w:t xml:space="preserve">                            VOTO CONCURRENTE DEL</w:t>
        <w:br/>
        <w:t xml:space="preserve">                    JUEZ EDUARDO FERRER MAC-GREGOR POISOT</w:t>
        <w:br/>
        <w:br/>
        <w:t>CASO GONZALES LLUY Y OTROS VS. ECUADOR</w:t>
        <w:br/>
        <w:br/>
        <w:t>SENTENCIA DE 1 DE SEPTIEMBRE DE 2015</w:t>
        <w:br/>
        <w:t xml:space="preserve"> (Excepciones Preliminares, Fondo, Reparaciones y Costas)</w:t>
        <w:br/>
        <w:br/>
        <w:br/>
        <w:t>Los Jueces Roberto F. Caldas y Manuel E. Ventura Robles se  adhirieron  al</w:t>
        <w:br/>
        <w:t>presente Voto del Juez Eduardo Ferrer Mac-Gregor Poisot.</w:t>
        <w:br/>
        <w:br/>
        <w:br/>
        <w:t>INTRODUCCIÓN: SOBRE EL DERECHO A LA EDUCACIÓN</w:t>
        <w:br/>
        <w:br/>
        <w:br/>
        <w:t>Y EL DERECHO A LA SALUD</w:t>
        <w:br/>
        <w:br/>
        <w:br/>
        <w:t xml:space="preserve">   1. Este es el primer caso en la historia de la  Corte  Interamericana  de</w:t>
        <w:br/>
        <w:t xml:space="preserve">      Derechos Humanos (en adelante “Corte IDH” o “Tribunal Interamericano”)</w:t>
        <w:br/>
        <w:t xml:space="preserve">      en el que se  declara  la  violación  de  una  norma  prevista  en  el</w:t>
        <w:br/>
        <w:t xml:space="preserve">      Protocolo Adicional a la Convención Americana sobre  Derechos  Humanos</w:t>
        <w:br/>
        <w:t xml:space="preserve">      en Materia de Derechos Económicos, Sociales y Culturales (en  adelante</w:t>
        <w:br/>
        <w:t xml:space="preserve">      “Protocolo de San Salvador”)[475]. En efecto, en el caso Gonzales Lluy</w:t>
        <w:br/>
        <w:t xml:space="preserve">      y  otros  se  declara  la  violación  del  “derecho  a  la  educación”</w:t>
        <w:br/>
        <w:t xml:space="preserve">      consagrado en el artículo 13 del  mencionado  Protocolo,  teniendo  en</w:t>
        <w:br/>
        <w:t xml:space="preserve">      cuenta que Talía Gabriela Gonzales Lluy fue expulsada a los 5 años  de</w:t>
        <w:br/>
        <w:t xml:space="preserve">      edad del jardín infantil  en  el  que  se  encontraba  estudiando  por</w:t>
        <w:br/>
        <w:t xml:space="preserve">      motivos relacionados  a  su  situación  de  salud  y  de  persona  con</w:t>
        <w:br/>
        <w:t xml:space="preserve">      VIH[476], señalando la autoridad que Talía podía ejercer su derecho  a</w:t>
        <w:br/>
        <w:t xml:space="preserve">      la  educación  “mediante   una   instrucción   particularizada   y   a</w:t>
        <w:br/>
        <w:t xml:space="preserve">      distancia”[477].</w:t>
        <w:br/>
        <w:br/>
        <w:t>La Corte IDH concluyó que el riesgo real y  significativo  de  contagio  que</w:t>
        <w:br/>
        <w:t>pusiese en riesgo la salud de las niñas y  niños  compañeros  de  Talía  era</w:t>
        <w:br/>
        <w:t>sumamente reducido. En el  marco  de  un  juicio  de  necesidad  y  estricta</w:t>
        <w:br/>
        <w:t>proporcionalidad de la medida, el Tribunal  Interamericano  resaltó  que  el</w:t>
        <w:br/>
        <w:t>medio escogido constituía la alternativa más lesiva  y  desproporcionada  de</w:t>
        <w:br/>
        <w:t>las disponibles para cumplir con la finalidad de proteger la  integridad  de</w:t>
        <w:br/>
        <w:t>las  demás  niñas  y  niños  del  establecimiento  educativo.  Asimismo,  la</w:t>
        <w:br/>
        <w:t>autoridad nacional  utilizó  argumentos  abstractos  y  estereotipados  para</w:t>
        <w:br/>
        <w:t>fundamentar una decisión que resultó extrema e innecesaria, por  lo  que  la</w:t>
        <w:br/>
        <w:t>decisión constituyó un trato discriminatorio  en  contra  de  Talía.  Además</w:t>
        <w:br/>
        <w:t>—tal como profundizo en un apartado posterior—, la Corte IDH  consideró  que</w:t>
        <w:br/>
        <w:t>la víctima sufrió una discriminación derivada de  su  condición  de  persona</w:t>
        <w:br/>
        <w:t>viviendo con VIH, de niña, de mujer y en condición  de  pobreza,  utilizando</w:t>
        <w:br/>
        <w:t>el   Tribunal   Interamericano   por   primera   vez    el    concepto    de</w:t>
        <w:br/>
        <w:t>“interseccionalidad” para el análisis de la discriminación.</w:t>
        <w:br/>
        <w:br/>
        <w:t xml:space="preserve">   3. Por otra parte, siguiendo  su  jurisprudencia  previa  respecto  a  la</w:t>
        <w:br/>
        <w:t xml:space="preserve">      obligación de regulación, supervisión y fiscalización de la prestación</w:t>
        <w:br/>
        <w:t xml:space="preserve">      de servicios de salud, el Tribunal Interamericano declaró la violación</w:t>
        <w:br/>
        <w:t xml:space="preserve">      de los artículos 4 y 5 de la Convención Americana respecto al  derecho</w:t>
        <w:br/>
        <w:t xml:space="preserve">      a la vida y del derecho a la integridad personal. En el presente  caso</w:t>
        <w:br/>
        <w:t xml:space="preserve">      la declaración de la  violación  del  “derecho  a  la  vida”  tuvo  la</w:t>
        <w:br/>
        <w:t xml:space="preserve">      particularidad de involucrar una argumentación que va mucho  más  allá</w:t>
        <w:br/>
        <w:t xml:space="preserve">      del  concepto  de  “vida  digna”  y  que  involucra  un  análisis   de</w:t>
        <w:br/>
        <w:t xml:space="preserve">      circunstancias extremas como las del presente caso, donde  los  hechos</w:t>
        <w:br/>
        <w:t xml:space="preserve">      generadores de responsabilidad  internacional  están  asociados  a  un</w:t>
        <w:br/>
        <w:t xml:space="preserve">      riesgo grave para la vida de Talía Gonzales Lluy, riesgo  con  el  que</w:t>
        <w:br/>
        <w:t xml:space="preserve">      tendrá  que  vivir  durante  toda  su  vida.  La  declaración  de   la</w:t>
        <w:br/>
        <w:t xml:space="preserve">      responsabilidad estatal tuvo  en  cuenta  el  contexto  particular  de</w:t>
        <w:br/>
        <w:t xml:space="preserve">      vulnerabilidad enfrentado  por  la  familia  Lluy  y  las  condiciones</w:t>
        <w:br/>
        <w:t xml:space="preserve">      particulares de Talía en tanto mujer, niña, pobre y persona con VIH.</w:t>
        <w:br/>
        <w:br/>
        <w:t xml:space="preserve">   4. Concurro plenamente con lo  establecido  en  la  Sentencia.  Emito  el</w:t>
        <w:br/>
        <w:t xml:space="preserve">      presente Voto porque estimo necesario enfatizar y profundizar  algunos</w:t>
        <w:br/>
        <w:t xml:space="preserve">      elementos del caso, que considero fundamentales para el desarrollo del</w:t>
        <w:br/>
        <w:t xml:space="preserve">      Sistema  Interamericano  de  Derechos  Humanos:  I)  el  concepto   de</w:t>
        <w:br/>
        <w:t xml:space="preserve">      “interseccionalidad”  en  la  discriminación  (párrs.  5-12);  II)  la</w:t>
        <w:br/>
        <w:t xml:space="preserve">      posibilidad de haber abordado  el  “derecho  a  la  salud”  de  manera</w:t>
        <w:br/>
        <w:t xml:space="preserve">      directa y eventualmente haber declarado la violación del  artículo  26</w:t>
        <w:br/>
        <w:t xml:space="preserve">      de la Convención Americana (párrs. 13-17);  y  III)  la  necesidad  de</w:t>
        <w:br/>
        <w:t xml:space="preserve">      seguir avanzando  hacia  la  justiciabilidad  plena  de  los  derechos</w:t>
        <w:br/>
        <w:t xml:space="preserve">      económicos,  sociales,  culturales  y  ambientales   en   el   Sistema</w:t>
        <w:br/>
        <w:t xml:space="preserve">      Interamericano (párrs. 18-23).</w:t>
        <w:br/>
        <w:br/>
        <w:br/>
        <w:t>I.  interseccionalidad de la discriminación</w:t>
        <w:br/>
        <w:br/>
        <w:br/>
        <w:br/>
        <w:t xml:space="preserve">   5. El Tribunal Interamericano consideró que el Estado violó el “derecho a</w:t>
        <w:br/>
        <w:t xml:space="preserve">      la educación” contenido  en  el  artículo  13  del  Protocolo  de  San</w:t>
        <w:br/>
        <w:t xml:space="preserve">      Salvador[478], en relación con los artículos 19 (derechos del niño)  y</w:t>
        <w:br/>
        <w:t xml:space="preserve">      1.1 (obligación de respetar los derechos) de la  Convención  Americana</w:t>
        <w:br/>
        <w:t xml:space="preserve">      en perjuicio de  Talía  Gonzales  Lluy,  debido  a  la  discriminación</w:t>
        <w:br/>
        <w:t xml:space="preserve">      sufrida teniendo en consideración su condición de persona viviendo con</w:t>
        <w:br/>
        <w:t xml:space="preserve">      VIH, de niña, de mujer y en condición de pobreza.</w:t>
        <w:br/>
        <w:br/>
        <w:t xml:space="preserve">   6.  La   Corte   IDH   por   primera   vez   utiliza   el   concepto   de</w:t>
        <w:br/>
        <w:t xml:space="preserve">      “interseccionalidad” de la discriminación en los siguientes términos:</w:t>
        <w:br/>
        <w:br/>
        <w:t xml:space="preserve">      290.  Como se observa, la Corte nota que en el caso Talía  confluyeron</w:t>
        <w:br/>
        <w:t xml:space="preserve">      en forma interseccional múltiples factores de vulnerabilidad y  riesgo</w:t>
        <w:br/>
        <w:t xml:space="preserve">      de discriminación asociados a su condición de niña, mujer, persona  en</w:t>
        <w:br/>
        <w:t xml:space="preserve">      situación de pobreza y persona viviendo con VIH. La discriminación que</w:t>
        <w:br/>
        <w:t xml:space="preserve">      vivió Talía no sólo fue ocasionada por múltiples  factores,  sino  que</w:t>
        <w:br/>
        <w:t xml:space="preserve">      derivó en una forma específica de discriminación  que  resultó  de  la</w:t>
        <w:br/>
        <w:t xml:space="preserve">      intersección de  dichos  factores,  es  decir,  si  alguno  de  dichos</w:t>
        <w:br/>
        <w:t xml:space="preserve">      factores no hubiese existido,  la  discriminación  habría  tenido  una</w:t>
        <w:br/>
        <w:t xml:space="preserve">      naturaleza diferente. En efecto,  la  pobreza  impactó  en  el  acceso</w:t>
        <w:br/>
        <w:t xml:space="preserve">      inicial a una atención en salud que no fue de calidad y  que,  por  el</w:t>
        <w:br/>
        <w:t xml:space="preserve">      contrario, generó el contagio con VIH. La situación de pobreza impactó</w:t>
        <w:br/>
        <w:t xml:space="preserve">      también en las dificultades para encontrar un mejor acceso al  sistema</w:t>
        <w:br/>
        <w:t xml:space="preserve">      educativo y tener una vivienda digna. Posteriormente,  en  tanto  niña</w:t>
        <w:br/>
        <w:t xml:space="preserve">      con VIH, los obstáculos que sufrió Talía en el acceso a  la  educación</w:t>
        <w:br/>
        <w:t xml:space="preserve">      tuvieron un impacto negativo  para  su  desarrollo  integral,  que  es</w:t>
        <w:br/>
        <w:t xml:space="preserve">      también un impacto diferenciado  teniendo  en  cuenta  el  rol  de  la</w:t>
        <w:br/>
        <w:t xml:space="preserve">      educación para superar los estereotipos de género. Como niña  con  VIH</w:t>
        <w:br/>
        <w:t xml:space="preserve">      necesitaba mayor apoyo del Estado para impulsar su proyecto  de  vida.</w:t>
        <w:br/>
        <w:t xml:space="preserve">      Como mujer, Talía ha señalado los dilemas que siente  en  torno  a  la</w:t>
        <w:br/>
        <w:t xml:space="preserve">      maternidad futura y su interacción en relaciones de pareja, y ha hecho</w:t>
        <w:br/>
        <w:t xml:space="preserve">      visible que no ha contado con consejería adecuada. En suma, el caso de</w:t>
        <w:br/>
        <w:t xml:space="preserve">      Talía ilustra que la estigmatización relacionada con el VIH no impacta</w:t>
        <w:br/>
        <w:t xml:space="preserve">      en forma homogénea a todas las personas y que resultan más graves  los</w:t>
        <w:br/>
        <w:t xml:space="preserve">      impactos en los grupos que de por sí son marginados.  (Negrilla  fuera</w:t>
        <w:br/>
        <w:t xml:space="preserve">      de texto).</w:t>
        <w:br/>
        <w:br/>
        <w:t xml:space="preserve">   7.  El  concepto  de  interseccionalidad  permite  profundizar  la  línea</w:t>
        <w:br/>
        <w:t xml:space="preserve">      jurisprudencial del Tribunal Interamericano  sobre  los  alcances  del</w:t>
        <w:br/>
        <w:t xml:space="preserve">      principio de no discriminación, teniendo en cuenta que en el  presente</w:t>
        <w:br/>
        <w:t xml:space="preserve">      caso se configuró una discriminación  múltiple  asociada  al  carácter</w:t>
        <w:br/>
        <w:t xml:space="preserve">      compuesto  en  las  causas  de  la  discriminación.  En   efecto,   la</w:t>
        <w:br/>
        <w:t xml:space="preserve">      discriminación contra Talía estuvo asociada a factores como ser mujer,</w:t>
        <w:br/>
        <w:t xml:space="preserve">      persona con VIH, persona con discapacidad, ser menor  de  edad,  y  su</w:t>
        <w:br/>
        <w:t xml:space="preserve">      estatus socioeconómico. Estos aspectos la hicieron  más  vulnerable  y</w:t>
        <w:br/>
        <w:t xml:space="preserve">      agravaron los daños que sufrió. La intersección de estos  factores  en</w:t>
        <w:br/>
        <w:t xml:space="preserve">      una discriminación  con  características  específicas  constituyó  una</w:t>
        <w:br/>
        <w:t xml:space="preserve">      discriminación múltiple que, a su vez, constituyó  una  discriminación</w:t>
        <w:br/>
        <w:t xml:space="preserve">      interseccional.  Sin  embargo,  no   toda   discriminación   múltiple,</w:t>
        <w:br/>
        <w:t xml:space="preserve">      necesariamente, está asociada a interseccionalidad.</w:t>
        <w:br/>
        <w:br/>
        <w:t xml:space="preserve">   8. En efecto, respecto a  la  discriminación  múltiple  o  compuesta,  el</w:t>
        <w:br/>
        <w:t xml:space="preserve">      Comité de Derechos  Económicos,  Sociales  y  Culturales  de  Naciones</w:t>
        <w:br/>
        <w:t xml:space="preserve">      Unidas  ha  sostenido  que  algunos   individuos   o   grupos   sufren</w:t>
        <w:br/>
        <w:t xml:space="preserve">      discriminación por más de uno de los motivos  prohibidos,  y  que  esa</w:t>
        <w:br/>
        <w:t xml:space="preserve">      discriminación acumulativa afecta a las personas de manera especial  y</w:t>
        <w:br/>
        <w:t xml:space="preserve">      concreta y merece particular consideración y medidas específicas  para</w:t>
        <w:br/>
        <w:t xml:space="preserve">      combatirla[479]. Para que sea posible  considerar  una  discriminación</w:t>
        <w:br/>
        <w:t xml:space="preserve">      como “múltiple” es necesario que existan varios factores  que  motiven</w:t>
        <w:br/>
        <w:t xml:space="preserve">      dicha discriminación. En similar sentido la Convención  Interamericana</w:t>
        <w:br/>
        <w:t xml:space="preserve">      sobre la Protección de los Derechos Humanos de las  Personas  Mayores,</w:t>
        <w:br/>
        <w:t xml:space="preserve">      adoptada por la Asamblea General de la OEA en junio de 2015, define la</w:t>
        <w:br/>
        <w:t xml:space="preserve">      discriminación múltiple  como  “[c]ualquier  distinción,  exclusión  o</w:t>
        <w:br/>
        <w:t xml:space="preserve">      restricción hacia la persona mayor fundada en dos o  más  factores  de</w:t>
        <w:br/>
        <w:t xml:space="preserve">      discriminación”[480].</w:t>
        <w:br/>
        <w:br/>
        <w:br/>
        <w:t xml:space="preserve">   9. Ahora bien, lo múltiple alude al carácter compuesto de las  causas  de</w:t>
        <w:br/>
        <w:t xml:space="preserve">      discriminación. Un aspecto diferente lo constituye determinar la forma</w:t>
        <w:br/>
        <w:t xml:space="preserve">      como, en algunos casos, interactúan esas  causas  entre  sí,  lo  cual</w:t>
        <w:br/>
        <w:t xml:space="preserve">      implica  valorar  si  se  proyectan  en  forma  separada  o  en  forma</w:t>
        <w:br/>
        <w:t xml:space="preserve">      simultánea.</w:t>
        <w:br/>
        <w:br/>
        <w:t xml:space="preserve">  10. Por su parte, la  interseccionalidad  de  la  discriminación  no  sólo</w:t>
        <w:br/>
        <w:t xml:space="preserve">      describe una discriminación basada en  diferentes  motivos,  sino  que</w:t>
        <w:br/>
        <w:t xml:space="preserve">      evoca un encuentro o concurrencia simultánea  de  diversas  causas  de</w:t>
        <w:br/>
        <w:t xml:space="preserve">      discriminación. Es decir, que  en  un  mismo  evento  se  produce  una</w:t>
        <w:br/>
        <w:t xml:space="preserve">      discriminación  debido  a  la  concurrencia  de  dos  o  más   motivos</w:t>
        <w:br/>
        <w:t xml:space="preserve">      prohibidos. Esa discriminación puede tener un  efecto  sinérgico,  que</w:t>
        <w:br/>
        <w:t xml:space="preserve">      supere la suma simple de varias  formas  de  discriminación,  o  puede</w:t>
        <w:br/>
        <w:t xml:space="preserve">      activar una forma específica de discriminación que sólo  opera  cuando</w:t>
        <w:br/>
        <w:t xml:space="preserve">      se combinan varios motivos de discriminación. No  toda  discriminación</w:t>
        <w:br/>
        <w:t xml:space="preserve">      múltiple sería discriminación  interseccional.  La  interseccionalidad</w:t>
        <w:br/>
        <w:t xml:space="preserve">      evoca un encuentro o concurrencia simultánea  de  diversas  causas  de</w:t>
        <w:br/>
        <w:t xml:space="preserve">      discriminación. Ello activao visibiliza una discriminación que sólo se</w:t>
        <w:br/>
        <w:t xml:space="preserve">      produce cuando se combinan dichos motivos[481].</w:t>
        <w:br/>
        <w:br/>
        <w:br/>
        <w:t xml:space="preserve">  11. La discriminación interseccional se refiere entonces a múltiples bases</w:t>
        <w:br/>
        <w:t xml:space="preserve">      o  factores  interactuando  para  crear  un  riesgo  o  una  carga  de</w:t>
        <w:br/>
        <w:t xml:space="preserve">      discriminación única o distinta. La interseccionalidad es  asociada  a</w:t>
        <w:br/>
        <w:t xml:space="preserve">      dos  características.  Primero,  las  bases   o   los   factores   son</w:t>
        <w:br/>
        <w:t xml:space="preserve">      analíticamente inseparables como la experiencia de  la  discriminación</w:t>
        <w:br/>
        <w:t xml:space="preserve">      no puede ser  desagregada  en  diferentes  bases.  La  experiencia  es</w:t>
        <w:br/>
        <w:t xml:space="preserve">      transformada por la interacción.  Segundo,  la  interseccionalidad  es</w:t>
        <w:br/>
        <w:t xml:space="preserve">      asociada  con   una   experiencia   cualitativa   diferente,   creando</w:t>
        <w:br/>
        <w:t xml:space="preserve">      consecuencias para esos afectados en formas que son diferentes por las</w:t>
        <w:br/>
        <w:t xml:space="preserve">      consecuencias sufridas por aquellos que son sujetos de solo una  forma</w:t>
        <w:br/>
        <w:t xml:space="preserve">      de discriminación[482]. Este  enfoque  es  importante  porque  permite</w:t>
        <w:br/>
        <w:t xml:space="preserve">      visibilizar las  particularidades  de  la  discriminación  que  sufren</w:t>
        <w:br/>
        <w:t xml:space="preserve">      grupos que históricamente han sido discriminados por más de uno de los</w:t>
        <w:br/>
        <w:t xml:space="preserve">      motivos  prohibidos  establecidos  en  varios  tratados  de   derechos</w:t>
        <w:br/>
        <w:t xml:space="preserve">      humanos.</w:t>
        <w:br/>
        <w:br/>
        <w:br/>
        <w:t xml:space="preserve">  12. En suma, la interseccionalidad en el presente caso es fundamental para</w:t>
        <w:br/>
        <w:t xml:space="preserve">      entender la injusticia específica de  lo  ocurrido  a  Talía  y  a  la</w:t>
        <w:br/>
        <w:t xml:space="preserve">      familia Lluy, la  cual  solo  puede  entenderse  en  el  marco  de  la</w:t>
        <w:br/>
        <w:t xml:space="preserve">      convergencia  de   las   diversas   discriminaciones   ocurridas.   La</w:t>
        <w:br/>
        <w:t xml:space="preserve">      interseccionalidad constituye un daño distinto y  único,  diferente  a</w:t>
        <w:br/>
        <w:t xml:space="preserve">      las  discriminaciones  valoradas  por   separado.   Ninguna   de   las</w:t>
        <w:br/>
        <w:t xml:space="preserve">      discriminaciones   valoradas   en   forma   aislada   explicaría    la</w:t>
        <w:br/>
        <w:t xml:space="preserve">      particularidad y especificidad del  daño  sufrido  en  la  experiencia</w:t>
        <w:br/>
        <w:t xml:space="preserve">      interseccional. En el futuro la Corte  IDH  podrá  ir  precisando  los</w:t>
        <w:br/>
        <w:t xml:space="preserve">      alcances de este enfoque,  lo  cual  contribuirá  a  redimensionar  el</w:t>
        <w:br/>
        <w:t xml:space="preserve">      principio de no discriminación en cierto tipo de casos.</w:t>
        <w:br/>
        <w:br/>
        <w:br/>
        <w:br/>
        <w:br/>
        <w:t>II.   LA POSIBILIDAD DE HABER ABORDADO EL  DERECHO  A  LA  SALUD  DE  MANERA</w:t>
        <w:br/>
        <w:t>DIRECTA Y AUTÓNOMA (ARTÍCULOS 26 Y 1.1 DE LA CONVENCIÓN AMERICANA)</w:t>
        <w:br/>
        <w:br/>
        <w:br/>
        <w:t xml:space="preserve">  13. En el caso Suárez Peralta Vs. Ecuador[483], me permití exponer  en  un</w:t>
        <w:br/>
        <w:t xml:space="preserve">      Voto Concurrente las razones por las cuales estimo que el  “derecho  a</w:t>
        <w:br/>
        <w:t xml:space="preserve">      la salud” puede  ser  interpretado  como  un  derecho  susceptible  de</w:t>
        <w:br/>
        <w:t xml:space="preserve">      justiciabilidad directa en el marco de lo dispuesto por el artículo 26</w:t>
        <w:br/>
        <w:t xml:space="preserve">      de la Convención Americana.</w:t>
        <w:br/>
        <w:br/>
        <w:t xml:space="preserve">  14. En el presente caso surge con mayor intensidad la  pertinencia  de  un</w:t>
        <w:br/>
        <w:t xml:space="preserve">      análisis basado en el “derecho a la salud”. La  Corte  IDH  avanza  un</w:t>
        <w:br/>
        <w:t xml:space="preserve">      poco en esta materia al delinear algunos aspectos específicos sobre el</w:t>
        <w:br/>
        <w:t xml:space="preserve">      alcance de este derecho que no habían sido establecidos previamente en</w:t>
        <w:br/>
        <w:t xml:space="preserve">      su jurisprudencia. Por ejemplo, el  Tribunal  Interamericano  alude  a</w:t>
        <w:br/>
        <w:t xml:space="preserve">      algunos estándares relacionados con el acceso  a  medicamentos  y,  en</w:t>
        <w:br/>
        <w:t xml:space="preserve">      particular,  precisa  en  qué  forma  el   acceso   a   los   fármacos</w:t>
        <w:br/>
        <w:t xml:space="preserve">      antirretrovíricos es solo uno de los elementos de una respuesta eficaz</w:t>
        <w:br/>
        <w:t xml:space="preserve">      para las personas que viven con VIH, dado que las personas  que  viven</w:t>
        <w:br/>
        <w:t xml:space="preserve">      con VIH requieren un enfoque  integral  que  comprende  una  secuencia</w:t>
        <w:br/>
        <w:t xml:space="preserve">      continua de prevención, tratamiento, atención y apoyo[484].  Por  otra</w:t>
        <w:br/>
        <w:t xml:space="preserve">      parte, la Corte IDH alude  a  algunos  temas  sobre  el  acceso  a  la</w:t>
        <w:br/>
        <w:t xml:space="preserve">      información en salud[485]; derecho a la  salud  de  las  niñas  y  los</w:t>
        <w:br/>
        <w:t xml:space="preserve">      niños[486], y el derecho a la salud de  las  niñas  y  los  niños  con</w:t>
        <w:br/>
        <w:t xml:space="preserve">      VIH/SIDA[487]. Sin embargo, el análisis de la Corte IDH es realizado a</w:t>
        <w:br/>
        <w:t xml:space="preserve">      la luz de su tradicional jurisprudencia sobre la conexidad de la salud</w:t>
        <w:br/>
        <w:t xml:space="preserve">      con los derechos a la vida y a la integridad personal.</w:t>
        <w:br/>
        <w:br/>
        <w:br/>
        <w:t xml:space="preserve">  15. Al respecto, como lo expuse en el mencionado Voto Concurrente del Caso</w:t>
        <w:br/>
        <w:t xml:space="preserve">      Suárez Peralta (2013), existen al menos estas consideraciones por  las</w:t>
        <w:br/>
        <w:t xml:space="preserve">      cuales conviene abordar de manera directa el derecho a la salud:</w:t>
        <w:br/>
        <w:br/>
        <w:br/>
        <w:t xml:space="preserve">      5.  Partiendo de la premisa de que el  Tribunal  Interamericano  tiene</w:t>
        <w:br/>
        <w:t xml:space="preserve">      plena competencia para analizar  violaciones  de  todos  los  derechos</w:t>
        <w:br/>
        <w:t xml:space="preserve">      reconocidos en la Convención Americana  incluyendo  los  relativos  al</w:t>
        <w:br/>
        <w:t xml:space="preserve">      artículo  26[488],  entre  los  cuales  se  encuentra  el  derecho  al</w:t>
        <w:br/>
        <w:t xml:space="preserve">      Desarrollo  Progresivo  de  los  Derechos   Económicos,   Sociales   y</w:t>
        <w:br/>
        <w:t xml:space="preserve">      Culturales, que comprende el derecho a la salud —como se  reconoce  en</w:t>
        <w:br/>
        <w:t xml:space="preserve">      la Sentencia que motiva el presente voto razonado—, considero  que  en</w:t>
        <w:br/>
        <w:t xml:space="preserve">      el presente caso se debió analizar directamente este  derecho  social,</w:t>
        <w:br/>
        <w:t xml:space="preserve">      debido a la  competencia  que  entiendo  tiene  esta  Corte  IDH  para</w:t>
        <w:br/>
        <w:t xml:space="preserve">      pronunciarse sobre una posible violación a la garantía de los derechos</w:t>
        <w:br/>
        <w:t xml:space="preserve">      económicos, sociales y culturales,  especialmente  del  derecho  a  la</w:t>
        <w:br/>
        <w:t xml:space="preserve">      salud.</w:t>
        <w:br/>
        <w:br/>
        <w:t xml:space="preserve">      6. En efecto, la competencia de la Corte IDH para conocer del  derecho</w:t>
        <w:br/>
        <w:t xml:space="preserve">      a la salud se encuentra directamente en  el  artículo  26  (Desarrollo</w:t>
        <w:br/>
        <w:t xml:space="preserve">      Progresivo) del  Pacto  de  San  José  (a  través  de  distintas  vías</w:t>
        <w:br/>
        <w:t xml:space="preserve">      interpretativas (infra párrs. 33-72), en relación  con  los  artículos</w:t>
        <w:br/>
        <w:t xml:space="preserve">      1.1 (Obligación de Respetar  los  Derechos)  y  2  (Deber  de  Adoptar</w:t>
        <w:br/>
        <w:t xml:space="preserve">      Disposiciones de Derecho Interno), así como del artículo 29 (Normas de</w:t>
        <w:br/>
        <w:t xml:space="preserve">      Interpretación)   de   la   propia   Convención   Americana.   Además,</w:t>
        <w:br/>
        <w:t xml:space="preserve">      considerando  los  artículos  34.i)  y  45  h)  de  la  Carta  de   la</w:t>
        <w:br/>
        <w:t xml:space="preserve">      Organización  de  los  Estados  Americanos,  el  artículo  XI  de   la</w:t>
        <w:br/>
        <w:t xml:space="preserve">      Declaración Americana de los Derechos  y  Deberes  del  Hombre,  y  el</w:t>
        <w:br/>
        <w:t xml:space="preserve">      artículo 25.1 de la Declaración Universal de Derechos Humanos (los dos</w:t>
        <w:br/>
        <w:t xml:space="preserve">      últimos instrumentos de conformidad con lo  previsto  en  el  artículo</w:t>
        <w:br/>
        <w:t xml:space="preserve">      29.d del Pacto de San José), así como  otros  instrumentos  y  fuentes</w:t>
        <w:br/>
        <w:t xml:space="preserve">      internacionales que le otorgan contenido,  definición  y  alcances  al</w:t>
        <w:br/>
        <w:t xml:space="preserve">      derecho a la salud —como lo ha hecho la  Corte  IDH  respecto  de  los</w:t>
        <w:br/>
        <w:t xml:space="preserve">      derechos civiles y políticos—,  como  lo  son  los  artículos  10  del</w:t>
        <w:br/>
        <w:t xml:space="preserve">      Protocolo  Adicional  a  la  Convención   Americana   sobre   Derechos</w:t>
        <w:br/>
        <w:t xml:space="preserve">      Económicos, Sociales y Culturales, 17 y 33.2 de la Carta Social de las</w:t>
        <w:br/>
        <w:t xml:space="preserve">      Américas,  12.1  y  12.2.d)  del  Pacto  Internacional   de   Derechos</w:t>
        <w:br/>
        <w:t xml:space="preserve">      Económicos, Sociales y Culturales, 12.1  de  la  Convención  sobre  la</w:t>
        <w:br/>
        <w:t xml:space="preserve">      Eliminación de Todas las Formas de Discriminación contra la Mujer,  24</w:t>
        <w:br/>
        <w:t xml:space="preserve">      y 25 de la  Convención  sobre  los  Derechos  del  Niño,  entre  otros</w:t>
        <w:br/>
        <w:t xml:space="preserve">      instrumentos y fuentes  internacionales  —incluso  nacionales  vía  el</w:t>
        <w:br/>
        <w:t xml:space="preserve">      artículo 29.b) de la Convención Americana—. Y lo anterior sin que  sea</w:t>
        <w:br/>
        <w:t xml:space="preserve">      obstáculo el artículo 19.6 del Protocolo de San Salvador, que  refiere</w:t>
        <w:br/>
        <w:t xml:space="preserve">      sólo  a  la  justiciabilidad  de  algunos  derechos  sindicales  y  de</w:t>
        <w:br/>
        <w:t xml:space="preserve">      educación, toda vez que es el propio  artículo  26  de  la  Convención</w:t>
        <w:br/>
        <w:t xml:space="preserve">      Americana el que otorga esta posibilidad, como veremos más adelante.</w:t>
        <w:br/>
        <w:br/>
        <w:t xml:space="preserve">      7. Evidentemente, esta posición demanda  un  mayor  escrutinio  en  la</w:t>
        <w:br/>
        <w:t xml:space="preserve">      interpretación   normativa   interamericana   en   su    conjunto    y</w:t>
        <w:br/>
        <w:t xml:space="preserve">      particularmente del artículo 26 del Pacto de San José, que  prevé  “la</w:t>
        <w:br/>
        <w:t xml:space="preserve">      plena efectividad” de los derechos económicos, sociales y  culturales,</w:t>
        <w:br/>
        <w:t xml:space="preserve">      sin que los elementos de “progresividad” y de “recursos disponibles” a</w:t>
        <w:br/>
        <w:t xml:space="preserve">      que alude  este  precepto,  puedan  configurarse  como  condicionantes</w:t>
        <w:br/>
        <w:t xml:space="preserve">      normativos para la justiciabilidad de dichos derechos,  sino  en  todo</w:t>
        <w:br/>
        <w:t xml:space="preserve">      caso constituyen aspectos sobre su implementación de  conformidad  con</w:t>
        <w:br/>
        <w:t xml:space="preserve">      las particularidades de cada Estado. De hecho, tal como se  señaló  en</w:t>
        <w:br/>
        <w:t xml:space="preserve">      el caso Acevedo Buendía, pueden surgir casos donde el control judicial</w:t>
        <w:br/>
        <w:t xml:space="preserve">      se concentre en alegadas medidas regresivas o en  indebido  manejo  de</w:t>
        <w:br/>
        <w:t xml:space="preserve">      los recursos disponibles  (es  decir,  control  judicial  respecto  al</w:t>
        <w:br/>
        <w:t xml:space="preserve">      avance progresivo).</w:t>
        <w:br/>
        <w:br/>
        <w:t xml:space="preserve">      8.  Además,  esta  exigencia  argumentativa  requiere  una  visión   e</w:t>
        <w:br/>
        <w:t xml:space="preserve">      interpretación evolutiva, acorde con  los  tiempos  actuales,  lo  que</w:t>
        <w:br/>
        <w:t xml:space="preserve">      exige considerar los avances del derecho comparado  —especialmente  de</w:t>
        <w:br/>
        <w:t xml:space="preserve">      las altas jurisdicciones nacionales de los Estados Partes, incluso  de</w:t>
        <w:br/>
        <w:t xml:space="preserve">      la tendencia en otros países del mundo—, así como  una  interpretación</w:t>
        <w:br/>
        <w:t xml:space="preserve">      que  analice  el  corpus  juris   interamericano   en   su   conjunto,</w:t>
        <w:br/>
        <w:t xml:space="preserve">      especialmente la relación de la Convención Americana y el Protocolo de</w:t>
        <w:br/>
        <w:t xml:space="preserve">      San Salvador.</w:t>
        <w:br/>
        <w:br/>
        <w:t xml:space="preserve">      […]</w:t>
        <w:br/>
        <w:br/>
        <w:t xml:space="preserve">      11. En efecto, sin negar los avances alcanzados en  la  protección  de</w:t>
        <w:br/>
        <w:t xml:space="preserve">      los derechos económicos, sociales y culturales por la vía indirecta  y</w:t>
        <w:br/>
        <w:t xml:space="preserve">      en conexión con otros derechos civiles y políticos  —que  ha  sido  la</w:t>
        <w:br/>
        <w:t xml:space="preserve">      reconocida práctica de este Tribunal Interamericano—; en  mi  opinión,</w:t>
        <w:br/>
        <w:t xml:space="preserve">      este proceder no otorga una  eficacia  y  efectividad  plena  de  esos</w:t>
        <w:br/>
        <w:t xml:space="preserve">      derechos, desnaturaliza su esencia, no abona al esclarecimiento de las</w:t>
        <w:br/>
        <w:t xml:space="preserve">      obligaciones estatales sobre la  materia  y,  en  definitiva,  provoca</w:t>
        <w:br/>
        <w:t xml:space="preserve">      traslapes entre derechos, lo que lleva a confusiones  innecesarias  en</w:t>
        <w:br/>
        <w:t xml:space="preserve">      los tiempos actuales de clara  tendencia  hacia  el  reconocimiento  y</w:t>
        <w:br/>
        <w:t xml:space="preserve">      eficacia normativa de todos los  derechos  conforme  a  los  evidentes</w:t>
        <w:br/>
        <w:t xml:space="preserve">      avances que se advierten en los  ámbitos  nacional  y  en  el  derecho</w:t>
        <w:br/>
        <w:t xml:space="preserve">      internacional de los derechos humanos.</w:t>
        <w:br/>
        <w:br/>
        <w:t xml:space="preserve">      […]</w:t>
        <w:br/>
        <w:br/>
        <w:br/>
        <w:br/>
        <w:br/>
        <w:t xml:space="preserve">      15.  La posibilidad de que este Tribunal Interamericano  se  pronuncie</w:t>
        <w:br/>
        <w:t xml:space="preserve">      sobre el  derecho  a  la  salud  deriva,  en  primer  término,  de  la</w:t>
        <w:br/>
        <w:t xml:space="preserve">      “interdependencia e  indivisibilidad”  existente  entre  los  derechos</w:t>
        <w:br/>
        <w:t xml:space="preserve">      civiles y  políticos  con  respecto  de  los  económicos,  sociales  y</w:t>
        <w:br/>
        <w:t xml:space="preserve">      culturales. En efecto, en la Sentencia que  motiva  el  presente  voto</w:t>
        <w:br/>
        <w:t xml:space="preserve">      razonado, expresamente se reconoce ese  carácter,  ya  que  deben  ser</w:t>
        <w:br/>
        <w:t xml:space="preserve">      entendidos integralmente como derechos humanos, sin jerarquía entre sí</w:t>
        <w:br/>
        <w:t xml:space="preserve">      y exigibles en todos los casos ante aquellas autoridades que  resulten</w:t>
        <w:br/>
        <w:t xml:space="preserve">      competentes para ello.</w:t>
        <w:br/>
        <w:br/>
        <w:br/>
        <w:br/>
        <w:br/>
        <w:t xml:space="preserve">      […]</w:t>
        <w:br/>
        <w:br/>
        <w:br/>
        <w:br/>
        <w:br/>
        <w:t xml:space="preserve">      18.  Lo importante de esta consideración sobre la interdependencia  de</w:t>
        <w:br/>
        <w:t xml:space="preserve">      los derechos civiles y  políticos  en  relación  con  los  económicos,</w:t>
        <w:br/>
        <w:t xml:space="preserve">      sociales y culturales, realizada por la Corte IDH en el  Caso  Acevedo</w:t>
        <w:br/>
        <w:t xml:space="preserve">      Buendía y otros Vs. Perú,  radica  en  que  dicho  pronunciamiento  se</w:t>
        <w:br/>
        <w:t xml:space="preserve">      efectúa al estudiar los alcances interpretativos del artículo 26 de la</w:t>
        <w:br/>
        <w:t xml:space="preserve">      Convención Americana, respecto de un  derecho  (seguridad  social)  no</w:t>
        <w:br/>
        <w:t xml:space="preserve">      reconocido expresamente como  justiciable  en  el  artículo  19.6  del</w:t>
        <w:br/>
        <w:t xml:space="preserve">      Protocolo de San Salvador. Previo al análisis de  fondo,  el  Tribunal</w:t>
        <w:br/>
        <w:t xml:space="preserve">      Interamericano expresamente había desestimado la excepción  preliminar</w:t>
        <w:br/>
        <w:t xml:space="preserve">      de falta  de  competencia  ratione  materiae  opuesta  por  el  Estado</w:t>
        <w:br/>
        <w:t xml:space="preserve">      demandado[.]</w:t>
        <w:br/>
        <w:br/>
        <w:br/>
        <w:br/>
        <w:br/>
        <w:t xml:space="preserve">      19.  La Corte IDH, sin hacer mención al Protocolo de San Salvador para</w:t>
        <w:br/>
        <w:t xml:space="preserve">      determinar si tenía competencia sobre el mismo, al estimar que no  era</w:t>
        <w:br/>
        <w:t xml:space="preserve">      necesario  toda  vez  que  no  se  alegó  violación  directa  a  dicho</w:t>
        <w:br/>
        <w:t xml:space="preserve">      instrumento  internacional,  desestimó  la  excepción  preliminar  del</w:t>
        <w:br/>
        <w:t xml:space="preserve">      Estado, al considerar, por una parte, que como cualquier  otro  órgano</w:t>
        <w:br/>
        <w:t xml:space="preserve">      con funciones jurisdiccionales, el Tribunal  Interamericano  tiene  el</w:t>
        <w:br/>
        <w:t xml:space="preserve">      poder inherente a sus atribuciones de  determinar  el  alcance  de  su</w:t>
        <w:br/>
        <w:t xml:space="preserve">      propia competencia  (compétence de la compétence); y, por otra  parte,</w:t>
        <w:br/>
        <w:t xml:space="preserve">      que  “la  Corte  debe  tener  en  cuenta  que  los   instrumentos   de</w:t>
        <w:br/>
        <w:t xml:space="preserve">      reconocimiento  de  la  cláusula  facultativa   de   la   jurisdicción</w:t>
        <w:br/>
        <w:t xml:space="preserve">      obligatoria (artículo 62.1 de la Convención) presuponen  la  admisión,</w:t>
        <w:br/>
        <w:t xml:space="preserve">      por los Estados que la presentan, del derecho de la Corte  a  resolver</w:t>
        <w:br/>
        <w:t xml:space="preserve">      cualquier  controversia  relativa  a  su  jurisdicción.   Además,   el</w:t>
        <w:br/>
        <w:t xml:space="preserve">      Tribunal ha señalado anteriormente que los  términos  amplios  en  que</w:t>
        <w:br/>
        <w:t xml:space="preserve">      está  redactada  la  Convención  indican  que  la  Corte  ejerce   una</w:t>
        <w:br/>
        <w:t xml:space="preserve">      jurisdicción plena sobre todos sus artículos y disposiciones”.</w:t>
        <w:br/>
        <w:br/>
        <w:br/>
        <w:br/>
        <w:br/>
        <w:t xml:space="preserve">      20. En este importante precedente, la Corte IDH desestimó la excepción</w:t>
        <w:br/>
        <w:t xml:space="preserve">      del  Estado  demandado  que  expresamente  alegaba  que   carecía   de</w:t>
        <w:br/>
        <w:t xml:space="preserve">      competencia dicho órgano jurisdiccional  para  pronunciarse  sobre  un</w:t>
        <w:br/>
        <w:t xml:space="preserve">      derecho no justiciable en términos del artículo 19.6 del Protocolo  de</w:t>
        <w:br/>
        <w:t xml:space="preserve">      San Salvador. Es decir, el Tribunal Interamericano al desestimar dicha</w:t>
        <w:br/>
        <w:t xml:space="preserve">      excepción preliminar y estudiar el  fondo  del  asunto,  consideró  su</w:t>
        <w:br/>
        <w:t xml:space="preserve">      competencia para conocer y resolver (incluso poder  declarar  violado)</w:t>
        <w:br/>
        <w:t xml:space="preserve">      el artículo 26 del  Pacto  de  San  José.  No  obstante,  en  el  caso</w:t>
        <w:br/>
        <w:t xml:space="preserve">      particular  estimó  que  no  resultaba  infracción  a  dicho  precepto</w:t>
        <w:br/>
        <w:t xml:space="preserve">      convencional.  Al estudiar el fondo del asunto, la Corte IDH consideró</w:t>
        <w:br/>
        <w:t xml:space="preserve">      que los derechos económicos, sociales y culturales a que se refiere el</w:t>
        <w:br/>
        <w:t xml:space="preserve">      artículo 26 están sujetos a las obligaciones generales  contenidas  en</w:t>
        <w:br/>
        <w:t xml:space="preserve">      los artículos 1.1 y 2 de la Convención Americana, como  lo  están  los</w:t>
        <w:br/>
        <w:t xml:space="preserve">      derechos civiles y políticos previstos en los artículos 3 a 25.</w:t>
        <w:br/>
        <w:br/>
        <w:br/>
        <w:br/>
        <w:br/>
        <w:t xml:space="preserve">      […]</w:t>
        <w:br/>
        <w:br/>
        <w:t xml:space="preserve">      27. Desde mi perspectiva,  estos  alcances  [de  la  interdependencia]</w:t>
        <w:br/>
        <w:t xml:space="preserve">      implican: a) establecer una relación fuerte  y  de  igual  importancia</w:t>
        <w:br/>
        <w:t xml:space="preserve">      entre derechos civiles y políticos y los derechos económicos, sociales</w:t>
        <w:br/>
        <w:t xml:space="preserve">      y culturales; b) obligar a interpretar todos los  derechos  de  manera</w:t>
        <w:br/>
        <w:t xml:space="preserve">      conjunta —que en algunos ocasiones arrojan  contenidos  traslapados  o</w:t>
        <w:br/>
        <w:t xml:space="preserve">      superpuestos— y a valorar las  implicaciones  que  tiene  el  respeto,</w:t>
        <w:br/>
        <w:t xml:space="preserve">      protección  y  garantía  de  unos  derechos  sobre   otros   para   su</w:t>
        <w:br/>
        <w:t xml:space="preserve">      implementación efectiva; c) otorgar una visión autónoma a los derechos</w:t>
        <w:br/>
        <w:t xml:space="preserve">      económicos,  sociales  y  culturales,  conforme   a   su   esencia   y</w:t>
        <w:br/>
        <w:t xml:space="preserve">      características propias; d)  reconocer  que  pueden  ser  violados  de</w:t>
        <w:br/>
        <w:t xml:space="preserve">      manera autónoma, lo que podría conducir —como sucede con los  derechos</w:t>
        <w:br/>
        <w:t xml:space="preserve">      civiles y políticos— a declarar violado el deber de  garantía  de  los</w:t>
        <w:br/>
        <w:t xml:space="preserve">      derechos derivados del artículo 26 del Pacto de San José, en  relación</w:t>
        <w:br/>
        <w:t xml:space="preserve">      con las obligaciones generales previstas en los artículos 1 y 2 de  la</w:t>
        <w:br/>
        <w:t xml:space="preserve">      Convención Americana; e) precisar las obligaciones que  deben  cumplir</w:t>
        <w:br/>
        <w:t xml:space="preserve">      los Estados en materia de derechos económicos, sociales y  culturales;</w:t>
        <w:br/>
        <w:t xml:space="preserve">      f)  permitir   una   interpretación   evolutiva   del   corpus   juris</w:t>
        <w:br/>
        <w:t xml:space="preserve">      interamericano y de manera sistemática,  especialmente  para  advertir</w:t>
        <w:br/>
        <w:t xml:space="preserve">      los alcances  del  artículo  26  de  la  Convención  con  respecto  al</w:t>
        <w:br/>
        <w:t xml:space="preserve">      Protocolo de San Salvador[,] y g) proporcionar un fundamento más  para</w:t>
        <w:br/>
        <w:t xml:space="preserve">      utilizar  otros  instrumentos   e   interpretaciones   de   organismos</w:t>
        <w:br/>
        <w:t xml:space="preserve">      internacionales  relativas  a  los  derechos  económicos,  sociales  y</w:t>
        <w:br/>
        <w:t xml:space="preserve">      culturales con el fin de darles contenido.</w:t>
        <w:br/>
        <w:br/>
        <w:t xml:space="preserve">      […]</w:t>
        <w:br/>
        <w:br/>
        <w:t xml:space="preserve">      34.  Al pensar sobre las implicaciones del  derecho  a  la  salud,  es</w:t>
        <w:br/>
        <w:t xml:space="preserve">      necesaria  una  revaluación  interpretativa  del  Artículo  26  de  la</w:t>
        <w:br/>
        <w:t xml:space="preserve">      Convención Americana, única norma de dicho Pacto que se refiere “a los</w:t>
        <w:br/>
        <w:t xml:space="preserve">      derechos que se derivan de las normas  económicas,  sociales  y  sobre</w:t>
        <w:br/>
        <w:t xml:space="preserve">      educación,  ciencia  y  cultura,  contenidas  en  la   Carta   de   la</w:t>
        <w:br/>
        <w:t xml:space="preserve">      Organización de los Estados Americana, reformada por el  Protocolo  de</w:t>
        <w:br/>
        <w:t xml:space="preserve">      Buenos Aires”, partiendo de que el Tribunal Interamericano ejerce  una</w:t>
        <w:br/>
        <w:t xml:space="preserve">      jurisdicción plena sobre todos sus artículos  y  disposiciones,  entre</w:t>
        <w:br/>
        <w:t xml:space="preserve">      los cuales se encuentra dicha disposición convencional.</w:t>
        <w:br/>
        <w:br/>
        <w:t xml:space="preserve">      35.  Además, el artículo 26 está dentro de la Parte I (Deberes de  los</w:t>
        <w:br/>
        <w:t xml:space="preserve">      Estados y Derechos Protegidos) de la Convención Americana  y,  por  lo</w:t>
        <w:br/>
        <w:t xml:space="preserve">      tanto, le es aplicable  las  obligaciones  generales  de  los  Estados</w:t>
        <w:br/>
        <w:t xml:space="preserve">      previstas en  los  artículos  1.1  y  2  del  mismo  Pacto,  como  fue</w:t>
        <w:br/>
        <w:t xml:space="preserve">      reconocido por el propio Tribunal Interamericano en  el  Caso  Acevedo</w:t>
        <w:br/>
        <w:t xml:space="preserve">      Buendía  Vs.  Perú.  Existe,  sin  embargo,   una   aparente   tensión</w:t>
        <w:br/>
        <w:t xml:space="preserve">      interpretativa con los alcances que deben darse  al  artículo  26  del</w:t>
        <w:br/>
        <w:t xml:space="preserve">      Pacto de San José en relación con el artículo 19.6  del  Protocolo  de</w:t>
        <w:br/>
        <w:t xml:space="preserve">      San Salvador que limita la justiciabilidad de los derechos económicos,</w:t>
        <w:br/>
        <w:t xml:space="preserve">      sociales y culturales a sólo a ciertos derechos.</w:t>
        <w:br/>
        <w:br/>
        <w:t xml:space="preserve">      […]</w:t>
        <w:br/>
        <w:br/>
        <w:t xml:space="preserve">      36. Desde mi perspectiva, se requiere un desarrollo interpretativo del</w:t>
        <w:br/>
        <w:t xml:space="preserve">      Artículo 26 del Pacto de San José en la jurisprudencia de la Corte IDH</w:t>
        <w:br/>
        <w:t xml:space="preserve">      que podría representar nuevos derroteros para la  efectividad  de  los</w:t>
        <w:br/>
        <w:t xml:space="preserve">      derechos económicos, sociales y culturales, tanto en  sus  dimensiones</w:t>
        <w:br/>
        <w:t xml:space="preserve">      individual y colectiva. Y podría configurarse un nuevo contenido en el</w:t>
        <w:br/>
        <w:t xml:space="preserve">      futuro a  través  de  interpretaciones  evolutivas  que  refuercen  el</w:t>
        <w:br/>
        <w:t xml:space="preserve">      carácter interdependiente e indivisible de los derechos humanos.</w:t>
        <w:br/>
        <w:br/>
        <w:t xml:space="preserve">      37.  En  ese  sentido,  considero  oportuno  el  llamado  que  la  muy</w:t>
        <w:br/>
        <w:t xml:space="preserve">      distinguida jueza Margarette May Macaulay —de la anterior  integración</w:t>
        <w:br/>
        <w:t xml:space="preserve">      de la Corte IDH— realizara en su voto concurrente hace unos meses,  en</w:t>
        <w:br/>
        <w:t xml:space="preserve">      el Caso Furlan y Familiares Vs. Argentina, dirigido  a  actualizar  el</w:t>
        <w:br/>
        <w:t xml:space="preserve">      sentido normativo de dicho precepto convencional. La ex  jueza  señaló</w:t>
        <w:br/>
        <w:t xml:space="preserve">      que el Protocolo de San Salvador  “no  establece  ninguna  disposición</w:t>
        <w:br/>
        <w:t xml:space="preserve">      cuya intención fuera limitar el alcance de la  Convención  Americana”.</w:t>
        <w:br/>
        <w:t xml:space="preserve">      […]</w:t>
        <w:br/>
        <w:br/>
        <w:t xml:space="preserve">      38. La  jueza  Macaulay  precisó  que  correspondía  a  la  Corte  IDH</w:t>
        <w:br/>
        <w:t xml:space="preserve">      actualizar el sentido normativo del Artículo 26 […].</w:t>
        <w:br/>
        <w:br/>
        <w:t xml:space="preserve">      39. Además de lo expresado,  pueden  considerarse  algunos  argumentos</w:t>
        <w:br/>
        <w:t xml:space="preserve">      adicionales a esta interpretación de la relación entre  la  Convención</w:t>
        <w:br/>
        <w:t xml:space="preserve">      Americana y el Protocolo de San Salvador, relativo a la competencia de</w:t>
        <w:br/>
        <w:t xml:space="preserve">      la Corte para conocer de violaciones directas a  derechos  económicos,</w:t>
        <w:br/>
        <w:t xml:space="preserve">      sociales y culturales a la luz del Artículo 26 del Pacto de San José.</w:t>
        <w:br/>
        <w:br/>
        <w:br/>
        <w:t xml:space="preserve">      40. En primer lugar, resulta indispensable partir de la importancia de</w:t>
        <w:br/>
        <w:t xml:space="preserve">      tener en cuenta la interpretación literal del Artículo 26  respecto  a</w:t>
        <w:br/>
        <w:t xml:space="preserve">      la  competencia  establecida  para   proteger   todos   los   derechos</w:t>
        <w:br/>
        <w:t xml:space="preserve">      establecidos en el Pacto de San José, lo  que  incluyen  los  derechos</w:t>
        <w:br/>
        <w:t xml:space="preserve">      previstos en los artículos 3 a 26 (Capítulos II: “Derechos  Civiles  y</w:t>
        <w:br/>
        <w:t xml:space="preserve">      Políticos,  y  Capítulo  III:   “Derechos   Económicos,   Sociales   y</w:t>
        <w:br/>
        <w:t xml:space="preserve">      Culturales”). Como ya lo referí, la Corte IDH así lo ha reconocido  de</w:t>
        <w:br/>
        <w:t xml:space="preserve">      manera expresa en la sentencia en el caso Acevedo Buendía y otros  Vs.</w:t>
        <w:br/>
        <w:t xml:space="preserve">      Perú […].</w:t>
        <w:br/>
        <w:br/>
        <w:br/>
        <w:t xml:space="preserve">      42. Ahora bien, en ningún precepto del Protocolo de  San  Salvador  se</w:t>
        <w:br/>
        <w:t xml:space="preserve">      realiza referencia alguna  sobre  los  alcances  de  las  obligaciones</w:t>
        <w:br/>
        <w:t xml:space="preserve">      generales a que se refieren los artículos 1.1 y  2  de  la  Convención</w:t>
        <w:br/>
        <w:t xml:space="preserve">      Americana.  Si  el  Pacto  de  San  José  no  está  siendo  modificado</w:t>
        <w:br/>
        <w:t xml:space="preserve">      expresamente, la interpretación que  corresponde  debe  ser  la  menos</w:t>
        <w:br/>
        <w:t xml:space="preserve">      restringida respecto a sus alcances. En este  aspecto,  es  importante</w:t>
        <w:br/>
        <w:t xml:space="preserve">      resaltar que la misma Convención Americana  dispone  un  procedimiento</w:t>
        <w:br/>
        <w:t xml:space="preserve">      específico para su modificación. Si el Protocolo de Salvador pretendía</w:t>
        <w:br/>
        <w:t xml:space="preserve">      derogar o modificar el alcance del artículo  26,  ello  debió  haberse</w:t>
        <w:br/>
        <w:t xml:space="preserve">      establecido en forma expresa e  inequívoca.  La  clara  redacción  del</w:t>
        <w:br/>
        <w:t xml:space="preserve">      artículo 19.6 del  Protocolo  no  permite  inferir  conclusión  alguna</w:t>
        <w:br/>
        <w:t xml:space="preserve">      respecto a la literalidad de la  relación  del  artículo  26  con  los</w:t>
        <w:br/>
        <w:t xml:space="preserve">      artículos 1.1 y 2 de la Convención Americana, tal y como ha reconocido</w:t>
        <w:br/>
        <w:t xml:space="preserve">      la Corte IDH.</w:t>
        <w:br/>
        <w:br/>
        <w:br/>
        <w:t xml:space="preserve">      43.  Sobre la interpretación del artículo 26  y  su  relación  con  el</w:t>
        <w:br/>
        <w:t xml:space="preserve">      Protocolo de San Salvador se han generado diversas posiciones.  En  mi</w:t>
        <w:br/>
        <w:t xml:space="preserve">      opinión, lo que corresponde es aplicar el principio de  interpretación</w:t>
        <w:br/>
        <w:t xml:space="preserve">      más favorable no sólo en  relación  con  aspectos  sustantivos  de  la</w:t>
        <w:br/>
        <w:t xml:space="preserve">      Convención sino también en aspectos  procesales  relacionados  con  la</w:t>
        <w:br/>
        <w:t xml:space="preserve">      atribución de  competencia,  siempre  y  cuando  exista  un  conflicto</w:t>
        <w:br/>
        <w:t xml:space="preserve">      interpretativo concreto y genuino. Si el  Protocolo  de  San  Salvador</w:t>
        <w:br/>
        <w:t xml:space="preserve">      expresamente hubiera señalado que debía entenderse que el artículo  26</w:t>
        <w:br/>
        <w:t xml:space="preserve">      ya no tenía vigencia, no podría el intérprete llegar a una  conclusión</w:t>
        <w:br/>
        <w:t xml:space="preserve">      en contrario. Sin embargo, ninguna norma del Protocolo  se  refiere  a</w:t>
        <w:br/>
        <w:t xml:space="preserve">      disminuir o limitar el alcance de la Convención Americana.</w:t>
        <w:br/>
        <w:br/>
        <w:br/>
        <w:t xml:space="preserve">      44. Por el contrario, una de las normas del Protocolo señala que  este</w:t>
        <w:br/>
        <w:t xml:space="preserve">      instrumento no debe ser interpretado para  desconocer  otros  derechos</w:t>
        <w:br/>
        <w:t xml:space="preserve">      vigentes en los Estados Parte, lo cual incluye  los  derechos  que  se</w:t>
        <w:br/>
        <w:t xml:space="preserve">      derivan del artículo 26  en  el  marco  de  la  Convención  Americana.</w:t>
        <w:br/>
        <w:t xml:space="preserve">      Asimismo, en términos del artículo 29.b) de la  Convención  Americana,</w:t>
        <w:br/>
        <w:t xml:space="preserve">      no puede realizarse una interpretación restrictiva de los derechos.</w:t>
        <w:br/>
        <w:br/>
        <w:br/>
        <w:t xml:space="preserve">      45. Corresponde entonces resolver este —aparente— problema a partir de</w:t>
        <w:br/>
        <w:t xml:space="preserve">      una interpretación sistemática, teleológica, evolutiva y que tenga  en</w:t>
        <w:br/>
        <w:t xml:space="preserve">      cuenta  la  interpretación  más  favorable  para  impulsar  la   mejor</w:t>
        <w:br/>
        <w:t xml:space="preserve">      protección del ser humano y el objeto y fin  del  artículo  26  de  la</w:t>
        <w:br/>
        <w:t xml:space="preserve">      Convención  Americana  respecto   a   la   necesidad   de   garantizar</w:t>
        <w:br/>
        <w:t xml:space="preserve">      efectivamente los derechos económicos, sociales y  culturales.  En  un</w:t>
        <w:br/>
        <w:t xml:space="preserve">      conflicto  interpretativo  corresponde  otorgar  prevalencia   a   una</w:t>
        <w:br/>
        <w:t xml:space="preserve">      interpretación sistemática de las normas relevantes.</w:t>
        <w:br/>
        <w:br/>
        <w:br/>
        <w:t xml:space="preserve">      46. En este sentido, la Corte IDH ha señalado en  otras  oportunidades</w:t>
        <w:br/>
        <w:t xml:space="preserve">      que los tratados de derechos  humanos  son  instrumentos  vivos,  cuya</w:t>
        <w:br/>
        <w:t xml:space="preserve">      interpretación tiene que acompañar la evolución de los tiempos  y  las</w:t>
        <w:br/>
        <w:t xml:space="preserve">      condiciones de vida actuales. Asimismo, también ha sostenido  que  esa</w:t>
        <w:br/>
        <w:t xml:space="preserve">      interpretación evolutiva es consecuente con las  reglas  generales  de</w:t>
        <w:br/>
        <w:t xml:space="preserve">      interpretación  establecidas  en  el  artículo  29  de  la  Convención</w:t>
        <w:br/>
        <w:t xml:space="preserve">      Americana, así como en la Convención de Viena sobre el Derecho de  los</w:t>
        <w:br/>
        <w:t xml:space="preserve">      Tratados. Al efectuar una interpretación  evolutiva  la  Corte  le  ha</w:t>
        <w:br/>
        <w:t xml:space="preserve">      otorgado especial relevancia al derecho comparado, razón por  la  cual</w:t>
        <w:br/>
        <w:t xml:space="preserve">      ha  utilizado  normativa  nacional  o  jurisprudencia  de   tribunales</w:t>
        <w:br/>
        <w:t xml:space="preserve">      internos a la hora de analizar controversias específicas en los  casos</w:t>
        <w:br/>
        <w:t xml:space="preserve">      contenciosos.</w:t>
        <w:br/>
        <w:br/>
        <w:br/>
        <w:t xml:space="preserve">      47. Es claro que la Corte IDH  no  puede  declarar  la  violación  del</w:t>
        <w:br/>
        <w:t xml:space="preserve">      derecho a la salud en el marco del Protocolo de San  Salvador,  porque</w:t>
        <w:br/>
        <w:t xml:space="preserve">      así se advierte de la literalidad del artículo 19.6  del  mismo.   Sin</w:t>
        <w:br/>
        <w:t xml:space="preserve">      embargo, es posible entender entonces al  Protocolo  de  San  Salvador</w:t>
        <w:br/>
        <w:t xml:space="preserve">      como uno de  los  referentes  interpretativos  sobre  el  alcance  del</w:t>
        <w:br/>
        <w:t xml:space="preserve">      derecho a la salud  que  protege  el  artículo  26  de  la  Convención</w:t>
        <w:br/>
        <w:t xml:space="preserve">      Americana. El Protocolo Adicional,  a  la  luz  del  corpus  juris  de</w:t>
        <w:br/>
        <w:t xml:space="preserve">      derechos humanos, ilustra sobre  el  contenido  que  deben  tener  las</w:t>
        <w:br/>
        <w:t xml:space="preserve">      obligaciones de respeto y garantía respecto a este derecho. Es  decir,</w:t>
        <w:br/>
        <w:t xml:space="preserve">      el  Protocolo  de  San  Salvador  orienta  sobre  la  aplicación   que</w:t>
        <w:br/>
        <w:t xml:space="preserve">      corresponde  del  artículo  26  en  conjunto  con   las   obligaciones</w:t>
        <w:br/>
        <w:t xml:space="preserve">      establecidas en los artículos 1.1 y 2 del Pacto de San José.</w:t>
        <w:br/>
        <w:br/>
        <w:br/>
        <w:t xml:space="preserve">      […]</w:t>
        <w:br/>
        <w:br/>
        <w:br/>
        <w:t xml:space="preserve">      57. Hasta el momento, la Corte IDH ha utilizado diversos aspectos  del</w:t>
        <w:br/>
        <w:t xml:space="preserve">      corpus  juris  sobre  el  derecho  a  la  salud  para  fundamentar  su</w:t>
        <w:br/>
        <w:t xml:space="preserve">      argumentación sobre el alcance del derecho a la vida o a la integridad</w:t>
        <w:br/>
        <w:t xml:space="preserve">      personal, utilizando el concepto de vida digna u otro tipo de análisis</w:t>
        <w:br/>
        <w:t xml:space="preserve">      basados en la conexidad de la salud con estos  derechos  civiles  (…).</w:t>
        <w:br/>
        <w:t xml:space="preserve">      Esta estrategia argumentativa es valiosa y ha permitido un  importante</w:t>
        <w:br/>
        <w:t xml:space="preserve">      avance de la jurisprudencia interamericana. Sin embargo, el  principal</w:t>
        <w:br/>
        <w:t xml:space="preserve">      problema de esta técnica argumentativa es que  impide  un  análisis  a</w:t>
        <w:br/>
        <w:t xml:space="preserve">      profundidad sobre el alcance de las obligaciones de respeto y garantía</w:t>
        <w:br/>
        <w:t xml:space="preserve">      frente al derecho a la salud, como sucedió en la Sentencia que  motiva</w:t>
        <w:br/>
        <w:t xml:space="preserve">      el presente voto razonado. Asimismo, existen  algunos  componentes  de</w:t>
        <w:br/>
        <w:t xml:space="preserve">      los derechos sociales que no pueden ser reconducidos a  estándares  de</w:t>
        <w:br/>
        <w:t xml:space="preserve">      derechos civiles y políticos. Como se ha puesto  de  relieve,  “podría</w:t>
        <w:br/>
        <w:t xml:space="preserve">      perderse la especificidad tanto de derechos civiles y  políticos  (que</w:t>
        <w:br/>
        <w:t xml:space="preserve">      empiezan a abarcarlo todo) como de derechos sociales  (que  no  logran</w:t>
        <w:br/>
        <w:t xml:space="preserve">      proyectar sus especificidades)”.</w:t>
        <w:br/>
        <w:br/>
        <w:t xml:space="preserve">      58. Atendiendo a que la Corte IDH en su jurisprudencia evolutiva ya ha</w:t>
        <w:br/>
        <w:t xml:space="preserve">      aceptado explícitamente la justiciabilidad del artículo 26 […], en  mi</w:t>
        <w:br/>
        <w:t xml:space="preserve">      opinión, ahora el Tribunal Interamericano tendría que resolver  varios</w:t>
        <w:br/>
        <w:t xml:space="preserve">      aspectos de este precepto convencional que plantea la difícil tarea de</w:t>
        <w:br/>
        <w:t xml:space="preserve">      definir en el futuro tres cuestiones distintas,  referidas  a  i)  qué</w:t>
        <w:br/>
        <w:t xml:space="preserve">      derechos protege, ii)  qué  tipo  de  obligaciones  derivan  de  tales</w:t>
        <w:br/>
        <w:t xml:space="preserve">      derechos,  y  iii)   qué   implicaciones   tiene   el   principio   de</w:t>
        <w:br/>
        <w:t xml:space="preserve">      progresividad. […]</w:t>
        <w:br/>
        <w:br/>
        <w:t xml:space="preserve">  16. Asimismo,  respecto  a  argumentos  según  los  cuales  la  Convención</w:t>
        <w:br/>
        <w:t xml:space="preserve">      Americana no consagraría derechos sociales porque si estos derechos ya</w:t>
        <w:br/>
        <w:t xml:space="preserve">      se encontraban en dicho tratado los Estados Parte  hubieran  preferido</w:t>
        <w:br/>
        <w:t xml:space="preserve">      efectuar una enmienda  del  mismo  para  complementar  o  expandir  el</w:t>
        <w:br/>
        <w:t xml:space="preserve">      alcance de esos derechos —y no un protocolo—; en nuestro Voto Conjunto</w:t>
        <w:br/>
        <w:t xml:space="preserve">      Concurrente a la Sentencia en el reciente caso Canales Huapaya y otros</w:t>
        <w:br/>
        <w:t xml:space="preserve">      Vs. Perú, el Juez Roberto F. Caldas y el que escribe,  precisamos  que</w:t>
        <w:br/>
        <w:t xml:space="preserve">      era posible  una  interpretación  distinta  sobre  la  relación  entre</w:t>
        <w:br/>
        <w:t xml:space="preserve">      “tratados” y sus “protocolos”  en  el  derecho  internacional  de  los</w:t>
        <w:br/>
        <w:t xml:space="preserve">      derechos humanos, tal como se  puede  observar  en  varios  protocolos</w:t>
        <w:br/>
        <w:t xml:space="preserve">      adicionales a tratados que establecen regulación complementaria  a  la</w:t>
        <w:br/>
        <w:t xml:space="preserve">      materia desarrollada en el  tratado  respectivo,  es  decir,  que  los</w:t>
        <w:br/>
        <w:t xml:space="preserve">      protocolos  no  están  restringidos  a  la  consagración  de  derechos</w:t>
        <w:br/>
        <w:t xml:space="preserve">      nuevos[489]. Y lo anterior lo consideramos válido  a  la  luz  de  una</w:t>
        <w:br/>
        <w:t xml:space="preserve">      interpretación sistemática de los artículos 26, 31 y 77 del  Pacto  de</w:t>
        <w:br/>
        <w:t xml:space="preserve">      San José.</w:t>
        <w:br/>
        <w:br/>
        <w:br/>
        <w:t xml:space="preserve">  17. En el caso particular, el análisis del derecho a la salud como derecho</w:t>
        <w:br/>
        <w:t xml:space="preserve">      autónomo hubiera permitido evaluar  con  mayor  profundidad  temáticas</w:t>
        <w:br/>
        <w:t xml:space="preserve">      asociadas a la disponibilidad  de  antirretrovirales  en  determinadas</w:t>
        <w:br/>
        <w:t xml:space="preserve">      épocas, los problemas de accesibilidad geográfica por la necesidad  de</w:t>
        <w:br/>
        <w:t xml:space="preserve">      trasladarse de una ciudad a otra para lograr una mejor atención, entre</w:t>
        <w:br/>
        <w:t xml:space="preserve">      otros aspectos. En relación con este tipo de temas, su análisis  a  la</w:t>
        <w:br/>
        <w:t xml:space="preserve">      luz del derecho a la vida y el derecho a la integridad personal  puede</w:t>
        <w:br/>
        <w:t xml:space="preserve">      resultar limitada, dado que estos derechos no incorporan  directamente</w:t>
        <w:br/>
        <w:t xml:space="preserve">      cierto tipo de obligaciones asociadas específicamente al derecho a  la</w:t>
        <w:br/>
        <w:t xml:space="preserve">      salud. Por el entendimiento de la relación entre el derecho a la salud</w:t>
        <w:br/>
        <w:t xml:space="preserve">      y los sistemas de salud es importante para  aplicar  adecuadamente  un</w:t>
        <w:br/>
        <w:t xml:space="preserve">      enfoque de derechos respecto a estas temáticas de especial  relevancia</w:t>
        <w:br/>
        <w:t xml:space="preserve">      y sensibilidad para la región.</w:t>
        <w:br/>
        <w:br/>
        <w:br/>
        <w:br/>
        <w:br/>
        <w:t>III.  La NECESIDAD DE SEGUIR AVANZANDO HACIA  LA  JUSTICIABILIDAD  PLENA  DE</w:t>
        <w:br/>
        <w:t>LOS DERECHOS ECONÓMICOS, SOCIALES, CULTURALES y ambientales</w:t>
        <w:br/>
        <w:br/>
        <w:br/>
        <w:t>EN EL SISTEMA INTERAMERICANO</w:t>
        <w:br/>
        <w:br/>
        <w:br/>
        <w:br/>
        <w:t xml:space="preserve">  18. Desde el primer caso de fondo que tuve que conocer como  Juez  titular</w:t>
        <w:br/>
        <w:t xml:space="preserve">      de la Corte IDH me pronuncié a favor de la justiciabilidad directa del</w:t>
        <w:br/>
        <w:t xml:space="preserve">      derecho a  la  salud,  realizando  una  interpretación  evolutiva  del</w:t>
        <w:br/>
        <w:t xml:space="preserve">      artículo 26 de la Convención Americana en relación con  los  artículos</w:t>
        <w:br/>
        <w:t xml:space="preserve">      1.1 y 2, conjuntamente con el artículo 29 de dicho tratado; y a la luz</w:t>
        <w:br/>
        <w:t xml:space="preserve">      de una interpretación sistemática con  los  artículos  4  y  19.6  del</w:t>
        <w:br/>
        <w:t xml:space="preserve">      Protocolo de San Salvador[490].</w:t>
        <w:br/>
        <w:br/>
        <w:t xml:space="preserve">  19. En el presente caso me permito reiterar la necesidad de  defender  una</w:t>
        <w:br/>
        <w:t xml:space="preserve">      interpretación que intenta otorgar primacía  al  valor  normativo  del</w:t>
        <w:br/>
        <w:t xml:space="preserve">      artículo 26 de la Convención Americana. No  se  trata  de  ignorar  el</w:t>
        <w:br/>
        <w:t xml:space="preserve">      Protocolo de San Salvador ni menoscabar el artículo 26  del  Pacto  de</w:t>
        <w:br/>
        <w:t xml:space="preserve">      San  José.  Debe  asumirse  la  interpretación  a  la  luz  de   ambos</w:t>
        <w:br/>
        <w:t xml:space="preserve">      instrumentos. Bajo ese  entendido  el  Protocolo  Adicional  no  puede</w:t>
        <w:br/>
        <w:t xml:space="preserve">      restar valor normativo a la Convención Americana si expresamente no se</w:t>
        <w:br/>
        <w:t xml:space="preserve">      planteó tal objetivo en aquel instrumento respecto de las obligaciones</w:t>
        <w:br/>
        <w:t xml:space="preserve">      erga omnes que prevén los artículos 1 y 2 de la Convención  Americana,</w:t>
        <w:br/>
        <w:t xml:space="preserve">      obligaciones generales que aplican para todos  los  derechos,  incluso</w:t>
        <w:br/>
        <w:t xml:space="preserve">      para los derechos económicos, sociales y culturales, como expresamente</w:t>
        <w:br/>
        <w:t xml:space="preserve">      lo ha reconocido el Tribunal Interamericano[491].</w:t>
        <w:br/>
        <w:br/>
        <w:br/>
        <w:t xml:space="preserve">  20. La interpretación evolutiva[492] a la que se ha hecho referencia busca</w:t>
        <w:br/>
        <w:t xml:space="preserve">      otorgar eficacia real a la protección interamericana  en  la  materia,</w:t>
        <w:br/>
        <w:t xml:space="preserve">      que luego de  veinticinco  años  de  adopción  del  Protocolo  de  San</w:t>
        <w:br/>
        <w:t xml:space="preserve">      Salvador, y a casi tres lustros de su entrada en vigor, resulta mínima</w:t>
        <w:br/>
        <w:t xml:space="preserve">      su  efectividad;  requiriendo  una  interpretación  más   dirigida   a</w:t>
        <w:br/>
        <w:t xml:space="preserve">      establecer el mayor efecto útil posible a las  normas  interamericanas</w:t>
        <w:br/>
        <w:t xml:space="preserve">      en  su  conjunto,  como  lo   ha   venido   realizando   el   Tribunal</w:t>
        <w:br/>
        <w:t xml:space="preserve">      Interamericano respecto de los derechos civiles y políticos.</w:t>
        <w:br/>
        <w:br/>
        <w:br/>
        <w:t xml:space="preserve">  21. Resulta de la esencia del derecho a la salud su  interdependencia  con</w:t>
        <w:br/>
        <w:t xml:space="preserve">      el derecho a la vida y el derecho a la integridad  personal.  Ello  no</w:t>
        <w:br/>
        <w:t xml:space="preserve">      justifica, sin embargo, negar la autonomía sobre el alcance  de  aquel</w:t>
        <w:br/>
        <w:t xml:space="preserve">      derecho social, a partir del artículo 26 de la Convención Americana en</w:t>
        <w:br/>
        <w:t xml:space="preserve">      relación con las obligaciones de respeto y garantía contenidos  en  el</w:t>
        <w:br/>
        <w:t xml:space="preserve">      artículo 1.1 del propio Pacto, que exige interpretar el Pacto  de  San</w:t>
        <w:br/>
        <w:t xml:space="preserve">      José a la luz del corpus iuris en materia de derecho a la salud  —como</w:t>
        <w:br/>
        <w:t xml:space="preserve">      en efecto se hace en el Caso Gonzales  Lluy  y  otros  que  motiva  el</w:t>
        <w:br/>
        <w:t xml:space="preserve">      presente voto razonado, aunque se  le  denomina  integridad  personal,</w:t>
        <w:br/>
        <w:t xml:space="preserve">      limitando significativamente por la vía de la conexidad  los  alcances</w:t>
        <w:br/>
        <w:t xml:space="preserve">      reales del derecho a la  salud—[493].  Tal  como  señalé  en  mi  Voto</w:t>
        <w:br/>
        <w:t xml:space="preserve">      Concurrente en el caso Suárez Peralta:</w:t>
        <w:br/>
        <w:br/>
        <w:t xml:space="preserve">      102.  Lo que involucra esta visión de justiciabilidad directa  es  que</w:t>
        <w:br/>
        <w:t xml:space="preserve">      la  metodología  para   imputar   responsabilidad   internacional   se</w:t>
        <w:br/>
        <w:t xml:space="preserve">      circunscribe a las obligaciones respecto al derecho a la  salud.  Ello</w:t>
        <w:br/>
        <w:t xml:space="preserve">      implica la necesidad de una argumentación más específica en torno a la</w:t>
        <w:br/>
        <w:t xml:space="preserve">      razonabilidad y proporcionalidad de cierto tipo de medidas de política</w:t>
        <w:br/>
        <w:t xml:space="preserve">      pública. Dado lo delicado  de  una  valoración  en  tal  sentido,  las</w:t>
        <w:br/>
        <w:t xml:space="preserve">      decisiones de la Corte IDH adquieren más transparencia y fortaleza  si</w:t>
        <w:br/>
        <w:t xml:space="preserve">      el  análisis  se  hace  directamente  desde  esta   vía   respecto   a</w:t>
        <w:br/>
        <w:t xml:space="preserve">      obligaciones en torno al derecho a la salud en lugar  de  respecto  al</w:t>
        <w:br/>
        <w:t xml:space="preserve">      ámbito más relacionado con las consecuencias de  ciertas  afectaciones</w:t>
        <w:br/>
        <w:t xml:space="preserve">      respecto a la integridad personal, esto es, por la vía indirecta o por</w:t>
        <w:br/>
        <w:t xml:space="preserve">      conexidad con  los  derechos  civiles.  En  este  mismo  sentido,  las</w:t>
        <w:br/>
        <w:t xml:space="preserve">      reparaciones que tradicionalmente otorga la Corte,  y  que  en  muchos</w:t>
        <w:br/>
        <w:t xml:space="preserve">      casos impactan en prestaciones relacionadas con el derecho a la salud,</w:t>
        <w:br/>
        <w:t xml:space="preserve">      como las medidas de rehabilitación o satisfacción,  pueden adquirir un</w:t>
        <w:br/>
        <w:t xml:space="preserve">      verdadero nexo de causalidad entre el  derecho  violado  y  la  medida</w:t>
        <w:br/>
        <w:t xml:space="preserve">      dispuesta con todos sus alcances. A su vez, hablar de  justiciabilidad</w:t>
        <w:br/>
        <w:t xml:space="preserve">      directa implica transformar la metodología a  partir  de  la  cual  se</w:t>
        <w:br/>
        <w:t xml:space="preserve">      valora el cumplimiento de  las  obligaciones  de  respeto  y  garantía</w:t>
        <w:br/>
        <w:t xml:space="preserve">      (artículo 1.1 del Pacto de San  José),  que  ciertamente  es  distinto</w:t>
        <w:br/>
        <w:t xml:space="preserve">      respecto al derecho a la vida y el derecho a la  integridad  personal,</w:t>
        <w:br/>
        <w:t xml:space="preserve">      que respecto  al  derecho  a  la  salud  y  otros  derechos  sociales,</w:t>
        <w:br/>
        <w:t xml:space="preserve">      económicos y culturales.</w:t>
        <w:br/>
        <w:br/>
        <w:br/>
        <w:t xml:space="preserve">      103. La ciudadanía social ha avanzado significativamente en  el  mundo</w:t>
        <w:br/>
        <w:t xml:space="preserve">      entero y, por supuesto, en los países  del  continente  americano.  La</w:t>
        <w:br/>
        <w:t xml:space="preserve">      justiciabilidad “directa”  de  los  derechos  económicos,  sociales  y</w:t>
        <w:br/>
        <w:t xml:space="preserve">      culturales  constituye   no   sólo   una   opción   interpretativa   y</w:t>
        <w:br/>
        <w:t xml:space="preserve">      argumentativa viable a la luz del actual corpus juris  interamericano;</w:t>
        <w:br/>
        <w:t xml:space="preserve">      representa también  una  obligación  de  la  Corte  IDH,  como  órgano</w:t>
        <w:br/>
        <w:t xml:space="preserve">      jurisdiccional del Sistema Interamericano, avanzar hacia esa dirección</w:t>
        <w:br/>
        <w:t xml:space="preserve">      sobre la  justicia  social,  al  tener  competencia  sobre  todas  las</w:t>
        <w:br/>
        <w:t xml:space="preserve">      disposiciones del Pacto de San  José.  La  garantía  efectiva  de  los</w:t>
        <w:br/>
        <w:t xml:space="preserve">      derechos económicos, sociales y  culturales  es  una  alternativa  que</w:t>
        <w:br/>
        <w:t xml:space="preserve">      abriría nuevos derroteros en aras de la  transparencia  y  realización</w:t>
        <w:br/>
        <w:t xml:space="preserve">      plena de los derechos, sin artilugios  y  de  manera  frontal,  y  así</w:t>
        <w:br/>
        <w:t xml:space="preserve">      reconocer lo que desde hace tiempo viene realizando la  Corte  IDH  de</w:t>
        <w:br/>
        <w:t xml:space="preserve">      manera indirecta o en conexión con los derechos civiles y políticos.</w:t>
        <w:br/>
        <w:br/>
        <w:br/>
        <w:t xml:space="preserve">      104. En definitiva, se trata de reconocer lo que de facto  realiza  el</w:t>
        <w:br/>
        <w:t xml:space="preserve">      Tribunal Interamericano y las altas jurisdicciones nacionales  de  los</w:t>
        <w:br/>
        <w:t xml:space="preserve">      países de la región, teniendo en cuenta el corpus  juris  en  derechos</w:t>
        <w:br/>
        <w:t xml:space="preserve">      sociales  nacional,  interamericano  y  universal,   lo   que   además</w:t>
        <w:br/>
        <w:t xml:space="preserve">      constituiría una mayor y efectiva protección de los derechos  sociales</w:t>
        <w:br/>
        <w:t xml:space="preserve">      fundamentales, con obligaciones más claras hacia  los  Estados  parte.</w:t>
        <w:br/>
        <w:t xml:space="preserve">      Todo ello va en sintonía con los signos actuales de eficacia plena  de</w:t>
        <w:br/>
        <w:t xml:space="preserve">      los derechos humanos (en los ámbitos nacional  e  internacional),  sin</w:t>
        <w:br/>
        <w:t xml:space="preserve">      distingo o categorización entre ellos, particularmente  importante  en</w:t>
        <w:br/>
        <w:t xml:space="preserve">      la  región  latinoamericana  donde  lamentablemente  persisten   altos</w:t>
        <w:br/>
        <w:t xml:space="preserve">      índices de desigualdad, permanecen porcentajes  significativos  de  la</w:t>
        <w:br/>
        <w:t xml:space="preserve">      población en  la  pobreza  e  incluso  en  la  indigencia,  y  existen</w:t>
        <w:br/>
        <w:t xml:space="preserve">      múltiples formas de discriminación hacia los más vulnerables.</w:t>
        <w:br/>
        <w:br/>
        <w:br/>
        <w:t xml:space="preserve">      105. El Tribunal Interamericano no puede quedar al margen  del  debate</w:t>
        <w:br/>
        <w:t xml:space="preserve">      contemporáneo sobre  los  derechos  sociales  fundamentales[494]  —que</w:t>
        <w:br/>
        <w:t xml:space="preserve">      tienen un largo camino andado en la historia de los derechos humanos—,</w:t>
        <w:br/>
        <w:t xml:space="preserve">      y que son motivo de continua transformación para su plena  realización</w:t>
        <w:br/>
        <w:t xml:space="preserve">      y efectividad en las democracias constitucionales de nuestros días.</w:t>
        <w:br/>
        <w:br/>
        <w:br/>
        <w:t xml:space="preserve">      106. Ante este escenario de dinamismo  en  la  materia  en  el  ámbito</w:t>
        <w:br/>
        <w:t xml:space="preserve">      nacional y  el  Sistema  Universal,  es  previsible  que  la  Comisión</w:t>
        <w:br/>
        <w:t xml:space="preserve">      Interamericana o las presuntas víctimas o sus representantes, invoquen</w:t>
        <w:br/>
        <w:t xml:space="preserve">      en el futuro con  mayor  intensidad  eventuales  vulneraciones  a  las</w:t>
        <w:br/>
        <w:t xml:space="preserve">      garantías de los derechos económicos, sociales y culturales  derivados</w:t>
        <w:br/>
        <w:t xml:space="preserve">      del artículo 26 de  la  Convención  Americana,  en  relación  con  las</w:t>
        <w:br/>
        <w:t xml:space="preserve">      obligaciones generales previstas en los artículos 1  y  2  del  propio</w:t>
        <w:br/>
        <w:t xml:space="preserve">      Pacto de  San  José.  Especialmente,  las  presuntas  víctimas  pueden</w:t>
        <w:br/>
        <w:t xml:space="preserve">      invocar dichas vulneraciones por sus nuevas facultades  en  el  acceso</w:t>
        <w:br/>
        <w:t xml:space="preserve">      directo que ahora tienen  ante  la  Corte  IDH,  a  partir  del  nuevo</w:t>
        <w:br/>
        <w:t xml:space="preserve">      Reglamento de este órgano jurisdiccional, vigente desde 2010.</w:t>
        <w:br/>
        <w:br/>
        <w:br/>
        <w:t xml:space="preserve">      107. Como nuevo integrante del Tribunal Interamericano no es mi  deseo</w:t>
        <w:br/>
        <w:t xml:space="preserve">      introducir debates estériles en el seno del Sistema Interamericano  y,</w:t>
        <w:br/>
        <w:t xml:space="preserve">      particularmente,  en   su   órgano   de   protección   de   naturaleza</w:t>
        <w:br/>
        <w:t xml:space="preserve">      jurisdiccional; simplemente pretendo llamar a la reflexión —por ser mi</w:t>
        <w:br/>
        <w:t xml:space="preserve">      profunda convicción— sobre la legítima  posibilidad  interpretativa  y</w:t>
        <w:br/>
        <w:t xml:space="preserve">      argumentativa para otorgar vía el artículo 26 del Pacto  de  San  José</w:t>
        <w:br/>
        <w:t xml:space="preserve">      efectividad directa a los derechos económicos, sociales y  culturales,</w:t>
        <w:br/>
        <w:t xml:space="preserve">      especialmente en el caso concreto sobre el  derecho  a  la  salud.  La</w:t>
        <w:br/>
        <w:t xml:space="preserve">      posibilidad está latente para avanzar hacia  una  nueva  etapa  en  la</w:t>
        <w:br/>
        <w:t xml:space="preserve">      jurisprudencia interamericana, lo cual no representa  ninguna  novedad</w:t>
        <w:br/>
        <w:t xml:space="preserve">      si atendemos a que, por un lado, la Comisión Interamericana así lo  ha</w:t>
        <w:br/>
        <w:t xml:space="preserve">      entendido en varias oportunidades y, por otro, la propia Corte IDH  ha</w:t>
        <w:br/>
        <w:t xml:space="preserve">      reconocido explícitamente la justiciabilidad del  artículo  26  de  la</w:t>
        <w:br/>
        <w:t xml:space="preserve">      Convención Americana en 2009[495].</w:t>
        <w:br/>
        <w:br/>
        <w:t xml:space="preserve">      108. En conclusión, a más de veinticinco años de continua evolución de</w:t>
        <w:br/>
        <w:t xml:space="preserve">      la jurisprudencia interamericana resulta legítimo —y razonable por  el</w:t>
        <w:br/>
        <w:t xml:space="preserve">      camino de la hermenéutica y  la  argumentación  convencional—  otorgar</w:t>
        <w:br/>
        <w:t xml:space="preserve">      pleno contenido normativo al artículo 26 del Pacto  de  San  José,  en</w:t>
        <w:br/>
        <w:t xml:space="preserve">      consonancia y congruencia con el corpus  juris  interamericano  en  su</w:t>
        <w:br/>
        <w:t xml:space="preserve">      integralidad. Este sendero permitiría interpretaciones dinámicas a  la</w:t>
        <w:br/>
        <w:t xml:space="preserve">      altura de nuestro tiempo, que podrían conducir hacia  una  efectividad</w:t>
        <w:br/>
        <w:t xml:space="preserve">      plena, real, directa  y  transparente  de  todos  los  derechos,  sean</w:t>
        <w:br/>
        <w:t xml:space="preserve">      civiles, políticos, económicos, sociales y culturales, sin jerarquía y</w:t>
        <w:br/>
        <w:t xml:space="preserve">      categorizaciones que menoscaben su realización, como se desprende  del</w:t>
        <w:br/>
        <w:t xml:space="preserve">      Preámbulo de la Convención Americana, cuyo espíritu e ideal permea  al</w:t>
        <w:br/>
        <w:t xml:space="preserve">      Sistema Interamericano en su conjunto.</w:t>
        <w:br/>
        <w:br/>
        <w:t xml:space="preserve">  22. Pasados casi 46 años desde la suscripción de la Convención Americana y</w:t>
        <w:br/>
        <w:t xml:space="preserve">      27 años desde la adopción del Protocolo de San Salvador, es  necesario</w:t>
        <w:br/>
        <w:t xml:space="preserve">      dar pasos con mayor claridad hacia la justiciabilidad directa  de  los</w:t>
        <w:br/>
        <w:t xml:space="preserve">      derechos económicos, sociales, culturales y  ambientales  teniendo  en</w:t>
        <w:br/>
        <w:t xml:space="preserve">      cuenta  los  avances  del  derecho  internacional  de   los   derechos</w:t>
        <w:br/>
        <w:t xml:space="preserve">      humanos[496] y atendiendo a los claros avances de los Estados Parte de</w:t>
        <w:br/>
        <w:t xml:space="preserve">      la Convención Americana. Sobre esto último destaco  en  particular  la</w:t>
        <w:br/>
        <w:t xml:space="preserve">      Carta Social de las Américas de 2012 y muy en particular  la  reciente</w:t>
        <w:br/>
        <w:t xml:space="preserve">      Convención Interamericana sobre la Protección de los Derechos  Humanos</w:t>
        <w:br/>
        <w:t xml:space="preserve">      de las Personas Mayores, aprobada el 15 de junio de 2015.  En  efecto,</w:t>
        <w:br/>
        <w:t xml:space="preserve">      el artículo 36[497] de esta Convención dispone la posibilidad  de  que</w:t>
        <w:br/>
        <w:t xml:space="preserve">      opere el sistema  de  peticiones  individuales  en  relación  con  los</w:t>
        <w:br/>
        <w:t xml:space="preserve">      derechos previstos en dicha Convención,  los  cuales  incluyen,  entre</w:t>
        <w:br/>
        <w:t xml:space="preserve">      otros, el derecho a la seguridad  social  (artículo  17),  derecho  al</w:t>
        <w:br/>
        <w:t xml:space="preserve">      trabajo (artículo 18), derecho a la salud (artículo 19), y  derecho  a</w:t>
        <w:br/>
        <w:t xml:space="preserve">      la vivienda (artículo 24). Como puede observarse, este  paso  adoptado</w:t>
        <w:br/>
        <w:t xml:space="preserve">      por varios Estados Parte de la OEA evidencia una  tendencia  cada  vez</w:t>
        <w:br/>
        <w:t xml:space="preserve">      mayoritaria hacia la plena justiciabilidad de los derechos económicos,</w:t>
        <w:br/>
        <w:t xml:space="preserve">      sociales y culturales.</w:t>
        <w:br/>
        <w:br/>
        <w:t xml:space="preserve">  23. Por todos los argumentos expuestos en este Voto,  esta  interpretación</w:t>
        <w:br/>
        <w:t xml:space="preserve">      hermeneútica no menoscaba la legitimidad de la Corte. Esa  legitimidad</w:t>
        <w:br/>
        <w:t xml:space="preserve">      tampoco se ha menguado al adoptarse  criterios  jurisprudenciales  que</w:t>
        <w:br/>
        <w:t xml:space="preserve">      tenían menos  base  normativa,  como  ha  ocurrido  al  declararse  la</w:t>
        <w:br/>
        <w:t xml:space="preserve">      existencia   de   ciertos   derechos    innominados    no    previstos</w:t>
        <w:br/>
        <w:t xml:space="preserve">      convencionalmente[498].   Por   el   contrario,   la    interpretación</w:t>
        <w:br/>
        <w:t xml:space="preserve">      sistemática, integral y evolutiva,  cimentada  en  la  base  normativa</w:t>
        <w:br/>
        <w:t xml:space="preserve">      prevista en el artículo  26  de  la  Convención  Americana  y  en  sus</w:t>
        <w:br/>
        <w:t xml:space="preserve">      relaciones con los artículos 1.1 y 2 de la misma, bajo la idea de  que</w:t>
        <w:br/>
        <w:t xml:space="preserve">      este artículo debe tener efecto  útil  porque  no  ha  sido  derogado,</w:t>
        <w:br/>
        <w:t xml:space="preserve">      otorgan plena legitimación a este Tribunal Interamericano a dar  pasos</w:t>
        <w:br/>
        <w:t xml:space="preserve">      más  decididos  hacia  la  justiciabilidad  directa  de  los  derechos</w:t>
        <w:br/>
        <w:t xml:space="preserve">      económicos, sociales y culturales, más aún si se tiene  en  cuenta  la</w:t>
        <w:br/>
        <w:t xml:space="preserve">      tragedia diaria asociada a la negación sistemática de  estos  derechos</w:t>
        <w:br/>
        <w:t xml:space="preserve">      en los países de las Américas.</w:t>
        <w:br/>
        <w:br/>
        <w:br/>
        <w:br/>
        <w:br/>
        <w:t xml:space="preserve">                      Eduardo Ferrer Mac-Gregor Poisot</w:t>
        <w:br/>
        <w:t xml:space="preserve">                                    Juez</w:t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br/>
        <w:t>*     La Comisión Interamericana de Derechos Humanos sometió a la  Corte  el</w:t>
        <w:br/>
        <w:t>presente caso con el nombre  "TGGL  y  familia  Vs.  Ecuador".  La  Comisión</w:t>
        <w:br/>
        <w:t>dispuso la reserva de identidad de la presunta víctima por tratarse  de  una</w:t>
        <w:br/>
        <w:t>niña, así como la reserva de la identidad de la madre  de  Talía  y  de  los</w:t>
        <w:br/>
        <w:t>donantes de sangre. Al presentar el escrito de solicitudes y argumentos  los</w:t>
        <w:br/>
        <w:t>representantes informaron que Talía Gabriela Gonzales Lluy,  por  ser  mayor</w:t>
        <w:br/>
        <w:t>de edad,  decidió no preservar la reserva de su identidad. De  igual  manera</w:t>
        <w:br/>
        <w:t>señalaron que el nombre de la madre  Talía  era  Teresa  Lluy.  Teniendo  en</w:t>
        <w:br/>
        <w:t>cuenta esta decisión de las presuntas víctimas y la  denominación  que  tuvo</w:t>
        <w:br/>
        <w:t>el caso durante el trámite ante  la  Comisión,  la  nueva  denominación  del</w:t>
        <w:br/>
        <w:t>presente caso es "Gonzales Lluy y otros Vs. Ecuador".</w:t>
        <w:br/>
        <w:br/>
        <w:br/>
        <w:t>[1]   La Comisión Interamericana designó como  delegados  a  la  Comisionada</w:t>
        <w:br/>
        <w:t>Rose-Marie Belle Antoine y al Secretario Ejecutivo Emilio Álvarez  Icaza,  y</w:t>
        <w:br/>
        <w:t>como  asesoras  legales  a  Elizabeth  Abi-Mershed,   Secretaria   Ejecutiva</w:t>
        <w:br/>
        <w:t>Adjunta, y Silvia Serrano Guzmán, abogada de la Secretaría Ejecutiva.</w:t>
        <w:br/>
        <w:br/>
        <w:t>[2]   Los representantes de las presuntas víctimas durante  el  trámite  del</w:t>
        <w:br/>
        <w:t>caso ante la Corte fueron los señores  Ramiro  Ávila  Santamaría  y  Gustavo</w:t>
        <w:br/>
        <w:t>Quito Mendieta.</w:t>
        <w:br/>
        <w:br/>
        <w:t>[3]   El Estado designó como agente titular al señor Erick  Roberts  Garcés,</w:t>
        <w:br/>
        <w:t>Director Nacional  de  Derechos  Humanos  de  la  Procuraduría  General  del</w:t>
        <w:br/>
        <w:t>Estado; y como agentes alternos  a  los  señores  Alonso  Fonseca  Garcés  y</w:t>
        <w:br/>
        <w:t>Carlos Espín Arias.</w:t>
        <w:br/>
        <w:br/>
        <w:t>[4]   Cfr. Caso Gonzales Lluy (TGGL) y familia Vs. Ecuador.  Resolución  del</w:t>
        <w:br/>
        <w:t>Presidente de la Corte Interamericana de Derechos Humanos de 12 de enero  de</w:t>
        <w:br/>
        <w:t>2015.                             Disponible                             en:</w:t>
        <w:br/>
        <w:t>http://www.corteidh.or.cr/docs/asuntos/gonzaleslluy_12_01_15.pdf</w:t>
        <w:br/>
        <w:br/>
        <w:t>[5]   El 29 de enero de 2015 los representantes  informaron  que  el  perito</w:t>
        <w:br/>
        <w:t>Jorge Vicente Paladines, convocado para rendir declaración en  la  audiencia</w:t>
        <w:br/>
        <w:t>pública,  presentó  su  excusa  por  razones  de  fuerza  mayor.  Por  ello,</w:t>
        <w:br/>
        <w:t>solicitaron  se  permitiera  la  comparecencia  de  otro  de   los   peritos</w:t>
        <w:br/>
        <w:t>propuestos. Luego que el Presidente de la Corte solicitó al Estado  y  a  la</w:t>
        <w:br/>
        <w:t>Comisión observaciones respecto de dicha solicitud, mediante  la  Resolución</w:t>
        <w:br/>
        <w:t>de 11 de febrero  de  2015  se  resolvió  convocar  al  perito  Julio  César</w:t>
        <w:br/>
        <w:t>Trujillo a la audiencia pública, por la similitud  entre  el  objeto  de  su</w:t>
        <w:br/>
        <w:t>peritaje y el del  perito  Paladines.  Cfr.  Caso  Gonzales  Lluy  (TGGL)  y</w:t>
        <w:br/>
        <w:t>familia Vs. Ecuador. Resolución del Presidente de  la  Corte  Interamericana</w:t>
        <w:br/>
        <w:t>de  Derechos  Humanos  de  11   de   febrero   de   2015.   Disponible   en:</w:t>
        <w:br/>
        <w:t>http://www.corteidh.or.cr/docs/asuntos/gonzaleslluy_11_02_15.pdf</w:t>
        <w:br/>
        <w:br/>
        <w:t>[6]   A la audiencia pública asistieron las siguientes personas: a)  por  la</w:t>
        <w:br/>
        <w:t>Comisión  Interamericana:  Rose-Marie  Belle  Antoine,  Presidenta;   Silvia</w:t>
        <w:br/>
        <w:t>Serrano Guzmán, abogada de la Secretaría Ejecutiva, y Jorge H. Meza  Flores,</w:t>
        <w:br/>
        <w:t>abogado de  la  Secretaría  Ejecutiva;  b)  por  la  representación  de  las</w:t>
        <w:br/>
        <w:t>presuntas víctimas: Ramiro Ávila Santamaría,  representante,  y  c)  por  el</w:t>
        <w:br/>
        <w:t>Estado del Ecuador: Erick Roberts Garcés, agente principal;  Alonso  Fonseca</w:t>
        <w:br/>
        <w:t>Garcés,  agente  alterno;  Juan  Carlos  Álvarez,  abogado;  María  Verónica</w:t>
        <w:br/>
        <w:t>Espinosa, Subsecretaria Nacional de Gobernanza de la Salud,  y  Nadia  Ruiz,</w:t>
        <w:br/>
        <w:t>delegada del Ministerio de Relaciones Exteriores y Movilidad Humana.</w:t>
        <w:br/>
        <w:br/>
        <w:t>[7]   Ximena Casas Isaza es Coordinadora  de  la  Red  Jurídica  de  CLACAI,</w:t>
        <w:br/>
        <w:t>Viviana Bohórquez Monsalve Abogada de la Red  Jurídica  de  CLACAI,  Ariadna</w:t>
        <w:br/>
        <w:t>Tovar Martínez es Directora Regional de Women´s Link Worldwide y miembro  de</w:t>
        <w:br/>
        <w:t>la Red Jurídica de CLACAI, Ma. José Barajas de la Vega  es  Abogada  miembro</w:t>
        <w:br/>
        <w:t>de la Red  Jurídica  de  CLACAI  y  Susana  Chávez  Alvarado  es  Secretaria</w:t>
        <w:br/>
        <w:t>Ejecutiva de la Red jurídica CLACAI.</w:t>
        <w:br/>
        <w:br/>
        <w:t>[8]   Firman  César  Rodríguez  Garavito  y  Celeste  Kauffman,  director  e</w:t>
        <w:br/>
        <w:t>investigadora de Dejusticia.</w:t>
        <w:br/>
        <w:br/>
        <w:t>[9]   Escrito presentado por Beatriz Villarreal, Presidenta de INREDH.</w:t>
        <w:br/>
        <w:br/>
        <w:t>[10]  Docente de la Universidad Andina Simón  Bolívar  y  de  la  Pontificia</w:t>
        <w:br/>
        <w:t>Universidad Católica del Ecuador.</w:t>
        <w:br/>
        <w:br/>
        <w:t>[11]  Firman Andrea Parra, Directora del Programa de Acción por la  Igualdad</w:t>
        <w:br/>
        <w:t>y la Inclusión Social (PAIIS) de la Facultad de Derecho  de  la  Universidad</w:t>
        <w:br/>
        <w:t>de los Andes,  Colombia,  Juan  David  Camacho,  Asesor  Jurídico  de  dicho</w:t>
        <w:br/>
        <w:t>programa, así  como  Lina  Rocío  Cala  y  Paula  Lorena  Mora,  estudiantes</w:t>
        <w:br/>
        <w:t>adscritos a PAIIS.</w:t>
        <w:br/>
        <w:br/>
        <w:t>[12]  Profesor y profesora tanto de la Universidad  de  Buenos  Aires  (UBA)</w:t>
        <w:br/>
        <w:t>como de la Universidad Nacional de Lanús (UNLa).</w:t>
        <w:br/>
        <w:br/>
        <w:t>[13]  Firman Ezequiel Nino y Agustina Ramón Michel,  Coordinador  General  y</w:t>
        <w:br/>
        <w:t>Co-coordinadora respectivamente de la Clínica Jurídica de la Universidad  de</w:t>
        <w:br/>
        <w:t>Palermo,  así  como  Karina  G.  Carpintero,  Juan  Ignacio  Santos  y  Elma</w:t>
        <w:br/>
        <w:t>Mansilla, integrantes de la mencionada Clínica.</w:t>
        <w:br/>
        <w:br/>
        <w:t>[14]  Firman Adriana Muro Polo y Manuela Piza Caballero.</w:t>
        <w:br/>
        <w:br/>
        <w:t>[15]   Integrantes  del  Grupo  de  Trabajo  para  analizar   los   informes</w:t>
        <w:br/>
        <w:t>nacionales previstos en el Protocolo de San Salvador.</w:t>
        <w:br/>
        <w:br/>
        <w:t>[16]  Firman Edgar  Santiago  Morales  Morales,  María  Fernanda  San  Lucas</w:t>
        <w:br/>
        <w:t>Solórzano y Luis Fernando Suárez Probaño, como  Docentes  de  la  mencionada</w:t>
        <w:br/>
        <w:t>Universidad, así como Carolina Romero Córdova.</w:t>
        <w:br/>
        <w:br/>
        <w:t>[17]  Firman Ramiro Rivadeneira  Silva,  Defensor  del  Pueblo  de  Ecuador;</w:t>
        <w:br/>
        <w:t>Patricio Benaleázar, Adjunto de Derechos Humanos  y  de  la  Naturaleza;  y,</w:t>
        <w:br/>
        <w:t>José Luis Guerra Mayorgan, Director General Tutelar, todos de la  mencionada</w:t>
        <w:br/>
        <w:t>Defensoría. Así mismo, firma Pablo Campa, como subrogante  del  Director  de</w:t>
        <w:br/>
        <w:t>Derechos del Buen Vivir.</w:t>
        <w:br/>
        <w:br/>
        <w:t>[18]  Firman también Rolando Gialdino como Coordinador del amicus  curiae  y</w:t>
        <w:br/>
        <w:t>Karina G. Carpintero, Belen E. Donzelli y Magdalena  I.  García  Rossi  como</w:t>
        <w:br/>
        <w:t>miembros e investigadoras de la UCA.</w:t>
        <w:br/>
        <w:br/>
        <w:t>[19]  Cfr.  Caso  Cepeda  Vargas  Vs.  Colombia.  Excepciones  Preliminares,</w:t>
        <w:br/>
        <w:t>Fondo, Reparaciones y Costas. Sentencia de 26 de mayo de 2010. Serie  C  No.</w:t>
        <w:br/>
        <w:t>213, párr. 35.</w:t>
        <w:br/>
        <w:br/>
        <w:t>[20]   Cfr.  Caso  Las  Palmeras  Vs.  Colombia.  Excepciones  Preliminares.</w:t>
        <w:br/>
        <w:t>Sentencia de 4 de febrero de  2000.  Serie  C  No.  67,  párr.  34,  y  Caso</w:t>
        <w:br/>
        <w:t>Defensor  de  Derechos  Humanos   y   otros   Vs.   Guatemala.   Excepciones</w:t>
        <w:br/>
        <w:t>Preliminares, Fondo, Reparaciones y Costas. Sentencia de  28  de  agosto  de</w:t>
        <w:br/>
        <w:t>2014. Serie C No. 283, párr. 15.</w:t>
        <w:br/>
        <w:br/>
        <w:t>[21]  Cfr. Caso  Castañeda  Gutman  Vs.  México.  Excepciones  Preliminares,</w:t>
        <w:br/>
        <w:t>Fondo, Reparaciones y Costas. Sentencia de 6 de agosto de 2008. Serie C  No.</w:t>
        <w:br/>
        <w:t>184, párr. 39, y Caso Defensor de Derechos Humanos y  otros  Vs.  Guatemala,</w:t>
        <w:br/>
        <w:t>párr. 15.</w:t>
        <w:br/>
        <w:br/>
        <w:t>[22]  En similar sentido, Caso Tarazona Arrieta y Otros Vs. Perú.  Excepción</w:t>
        <w:br/>
        <w:t>Preliminar, Fondo, Reparaciones y Costas. Sentencia  de  15  de  octubre  de</w:t>
        <w:br/>
        <w:t>2014. Serie C No. 286, párr. 18.</w:t>
        <w:br/>
        <w:br/>
        <w:t>[23]  Cfr. Caso Mendoza y otros  Vs.  Argentina.  Excepciones  Preliminares,</w:t>
        <w:br/>
        <w:t>Fondo y Reparaciones. Sentencia de 14 de mayo  de  2013  Serie  C  No.  260,</w:t>
        <w:br/>
        <w:t>párr. 25, y Caso Defensor de Derechos Humanos y otros Vs.  Guatemala,  párr.</w:t>
        <w:br/>
        <w:t>15.</w:t>
        <w:br/>
        <w:br/>
        <w:t>[24]  Cfr. Caso Argüelles y otros Vs. Argentina.  Excepciones  Preliminares,</w:t>
        <w:br/>
        <w:t>Fondo, Reparaciones y Costas. Sentencia de 20 de noviembre de 2014. Serie  C</w:t>
        <w:br/>
        <w:t>No. 288, párr. 42.</w:t>
        <w:br/>
        <w:br/>
        <w:t>[25]  Cfr. Caso de los Pueblos Indígenas  Kuna  de  Madugandí  y  Emberá  de</w:t>
        <w:br/>
        <w:t>Bayano  y  sus  Miembros  Vs.  Panamá.  Excepciones   Preliminares,   Fondo,</w:t>
        <w:br/>
        <w:t>Reparaciones y Costas. Sentencia de 14 de octubre de 2014. Serie C No.  284,</w:t>
        <w:br/>
        <w:t>párr. 21.</w:t>
        <w:br/>
        <w:br/>
        <w:t>[26]  Cfr. Caso Hermanos Landaeta Mejías y otros Vs. Venezuela.  Excepciones</w:t>
        <w:br/>
        <w:t>Preliminares, Fondo, Reparaciones y Costas. Sentencia de  27  de  agosto  de</w:t>
        <w:br/>
        <w:t>2014. Serie C No. 281, párr. 29.</w:t>
        <w:br/>
        <w:br/>
        <w:t>[27]  Cfr. Caso  Rodríguez  Vera  y  otros  (Desaparecidos  del  Palacio  de</w:t>
        <w:br/>
        <w:t>Justicia) Vs. Colombia.  Excepciones  Preliminares,  Fondo,  Reparaciones  y</w:t>
        <w:br/>
        <w:t>Costas. Sentencia de 14 de noviembre de 2014. Serie C No. 287, párr. 47.</w:t>
        <w:br/>
        <w:br/>
        <w:t>[28]  Cfr. Caso  Rodríguez  Vera  y  otros  (Desaparecidos  del  Palacio  de</w:t>
        <w:br/>
        <w:t>Justicia) Vs. Colombia, párr. 47.</w:t>
        <w:br/>
        <w:br/>
        <w:t>[29]  Cfr. Caso  Rodríguez  Vera  y  otros  (Desaparecidos  del  Palacio  de</w:t>
        <w:br/>
        <w:t>Justicia) Vs. Colombia, párr. 47.</w:t>
        <w:br/>
        <w:br/>
        <w:t>[30]        Cfr. Caso Díaz Peña Vs. Venezuela. Excepción Preliminar,  Fondo,</w:t>
        <w:br/>
        <w:t>Reparaciones y Costas. Sentencia de 26 de junio de 2012. Serie  C  No.  244,</w:t>
        <w:br/>
        <w:t>párr. 34, y Caso Rodríguez  Vera  y  otros  (Desaparecidos  del  Palacio  de</w:t>
        <w:br/>
        <w:t>Justicia) Vs. Colombia, párr. 48.</w:t>
        <w:br/>
        <w:br/>
        <w:t>[31]        Cfr.  Inter  alia,  Caso  Fairén  Garbi  y  Solís  Corrales  Vs.</w:t>
        <w:br/>
        <w:t>Honduras. Fondo. Sentencia de 15 de marzo de 1989. Serie  C  No.  6,  párrs.</w:t>
        <w:br/>
        <w:t>153 a 161, y Caso Rodríguez Vera  y  otros  (Desaparecidos  del  Palacio  de</w:t>
        <w:br/>
        <w:t>Justicia) Vs. Colombia, párr. 48.</w:t>
        <w:br/>
        <w:br/>
        <w:t>[32]         Cfr.  Inter  alia,  Caso  Yvon  Neptune   vs.   Haití.   Fondo,</w:t>
        <w:br/>
        <w:t>Reparaciones y Costas. Sentencia de 6 de mayo de  2008.  Serie  C  No.  180,</w:t>
        <w:br/>
        <w:t>párr. 19, y Caso Rodríguez  Vera  y  otros  (Desaparecidos  del  Palacio  de</w:t>
        <w:br/>
        <w:t>Justicia) Vs. Colombia, párr. 48.</w:t>
        <w:br/>
        <w:br/>
        <w:t>[33]  Cfr. Informe de Fondo de la Comisión Interamericana, párrs. 43 y 44.</w:t>
        <w:br/>
        <w:br/>
        <w:t>[34]  Cfr. Informe de Fondo de la Comisión Interamericana, párrs.  188,  192</w:t>
        <w:br/>
        <w:t>y 222.</w:t>
        <w:br/>
        <w:br/>
        <w:t>[35]  Cfr. Caso Tarazona Arrieta y otros Vs. Perú, párr. 17.</w:t>
        <w:br/>
        <w:br/>
        <w:t>[36]  El Estado manifestó que “formalizará la entrega de una vivienda  digna</w:t>
        <w:br/>
        <w:t>en la provincia de Azuay para garantizar el derecho  a  la  vida”  de  Talía</w:t>
        <w:br/>
        <w:t>Gonzales,  y  señaló  que,  en  caso  de   que   la   Corte   declarase   la</w:t>
        <w:br/>
        <w:t>responsabilidad del Estado, el Ministerio de Salud  Pública  continuará  con</w:t>
        <w:br/>
        <w:t>el Protocolo Integral de Salud e  implementará  el  manejo  ambulatorio  del</w:t>
        <w:br/>
        <w:t>mismo, con acceso al tratamiento antirretroviral  necesario  y  otorgamiento</w:t>
        <w:br/>
        <w:t>de apoyo psicológico y asistencia social a Talía y a  su  madre  en  la  red</w:t>
        <w:br/>
        <w:t>pública de salud. Asimismo, en el supuesto en  que  la  Corte  declarase  la</w:t>
        <w:br/>
        <w:t>responsabilidad, la Ministra de Salud  realizaría  una  disculpa  pública  a</w:t>
        <w:br/>
        <w:t>Talía y a su madre  en  relación  al  hecho  específico  reconocido  por  el</w:t>
        <w:br/>
        <w:t>Estado; e indicó que por su desempeño académico Talía podría  ser  candidata</w:t>
        <w:br/>
        <w:t>a una beca de excelencia.</w:t>
        <w:br/>
        <w:br/>
        <w:t>[37]  Artículo 62. Reconocimiento</w:t>
        <w:br/>
        <w:br/>
        <w:t xml:space="preserve">    Si el demandado comunicare a la Corte su aceptación de los hechos o  su</w:t>
        <w:br/>
        <w:t xml:space="preserve">    allanamiento total o parcial a  las  pretensiones  que  constan  en  el</w:t>
        <w:br/>
        <w:t xml:space="preserve">    sometimiento del caso o en el escrito de las presuntas víctimas  o  sus</w:t>
        <w:br/>
        <w:t xml:space="preserve">    representantes, la Corte, oído el parecer de los  demás  intervinientes</w:t>
        <w:br/>
        <w:t xml:space="preserve">    en el proceso, resolverá, en el momento  procesal  oportuno,  sobre  su</w:t>
        <w:br/>
        <w:t xml:space="preserve">    procedencia y sus efectos jurídicos.</w:t>
        <w:br/>
        <w:br/>
        <w:t>[38]  Artículo 64. Prosecución del examen del caso</w:t>
        <w:br/>
        <w:br/>
        <w:t xml:space="preserve">    La Corte, teniendo en cuenta las responsabilidades que le  incumben  de</w:t>
        <w:br/>
        <w:t xml:space="preserve">    proteger los derechos humanos, podrá decidir que prosiga el examen  del</w:t>
        <w:br/>
        <w:t xml:space="preserve">    caso, aun en presencia de los  supuestos  señalados  en  los  artículos</w:t>
        <w:br/>
        <w:t xml:space="preserve">    precedentes.</w:t>
        <w:br/>
        <w:br/>
        <w:t>[39]   Cfr.  Caso  Kimel  Vs.  Argentina.  Fondo,  Reparaciones  y   Costas.</w:t>
        <w:br/>
        <w:t>Sentencia de 2 de mayo de 2008. Serie C No. 177, párr. 24, y Caso  Gutiérrez</w:t>
        <w:br/>
        <w:t>y Familia Vs. Argentina. Fondo Reparaciones y Costas.  Sentencia  de  25  de</w:t>
        <w:br/>
        <w:t>noviembre de 2013. Serie C No. 271, párr. 21.</w:t>
        <w:br/>
        <w:br/>
        <w:t>[40]  Cfr. Caso  Manuel  Cepeda  Vargas  Vs.  Colombia,  párr.  17,  y  Caso</w:t>
        <w:br/>
        <w:t>Gutiérrez y Familia Vs. Argentina, párr. 21.</w:t>
        <w:br/>
        <w:br/>
        <w:t>[41]   El  artículo  62.3  de  la  Convención  establece:  La  Corte   tiene</w:t>
        <w:br/>
        <w:t>competencia para conocer de cualquier caso relativo a  la  interpretación  y</w:t>
        <w:br/>
        <w:t>aplicación de las disposiciones de esta  Convención  que  le  sea  sometido,</w:t>
        <w:br/>
        <w:t>siempre que los Estados Partes en el  caso  hayan  reconocido  o  reconozcan</w:t>
        <w:br/>
        <w:t>dicha competencia, ora por declaración  especial,  como  se  indica  en  los</w:t>
        <w:br/>
        <w:t>incisos anteriores, ora por convención especial.</w:t>
        <w:br/>
        <w:br/>
        <w:t>[42]  El artículo 63.1 de la Convención establece: Cuando  decida  que  hubo</w:t>
        <w:br/>
        <w:t>violación de un derecho o libertad protegidos en esta Convención,  la  Corte</w:t>
        <w:br/>
        <w:t>dispondrá que se garantice al lesionado en el goce de su derecho o  libertad</w:t>
        <w:br/>
        <w:t>conculcados. Dispondrá asimismo, si ello fuere procedente,  que  se  reparen</w:t>
        <w:br/>
        <w:t>las  consecuencias  de  la  medida  o  situación  que  ha   configurado   la</w:t>
        <w:br/>
        <w:t>vulneración de esos derechos y el pago  de  una  justa  indemnización  a  la</w:t>
        <w:br/>
        <w:t>parte lesionada.</w:t>
        <w:br/>
        <w:br/>
        <w:t>[43]  Cfr. Caso  Rodríguez  Vera  y  otros  (Desaparecidos  del  Palacio  de</w:t>
        <w:br/>
        <w:t>Justicia) Vs. Colombia, párr. 27.</w:t>
        <w:br/>
        <w:br/>
        <w:t>[44]  En similar sentido ver lo ocurrido en el Caso  Veliz  Franco  y  otros</w:t>
        <w:br/>
        <w:t>Vs. Guatemala.  Excepciones  Preliminares,  Fondo,  Reparaciones  y  Costas.</w:t>
        <w:br/>
        <w:t>Sentencia de 19 de mayo de 2014. Serie C No. 277, párr. 24.</w:t>
        <w:br/>
        <w:br/>
        <w:t>[45]  El Estado declinó presentar las  declaraciones  de  los  peritos  Raúl</w:t>
        <w:br/>
        <w:t>Vallejo, Sebastián González, Blanca Susana Aguilar y María Elena Béjar.</w:t>
        <w:br/>
        <w:br/>
        <w:br/>
        <w:t>[46]  Cfr. Caso Velásquez Rodríguez Vs. Honduras. Fondo. Sentencia de 29  de</w:t>
        <w:br/>
        <w:t>julio de 1988. Serie C No. 4, párr. 140, y Caso de  Personas  Dominicanas  y</w:t>
        <w:br/>
        <w:t>Haitianas Expulsadas Vs.  República  Dominicana.  Excepciones  Preliminares,</w:t>
        <w:br/>
        <w:t>Fondo, Reparaciones y Costas. Sentencia de 28 de agosto  de  2014.  Serie  C</w:t>
        <w:br/>
        <w:t>No. 282, párr. 113.</w:t>
        <w:br/>
        <w:br/>
        <w:t>[47]  Cfr. Caso Escué Zapata Vs. Colombia.  Fondo,  Reparaciones  y  Costas.</w:t>
        <w:br/>
        <w:t>Sentencia de 4 de julio  de  2007.  Serie  C  No.  165,  párr.  26,  y  Caso</w:t>
        <w:br/>
        <w:t>Rodríguez  Vera  y  otros  (Desaparecidos  del  Palacio  de  Justicia)   Vs.</w:t>
        <w:br/>
        <w:t>Colombia, párr. 58.</w:t>
        <w:br/>
        <w:br/>
        <w:t>[48]  Caso Defensor de Derechos Humanos y otros Vs. Guatemala, párr. 69</w:t>
        <w:br/>
        <w:br/>
        <w:t>[49]  Caso Rodríguez Vera y otros (Desaparecidos del  Palacio  de  Justicia)</w:t>
        <w:br/>
        <w:t>Vs. Colombia, párr. 72</w:t>
        <w:br/>
        <w:br/>
        <w:t>[50]  Cfr. Caso  de  la  “Panel  Blanca”  (Paniagua  Morales  y  otros)  Vs.</w:t>
        <w:br/>
        <w:t>Guatemala. Fondo. Sentencia de 8 de marzo de 1998. Serie C  No.  37,  párrs.</w:t>
        <w:br/>
        <w:t>69 a 76, y Caso Tarazona Arrieta y otros Vs. Perú, párr. 28.</w:t>
        <w:br/>
        <w:br/>
        <w:t>[51]  Cfr. Caso  de  la  “Panel  Blanca”  (Paniagua  Morales  y  otros)  Vs.</w:t>
        <w:br/>
        <w:t>Guatemala, párr. 76, y Caso Tarazona Arrieta y otros Vs. Perú, párr. 28.</w:t>
        <w:br/>
        <w:br/>
        <w:t>[52]   Cfr.  Caso  Loayza  Tamayo  Vs.  Perú.  Fondo.  Sentencia  de  17  de</w:t>
        <w:br/>
        <w:t>septiembre de 1997. Serie C No. 33, párr. 43, y Caso J. Vs. Perú.  Excepción</w:t>
        <w:br/>
        <w:t>Preliminar, Fondo, Reparaciones y Costas. Sentencia de 27  de  noviembre  de</w:t>
        <w:br/>
        <w:t>2013. Serie C No. 275, párr. 49.</w:t>
        <w:br/>
        <w:br/>
        <w:t>[53]  Resultados de pruebas de VIH a la madre,  hermano  y  padre  de  Talía</w:t>
        <w:br/>
        <w:t>Gonzales Lluy de 23 de octubre y de 24 de noviembre de  1998  entregadas  al</w:t>
        <w:br/>
        <w:t>Juez Cuarto de lo Penal de 14 de diciembre de 1998  (expediente  de  prueba,</w:t>
        <w:br/>
        <w:t>folios 46 a 48).</w:t>
        <w:br/>
        <w:br/>
        <w:t>[54]  http://www.who.int/topics/hiv_aids/es/ ONUSIDA ha señalado que el  VIH</w:t>
        <w:br/>
        <w:t>es  “un  retrovirus  que  infecta  las  células  del   sistema   inmunitario</w:t>
        <w:br/>
        <w:t>(principalmente las células T CD4 positivas y  los  macrófagos,  componentes</w:t>
        <w:br/>
        <w:t>clave  del   sistema   inmunitario   celular)   y   destruye   o   daña   su</w:t>
        <w:br/>
        <w:t>funcionamiento”; y que “las personas inmunodeficientes son  más  vulnerables</w:t>
        <w:br/>
        <w:t>a diversas infecciones, la  mayoría  de  las  cuales  es  poco  común  entre</w:t>
        <w:br/>
        <w:t>personas                       sin                       inmunodeficiencia”.</w:t>
        <w:br/>
        <w:t>http://data.unaids.org/pub/factsheet/2008/20080519_fastfacts_hiv_es.pdf.</w:t>
        <w:br/>
        <w:br/>
        <w:t>[55]  Naciones Unidas, Asamblea General, “Declaración Política sobre el  VIH</w:t>
        <w:br/>
        <w:t>y el SIDA: intensificación de nuestro esfuerzo para eliminar el  VIH,  y  el</w:t>
        <w:br/>
        <w:t>SIDA, A/65/L.77, 8 de junio de 2011 (en  adelante  Resolución  ONU  VIH/SIDA</w:t>
        <w:br/>
        <w:t>2011),                                                                    en</w:t>
        <w:br/>
        <w:t>http://www.unaids.org/en/media/unaids/contentassets/documents/document/2011/</w:t>
        <w:br/>
        <w:t>06/20110610_UN_A-RES-65-277_es.pdf (visita 25 de abril de 2014), párr. 7.</w:t>
        <w:br/>
        <w:br/>
        <w:t>[56]  Ver Reseña Histórica de la Cruz Roja en  el  Ecuador.  disponible  en:</w:t>
        <w:br/>
        <w:t>http://www.cruzroja.org.ec/index.php/quienes-somos/resena-historica.</w:t>
        <w:br/>
        <w:br/>
        <w:t>[57]  Ver Reseña Histórica de la Cruz Roja en el Ecuador. Oficialización  de</w:t>
        <w:br/>
        <w:t>Cruz          Roja           Ecuatoriana,           disponible           en:</w:t>
        <w:br/>
        <w:t>http://www.cruzroja.org.ec/plantilla_texto.php?id_submenu1=2&amp;id_menu=2.</w:t>
        <w:br/>
        <w:br/>
        <w:t>[58]  La Cruz Roja Ecuatoriana está constituida  por  órganos  nacionales  y</w:t>
        <w:br/>
        <w:t>Juntas Provinciales, Cantonales y Parroquiales conforme a  las  resoluciones</w:t>
        <w:br/>
        <w:t>de la Conferencia Internacional de Ginebra de 1864 y a los Principios de  la</w:t>
        <w:br/>
        <w:t>Convención de Ginebra de 1906.</w:t>
        <w:br/>
        <w:br/>
        <w:t>[59]  La Comisión Interamericana  citó  como  fuente  para  determinar  este</w:t>
        <w:br/>
        <w:t>hecho                la                dirección                 electrónica</w:t>
        <w:br/>
        <w:t>http://www.cruzroja.org.ec/plantilla_texto.php?id_submenu1=2&amp;id_menu=2  Este</w:t>
        <w:br/>
        <w:t>hecho no ha sido controvertido por las partes. Sin  perjuicio  de  ello,  la</w:t>
        <w:br/>
        <w:t>Corte constata que dicha dirección electrónica no  se  encuentra  disponible</w:t>
        <w:br/>
        <w:t>al momento de emitir la presente Sentencia. Al respecto, la  Corte  constata</w:t>
        <w:br/>
        <w:t>que            en            la            dirección             electrónica</w:t>
        <w:br/>
        <w:t>http://www.gazzettaamministrativa.it/opencms/export/sites/default/_gazzetta_</w:t>
        <w:br/>
        <w:t>amministrativa/amministrazione_trasparente/_agenzie_enti_stato/_croce_rossa_</w:t>
        <w:br/>
        <w:t>iTalíana/090_prov/010_pro_org_ind_pol/2013/Documenti_1383666871662/138366687</w:t>
        <w:br/>
        <w:t>3832_accordo_con_croce_rossa_ecuador.pdf es posible acceder  a  un  convenio</w:t>
        <w:br/>
        <w:t>marco de cooperación intersintitucional donde se alude a  los  estatutos  de</w:t>
        <w:br/>
        <w:t>la Cruz Roja Ecuatoriana y su carácter de  corporación  de  derecho  privado</w:t>
        <w:br/>
        <w:t>regulada por el Código Civil.</w:t>
        <w:br/>
        <w:br/>
        <w:t>[60]        Ver Cruz Roja ecuatoriana Junta provincial del Azuay.  Banco  de</w:t>
        <w:br/>
        <w:t>Sangre de la Cruz Roja.  http://www.cruzrojazuay.org/#!banco-de-sangre/cyjt.</w:t>
        <w:br/>
        <w:br/>
        <w:br/>
        <w:t>[61]  Código de Salud del Ecuador  (expediente  de  prueba,  folios  2643  a</w:t>
        <w:br/>
        <w:t>2658).</w:t>
        <w:br/>
        <w:br/>
        <w:t>[62]  Registro Oficial No. 794. Reglamento 8001. Acuerdo  de  obligatoriedad</w:t>
        <w:br/>
        <w:t>de realización de  pruebas  de  VIH  en  todas  las  unidades  de  sangre  y</w:t>
        <w:br/>
        <w:t>derivados de 20 de Octubre de 1987. (expediente de  prueba,  folios  2680  a</w:t>
        <w:br/>
        <w:t>2704.</w:t>
        <w:br/>
        <w:br/>
        <w:t>[63]   Registro  Oficial  No.  882.  Reglamento  del  Sistema  Nacional   de</w:t>
        <w:br/>
        <w:t>Aprovisionamiento y utilización de sangre y sus derivados de 25  de  Febrero</w:t>
        <w:br/>
        <w:t>de 1992. (expediente de prueba, folios 2713 a 2716). Según este  Reglamento,</w:t>
        <w:br/>
        <w:t>la Cruz  Roja  Ecuatoriana,  organismo  director  y  regulador  del  Sistema</w:t>
        <w:br/>
        <w:t>Nacional de Aprovisionamiento de Sangre y sus Derivados, tenía como  órganos</w:t>
        <w:br/>
        <w:t>auxiliares los siguientes: Comité Nacional de  Sangre,  Secretaría  Nacional</w:t>
        <w:br/>
        <w:t>de Sangre, Bancos de Sangre y Depósitos de  Sangre   y  en  relación  a  los</w:t>
        <w:br/>
        <w:t>bancos de sangre,  éstos  son  los  responsables  del  registro,  obtención,</w:t>
        <w:br/>
        <w:t>donación, conservación, procesamiento, distribución y suministro  de  sangre</w:t>
        <w:br/>
        <w:t>humana y sus derivados.</w:t>
        <w:br/>
        <w:br/>
        <w:t>[64]  Manual de normas para  bancos,  dpositos  de  sangre  y  servivios  de</w:t>
        <w:br/>
        <w:t>tranfusiones de 31 de agosto de 1998. (expediente de prueba, folios  2730  a</w:t>
        <w:br/>
        <w:t>2759). Prueba para mejor resolver que llegó el 21 de julio de 2015.</w:t>
        <w:br/>
        <w:br/>
        <w:t>[65]  Constitución Política de la República del Ecuador de 11 de  agosto  de</w:t>
        <w:br/>
        <w:t>1998, artículo 22, numeral 15.</w:t>
        <w:br/>
        <w:br/>
        <w:t>[66]  “El aprovisionamiento y utilización de sangre y sus  derivados  en  el</w:t>
        <w:br/>
        <w:t>Ecuador,  será  responsabilidad  exclusiva  de  la  Cruz  Roja  Ecuatoriana,</w:t>
        <w:br/>
        <w:t>institución  que  organizará  para  este  efecto  un  sistema  de  bancos  y</w:t>
        <w:br/>
        <w:t>depósitos de sangre, en las ciudades y servicios médicos que  los  requieran</w:t>
        <w:br/>
        <w:t>(…).El Ministerio de Salud Pública, el Instituto  Ecuatoriano  de  Seguridad</w:t>
        <w:br/>
        <w:t>Social, las Fuerzas  Armadas  y  la  Junta  de  Beneficencia  de  Guayaquil,</w:t>
        <w:br/>
        <w:t>continuarán administrando los bancos y depósitos de sangre adscritos  a  sus</w:t>
        <w:br/>
        <w:t>organizaciones médicas, bajo el control reglamentario y la  coordinación  de</w:t>
        <w:br/>
        <w:t>la   Cruz   Roja   Ecuatoriana.   Registro   Oficial   No.   559.   Ley   de</w:t>
        <w:br/>
        <w:t>Aprovisionamiento y utilización de sangre y sus derivados   de  Noviembre  7</w:t>
        <w:br/>
        <w:t>de 1986 (expediente de prueba, folio 2661).</w:t>
        <w:br/>
        <w:br/>
        <w:t>[67]  Registro Oficial No. 774. Reglamento 170. Ley de donantes  voluntarios</w:t>
        <w:br/>
        <w:t>de sangre de Junio 29 de 1984.</w:t>
        <w:br/>
        <w:br/>
        <w:t>[68]  El Estado no controvirtió los hechos relativos a la hospitalización  y</w:t>
        <w:br/>
        <w:t>la transfusión de sangre a Talía. Estos hechos fueron, además,  establecidos</w:t>
        <w:br/>
        <w:t>en el marco del proceso penal interno.</w:t>
        <w:br/>
        <w:br/>
        <w:t>[69]  “La púrpura trombocitopénica inmunológica, también denominada  púrpura</w:t>
        <w:br/>
        <w:t>trombocitopénica  inmune  o  idiopática,  es  una   enfermedad   hemorrágica</w:t>
        <w:br/>
        <w:t>caracterizada por la destrucción prematura de plaquetas debido  a  la  unión</w:t>
        <w:br/>
        <w:t>de un autoanticuerpo, habitualmente de la clase IgG,  a  las  glucoproteínas</w:t>
        <w:br/>
        <w:t>plaquetarias  y  la  posterior  depuración   por   el   sistema   fagocítico</w:t>
        <w:br/>
        <w:t>mononuclear”.  Guía  de  Práctica  Clínica,  Diagnóstico  y  Tratamiento  de</w:t>
        <w:br/>
        <w:t>Púrpura Trombocitopénica Inmunológica, México, Secretaría  de  Salud,  2009.</w:t>
        <w:br/>
        <w:t>Disponible                                                                en</w:t>
        <w:br/>
        <w:t>http://www.cenetec.salud.gob.mx/descargas/gpc/CatalogoMaestro/143_GPC_PURPUR</w:t>
        <w:br/>
        <w:t>A_TROMBOCITOP/Imss_ER.pdf  Este Tribunal estima que  el  referido  documento</w:t>
        <w:br/>
        <w:t>es útil para el análisis del presente caso, por  lo  cual  lo  incorpora  de</w:t>
        <w:br/>
        <w:t>oficio al acervo probatorio de conformidad  con  el  artículo  58.a)  de  su</w:t>
        <w:br/>
        <w:t>Reglamento.</w:t>
        <w:br/>
        <w:br/>
        <w:t>[70]  Sobre la condición médica  de  Talía  al  momento  de  ingresar  a  la</w:t>
        <w:br/>
        <w:t>Clínica Humanitaria, el médico PMT indicó que “presentaba un cuadro  clínico</w:t>
        <w:br/>
        <w:t>caracterizado de hemorragias en diferentes sitios, tanto nasal como de  piel</w:t>
        <w:br/>
        <w:t>y mucosas, al momento del examen como consecuencia de ello,  presentaba  una</w:t>
        <w:br/>
        <w:t>palidez extrema […] con sus signos vitales al punto de un colap[s]o  […]  el</w:t>
        <w:br/>
        <w:t>estado general de la niña, estaba sumamente comprometida y  estuvo  a  punto</w:t>
        <w:br/>
        <w:t>de fallecer […]”. Declaración de PMT de 30 de  noviembre  de  1998  ante  el</w:t>
        <w:br/>
        <w:t>Juez Cuarto de lo Penal del Azuay (expediente de prueba, folio 442).</w:t>
        <w:br/>
        <w:br/>
        <w:t>[71]  De acuerdo con el peritaje rendido ante el Juez  Cuarto  de  lo  Penal</w:t>
        <w:br/>
        <w:t>del Azuay, PMT y MRR habrían informado de manera verbal a  los  peritos  que</w:t>
        <w:br/>
        <w:t>los exámenes realizados como urgencias, después de las  18.00  horas  no  se</w:t>
        <w:br/>
        <w:t>registran en algún libro o cuaderno; pero  sí  se  realizan  por  parte  del</w:t>
        <w:br/>
        <w:t>personal de turno y son comprobados al día siguiente. Peritaje  rendido  por</w:t>
        <w:br/>
        <w:t>JPR y NVI ante el Juez Cuarto de lo Penal del Azuay de 17 de agosto de  1999</w:t>
        <w:br/>
        <w:t>(expediente de prueba, folio 97).</w:t>
        <w:br/>
        <w:br/>
        <w:t>[72]  Los hechos relativos al  contagio  no  fueron  controvertidos  por  el</w:t>
        <w:br/>
        <w:t>Estado.</w:t>
        <w:br/>
        <w:br/>
        <w:t>[73]  Cfr. Denuncia presentada por Teresa Lluy ante el Juez de lo  Penal  de</w:t>
        <w:br/>
        <w:t>29 de septiembre de 1998 (expediente de prueba, folio 382).</w:t>
        <w:br/>
        <w:br/>
        <w:t>[74]        Auto cabeza del proceso indagatorio emitido por el  Juez  Cuarto</w:t>
        <w:br/>
        <w:t>de lo Penal del Azuay de 19 de octubre de 1998 (expediente de prueba,  folio</w:t>
        <w:br/>
        <w:t>385).</w:t>
        <w:br/>
        <w:br/>
        <w:t>[75]  Dentro de la causa penal promovida por  Teresa  Lluy,  se  llevaron  a</w:t>
        <w:br/>
        <w:t>cabo tres diligencias de inspección al Banco de Sangre de la Cruz  Roja  del</w:t>
        <w:br/>
        <w:t>Azuay. La primera de dichas diligencias se hizo el día 11  de  diciembre  de</w:t>
        <w:br/>
        <w:t>1998 donde se observo la planta física y el libro de registros por parte  de</w:t>
        <w:br/>
        <w:t>los peritos CCC y GCVR, acompañados del Juez Cuarto de lo Penal del Azuay  y</w:t>
        <w:br/>
        <w:t>su secretaria. El día 18 de mayo de 2000 se llevó a cabo la segunda  de  las</w:t>
        <w:br/>
        <w:t>visitas al Banco de Sangre, esta  vez  fueron  nombradas  como  peritos  las</w:t>
        <w:br/>
        <w:t>señoras KA y MB  quienes  acompañadas  del  Juez  Cuarto  y  su  secretaria,</w:t>
        <w:br/>
        <w:t>inspeccionaron los archivos del Banco de Sangre. En la  referida  diligencia</w:t>
        <w:br/>
        <w:t>del 18 de mayo de  2000,  se  observó  que  cada  donante  tenía  un  código</w:t>
        <w:br/>
        <w:t>ingresado en la base de datos de la computadora, y que al señor HSA y  otras</w:t>
        <w:br/>
        <w:t>cinco personas les correspondieron los números 43137, 43144,  43141,  43149,</w:t>
        <w:br/>
        <w:t>43146 y 43142, respectivamente. En el acta de la diligencia  se  hizo  notar</w:t>
        <w:br/>
        <w:t>que  el  donante  43137  tenía  resultado  positivo  para  VIH;  y  se  dejó</w:t>
        <w:br/>
        <w:t>constancia de que “de lo observado se  pudo  constatar  que  no  se  realizó</w:t>
        <w:br/>
        <w:t>prueba alguna con fecha 22 de junio de 1998  a  los  donantes  en  cuestión,</w:t>
        <w:br/>
        <w:t>sino con fecha 23 de junio de 1999;  además  se  observan  borrones  en  las</w:t>
        <w:br/>
        <w:t>fechas en que se realizaron las  pruebas,  y  también  existen  borrones  en</w:t>
        <w:br/>
        <w:t>otras fechas”. Se dejó constancia además de que EOQ manifestó que  antes  de</w:t>
        <w:br/>
        <w:t>diciembre de 1998, las donaciones recibidas pasadas las 6 pm y los fines  de</w:t>
        <w:br/>
        <w:t>semana, no eran registradas. La última de las inspecciones se llevó  a  cabo</w:t>
        <w:br/>
        <w:t>el 22 de junio de 2001 por parte de los peritos RRC y GTS y el Juez  Cuarto.</w:t>
        <w:br/>
        <w:t>En  esta  diligencia  se  concluyó  que  los  métodos  cualitativos  que  se</w:t>
        <w:br/>
        <w:t>utilizaban no eran confiables  pues  las  pruebas  debían  ser  sometidas  a</w:t>
        <w:br/>
        <w:t>corroboración por métodos de referencia como “Western Blot y Micro –  ELISA”</w:t>
        <w:br/>
        <w:t>que no estaban disponibles en la Cruz Roja. Acta de inspección  en  la  sede</w:t>
        <w:br/>
        <w:t>de la Cruz Roja con la concurrencia del Juez Cuarto de lo  penal  del  Azuay</w:t>
        <w:br/>
        <w:t>de 11 de diciembre de 1998 (expediente de prueba, folios 42 y 13);  acta  de</w:t>
        <w:br/>
        <w:t>inspección en la sede de la Cruz Roja con la concurrencia  del  Juez  Cuarto</w:t>
        <w:br/>
        <w:t>de lo penal del Azuay de 18 de mayo de 2000 (expediente  de  prueba,  folios</w:t>
        <w:br/>
        <w:t>145 y 146), y acta de  inspección  en  la  sede  de  la  Cruz  Roja  con  la</w:t>
        <w:br/>
        <w:t>concurrencia del Juez Cuarto de lo Penal del Azuay de 22 de  junio  de  2001</w:t>
        <w:br/>
        <w:t>(expediente de prueba, folios 221 y 222).</w:t>
        <w:br/>
        <w:br/>
        <w:t>[76]  Cfr. Declaración de PMT ante el Investigador  No.  30  de  la  Policía</w:t>
        <w:br/>
        <w:t>Nacional del Ecuador de 19 de octubre 1998  (expediente  de  prueba,  folios</w:t>
        <w:br/>
        <w:t>403 a 405).</w:t>
        <w:br/>
        <w:br/>
        <w:t>[77]  Cfr. Declaración de EOQ ante el Investigador  No.  30  de  la  Policía</w:t>
        <w:br/>
        <w:t>Nacional del Ecuador de 19 de octubre de 1998 (expediente de  prueba,  folio</w:t>
        <w:br/>
        <w:t>407).</w:t>
        <w:br/>
        <w:br/>
        <w:t>[78]  Cfr. Declaración de HSA ante el Investigador  No.  30  de  la  Policía</w:t>
        <w:br/>
        <w:t>Nacional del Ecuador de 20 de octubre de 1998 (expediente de  prueba,  folio</w:t>
        <w:br/>
        <w:t>409).</w:t>
        <w:br/>
        <w:br/>
        <w:t>[79]        Cfr. Declaración de Teresa Lluy ante el Investigador No.  30  de</w:t>
        <w:br/>
        <w:t>la Policía Nacional del Ecuador de 15 de noviembre de  1998  (expediente  de</w:t>
        <w:br/>
        <w:t>prueba, folio 411).</w:t>
        <w:br/>
        <w:br/>
        <w:t>[80]   Cfr. Declaración de HSA ante el Juez Cuarto de lo Penal del Azuay  de</w:t>
        <w:br/>
        <w:t>18 de noviembre de 1998 (expediente de prueba, folio 392).</w:t>
        <w:br/>
        <w:br/>
        <w:t>[81]  Cfr. Declaración de MRR ante el Juez Cuarto de lo Penal del  Azuay  de</w:t>
        <w:br/>
        <w:t>14 de diciembre de 1998 (expediente de prueba, folio 44).</w:t>
        <w:br/>
        <w:br/>
        <w:t>[82]  Escrito de Teresa Lluy  presentado  al  Fiscal  Cuarto  de  lo  Penal,</w:t>
        <w:br/>
        <w:t>mediante el cual presenta los resultados de las pruebas de  VIH  practicadas</w:t>
        <w:br/>
        <w:t>a Teresa e Iván Lluy en el Instituto Nacional de Higiene;  y  a  SGO  en  el</w:t>
        <w:br/>
        <w:t>hospital General  de  las  FF.  AA.  No.  1  de  14  de  diciembre  de  1998</w:t>
        <w:br/>
        <w:t>(expediente de prueba, folios 46 a 49).</w:t>
        <w:br/>
        <w:br/>
        <w:t>[83]  Certificado ginecológico  de  Talía  Gonzales  Lluy,  emitido  por  el</w:t>
        <w:br/>
        <w:t>Ministerio de Salud Pública Cuenca  Pumapungo  de  27  de  octubre  de  1998</w:t>
        <w:br/>
        <w:t>(expediente de prueba, folio 45).</w:t>
        <w:br/>
        <w:br/>
        <w:t>[84]  Auto del Juzgado Cuarto de lo Penal de 5 de junio de 1999  (expediente</w:t>
        <w:br/>
        <w:t>de prueba, folio 83).</w:t>
        <w:br/>
        <w:br/>
        <w:t>[85]  Constancia de toma de posesión de  JPR  y  NVI  ante  el  del  Juzgado</w:t>
        <w:br/>
        <w:t>Cuarto de lo Penal de 28 de julio de 1999 (expediente de prueba, folio 84).</w:t>
        <w:br/>
        <w:br/>
        <w:t>[86]  Cfr. Peritaje rendido ante el Juzgado  Cuarto  de  lo  Penal  por  los</w:t>
        <w:br/>
        <w:t>doctores JPR y NVI de 16 de agosto de 1999 (expediente de prueba, folios  91</w:t>
        <w:br/>
        <w:t>a 98).</w:t>
        <w:br/>
        <w:br/>
        <w:t>[87]  Cfr. Peritaje rendido ante el Juzgado  Cuarto  de  lo  Penal  por  los</w:t>
        <w:br/>
        <w:t>doctores JPR y NVI de 16 de agosto de 1999 (expediente de prueba, folios  91</w:t>
        <w:br/>
        <w:t>a 98). Sobre este punto precisaron los peritos que  “se  toma  sangre  total</w:t>
        <w:br/>
        <w:t>recién extraída o que tenga como máximo seis horas de su  extracción”.  Tras</w:t>
        <w:br/>
        <w:t>procedimientos descritos por los peritos, resulta “de la  unidad  de  sangre</w:t>
        <w:br/>
        <w:t>fresca completa  inicialmente  extraída  de  un  donante  hemos  obtenido  3</w:t>
        <w:br/>
        <w:t>fracciones  repartidas  en  3  fundas  diferentes:   un   paquete   globular</w:t>
        <w:br/>
        <w:t>(concentrado  de  glóbulos  rojos),  un  plasma  pobre  en  plaquetas  y  el</w:t>
        <w:br/>
        <w:t>concentrado plaquetario)”. Agregaron que “el  tiempo  de  centrifugación  es</w:t>
        <w:br/>
        <w:t>exacto, pero  el  requerido  para  que  el  Banco  de  Sangre  entregue  las</w:t>
        <w:br/>
        <w:t>plaquetas es variable (pero en todo caso debe hacerlo dentro de las  6hs  de</w:t>
        <w:br/>
        <w:t>extraída la sangre  del  donante)  pues  dependerá  de  las  condiciones  de</w:t>
        <w:br/>
        <w:t>trabajo y al menos deben considerarse las  siguientes  situaciones:  primero</w:t>
        <w:br/>
        <w:t>disponer (como en el juicio que se está investigando) de  dos  donantes  del</w:t>
        <w:br/>
        <w:t>mismo  grupo  sanguíneo  del  receptor,  pues   se   habían   solicitado   2</w:t>
        <w:br/>
        <w:t>concentrados de plaquetas (…)  (ilegible)  este  tiempo  deberán  realizarse</w:t>
        <w:br/>
        <w:t>todas las pruebas (…) (ilegible) del  donante  (anticuerpo  para  VIH  SIDA,</w:t>
        <w:br/>
        <w:t>anticuerpo para Hepatitis C, antígeno de superficie de Hepatitis  B,  prueba</w:t>
        <w:br/>
        <w:t>para sífilis, etc), y todo esto adicional al resto de trabajo del  Banco  de</w:t>
        <w:br/>
        <w:t>Sangre”. Este trabajo adicional fue descrito por  los  peritos,  concluyendo</w:t>
        <w:br/>
        <w:t>que todo lo anterior depende del personal disponible en el Banco de Sangre.</w:t>
        <w:br/>
        <w:br/>
        <w:t xml:space="preserve">      [88]  Cfr. Peritaje de los doctores JPR y NVI de 16 de agosto de  1999</w:t>
        <w:br/>
        <w:t>(expediente de prueba, folios 91 a 98).  Sobre  este  punto,  indicaron  que</w:t>
        <w:br/>
        <w:t>esta información fue extraída del impreso de  computación  del  Registro  de</w:t>
        <w:br/>
        <w:t>Transfusiones del Banco de Sangre de  la  Cruz  Rosa  del  Azuay  y  de  las</w:t>
        <w:br/>
        <w:t>fotocopias de los formularios llenados por los donantes, pues  en  el  Banco</w:t>
        <w:br/>
        <w:t>de Sangre les indicaron que “no disponen de un libro borrador”.</w:t>
        <w:br/>
        <w:br/>
        <w:t>[89]  Cfr. Peritaje de los doctores JPR y  NVI  de  16  de  agosto  de  1999</w:t>
        <w:br/>
        <w:t>(expediente de prueba, folios 91 a  98).  Sobre  este  punto  indicaron  que</w:t>
        <w:br/>
        <w:t>estas contradicciones  se  basan  en  una  situación  descrita  que  resulta</w:t>
        <w:br/>
        <w:t>imposible en términos científicos, y en el  nombre  de  la  funcionaria  que</w:t>
        <w:br/>
        <w:t>habría tomado una  de  las  muestras  que  según  las  declaraciones  no  se</w:t>
        <w:br/>
        <w:t>encontraba en horas laborales. Agregaron que “en el Banco de Sangre  no  hay</w:t>
        <w:br/>
        <w:t>registro de las horas en que se extrajeron las unidades de los donantes”.</w:t>
        <w:br/>
        <w:br/>
        <w:t>[90]  Cfr. Peritaje de los doctores JPR y  NVI  de  16  de  agosto  de  1999</w:t>
        <w:br/>
        <w:t>(expediente prueba, folios 91 a 98). Sobre este punto indicaron los  peritos</w:t>
        <w:br/>
        <w:t>que “según información verbal del Dr. PMT y de la Sra.  [MR],  los  exámenes</w:t>
        <w:br/>
        <w:t>realizados como urgencias a partir de las 18  hs  (…)  no  se  registran  en</w:t>
        <w:br/>
        <w:t>algún libro o cuaderno; pero afirman  que  si  se  realizan  por  parte  del</w:t>
        <w:br/>
        <w:t>personal de turno y que son comprobados al día siguiente”.</w:t>
        <w:br/>
        <w:br/>
        <w:t>[91]  De igual manera, en cuanto al tiempo en que  es  posible  detectar  la</w:t>
        <w:br/>
        <w:t>presencia del virus del VIH tras la transfusión de  la  sangre  y  plaquetas</w:t>
        <w:br/>
        <w:t>contaminadas, los peritos indicaron que se  puede  hacer  por  “técnicas  de</w:t>
        <w:br/>
        <w:t>cuantificación viral en un periodo relativamente corto (de  1  a  3  semanas</w:t>
        <w:br/>
        <w:t>luego de la exposición) en  la  denominada  infección  HIV  aguda.  Pero  la</w:t>
        <w:br/>
        <w:t>seroconversión (…)  generalmente  va  de  6  a  12  semanas  después  de  la</w:t>
        <w:br/>
        <w:t>transmisión”. Agregaron que es variable de un sujeto a  otro  y  que  en  el</w:t>
        <w:br/>
        <w:t>caso de la transfusión de sangre pueden detectarse  los  anticuerpos  en  un</w:t>
        <w:br/>
        <w:t>período más corto que el de la transmisión por vía sexual. Peritaje  de  los</w:t>
        <w:br/>
        <w:t>doctores JPR y NVI de 16 de agosto de 1999 (expediente de prueba, folios  91</w:t>
        <w:br/>
        <w:t>a 98).</w:t>
        <w:br/>
        <w:br/>
        <w:t>[92]  Cfr. Peritaje de los doctores JPR y  NVI  de  16  de  agosto  de  1999</w:t>
        <w:br/>
        <w:t>(expediente de prueba, folios 91 a 98).</w:t>
        <w:br/>
        <w:br/>
        <w:t>[93]  Auto de conclusión del sumario del Juzgado Cuarto de lo Penal de 8  de</w:t>
        <w:br/>
        <w:t>septiembre de 1999 (expediente de prueba, folio 100).</w:t>
        <w:br/>
        <w:br/>
        <w:t>[94]  Cfr. Solicitud de reapertura del sumario presentada  por  Teresa  Lluy</w:t>
        <w:br/>
        <w:t>ante el Juez Cuarto de lo Penal de 14 de septiembre de 1999  (expediente  de</w:t>
        <w:br/>
        <w:t>prueba, folios 100 a 104).</w:t>
        <w:br/>
        <w:br/>
        <w:t>[95]  Auto de reapertura del sumario del Juzgado Cuarto de lo Penal de 4  de</w:t>
        <w:br/>
        <w:t>noviembre de 1999 (expediente de prueba, folio 111).</w:t>
        <w:br/>
        <w:br/>
        <w:t>[96]  Cfr. Comunicación enviada por los peritos JPR y NVI   al  Juez  Cuarto</w:t>
        <w:br/>
        <w:t>de lo Penal de 26 de noviembre de 1999 (expediente de prueba, folio 113).</w:t>
        <w:br/>
        <w:br/>
        <w:t>[97]  La acusación particular de acuerdo al Código  de  Procedimiento  Penal</w:t>
        <w:br/>
        <w:t>del Ecuador en su Art. 57 es aquella que se presenta  para  la  denuncia  de</w:t>
        <w:br/>
        <w:t>delitos     de     acción      pública      o      privada.      Disponible:</w:t>
        <w:br/>
        <w:t>https://www.oas.org/juridico/mla/sp/ecu/sp_ecu-int-text-cpp.pdf.</w:t>
        <w:br/>
        <w:br/>
        <w:t>[98]  Cfr. Acusación particular de Teresa Lluy en contra de PMT, EOQ  y  MRR</w:t>
        <w:br/>
        <w:t>ante el Juez Cuarto de lo Penal de 22 de diciembre de  1999  (expediente  de</w:t>
        <w:br/>
        <w:t>prueba, folios 116 y 117).</w:t>
        <w:br/>
        <w:br/>
        <w:t>[99]  Auto  del  Juzgado  Cuarto  de  lo  Penal  que  rechaza  la  acusación</w:t>
        <w:br/>
        <w:t>particular de 5 de enero de 2000 (expediente de prueba, folio 118).</w:t>
        <w:br/>
        <w:br/>
        <w:t>[100]       Auto del Juzgado Cuarto de lo Penal que determina el cierre  del</w:t>
        <w:br/>
        <w:t>sumario de 22 de marzo de 2000 (expediente de prueba, folio 134).</w:t>
        <w:br/>
        <w:br/>
        <w:t>[101]       Cfr. Solicitud de la Teresa Lluy al Agente Fiscal Cuarto  de  lo</w:t>
        <w:br/>
        <w:t>Penal de 5 de mayo de 2000 (expediente de prueba, folio 135).</w:t>
        <w:br/>
        <w:br/>
        <w:t>[102]       Auto del Juzgado Cuarto de lo Penal  de  18  de  julio  de  2000</w:t>
        <w:br/>
        <w:t>(expediente de prueba, folio 156).</w:t>
        <w:br/>
        <w:br/>
        <w:t>[103]       Auto del Juez Cuarto  de  lo  Penal  que  declara  concluido  el</w:t>
        <w:br/>
        <w:t>sumario de 31 de agosto de 2000 (expediente de prueba, folio 162).</w:t>
        <w:br/>
        <w:br/>
        <w:t>[104]       Dictamen del Agente Fiscal Cuarto de lo Penal de 11  de  octubre</w:t>
        <w:br/>
        <w:t>de 2000 (expediente de prueba, folio 165).</w:t>
        <w:br/>
        <w:br/>
        <w:t>[105]       Dictamen del Agente Fiscal Cuarto de lo Penal de 11  de  octubre</w:t>
        <w:br/>
        <w:t>de 2000 (expediente de prueba, folios 163 a 165).</w:t>
        <w:br/>
        <w:br/>
        <w:t>[106]       Cfr. Informe emitido por el Laboratorio  de  la  Universidad  de</w:t>
        <w:br/>
        <w:t>Lovaina, Bélgica de 8 de enero de 2001 (expediente de prueba, folios  177  y</w:t>
        <w:br/>
        <w:t>178). Traducción hecha por la Secretaría de la Corte.</w:t>
        <w:br/>
        <w:br/>
        <w:t>[107]       Cfr. Auto del Juez Cuarto de lo Penal de 15  de  enero  de  2001</w:t>
        <w:br/>
        <w:t>(expediente de prueba, folio 174).</w:t>
        <w:br/>
        <w:br/>
        <w:br/>
        <w:t>[108]       Cfr. Auto del Juez Cuarto de lo Penal que corre traslado  a  los</w:t>
        <w:br/>
        <w:t>peritos de 19 de febrero de 2001 (expediente de prueba, folio 191).</w:t>
        <w:br/>
        <w:br/>
        <w:t>[109]       Informe de los  peritos  JPR  y  NVI  de  9  de  marzo  de  2001</w:t>
        <w:br/>
        <w:t>(expediente de prueba, folio 194).</w:t>
        <w:br/>
        <w:br/>
        <w:t>[110]       Cfr. Auto del Juez Cuarto de lo Penal de 26  de  marzo  de  2001</w:t>
        <w:br/>
        <w:t>que declara concluido el sumario (expediente de prueba, folio 196).</w:t>
        <w:br/>
        <w:br/>
        <w:t>[111]       Cfr. Solicitud de la Fiscalía Cuarta  de  lo  Penal  al  Juzgado</w:t>
        <w:br/>
        <w:t>Cuarto de lo Penal de 9 de abril de 2001 (expediente de prueba, folio 197).</w:t>
        <w:br/>
        <w:br/>
        <w:t>[112]       Cfr. Auto del Juez Cuarto de lo Penal de 10  de  abril  de  2001</w:t>
        <w:br/>
        <w:t>(expediente de prueba, folio 198).</w:t>
        <w:br/>
        <w:br/>
        <w:t>[113]       Acusación particular presentada por Teresa Lluy de  16  de  mayo</w:t>
        <w:br/>
        <w:t>de 2001 (expediente de prueba, folios 208 a 210).</w:t>
        <w:br/>
        <w:br/>
        <w:t>[114]       Cfr. Auto del Juez Cuarto de lo Penal de  16  de  mayo  de  2001</w:t>
        <w:br/>
        <w:t>(expediente de prueba, folio 211).</w:t>
        <w:br/>
        <w:br/>
        <w:t>[115]       Solicitud de PMT y BRR de  16  de  julio  de  2001  dirigida  al</w:t>
        <w:br/>
        <w:t>Juzgado Cuarto de lo Penal (expediente de prueba, folio 263).</w:t>
        <w:br/>
        <w:br/>
        <w:t>[116]       Auto del Juzgado Cuarto de lo Penal que  declara  abandonada  la</w:t>
        <w:br/>
        <w:t>acusación particular de 25 de julio de 2001  (expediente  de  prueba,  folio</w:t>
        <w:br/>
        <w:t>274).</w:t>
        <w:br/>
        <w:br/>
        <w:t>[117]       Cfr. Solicitud de  Teresa  Lluy  de  29  de  julio   de  2001  y</w:t>
        <w:br/>
        <w:t>decisión del Juzgado Cuarto de lo Penal de 31 de julio de  2001  (expediente</w:t>
        <w:br/>
        <w:t>de prueba, folio 276).</w:t>
        <w:br/>
        <w:br/>
        <w:t>[118]       Comunicación del Fiscal Distrital al Juzgado Cuarto de lo  Penal</w:t>
        <w:br/>
        <w:t>de 22 de agosto de 2001 (expediente de prueba, folio 284).</w:t>
        <w:br/>
        <w:br/>
        <w:t>[119]       Código Penal del Ecuador artículo 436: Los médicos,  boticarios,</w:t>
        <w:br/>
        <w:t>o cualquier persona que, por falta de precaución o  de  cuidado,  recetaren,</w:t>
        <w:br/>
        <w:t>despacharen o  suministraren  medicamentos  que  comprometan  gravemente  la</w:t>
        <w:br/>
        <w:t>salud, serán reprimidos con prisión de seis meses  a  un  año;  si  hubieren</w:t>
        <w:br/>
        <w:t>causado enfermedad que parezca o fuere incurable, la prisión será de  uno  a</w:t>
        <w:br/>
        <w:t>tres años; y en caso de haber producido la muerte, la prisión será  de  tres</w:t>
        <w:br/>
        <w:t>a             cinco             años.             Disponible             en:</w:t>
        <w:br/>
        <w:t>http://www.cepal.org/oig/doc/EcuArt5511Codigopenal.pdf.</w:t>
        <w:br/>
        <w:br/>
        <w:t>[120]       Cfr. Dictamen del  Fiscal  del  Distrito  del  Azuay  de  23  de</w:t>
        <w:br/>
        <w:t>septiembre de 2001 (expediente de prueba, folios 454 a 463).</w:t>
        <w:br/>
        <w:br/>
        <w:t>[121]       Decisión del Segundo Tribunal de lo Penal de 29  de  octubre  de</w:t>
        <w:br/>
        <w:t>2001 (expediente de prueba, folio 489).</w:t>
        <w:br/>
        <w:br/>
        <w:t>[122]       Decisión del Segundo Tribunal de lo Penal de 29  de  octubre  de</w:t>
        <w:br/>
        <w:t>2001 (expediente de prueba, folio 489).</w:t>
        <w:br/>
        <w:br/>
        <w:t>[123]       Decisión de la Primera Sala  de  la  Corte  Superior  de  18  de</w:t>
        <w:br/>
        <w:t>diciembre de 2001 (expediente de prueba, folios 362 a 370).</w:t>
        <w:br/>
        <w:br/>
        <w:t>[124]       Orden del Segundo Tribunal de lo Penal de  13  de  diciembre  de</w:t>
        <w:br/>
        <w:t>2001 (expediente de prueba, folio 1860).</w:t>
        <w:br/>
        <w:br/>
        <w:t>[125]       Cfr. Registro del Segundo Tribunal Penal  del  Azuay  de  22  de</w:t>
        <w:br/>
        <w:t>febrero de 2005 (expediente de prueba, folio 1861).</w:t>
        <w:br/>
        <w:br/>
        <w:t>[126]       Cfr. Providencia del Segundo Tribunal Penal del Azuay  de  fecha</w:t>
        <w:br/>
        <w:t>22 de febrero de 2005 (expediente de prueba, folio 1862).</w:t>
        <w:br/>
        <w:br/>
        <w:t>[127]       Cfr. Auto Resolutivo, Segundo Tribunal Penal del Azuay de 25  de</w:t>
        <w:br/>
        <w:t>febrero de 2005 (expediente de prueba, folio 1876).</w:t>
        <w:br/>
        <w:br/>
        <w:t>[128]       Cfr. Auto Resolutivo, Segunda Sala de lo Penal  de  la  entonces</w:t>
        <w:br/>
        <w:t>Corte Superior de Justicia del Azuay de 22 de Abril de 2005  (expediente  de</w:t>
        <w:br/>
        <w:t>prueba, folio 1878).</w:t>
        <w:br/>
        <w:br/>
        <w:t>[129]       Solicitud de amparo de pobreza  de  26  de  septiembre  de  2001</w:t>
        <w:br/>
        <w:t>hecha al Juez de lo Civil de Cuenca (expediente  de  prueba,  folios  313  y</w:t>
        <w:br/>
        <w:t>314).</w:t>
        <w:br/>
        <w:br/>
        <w:t>[130]       Cfr. Decisión de amparo de pobreza del  Juzgado  Tercero  de  lo</w:t>
        <w:br/>
        <w:t>Civil de Cuenca de 5 de diciembre  de  2001  (expediente  de  prueba,  folio</w:t>
        <w:br/>
        <w:t>328).</w:t>
        <w:br/>
        <w:br/>
        <w:t>[131]       Cfr. Demanda por daños y perjuicios presentada por  Teresa  Lluy</w:t>
        <w:br/>
        <w:t>ante el Juez de lo Civil de Cuenca de 4 de  marzo  de  2002  (expediente  de</w:t>
        <w:br/>
        <w:t>prueba, folios 331 a 334). El proceso fue asignado al Juzgado  Sexto  de  lo</w:t>
        <w:br/>
        <w:t>Civil de Cuenca el 4 de marzo de 2002 (expediente de prueba, folio 335).</w:t>
        <w:br/>
        <w:br/>
        <w:t>[132]       Cfr. Contestación a la demanda presentada por CAA ante  el  Juez</w:t>
        <w:br/>
        <w:t>Sexto de lo Civil de Cuenca de 8 de abril de  2002  (expediente  de  prueba,</w:t>
        <w:br/>
        <w:t>folio 338 a 340).</w:t>
        <w:br/>
        <w:br/>
        <w:t>[133]       Decisión del Juzgado Sexto de lo Civil de Cuenca de  6  de  mayo</w:t>
        <w:br/>
        <w:t>de 2002 (expediente de prueba, folio 347).</w:t>
        <w:br/>
        <w:br/>
        <w:t>[134]       Cfr. Escrito de Teresa Lluy ante el Juez Sexto de lo  Civil  del</w:t>
        <w:br/>
        <w:t>Azuay de 1 de julio de 2002 (expediente de prueba, folios 525 y 526).</w:t>
        <w:br/>
        <w:br/>
        <w:t>[135]       Cfr. Escrito de Teresa Lluy ante el Juez Sexto de lo  Civil  del</w:t>
        <w:br/>
        <w:t>Azuay de 3 de julio de 2002 (expediente de prueba, folios 530 a 532).</w:t>
        <w:br/>
        <w:br/>
        <w:t>[136]       Decisión del Juzgado Sexto de lo Civil de Cuenca de 5  de  julio</w:t>
        <w:br/>
        <w:t>de 2002 (expediente de prueba, folio 533).</w:t>
        <w:br/>
        <w:br/>
        <w:t>[137]       Decisión del Juzgado Sexto de lo Civil de Cuenca de 10 de  julio</w:t>
        <w:br/>
        <w:t>de 2002 (expediente de prueba, folio 535).</w:t>
        <w:br/>
        <w:br/>
        <w:t>[138]       Informe médico de los peritos GT y GP de 20 de  agosto  de  2002</w:t>
        <w:br/>
        <w:t>(expediente de prueba, folio 542).</w:t>
        <w:br/>
        <w:br/>
        <w:t>[139]       Cfr. Acta de inspección al Banco de Sangre de la Cruz  Roja  del</w:t>
        <w:br/>
        <w:t>Azuay de 20 de agosto de 2002 (expediente de prueba, folio 540).</w:t>
        <w:br/>
        <w:br/>
        <w:t>[140]       Cfr. Escrito de Teresa Lluy ante el Juez Sexto de lo  Civil  del</w:t>
        <w:br/>
        <w:t>Azuay de 25 de septiembre de 2004 (expediente de prueba, folio 550).</w:t>
        <w:br/>
        <w:br/>
        <w:t>[141]       Cfr. Escrito de Claudio Arias ante el Juez  Sexto  de  lo  Civil</w:t>
        <w:br/>
        <w:t>del Azuay de 6 de septiembre de 2004 (expediente de prueba, folio 552).</w:t>
        <w:br/>
        <w:br/>
        <w:t>[142]       Cfr. Escrito de Teresa Lluy ante el Juez Sexto de lo  Civil  del</w:t>
        <w:br/>
        <w:t>Azuay de 27 de octubre de 2004 (expediente de prueba, folio 555).</w:t>
        <w:br/>
        <w:br/>
        <w:t>[143]       Decisión del Juzgado Sexto  de  lo  Civil  de  Cuenca  de  4  de</w:t>
        <w:br/>
        <w:t>noviembre de 2004. (expediente de prueba, folio 556).</w:t>
        <w:br/>
        <w:br/>
        <w:t>[144]       Acta de posesión del perito  JS  de  24  de  noviembre  de  2004</w:t>
        <w:br/>
        <w:t>(expediente de prueba, folio 561).</w:t>
        <w:br/>
        <w:br/>
        <w:t>[145]       Cfr. Informe del perito JS de 10 de enero  de  2005  (expediente</w:t>
        <w:br/>
        <w:t>de prueba, folios 564 a 566).</w:t>
        <w:br/>
        <w:br/>
        <w:t>[146]       Escrito de Teresa Lluy ante el Juez Sexto de lo Civil del  Azuay</w:t>
        <w:br/>
        <w:t>de 19 de enero de 2005 (expediente de prueba, folio 568).</w:t>
        <w:br/>
        <w:br/>
        <w:t>[147]       Sentencia del Juez Sexto de lo Civil del Azuay del 12  de  julio</w:t>
        <w:br/>
        <w:t>de 2005. (expediente de prueba, folios 593 a 595).</w:t>
        <w:br/>
        <w:br/>
        <w:t>[148]       Recurso de apelación contra el Juicio N° 323-05 de  18  de  mayo</w:t>
        <w:br/>
        <w:t>de 2006. (expediente de prueba, folio 597).</w:t>
        <w:br/>
        <w:br/>
        <w:t>[149]       Fundamentación del Recurso de apelación contra el Juicio N° 323-</w:t>
        <w:br/>
        <w:t>05 de 2 de septiembre de 2005. (expediente de prueba, folio 16).</w:t>
        <w:br/>
        <w:br/>
        <w:t>[150]       Cfr. Contestación del recurso de apelación por parte de CA y  su</w:t>
        <w:br/>
        <w:t>apoderado JM de  12 de septiembre de 2005 (expediente de prueba,  folios  18</w:t>
        <w:br/>
        <w:t>y 19).</w:t>
        <w:br/>
        <w:br/>
        <w:t>[151]       Cfr. Escrito de Teresa Lluy ante los Ministros de  Sustanciación</w:t>
        <w:br/>
        <w:t>de la Sala de 25 de septiembre de 2004. (expediente de prueba, folio 21).</w:t>
        <w:br/>
        <w:br/>
        <w:t>[152]        Cfr.  Recurso  de  apelación  contra  el   Juicio   N°   323-05</w:t>
        <w:br/>
        <w:t>interpuesto por Teresa Lluy de 18 de mayo de 2006.  (expediente  de  prueba,</w:t>
        <w:br/>
        <w:t>folio 599-605).</w:t>
        <w:br/>
        <w:br/>
        <w:t>[153]        Demanda  de  amparo  constitucional,  Tercer  Tribunal  de   lo</w:t>
        <w:br/>
        <w:t>Contencioso Administrativo con sede en  Cuenca  de  8  de  febrero  de  2000</w:t>
        <w:br/>
        <w:t>(expediente de prueba, folio  1122).  Talía  declaró  que:  “[c]uando  tenía</w:t>
        <w:br/>
        <w:t>cinco años, me fui a la escuela Fiscal  Zoila  Aurora  Palacios.  Yo  estaba</w:t>
        <w:br/>
        <w:t>contenta porque hice muchos amigos. Cuando  llegó  la  navidad,  un  día  mi</w:t>
        <w:br/>
        <w:t>profesora […] le dijo a mi mami que ya no tra[jera] a  la  escuela,  que  me</w:t>
        <w:br/>
        <w:t>lleve a la casa. Mi mami se fue  a  la  Dirección  y  salió  llorando  y  no</w:t>
        <w:br/>
        <w:t>volvimos más […E]l primer día de clases  le  indicaron  a  mi  mami  que  mi</w:t>
        <w:br/>
        <w:t>matrícula fue anulada sin ninguna  explicación”.  Escritura  de  declaración</w:t>
        <w:br/>
        <w:t>juramentada otorgada por  Talía  Gonzales  Lluy  de  22  de  abril  de  2014</w:t>
        <w:br/>
        <w:t>(expediente de prueba, folios 1097 y 1099).</w:t>
        <w:br/>
        <w:br/>
        <w:t>[154]       Cfr. Demanda de amparo constitucional de 8 de  febrero  de  2000</w:t>
        <w:br/>
        <w:t>(expediente de prueba, folio 1122).</w:t>
        <w:br/>
        <w:br/>
        <w:t>[155]       Cfr. Demanda de amparo constitucional de 8 de  febrero  de  2000</w:t>
        <w:br/>
        <w:t>(expediente de prueba, folio 1122).</w:t>
        <w:br/>
        <w:br/>
        <w:t>[156]       Audiencia pública de la Demanda de amparo constitucional  en  el</w:t>
        <w:br/>
        <w:t>Tercer Tribunal de lo Contencioso Administrativo con sede en Cuenca de 9  de</w:t>
        <w:br/>
        <w:t>febrero de 2000 (expediente de prueba, folio 1132).</w:t>
        <w:br/>
        <w:br/>
        <w:t>[157]       Audiencia pública de la Demanda de amparo constitucional  en  el</w:t>
        <w:br/>
        <w:t>Tercer Tribunal de lo Contencioso Administrativo con sede en Cuenca de 9  de</w:t>
        <w:br/>
        <w:t>febrero de 2000 (expediente de prueba, folio 1132).</w:t>
        <w:br/>
        <w:br/>
        <w:t>[158]       Audiencia pública de la Demanda de amparo constitucional  en  el</w:t>
        <w:br/>
        <w:t>Tercer Tribunal de lo Contencioso Administrativo con sede en Cuenca de 9  de</w:t>
        <w:br/>
        <w:t>febrero de 2000 (expediente de prueba, folio 1134).</w:t>
        <w:br/>
        <w:br/>
        <w:t>[159]       Audiencia pública de la Demanda de amparo constitucional  en  el</w:t>
        <w:br/>
        <w:t>Tercer Tribunal de lo Contencioso Administrativo con sede en Cuenca de 9  de</w:t>
        <w:br/>
        <w:t>febrero de 2000 (expediente de prueba, folio 1135).</w:t>
        <w:br/>
        <w:br/>
        <w:t>[160]       Cfr. Oficio del Defensor del Pueblo del Azuay de 10  de  febrero</w:t>
        <w:br/>
        <w:t>de 2000 (expediente de prueba, folio 1145).</w:t>
        <w:br/>
        <w:br/>
        <w:t>[161]       Sentencia de 11 de febrero  de  2000  emitida  por  el  Tribunal</w:t>
        <w:br/>
        <w:t>Distrital de lo Contencioso  Administrativo  Nº  3  (expediente  de  prueba,</w:t>
        <w:br/>
        <w:t>folio 1148).</w:t>
        <w:br/>
        <w:br/>
        <w:t>[162]       Sentencia de 11 de febrero de 2000 (expediente de prueba,  folio</w:t>
        <w:br/>
        <w:t>1148).</w:t>
        <w:br/>
        <w:br/>
        <w:t>[163]       Sentencia de 11 de febrero de 2000 (expediente de prueba,  folio</w:t>
        <w:br/>
        <w:t>1149).</w:t>
        <w:br/>
        <w:br/>
        <w:t>[164]       Sentencia de 11 de febrero de 2000 (expediente de prueba,  folio</w:t>
        <w:br/>
        <w:t>1149).</w:t>
        <w:br/>
        <w:br/>
        <w:t>[165]       Constitución Política de la  República  del  Ecuador  de  11  de</w:t>
        <w:br/>
        <w:t>agosto de 1998, artículo 43.</w:t>
        <w:br/>
        <w:br/>
        <w:t>[166]       Artículo 5 “Se  reconoce  el  derecho  de  todo  paciente  a  la</w:t>
        <w:br/>
        <w:t>información concerniente al diagnóstico de su estado de  salud,  pronóstico,</w:t>
        <w:br/>
        <w:t>tratamiento, riesgos a los que está expuesto, en  términos  en  los  que  el</w:t>
        <w:br/>
        <w:t>paciente pueda entender y estar habilitado para tomar  decisiones  sobre  el</w:t>
        <w:br/>
        <w:t>procedimiento a seguirse”, Ley de Derechos y Amparo del  Paciente,  Registro</w:t>
        <w:br/>
        <w:t>Oficial Suplemento 626 de 3 de  febrero  de  1995,  (expediente  de  prueba,</w:t>
        <w:br/>
        <w:t>folio 2764).</w:t>
        <w:br/>
        <w:br/>
        <w:t>[167]        Artículo  27  “El  Ministerio  de  Educación  y   Cultura,   en</w:t>
        <w:br/>
        <w:t>coordinación con la autoridad sanitaria nacional, con el  organismo  estatal</w:t>
        <w:br/>
        <w:t>especializado  en  género  y  otros  competentes,  elaborará   políticas   y</w:t>
        <w:br/>
        <w:t>programas educativos de implementación obligatoria en  los  establecimientos</w:t>
        <w:br/>
        <w:t>de educación a nivel nacional, para la difusión y orientación en materia  de</w:t>
        <w:br/>
        <w:t>salud sexual y reproductiva, a fin de prevenir el embarazo en  adolescentes,</w:t>
        <w:br/>
        <w:t>VIH-SIDA y  otras  afecciones  de  transmisión  sexual,  el  fomento  de  la</w:t>
        <w:br/>
        <w:t>paternidad y maternidad responsables y la  erradicación  de  la  explotación</w:t>
        <w:br/>
        <w:t>sexual; y, asignará los recursos suficientes para ello”.</w:t>
        <w:br/>
        <w:br/>
        <w:t>[168]       Ley para la prevención y asistencia integral para  personas  con</w:t>
        <w:br/>
        <w:t>VIH SIDA de 14 de abril de 2000 (expediente de prueba, folios 2119 a 2121).</w:t>
        <w:br/>
        <w:br/>
        <w:t>[169]       Reglamento de atención a personas con SIDA de  20  de  diciembre</w:t>
        <w:br/>
        <w:t>de 2002 modificado el 22 de diciembre de 2006 (expediente de prueba,  folios</w:t>
        <w:br/>
        <w:t>2113 a 2118).</w:t>
        <w:br/>
        <w:br/>
        <w:t>[170]        Estrategia  Nacional  de  Salud   Pública   para   VIH/SIDA-ITS</w:t>
        <w:br/>
        <w:t>(expediente de prueba, folios 3229 a 3233).</w:t>
        <w:br/>
        <w:br/>
        <w:t>[171]       Cfr. Peritaje de Nilda Estela Villacrés y María  Yerovi  Naranjo</w:t>
        <w:br/>
        <w:t>de 27 de febrero de 2015 (expediente de prueba, folios 3875 a 3895).</w:t>
        <w:br/>
        <w:br/>
        <w:t>[172]       Cfr.  Peritaje  de  Diana  Molina  de  26  de  febrero  de  2015</w:t>
        <w:br/>
        <w:t>(expediente de prueba, folios 3901 a 3951).</w:t>
        <w:br/>
        <w:br/>
        <w:t>[173]       Cfr. Peritaje de  Carmen  Carrasco  y  Juan  Sánchez  de  26  de</w:t>
        <w:br/>
        <w:t>febrero de 2015 (expediente de prueba, folios 3952 a 4013).</w:t>
        <w:br/>
        <w:br/>
        <w:t>[174]       Cfr. Peritaje de Aimée Dubois Sánchez de 26 de febrero  de  2015</w:t>
        <w:br/>
        <w:t>(expediente de prueba, folios 4014 a 4027).</w:t>
        <w:br/>
        <w:br/>
        <w:t>[175]       Prueba ELISA de Talía Gonzales Lluy  de  27  de  julio  de  1998</w:t>
        <w:br/>
        <w:t>(expediente de prueba, folio 413).</w:t>
        <w:br/>
        <w:br/>
        <w:t>[176]       Prueba Western  Blot  de  Talía  Gonzales  Lluy  (expediente  de</w:t>
        <w:br/>
        <w:t>prueba, folio 414).</w:t>
        <w:br/>
        <w:br/>
        <w:t>[177]       Cfr. Peritaje de Carmen  Carrasco  de  13  de  ferbero  de  2015</w:t>
        <w:br/>
        <w:t>(expediente de prueba, folio 4976).</w:t>
        <w:br/>
        <w:br/>
        <w:br/>
        <w:t>[178]       Certificación de NV de  10  de  abril  de  2014  (expediente  de</w:t>
        <w:br/>
        <w:t>prueba, folio 1350).</w:t>
        <w:br/>
        <w:br/>
        <w:t>[179]       Historia Clínica de Talía Gonzales Lluy de 20 de junio  de  2005</w:t>
        <w:br/>
        <w:t>(expediente de prueba, folios 1289-1334). Talía Gonzales  Lluy  ha  asistido</w:t>
        <w:br/>
        <w:t>al internista según los affidavits 23 de septiembre de 2004  (expediente  de</w:t>
        <w:br/>
        <w:t>prueba, folio 1258), 24 de julio  de  2006  (expediente  de  prueba,  folio.</w:t>
        <w:br/>
        <w:t>1294), 20 de mayo de 2008 (expediente de prueba, folio. 1252), 17  de  junio</w:t>
        <w:br/>
        <w:t>de  2008  (expediente  de  prueba,  folio.  1253),  15  de  junio  de   2011</w:t>
        <w:br/>
        <w:t>(expediente de prueba, folio. 1252) y 26 de enero  de  2012  (expediente  de</w:t>
        <w:br/>
        <w:t>prueba, folio. 1234). Visita realizada el 20 de junio de  2005.  (expediente</w:t>
        <w:br/>
        <w:t>de prueba, folio. 1294). Visita realizada 27 de julio  de  2012  (expediente</w:t>
        <w:br/>
        <w:t>de prueba, folio. 1234).  Última  visita  realizada  el  27  de  Julio  2012</w:t>
        <w:br/>
        <w:t>(expediente de prueba, folio. 1234).</w:t>
        <w:br/>
        <w:br/>
        <w:t>[180]       Cfr. Peritaje de Carmen  Carrasco  de  13  de  ferbero  de  2015</w:t>
        <w:br/>
        <w:t>(expediente de prueba, folio 4978).</w:t>
        <w:br/>
        <w:br/>
        <w:br/>
        <w:t>[181]       Cfr. Oficio de Talía Gonzales Lluy a Ramiro Ávila de 26 de  mayo</w:t>
        <w:br/>
        <w:t>de 2014 (expediente de prueba, folio 1184-1186); Oficio  de  Talía  Gonzales</w:t>
        <w:br/>
        <w:t>Lluy a las Autoridades del Ministerio de Salud Pública del Ecuador de 26  de</w:t>
        <w:br/>
        <w:t>mayo de 2014 (expediente de prueba, folio 1187-1188).</w:t>
        <w:br/>
        <w:br/>
        <w:t>[182]       Cfr.  Peritaje  de  Diana  Molina  de  26  de  febrero  de  2015</w:t>
        <w:br/>
        <w:t>(expediente de prueba, folio 3921). La perito cita como respaldo  el  Oficio</w:t>
        <w:br/>
        <w:t>No. ISSFA-DSS-2015-329-OF.</w:t>
        <w:br/>
        <w:br/>
        <w:t>[183]        En  este  punto  la  perito  Diana  Molina  cita   un   “Oficio</w:t>
        <w:br/>
        <w:t>Epidemiología, HVCM, Cuenca, 9 de febrero del 2015”, (expediente de  prueba,</w:t>
        <w:br/>
        <w:t>folio 3922). Por su parte la perito Carrasco señaló que “desde 1999  recibió</w:t>
        <w:br/>
        <w:t>atención  integral  por  parte   del   hospital   Vicente   Corral   Moscoso</w:t>
        <w:br/>
        <w:t>interviniendo   en   diferentes   fechas   los   siguientes   profesionales:</w:t>
        <w:br/>
        <w:t>infectología, dermatología, hematología, trabajo social, psicología”.</w:t>
        <w:br/>
        <w:br/>
        <w:t>[184]       La perito cita  en  este  punto  el  Informe  s/n  del  Jefe  de</w:t>
        <w:br/>
        <w:t>Servicio de Infectología, HG-1  de  febrero  2015,  (expediente  de  prueba,</w:t>
        <w:br/>
        <w:t>folio 3922).</w:t>
        <w:br/>
        <w:br/>
        <w:t>[185]       La perito Carrasco sustenta estas  afirmaciones  en  el  Informe</w:t>
        <w:br/>
        <w:t>S/N del 9 de  febrero  de  2015  del  MSP-hospital  Vicente  Corral  Moscoso</w:t>
        <w:br/>
        <w:t>Epidemiología-HVCM-2015  referente  a   la   información   histórica   sobre</w:t>
        <w:br/>
        <w:t>VIH/SIDA, emitido por el Líder de la UAIPVVS-HVCM.</w:t>
        <w:br/>
        <w:br/>
        <w:t>[186]       La  perito  Carrasco  cita  textualmente  esta  información  del</w:t>
        <w:br/>
        <w:t>Informe S/N del 12 de febrero de 2015 del Comando  conjunto  de  las  FF.AA.</w:t>
        <w:br/>
        <w:t>hospital  de  Especialidades  Fuerzas  Armadas  No.  1,   referente   a   la</w:t>
        <w:br/>
        <w:t>información histórica sobre VIH/SIDA. Dra. Paulina Cell Jefe de Servicio  de</w:t>
        <w:br/>
        <w:t>Infectología (expediente de prueba, folios 3978 y 3979).</w:t>
        <w:br/>
        <w:br/>
        <w:t>[187]       Solicitud de amparo de pobreza hecha al  Juez  de  lo  Civil  de</w:t>
        <w:br/>
        <w:t>Cuenca de 26 de septiembre de 2001 (expediente de prueba, folio 314).</w:t>
        <w:br/>
        <w:br/>
        <w:t>[188]       De acuerdo con las declaraciones de Talía y su  familia,  cuando</w:t>
        <w:br/>
        <w:t>los propietarios  de  los  lugares  donde  arrendaban  se  enteraban  de  la</w:t>
        <w:br/>
        <w:t>enfermedad de Talía, “valiéndose de cualquier artimaña [l]os echa[ba]n a  la</w:t>
        <w:br/>
        <w:t>calle. Solicitud de amparo de pobreza hecha al Juez de lo  Civil  de  Cuenca</w:t>
        <w:br/>
        <w:t>de 26 de septiembre de 2001 (expediente de prueba, folios 313 y 314). En  el</w:t>
        <w:br/>
        <w:t>mismo  sentido,  Talía  declaró  que  “[le]s  tocó  salir  del  lugar  donde</w:t>
        <w:br/>
        <w:t>vivía[n]” y que “[s]iempre [lo]s botaban de todos los  lugares  donde  [le]s</w:t>
        <w:br/>
        <w:t>tocaba ir a vivir”.  Como  no  encontraban  un  lugar  donde  les  quisieran</w:t>
        <w:br/>
        <w:t>arrendar, “[un día[se] fue[ron] al campo a  vivir  en  un  cuarto  muy  feo,</w:t>
        <w:br/>
        <w:t>parecía un hueco, estaba sucio, el piso era de tierra, hacía  mucho  frío  y</w:t>
        <w:br/>
        <w:t>entraba el agua cuando llovía [su] mam[á]  y  [su  herman]o  [la]  abrigaban</w:t>
        <w:br/>
        <w:t>para que no [s]e enferm[ara] y [l]e daban de comer, ellos temblaban de  frío</w:t>
        <w:br/>
        <w:t>y no comían”.  Escritura  de  declaración  juramentada  otorgada  por  Talía</w:t>
        <w:br/>
        <w:t>Gonzales Lluy de 22 de abril de 2014, (expediente de prueba, folio 1096).</w:t>
        <w:br/>
        <w:br/>
        <w:t>[189]        Así,  “dentro  de  la  presentación   del   [Exámen   Periódico</w:t>
        <w:br/>
        <w:t>Universal] 2012 ante el Consejo de Derechos Humanos de Naciones  Unidas,  el</w:t>
        <w:br/>
        <w:t>94%  de  las  intervenciones  de  los  72  Estados,   además   de   expresar</w:t>
        <w:br/>
        <w:t>felicitaciones por su política social, manifestaron su interés para  conocer</w:t>
        <w:br/>
        <w:t>en mayor detalle las metodologías y programas implementados por el  Ecuador,</w:t>
        <w:br/>
        <w:t>exhibiendo sus mayores logros en derechos  de  los  discapacitados,  adultos</w:t>
        <w:br/>
        <w:t>mayores,    niños,    niñas    y    adolescentes,    interculturalidad     y</w:t>
        <w:br/>
        <w:t>plurinacionalidad, derecho a la salud y derecho a la  educación”.  Asimismo,</w:t>
        <w:br/>
        <w:t>el Estado hizo énfasis en la noción de derechos del buen vivir  desarrollada</w:t>
        <w:br/>
        <w:t>a  partir  de  la  Constitución   de   2008,   los   cuales   reconocen   la</w:t>
        <w:br/>
        <w:t>interdependencia e integralidad de  los  derechos,  como  el  derecho  a  la</w:t>
        <w:br/>
        <w:t>educación, la salud y el trabajo, entre otros. En relación al derecho  a  la</w:t>
        <w:br/>
        <w:t>salud, el Estado indicó que “al tiempo  de  presentación  y  evaluación  del</w:t>
        <w:br/>
        <w:t>[Exámen Periódico Universal] 2012, el gobierno actual ha invertido en  salud</w:t>
        <w:br/>
        <w:t>entre 2007 y 2010, 3.539 millones de dólares, más del  doble  del  total  de</w:t>
        <w:br/>
        <w:t>inversión de los tres  últimos  gobiernos  anteriores  al  2007”  y  que  el</w:t>
        <w:br/>
        <w:t>Ecuador destinó “184 millones de dólares  anuales  para  medicina  gratuita,</w:t>
        <w:br/>
        <w:t>bajo  el  concepto  de  que  las  medicinas  son  bienes   sociales   y   no</w:t>
        <w:br/>
        <w:t>comerciales”.</w:t>
        <w:br/>
        <w:br/>
        <w:t>[190]       Cfr. Caso de la “Masacre de Mapiripán” Vs.  Colombia.  Sentencia</w:t>
        <w:br/>
        <w:t>de 15 de septiembre de 2005. Serie C No.  134,  párr.  111,  y  Caso  Suárez</w:t>
        <w:br/>
        <w:t>Peralta  Vs.  Ecuador.  Excepciones  Preliminares,  Fondo,  Reparaciones   y</w:t>
        <w:br/>
        <w:t>Costas. Sentencia de 21 de mayo de 2013. Serie C No. 261, párr. 127. En  ese</w:t>
        <w:br/>
        <w:t>mismo  sentido,   Condición   Jurídica   y   Derechos   de   los   Migrantes</w:t>
        <w:br/>
        <w:t>Indocumentados. Opinión Consultiva OC-18/03 de 17  de  septiembre  de  2003.</w:t>
        <w:br/>
        <w:t>Serie A No. 18, párr. 140.</w:t>
        <w:br/>
        <w:br/>
        <w:t>[191]       Cfr. Caso Velásquez Rodríguez Vs. Honduras, párrs. 165 y 166,  y</w:t>
        <w:br/>
        <w:t>Caso Suárez Peralta Vs. Ecuador, párr. 127.</w:t>
        <w:br/>
        <w:br/>
        <w:t>[192]       Cfr. Caso González y  otras  (“Campo  Algodonero”)  Vs.  México.</w:t>
        <w:br/>
        <w:t>Excepción Preliminar, Fondo, Reparaciones  y  Costas.  Sentencia  de  16  de</w:t>
        <w:br/>
        <w:t>noviembre de 2009. Serie C No. 205, párr. 243, y  Caso  Suárez  Peralta  Vs.</w:t>
        <w:br/>
        <w:t>Ecuador, párr. 127.</w:t>
        <w:br/>
        <w:br/>
        <w:t>[193]       Cfr. Caso Ximenes Lopes Vs. Brasil. Sentencia de 4 de  julio  de</w:t>
        <w:br/>
        <w:t>2006. Serie C No. 149, párrs. 99 y 125, y Caso Suárez Peralta  Vs.  Ecuador,</w:t>
        <w:br/>
        <w:t>párr. 134.</w:t>
        <w:br/>
        <w:br/>
        <w:br/>
        <w:t>[194]       Cfr. Caso de la “Masacre de Mapiripán” Vs. Colombia, párr.  111,</w:t>
        <w:br/>
        <w:t>y Caso Suárez  Peralta  Vs.  Ecuador,  párr.  129.  En  ese  mismo  sentido,</w:t>
        <w:br/>
        <w:t>Condición Jurídica y Derechos de los Migrantes Indocumentados, párr. 140.</w:t>
        <w:br/>
        <w:br/>
        <w:t>[195]       Cfr. Caso de la Masacre de Pueblo Bello Vs  Colombia.  Sentencia</w:t>
        <w:br/>
        <w:t>de 31 de enero de 2006. Serie C No. 140, párr. 123, y  Caso  Suárez  Peralta</w:t>
        <w:br/>
        <w:t>Vs. Ecuador, párr. 129.</w:t>
        <w:br/>
        <w:br/>
        <w:t>[196]        Cfr.  Caso  Albán  Cornejo  y   otros.   Vs.   Ecuador.   Fondo</w:t>
        <w:br/>
        <w:t>Reparaciones y Costas. Sentencia de 22 de noviembre de  2007.  Serie  C  No.</w:t>
        <w:br/>
        <w:t>171, párr. 117, y Caso Suárez Peralta Vs. Ecuador, párr. 130.</w:t>
        <w:br/>
        <w:br/>
        <w:t>[197]       Cfr. Caso Tibi Vs. Ecuador.  Excepciones  Preliminares,  Fondos,</w:t>
        <w:br/>
        <w:t>Reparaciones y Costas. Sentencia de 7 de septiembre de  2004.  Serie  C  No.</w:t>
        <w:br/>
        <w:t>114, párr. 157, y Caso Suárez Peralta Vs. Ecuador, párr. 130.</w:t>
        <w:br/>
        <w:br/>
        <w:t>[198]       Cfr. Caso Ximenes Lopes Vs. Brasil,  párrs.  89  y  90,  y  Caso</w:t>
        <w:br/>
        <w:t>Suárez Peralta Vs. Ecuador, párr. 130. Véase también:  Tribunal  Europeo  de</w:t>
        <w:br/>
        <w:t>Derechos  Humanos  (en  adelante  “TEDH”),  Caso  Lazar  Vs.  Rumania,   No.</w:t>
        <w:br/>
        <w:t>32146/05. Sección Tercera. Sentencia de 16 de mayo de 2010, párr.  66;  Caso</w:t>
        <w:br/>
        <w:t>Z Vs. Polonia, No. 46132/08. Sección Cuarta. Sentencia de  13  de  noviembre</w:t>
        <w:br/>
        <w:t>de 2012, párr. 76, y Naciones Unidas, Consejo Económico y Social, Comité  de</w:t>
        <w:br/>
        <w:t>Derechos Económicos, Sociales y Culturales. Observación General  Número  14,</w:t>
        <w:br/>
        <w:t>E/C.12/2000/4, 11 de agosto de 2000, párrs. 12, 33, 35, 36 y 51.</w:t>
        <w:br/>
        <w:br/>
        <w:t>[199]       Cfr. Caso Acevedo Buendía y otros (“Cesantes y Jubilados  de  la</w:t>
        <w:br/>
        <w:t>Contraloría”) Vs. Perú. Excepción Preliminar, Fondo, Reparaciones y  Costas.</w:t>
        <w:br/>
        <w:t>Sentencia de 1 de julio de 2009 Serie C No. 198, párr. 101,  y  Caso  Suárez</w:t>
        <w:br/>
        <w:t>Peralta Vs. Ecuador, párr. 131. En el mismo sentido: cfr.  Naciones  Unidas,</w:t>
        <w:br/>
        <w:t>Consejo Económico y  Social,  Comité  de  Derechos  Económicos,  Sociales  y</w:t>
        <w:br/>
        <w:t>Culturales. Observación General Número 9, E/C.12/1998/24, 3 de diciembre  de</w:t>
        <w:br/>
        <w:t>1998, párr. 10. Véase también: TEDH,  Caso Airey Vs. Irlanda,  No.  6289/73.</w:t>
        <w:br/>
        <w:t>Sentencia de 9 de octubre de 1979, párr. 26 y  Caso  Sidabras  and  Dziautas</w:t>
        <w:br/>
        <w:t>Vs. Lituania, Nos. 55480/00 y 59330/00. Sección Segunda. Sentencia de 27  de</w:t>
        <w:br/>
        <w:t>julio de 2004, párr. 47. En el Caso Airey Vs. Irlanda  el  Tribunal  Europeo</w:t>
        <w:br/>
        <w:t>señaló: “Si  bien  el  Convenio  recoge  derechos  esencialmente  civiles  y</w:t>
        <w:br/>
        <w:t>políticos, gran parte de ellos tienen implicaciones de naturaleza  económica</w:t>
        <w:br/>
        <w:t>y social. Por eso, el Tribunal estima, como lo  hace  la  Comisión,  que  el</w:t>
        <w:br/>
        <w:t>hecho de que una interpretación del Convenio pueda extenderse  a  la  esfera</w:t>
        <w:br/>
        <w:t>de los derechos sociales y económicos no es factor  decisivo  en  contra  de</w:t>
        <w:br/>
        <w:t>dicha interpretación, ya que no existe  una  separación  tajante  entre  esa</w:t>
        <w:br/>
        <w:t>esfera y el campo cubierto por el Convenio”.</w:t>
        <w:br/>
        <w:br/>
        <w:t>[200]       El artículo 26 de la Convención Americana (Pacto  de  San  José)</w:t>
        <w:br/>
        <w:t>refiere al desarrollo progresivo “de los derechos  que  se  derivan  de  las</w:t>
        <w:br/>
        <w:t>normas económicas [y] sociales […], contendidas en la Carta de la [OEA]  […]</w:t>
        <w:br/>
        <w:t>en la medida de los  recursos  disponibles,  por  vía  legislativa  u  otros</w:t>
        <w:br/>
        <w:t>medios apropiados”. Contenido en dicha referencia se encuentra el derecho  a</w:t>
        <w:br/>
        <w:t>la salud.  Respecto a  las  obligaciones  de  los  Estado  en  relación  con</w:t>
        <w:br/>
        <w:t>Derechos  Económicos,  Sociales  y  Culturales,  el   Comité   de   Derechos</w:t>
        <w:br/>
        <w:t>Económicos, Sociales  y  Culturales  ha  señalado  que  “si  bien  la  plena</w:t>
        <w:br/>
        <w:t>realización de los derechos pertinentes puede lograrse de manera  paulatina,</w:t>
        <w:br/>
        <w:t>las medidas tendentes a lograr este objetivo deben adoptarse  dentro  de  un</w:t>
        <w:br/>
        <w:t>plazo razonablemente breve tras la entrada  en  vigor  del  Pacto  para  los</w:t>
        <w:br/>
        <w:t>Estados interesados.  Tales  medidas  deben  ser  deliberadas,  concretas  y</w:t>
        <w:br/>
        <w:t>orientadas  lo  más  claramente  posible  hacia  la  satisfacción   de   las</w:t>
        <w:br/>
        <w:t>obligaciones reconocidas en el Pacto”. Asimimso,  indicó  que  “[e]ntre  las</w:t>
        <w:br/>
        <w:t>medidas que cabría considerar apropiadas, además de las  legislativas,  está</w:t>
        <w:br/>
        <w:t>la de ofrecer recursos judiciales en lo que  respecta  a  derechos  que,  de</w:t>
        <w:br/>
        <w:t>acuerdo   con   el   sistema   jurídico    nacional,   puedan   considerarse</w:t>
        <w:br/>
        <w:t>justiciables. El Comité observ[ó], por  ejemplo,  que  el  disfrute  de  los</w:t>
        <w:br/>
        <w:t>derechos reconocidos, sin discriminación, se fomentará a  menudo  de  manera</w:t>
        <w:br/>
        <w:t>apropiada, en  parte mediante la provisión de recursos  judiciales  y  otros</w:t>
        <w:br/>
        <w:t>recursos efectivos”. Cfr.  Naciones  Unidas,  Consejo  Económico  y  Social,</w:t>
        <w:br/>
        <w:t>Comité de Derechos Económicos, Sociales y  Culturales.  Observación  General</w:t>
        <w:br/>
        <w:t>Número 3, E/1991/23, 14 de diciembre de 1990, párrs. 2 y 5.</w:t>
        <w:br/>
        <w:br/>
        <w:t>[201]       Dicho artículo establece que: “1. Toda persona tiene  derecho  a</w:t>
        <w:br/>
        <w:t>la salud, entendida como  el  disfrute  del  más  alto  nivel  de  bienestar</w:t>
        <w:br/>
        <w:t>físico, mental y social. 2. Con el fin de hacer efectivo  el  derecho  a  la</w:t>
        <w:br/>
        <w:t>salud los Estados partes se comprometen a reconocer la salud  como  un  bien</w:t>
        <w:br/>
        <w:t>público y particularmente a adoptar las siguientes medidas  para  garantizar</w:t>
        <w:br/>
        <w:t>este derecho: a. la atención primaria de la salud, entendiendo como  tal  la</w:t>
        <w:br/>
        <w:t>asistencia sanitaria esencial puesta al alcance de todos  los  individuos  y</w:t>
        <w:br/>
        <w:t>familiares de la comunidad; [y] b. la extensión de  los  beneficios  de  los</w:t>
        <w:br/>
        <w:t>servicios de salud a todos los individuos  sujetos  a  la  jurisdicción  del</w:t>
        <w:br/>
        <w:t>Estado”.</w:t>
        <w:br/>
        <w:br/>
        <w:t>[202]       Cfr. OEA, Indicadores de  Progreso  para  Medición  de  Derechos</w:t>
        <w:br/>
        <w:t>Contemplados en el Protocolo de San Salvador,  OEA/Ser.L/XXV.2.1,  Doc  2/11</w:t>
        <w:br/>
        <w:t>rev.2, 16 de diciembre de 2011,  párrs.  66  y  67.  En  este  documento  se</w:t>
        <w:br/>
        <w:t>establece que: “El Protocolo hace referencia a la  satisfacción  de  derecho</w:t>
        <w:br/>
        <w:t>en un contexto de desarrollo de un sistema de  salud,  que  por  básico  que</w:t>
        <w:br/>
        <w:t>sea, debe garantizar el acceso al sistema  de  Atención  Primaria  en  Salud</w:t>
        <w:br/>
        <w:t>(APS) y el desarrollo progresivo y continuo de un sistema de cobertura  para</w:t>
        <w:br/>
        <w:t>toda la población del país […] además de aceptables desde el punto de  vista</w:t>
        <w:br/>
        <w:t>cultural, los establecimientos, bienes y  servicios  de  salud  deberán  ser</w:t>
        <w:br/>
        <w:t>también apropiados desde el punto de vista científico  y  médico  y  ser  de</w:t>
        <w:br/>
        <w:t>buena  calidad.  Ello  requiere,  entre   otras   cosas,   personal   médico</w:t>
        <w:br/>
        <w:t>capacitado, medicamentos y equipo hospitalario científicamente  aprobados  y</w:t>
        <w:br/>
        <w:t>en buen estado, agua limpia potable  y  condiciones  sanitarias  adecuadas”.</w:t>
        <w:br/>
        <w:t>Asimismo, dentro de los indicadores referidos se  incluyen:  “Existencia  de</w:t>
        <w:br/>
        <w:t>instancias  administrativas   para   radicar   denuncias   en   materia   de</w:t>
        <w:br/>
        <w:t>incumplimiento  de  obligaciones  vinculadas  al   derecho   a   la   salud.</w:t>
        <w:br/>
        <w:t>Competencias de los Ministerios o  de  las  Superintendencias  para  recibir</w:t>
        <w:br/>
        <w:t>quejas de los usuarios del sistema de salud. Políticas  de  capacitación  de</w:t>
        <w:br/>
        <w:t>jueces y abogados en materia de derecho a la salud”. En este mismo  sentido,</w:t>
        <w:br/>
        <w:t>cfr. Naciones  Unidas,  Consejo  Económico  y  Social,  Comité  de  Derechos</w:t>
        <w:br/>
        <w:t>Económicos,  Sociales  y   Culturales.   Observación   General   Número   9,</w:t>
        <w:br/>
        <w:t>E/C.12/1998/24, 3 de diciembre de 1998, párr. 10. Véase también  OEA,  Carta</w:t>
        <w:br/>
        <w:t>Social de las Américas, aprobada por la Asamblea General de la OEA el  4  de</w:t>
        <w:br/>
        <w:t>junio de 2012, AG/doc.5242/12 rev. 2.</w:t>
        <w:br/>
        <w:br/>
        <w:t>[203]       Naciones Unidas, Consejo Económico y Social, Comité de  Derechos</w:t>
        <w:br/>
        <w:t>Económicos,  Sociales  y  Culturales.   Observación   General   Número   14,</w:t>
        <w:br/>
        <w:t>E/C.12/2000/4, 11 de agosto de 2000, párr. 12.</w:t>
        <w:br/>
        <w:br/>
        <w:t>[204]       El Ecuador ratificó dicha Conveción el 23 de  Marzo  de  1990  y</w:t>
        <w:br/>
        <w:t>entró en vigor el 2 de septiembre de 1990.</w:t>
        <w:br/>
        <w:br/>
        <w:br/>
        <w:t>[205] En este punto, en el caso Ximenes Lopes la Corte señaló que entre  los</w:t>
        <w:br/>
        <w:t>supuestos  de  responsabilidad  estatal  por  violación   a   los   derechos</w:t>
        <w:br/>
        <w:t>consagrados en la  Convención  se  encuentra  la  conducta  descrita  en  la</w:t>
        <w:br/>
        <w:t>Resolución de la  Comisión  de  Derecho  Internacional,  de  una  persona  o</w:t>
        <w:br/>
        <w:t>entidad, que si bien no  es  un  órgano  estatal,  está  autorizada  por  la</w:t>
        <w:br/>
        <w:t>legislación   del   Estado   para   ejercer   atribuciones   de    autoridad</w:t>
        <w:br/>
        <w:t>gubernamental. Dicha conducta, ya sea de persona  física  o  jurídica,  debe</w:t>
        <w:br/>
        <w:t>ser considerada un acto del Estado, siempre y cuando estuviere  actuando  en</w:t>
        <w:br/>
        <w:t>dicha  capacidad.  Cfr.  Caso  Ximenes  Lopes  Vs.  Brasil,  párr.   86,   y</w:t>
        <w:br/>
        <w:t>Responsabilidad del Estado por hechos internacionalmente ilícitos.  Comisión</w:t>
        <w:br/>
        <w:t>de Derecho Internacional 53° sesión, 2001.  Documento  de  la  ONU  A/56/10.</w:t>
        <w:br/>
        <w:t>Texto introducido en el anexo de la Resolución  56/83  de  28  de  enero  de</w:t>
        <w:br/>
        <w:t>2002, de la Asamblea General de las Naciones Unidas.</w:t>
        <w:br/>
        <w:br/>
        <w:br/>
        <w:t>[206]            Caso Ximenes Lopes Vs. Brasil, párrs.89 y 90. Por su  parte</w:t>
        <w:br/>
        <w:t>el Comité para la Eliminación de  la  Discriminación  contra  la  Mujer  (en</w:t>
        <w:br/>
        <w:t>adelante “Comité de la CEDAW” ha señalado  que  el  Estado  es  directamente</w:t>
        <w:br/>
        <w:t>responsable por las acciones de las instituciones privadas cuando  terceriza</w:t>
        <w:br/>
        <w:t>servicios médicos, y adicionalmente, que el Estado  siempre  es  responsable</w:t>
        <w:br/>
        <w:t>del deber de regular y  monitorear  las  instituciones  privadas  de  salud.</w:t>
        <w:br/>
        <w:t>Alyne da Silva Pimentel v. Brasil, Comité de  la  CEDAW,  Agosto  10,  2011.</w:t>
        <w:br/>
        <w:t>UN.Doc. CEDAW/C/49/D/17/2008.</w:t>
        <w:br/>
        <w:br/>
        <w:t>[207]       Caso Ximenes Lopes  Vs.  Brasil,  párr.  99,  y  y  Caso  Suárez</w:t>
        <w:br/>
        <w:t>Peralta Vs. Ecuador, párr. 134.</w:t>
        <w:br/>
        <w:br/>
        <w:t>[208]       Al  respecto,  ver  el  peritaje  de  Christian  Courtis  en  la</w:t>
        <w:br/>
        <w:t>audiencia pública celebrada en este caso. Asimismo la  Corte  Constitucional</w:t>
        <w:br/>
        <w:t>de Colombia  ha  señalado  que  “los  bancos  de  sangre  son  instituciones</w:t>
        <w:br/>
        <w:t>-privadas o públicas- que tienen una responsabilidad con la  salud  pública,</w:t>
        <w:br/>
        <w:t>por cuanto actúan como filtro para evitar que, a través de la  extracción  y</w:t>
        <w:br/>
        <w:t>donación de sangre, se diseminen enfermedades  infecciosas.  Además,  tienen</w:t>
        <w:br/>
        <w:t>la obligación de garantizar que la sangre y sus hemocomponentes cumplan  con</w:t>
        <w:br/>
        <w:t>un máximo de calidad adecuado para las instituciones  prestadoras  de  salud</w:t>
        <w:br/>
        <w:t>que requieran del suministro de sangre  para  salvaguardar,  principalmente,</w:t>
        <w:br/>
        <w:t>los derechos a la salud y a la vida de quienes tienen a  su  cargo.  […]  La</w:t>
        <w:br/>
        <w:t>actividad ejercida por los bancos de sangre es de interés público, y en  esa</w:t>
        <w:br/>
        <w:t>medida, se trata de una labor que es estrictamente reglada  por  el  Estado,</w:t>
        <w:br/>
        <w:t>ya que implica cuestiones tan relevantes como la preservación de la salud  y</w:t>
        <w:br/>
        <w:t>la salubridad pública”.  Cfr. Sentencia T-248/12 de la Corte  Constitucional</w:t>
        <w:br/>
        <w:t>de Colombia de 26 de marzo de 2012.</w:t>
        <w:br/>
        <w:br/>
        <w:t>[209]       En un caso relativamente  similar  la  Sala  de  lo  Contencioso</w:t>
        <w:br/>
        <w:t>Administrativo del Consejo de Estado de Colombia analizó la  forma  como  la</w:t>
        <w:br/>
        <w:t>víctima adquirió el VIH en el marco de transfusiones  de  sangre  que  había</w:t>
        <w:br/>
        <w:t>recibido como consecuencia de heridas por  arma  de  fuego  ocasionadas  por</w:t>
        <w:br/>
        <w:t>disparos de miembros del Ejército.  Dentro  de  dicha  atención  médica,  le</w:t>
        <w:br/>
        <w:t>fueron transfundidas a la víctima cinco bolsas  de  sangre,  de  las  cuales</w:t>
        <w:br/>
        <w:t>tres no habían sido objeto de las respectivas pruebas de control de  calidad</w:t>
        <w:br/>
        <w:t>de sangre para el  control  del  VIH/SIDA.  Respecto  del  argumento  de  la</w:t>
        <w:br/>
        <w:t>entidad demandada según  el  cual  dadas  las  condiciones  críticas  de  la</w:t>
        <w:br/>
        <w:t>paciente no fue posible realizar previamente el respectivo  análisis  de  la</w:t>
        <w:br/>
        <w:t>sangre que se le iba a trasfundir, la Sala estimó  necesario  precisar  que:</w:t>
        <w:br/>
        <w:t>“dicho argumento resulta absolutamente desafortunado,  como  quiera  que  es</w:t>
        <w:br/>
        <w:t>deber de las instituciones de salud  contar  con  las  debidas  reservas  de</w:t>
        <w:br/>
        <w:t>unidades sangre para eventuales  casos  de  urgencia  o  emergencia  en  los</w:t>
        <w:br/>
        <w:t>cuales se requieran. Así pues, resulta lógico y natural que una  institución</w:t>
        <w:br/>
        <w:t>médica cuente con los debidos insumos médicos y clínicos para brindar a  los</w:t>
        <w:br/>
        <w:t>pacientes  una  correcta  atención  y  no  puede  escudarse  en  su   propia</w:t>
        <w:br/>
        <w:t>negligencia e imprevisión para  exculparse  de  la  responsabilidad  que  le</w:t>
        <w:br/>
        <w:t>corresponde,  máxime  tratándose  de  un  insumo  de  tanta  importancia   y</w:t>
        <w:br/>
        <w:t>necesidad  como  las  unidades  de  sangre”.   Sobre   el   particular,   la</w:t>
        <w:br/>
        <w:t>jurisprudenica de la Sala ha establecido que  “cuando  a  la  Administración</w:t>
        <w:br/>
        <w:t>Pública se le ha impuesto el deber jurídico de evitar un  resultado  dañoso,</w:t>
        <w:br/>
        <w:t>aquella asume la posición de garante en relación con la víctima,  razón  por</w:t>
        <w:br/>
        <w:t>la cual de llegarse a concretar el  daño,  éste  resultará  imputable  a  la</w:t>
        <w:br/>
        <w:t>Administración por el incumplimiento de dicho deber.  […]  En  cuanto  a  la</w:t>
        <w:br/>
        <w:t>imputación de responsabilidad del Estado por violar los deberes  que  surjan</w:t>
        <w:br/>
        <w:t>a partir de la posición de garante, debe advertirse  que  aquélla  no  puede</w:t>
        <w:br/>
        <w:t>provenir de un análisis abstracto o genérico, pues, en efecto,  si  bien  se</w:t>
        <w:br/>
        <w:t>ha precisado que  el  Estado  se  encuentra  vinculado  jurídicamente  a  la</w:t>
        <w:br/>
        <w:t>protección y satisfacción de los  derechos  humanos  y/o  fundamentales,  es</w:t>
        <w:br/>
        <w:t>menester precisar que, de acuerdo con una formulación amplia de la  posición</w:t>
        <w:br/>
        <w:t>de garante, se requiere para formular la imputación que, adicionalmente:  i)</w:t>
        <w:br/>
        <w:t>el obligado  no  impida  el  resultado  lesivo,  siempre  que  ii)  esté  en</w:t>
        <w:br/>
        <w:t>posibilidad de hacerlo. […] Así pues, debe advertirse –igualmente-  que  las</w:t>
        <w:br/>
        <w:t>obligaciones que están a cargo del Estado -y  por  lo  tanto  la  falla  del</w:t>
        <w:br/>
        <w:t>servicio que constituye su trasgresión-, deben mirarse en  concreto,  frente</w:t>
        <w:br/>
        <w:t>al  caso  particular  que  se   juzga,   teniendo   en   consideración   las</w:t>
        <w:br/>
        <w:t>circunstancias que rodearon la producción del daño que se reclama, su  mayor</w:t>
        <w:br/>
        <w:t>o menor previsibilidad y los medios de que disponían  las  autoridades  para</w:t>
        <w:br/>
        <w:t>contrarrestarlo.  […]  Por  consiguiente,  no  se  trata  de  una  abstracta</w:t>
        <w:br/>
        <w:t>atribución o de un genérico e impreciso deber de vigilancia y control,  sino</w:t>
        <w:br/>
        <w:t>de su grave incumplimiento por parte de la Administración Pública  de  tales</w:t>
        <w:br/>
        <w:t>deberes, todo lo cual produjo las  nefastas  consecuencias  vistas  en  este</w:t>
        <w:br/>
        <w:t>asunto y en el caso al cual se ha hecho referencia. Cfr. Consejo  de  Estado</w:t>
        <w:br/>
        <w:t>de  Colombia,  Sala  de  lo  Contencioso  Administrativo,  Sección  Tercera,</w:t>
        <w:br/>
        <w:t>Subsección A. Sentencia de 12 de noviembre de  2014,  Rad.  25000-23-26-000-</w:t>
        <w:br/>
        <w:t>2003-01881-01(38738).</w:t>
        <w:br/>
        <w:br/>
        <w:t>[210]       Cfr.  Peritaje de  Jimmy  Tandazo  y  Carolina  Zevallos  20  de</w:t>
        <w:br/>
        <w:t>febrero de 2015 (expediente de prueba, folio 4034).</w:t>
        <w:br/>
        <w:br/>
        <w:t>[211]        Al  respecto,  las  normas  señalan  que  “[e]l   control   del</w:t>
        <w:br/>
        <w:t>cumplimiento de este Acuerdo estarán a cargo de la Cruz  Roja  Ecuatoriana”,</w:t>
        <w:br/>
        <w:t>asi como que “[l]as autoridades o personas que no acataren  [dichas  normas]</w:t>
        <w:br/>
        <w:t>serán sacionadas por las autpridades de salud, de conformidad con el  Códgio</w:t>
        <w:br/>
        <w:t>de  Salud”.  Registro  Oficial  No.  794.  Reglamento   8001.   Acuerdo   de</w:t>
        <w:br/>
        <w:t>obligatoriedad de realización de pruebas de VIH en  todas  las  unidades  de</w:t>
        <w:br/>
        <w:t>sangre y derivados de 20 de Octubre de 1987  (expediente  de  prueba,  folio</w:t>
        <w:br/>
        <w:t>2691).</w:t>
        <w:br/>
        <w:br/>
        <w:br/>
        <w:t>[212]       Cfr. Ley Orgánica de Salud (expediente de prueba, folio 4243).</w:t>
        <w:br/>
        <w:br/>
        <w:t>[213]       Cfr. Caso Suárez Peralta Vs. Ecuador, párr. 144.</w:t>
        <w:br/>
        <w:br/>
        <w:t>[214]       Caso Ximenes Lopes Vs. Brasil, párr. 95, y Caso  Suárez  Peralta</w:t>
        <w:br/>
        <w:t>Vs. Ecuador, párr. 144.</w:t>
        <w:br/>
        <w:br/>
        <w:t>[215]       Cfr. Caso Suárez Peralta Vs. Ecuador,  párr.  151.  En  el  caso</w:t>
        <w:br/>
        <w:t>Caso Storck vs. Alemania el Tribunal  Europeo  estableció  que:  “El  Estado</w:t>
        <w:br/>
        <w:t>tiene la obligación de asegurar a sus ciudadanos su derecho a la  integridad</w:t>
        <w:br/>
        <w:t>física, bajo el artículo 8 del Convenio [Europeo de Derechos  Humanos].  Con</w:t>
        <w:br/>
        <w:t>esa  finalidad,  existen  hospitales  administrados  por  el   Estado,   que</w:t>
        <w:br/>
        <w:t>coexisten  con  hospitales  privados.  El   Estado   no   puede   absolverse</w:t>
        <w:br/>
        <w:t>completamente de su responsabilidad  al  delegar  sus  obligaciones  en  esa</w:t>
        <w:br/>
        <w:t>esfera a individuos u organismos  privados.  […][E]l  Estado  mant[iene]  el</w:t>
        <w:br/>
        <w:t>deber de ejercer  la  supervisión  y  el  control  sobre  instituciones  […]</w:t>
        <w:br/>
        <w:t>privadas. Tales instituciones, […] necesitan  no  sólo  una  licencia,  sino</w:t>
        <w:br/>
        <w:t>también una  supervisión  competente  y  frecuente,  para  averiguar  si  el</w:t>
        <w:br/>
        <w:t>confinamiento y el tratamiento médico están justificados.” Cfr.  TEDH.  Caso</w:t>
        <w:br/>
        <w:t>Storck Vs. Alemania, No. 61603/00.  Sección  Tercera.  Sentencia  de  16  de</w:t>
        <w:br/>
        <w:t>junio de 2005, párr. 103.</w:t>
        <w:br/>
        <w:br/>
        <w:t>[216]       Cfr. Caso Ximenes Lopes Vs. Brasil, párr.  141,  y  Caso  Suárez</w:t>
        <w:br/>
        <w:t>Peralta Vs. Ecuador, párr. 149.</w:t>
        <w:br/>
        <w:br/>
        <w:t>[217]       Cfr. Caso Albán Cornejo y otros. Vs. Ecuador, párr. 119, y  Caso</w:t>
        <w:br/>
        <w:t>Suárez Peralta Vs. Ecuador, párr. 150.</w:t>
        <w:br/>
        <w:br/>
        <w:t>[218]       El Tribunal resaltó que la familia tuvo  que  cubrir  los  altos</w:t>
        <w:br/>
        <w:t>costos de los  tratamientos  y  las  medicinas  y  que  el  daño  inmaterial</w:t>
        <w:br/>
        <w:t>otorgado  solamente  cubrió  un  año  de   dichos   costos.   El   Tribunal,</w:t>
        <w:br/>
        <w:t>considerando los hechos del caso, concluyó que  además  del  pafo  del  daño</w:t>
        <w:br/>
        <w:t>inmaterial  se  debió  haber  requerido  que  se  cubriera  los  costos   de</w:t>
        <w:br/>
        <w:t>tratamiento y medicamentos de la vícitma por el  resto  de  su  vida.  TEDH,</w:t>
        <w:br/>
        <w:t>Oyal Vs. Turquía. No. 4864/05. Sección Segunda. Sentencia de 23 de marzo  de</w:t>
        <w:br/>
        <w:t>2010.</w:t>
        <w:br/>
        <w:br/>
        <w:t>[219]       Cfr. Inpección judicial al Banco de Sangre de la Cruz  Roja  del</w:t>
        <w:br/>
        <w:t>Azuay de 22 de junio de 2001 (expediente de prueba, folio  222);  Testimonio</w:t>
        <w:br/>
        <w:t>indagatorio de EO de 28 de junio de 2001 (expediente de prueba, folio  233),</w:t>
        <w:br/>
        <w:t>e Informe de los peritos NV y JP de 17 de  agosto  de  1998  (expediente  de</w:t>
        <w:br/>
        <w:t>prueba, folios 91 a 98).</w:t>
        <w:br/>
        <w:br/>
        <w:t>[220]       Cfr. Informe de los peritos NV y JP de  17  de  agosto  de  1998</w:t>
        <w:br/>
        <w:t>(expediente de prueba, folio 97).</w:t>
        <w:br/>
        <w:br/>
        <w:t>[221]       Cfr. Diligencia de reconocimiento de archivo de 18  de  mayo  de</w:t>
        <w:br/>
        <w:t>2000 (expediente de prueba, folio 145); Testimonio indagatorio de EO  de  28</w:t>
        <w:br/>
        <w:t>de junio de 2001 (expediente de prueba, folio 233).</w:t>
        <w:br/>
        <w:br/>
        <w:t>[222]       Cfr. Testimonio indagatorio  de  EO  de  28  de  junio  de  2001</w:t>
        <w:br/>
        <w:t>(expediente de prueba, folios 233 y 234), e Informe de los peritos NV  y  JP</w:t>
        <w:br/>
        <w:t>de 17 de agosto de 1998 (expediente de prueba, folio 97).</w:t>
        <w:br/>
        <w:br/>
        <w:t>[223]       En la jurisprudencia del Tribunal Europeo  de  Derechos  Humanos</w:t>
        <w:br/>
        <w:t>también se han analizado violaciones del derecho a la vida relacionadas  con</w:t>
        <w:br/>
        <w:t>afectaciones a la vida de las personas que, si bien no  fallecen,  sufrieron</w:t>
        <w:br/>
        <w:t>de secuelas y afectaciones por  atenciones  médicas  indebidas.  Cfr.  TEDH,</w:t>
        <w:br/>
        <w:t>Oyal Vs. Turquía. No. 4864/05. Sección Segunda. Sentencia de 23 de marzo  de</w:t>
        <w:br/>
        <w:t>2010, párr. 55, y G.N. y otros Vs. Italia. No.  43134/05.  Sección  Segunda.</w:t>
        <w:br/>
        <w:t>Sentencia de 1 de diciembre de 2009.</w:t>
        <w:br/>
        <w:br/>
        <w:br/>
        <w:t>[224]       Artículo 10.2 del Protocolo de San Salvador.</w:t>
        <w:br/>
        <w:br/>
        <w:t>[225]       Naciones Unidas, Consejo Económico y Social, Comité de  Derechos</w:t>
        <w:br/>
        <w:t>Económicos,  Sociales  y  Culturales.   Observación   General   Número   14,</w:t>
        <w:br/>
        <w:t>E/C.12/2000/4, 11 de agosto de 2000, párr. 43(d).</w:t>
        <w:br/>
        <w:br/>
        <w:t>[226]       Cfr.  Consejo  de  Derechos  Humanos  de  las  Naciones  Unidas,</w:t>
        <w:br/>
        <w:t>Resolución sobre ‘El acceso a los medicamentos en el  contexto  del  derecho</w:t>
        <w:br/>
        <w:t>de toda persona al disfrute del más alto nivel posible  de  salud  física  y</w:t>
        <w:br/>
        <w:t>mental’ (11 de junio de 2013) UN Doc A/HRC/23/L.10/Rev.l párr.  2;  Asamblea</w:t>
        <w:br/>
        <w:t>General de las Naciones Unidas,  ‘Informe  del  Relator  Especial  sobre  el</w:t>
        <w:br/>
        <w:t>derecho de toda persona al disfrute del más  alto  nivel  posible  de  salud</w:t>
        <w:br/>
        <w:t>física y mental Paul Hunt ’ (13 de  septiembre  de  2006)  UN  Doc  A/61/338</w:t>
        <w:br/>
        <w:t>párr. 40, y Consejo de Derechos Humanos de  las  Naciones  Unidas,  ‘Informe</w:t>
        <w:br/>
        <w:t>del Relator Especial sobre el derecho de toda persona al  disfrute  del  más</w:t>
        <w:br/>
        <w:t>alto nivel posible de salud física  y  mental,  Anand  Grover,  relativo  al</w:t>
        <w:br/>
        <w:t>acceso a los medicamentos’ (1 de mayo de 2013) UN Doc A/HRC/23/42 párr. 3.</w:t>
        <w:br/>
        <w:br/>
        <w:t>[227]       Por ejemplo, Resoluciones de la Comisión de Derechos Humanos  de</w:t>
        <w:br/>
        <w:t>Naciones Unidas, ‘Acceso a la medicación en el contexto  de  pandemias  como</w:t>
        <w:br/>
        <w:t>las de VIH/SIDA, tuberculosis y paludismo’, Resoluciones  2001/33,  2002/32,</w:t>
        <w:br/>
        <w:t>2004/26 y 2005/23.  De  forma  similar  se  ha  pronunciado  el  Consejo  de</w:t>
        <w:br/>
        <w:t>Derechos Humanos respecto al VIH/SIDA. Cfr. Consejo de Derechos  Humanos  de</w:t>
        <w:br/>
        <w:t>las Naciones Unidas, Resolución sobre Protección de los derehcos humanos  en</w:t>
        <w:br/>
        <w:t>el contexto del virus de la inmunodeficiencia humana (VIH) y el síndroma  de</w:t>
        <w:br/>
        <w:t>inmunodeficiencia  adquirisa  (SIDA)’  (13  de  abril  de   2011)   UN   Doc</w:t>
        <w:br/>
        <w:t>A/HRC/RES/16/28, párr. 1. Por otra parte,  el  Tribunal  Constitucional  del</w:t>
        <w:br/>
        <w:t>Perú, en el marco del reconocimiento de las personas con  VIH  como  sujetos</w:t>
        <w:br/>
        <w:t>de especial protección, ha señalado que su vida  “depende  de  las  acciones</w:t>
        <w:br/>
        <w:t>concretas que emprenda el Estado de la mano con la  comunidad  y  el  núcleo</w:t>
        <w:br/>
        <w:t>familiar, tanto en materia de salud como en lo que concierne  al  acceso  al</w:t>
        <w:br/>
        <w:t>tratamiento antirretroviral  de  gran  actividad,  como  en  otros  aspectos</w:t>
        <w:br/>
        <w:t>ligados a la prevención, a la atención integral de calidad, a la   seguridad</w:t>
        <w:br/>
        <w:t>social y a la pensión”. Cfr. Sentencia del Tribunal Consitucional  de  9  de</w:t>
        <w:br/>
        <w:t>agosto de 2011, expediente número 0479-2009-PA/TC, párr. 29.</w:t>
        <w:br/>
        <w:br/>
        <w:t>[228]       Oficina del Alto Comisionado de las  Naciones  Unidas  para  los</w:t>
        <w:br/>
        <w:t>Derechos Humanos (OACNUDH) y el Programa Conjunto  de  las  Naciones  Unidas</w:t>
        <w:br/>
        <w:t>sobre el VIH/SIDA (ONUSIDA), Directrices internacionales sobre  el  VIH/SIDA</w:t>
        <w:br/>
        <w:t>y los derechos  humanos.  Versión  consolidada  de  2006,  sexta  directriz.</w:t>
        <w:br/>
        <w:t>Disponible        en:         http://data.unaids.org/pub/Report/2006/jc1252-</w:t>
        <w:br/>
        <w:t>internationalguidelines_es.pdf</w:t>
        <w:br/>
        <w:br/>
        <w:br/>
        <w:t>[229]        OACNUDH  y  ONUSIDA,  Directrices  internacionales   sobre   el</w:t>
        <w:br/>
        <w:t>VIH/SIDA y los derechos humanos. Versión consolidada de 2006,  comentario  a</w:t>
        <w:br/>
        <w:t>la      sexta      directriz,      párr.       26       Disponible       en:</w:t>
        <w:br/>
        <w:t>http://data.unaids.org/pub/Report/2006/jc1252-</w:t>
        <w:br/>
        <w:t>internationalguidelines_es.pdf</w:t>
        <w:br/>
        <w:br/>
        <w:br/>
        <w:t>[230]        Las  Directrices  también  señalan  que  “Los  Estados  también</w:t>
        <w:br/>
        <w:t>deberían asegurar el acceso al tratamiento y medicamentos adecuados,  dentro</w:t>
        <w:br/>
        <w:t>de su política general de salud pública, de modo que las personas que  viven</w:t>
        <w:br/>
        <w:t>con el  VIH  puedan  vivir  lo  máximo  y  satisfactoriamente  posible.  Las</w:t>
        <w:br/>
        <w:t>personas que viven con el  VIH  también  deberían  tener  acceso  a  ensayos</w:t>
        <w:br/>
        <w:t>clínicos y  a  poder  elegir  libremente  entre  todos  los  medicamentos  y</w:t>
        <w:br/>
        <w:t>terapias  disponibles,  incluso  las  terapias  alternativas”.   OACNUDH   y</w:t>
        <w:br/>
        <w:t>ONUSIDA, Directrices  internacionales  sobre  el  VIH/SIDA  y  los  derechos</w:t>
        <w:br/>
        <w:t>humanos.  Versión  consolidada  de   2006,   párr.   145.   Disponible   en:</w:t>
        <w:br/>
        <w:t>http://data.unaids.org/pub/Report/2006/jc1252-</w:t>
        <w:br/>
        <w:t>internationalguidelines_es.pdf Por su  parte,  la  Corte  Constitucional  de</w:t>
        <w:br/>
        <w:t>Colombia, respecto  a la protección del derecho a la salud de  las  personas</w:t>
        <w:br/>
        <w:t>con VIH/SIDA ha manifestado que “con el fin de hacer efectiva la igualdad  y</w:t>
        <w:br/>
        <w:t>la dignidad humana de esas  personas  la  protección  que  debe  brindar  el</w:t>
        <w:br/>
        <w:t>Estado en materia de salud debe ser integral dados los altos costos que  esa</w:t>
        <w:br/>
        <w:t>enfermedad  demanda  y  con  el  fin   de   que   no   se   generen   tratos</w:t>
        <w:br/>
        <w:t>discriminatorios”. También ha sostenido que “este deber  constitucional  [de</w:t>
        <w:br/>
        <w:t>protección] asegura que el  enfermo  de  SIDA  reciba  atención  integral  y</w:t>
        <w:br/>
        <w:t>gratuita a cargo del Estado, a fin de  evitar  que  la  ausencia  de  medios</w:t>
        <w:br/>
        <w:t>económicos le impida tratar la enfermedad y aminorar el  sufrimiento,  y  lo</w:t>
        <w:br/>
        <w:t>exponga  a  la  discriminación”.  Cfr.   Sentencia   T-843   de   la   Corte</w:t>
        <w:br/>
        <w:t>Constitucional de  Colombia  de  2  de  septiembre  de  2004.  Ver  también,</w:t>
        <w:br/>
        <w:t>Peritaje de Paul Hunt 6 de marzo de 2015 (expediente de prueba, folios  3706</w:t>
        <w:br/>
        <w:t>a 3734).</w:t>
        <w:br/>
        <w:br/>
        <w:t>[231]            En cuanto a la calidad en el servicio de salud,  el  Comité</w:t>
        <w:br/>
        <w:t>de la CEDAW en el caso Alyne da Silva  Pimentel  contra  Brasil  declaró  al</w:t>
        <w:br/>
        <w:t>Estado responsable por no garantizar servicios de salud materna oportunos  y</w:t>
        <w:br/>
        <w:t>adecuados  para  la  víctima  independiente   de   su   raza   o   condición</w:t>
        <w:br/>
        <w:t>socioeconómica y que la falta de  garantía  del  derecho  a  la  salud  tuvo</w:t>
        <w:br/>
        <w:t>repercusiones directas en el disfrute de sus derechos a la vida  y  a  estar</w:t>
        <w:br/>
        <w:t>libre de discriminación. La víctima era una Afro-Brasilera de  28  años  que</w:t>
        <w:br/>
        <w:t>murió por complicaciones de un embarazo después de que un  centro  de  salud</w:t>
        <w:br/>
        <w:t>privado y luego un centro de salud público le negaran  atención  de  calidad</w:t>
        <w:br/>
        <w:t>de salud materna. Su muerte, que era prevenible, se debió a que  la  entidad</w:t>
        <w:br/>
        <w:t>de salud que la atendió no ordenó la práctica  de  los  exámenes  adecuados,</w:t>
        <w:br/>
        <w:t>tuvo una demora desproporcionada en la atención a  la  paciente  (incluyendo</w:t>
        <w:br/>
        <w:t>el retraso en transferirla a otra institución de salud) y no  contó  con  un</w:t>
        <w:br/>
        <w:t>adecuado equipamiento de servicios médicos,  entre  otras.  Situaciones  que</w:t>
        <w:br/>
        <w:t>fueron exacerbadas por la condición racial y socioeconómica de  la  víctima.</w:t>
        <w:br/>
        <w:t>Comité para la Eliminación de la  Discriminación  contra  la  Mujer  (Comité</w:t>
        <w:br/>
        <w:t>CEDAW), Alyne da Silva Pimentel  Vs.  Brasil  (27  de  septiembre  de  2011)</w:t>
        <w:br/>
        <w:t>UN.Doc. CEDAW/C/49/D/17/2008.</w:t>
        <w:br/>
        <w:br/>
        <w:t>[232]       Asamblea General de las Naciones  Unidas,  Declaración  política</w:t>
        <w:br/>
        <w:t>sobre el VIH y el SIHDA: intensificación de nuestro esfuerzo  para  eliminar</w:t>
        <w:br/>
        <w:t>el VIH y el SIDA (8 de julio de 2011) A/RES/65/277, párr. 43.</w:t>
        <w:br/>
        <w:br/>
        <w:t>[233]       Naciones Unidas, Comité de los Derechos  del  Niño,  Observación</w:t>
        <w:br/>
        <w:t>General Número 3, CRC/GC/2003/3, 17 de marzo de 2003, párr. 20.</w:t>
        <w:br/>
        <w:br/>
        <w:t>[234]       Naciones Unidas, Comité de los Derechos  del  Niño,  Observación</w:t>
        <w:br/>
        <w:t>General Número 9, CRC/C/GC/9, 27 de febrero de 2007, párr. 51.</w:t>
        <w:br/>
        <w:br/>
        <w:t>[235]       Respecto al  suministro  de  medicamente  antirretrovirales  por</w:t>
        <w:br/>
        <w:t>parte del Estado antes de 2004, la Corte observa que en  noviembre  de  2002</w:t>
        <w:br/>
        <w:t>Teresa Lluy envió una carta  a  una  funcionaria  del  Ministerio  de  Salud</w:t>
        <w:br/>
        <w:t>Pública, indicándole lo siguiente:  “[que]  est[uvieron]  presentes  en  las</w:t>
        <w:br/>
        <w:t>fechas señaladas […] para que se [les] entreg[aran] las  medicinas  que  son</w:t>
        <w:br/>
        <w:t>fundamentales para [su] vida, pero a[hí] en Cuenca los antirretrovirales  no</w:t>
        <w:br/>
        <w:t>ha[bía]n llegado y no se [les] pu[dieron] entregar, la vida de [su  familia]</w:t>
        <w:br/>
        <w:t>y de [su] hija corre peligro y responsabilizamos al  Estado  Ecuatoriano  de</w:t>
        <w:br/>
        <w:t>cualquier desgracia”. Carta de Teresa Lluy de 25 de noviembre de 2002  a  la</w:t>
        <w:br/>
        <w:t>Directora del Programa Nacional de SIDA  del  Ministerio  de  Salud  Pública</w:t>
        <w:br/>
        <w:t>(expediente de prueba, folio 4133). Respecto a la práctica de  los  exámenes</w:t>
        <w:br/>
        <w:t>CD4, de carga viral y  otros  exámenes  para  enfermedades  oportunistas  la</w:t>
        <w:br/>
        <w:t>madre de Talía indicó que estos eran  caros  y  tenía  que  asumirlos.  Cfr.</w:t>
        <w:br/>
        <w:t>Carta de Teresa Lluy de 18 de mayo de 2015  a  la  Corte  Interamericana  de</w:t>
        <w:br/>
        <w:t>Derechos  Humanos  (expediente  de  prueba,  folio  4119).  Asimismo,  Talía</w:t>
        <w:br/>
        <w:t>Gonzales Lluy aludió a problemas en la práctica de exámenes de  carga  viral</w:t>
        <w:br/>
        <w:t>en mayo de 2015. Cfr. Carta de Talía Gonzales Lluy de 18 de mayo de  2015  a</w:t>
        <w:br/>
        <w:t>la Corte Interamericana de Derechos Humanos (expediente  de  prueba,  folios</w:t>
        <w:br/>
        <w:t>4111 y 4112).</w:t>
        <w:br/>
        <w:br/>
        <w:t>[236]       “Ahora Talía está recibiendo los servicios  para  pacientes  con</w:t>
        <w:br/>
        <w:t>VIH en la ciudad de Azogues, Provincia del Cañar, […]  tiene  que  viajar  a</w:t>
        <w:br/>
        <w:t>otra provincia para ser atendida”. Declaración de Ivan Mauricio  Lluy  de  5</w:t>
        <w:br/>
        <w:t>de marzo de 2015 (expediente de prueba, folio 3586).</w:t>
        <w:br/>
        <w:br/>
        <w:t>[237]       Cfr. Recibo de 3 de abril de 2014 (expediente de  prueba,  folio</w:t>
        <w:br/>
        <w:t>1214).</w:t>
        <w:br/>
        <w:br/>
        <w:t>[238]       Respecto al suministro de exámenes de conteo de  carga  viral  y</w:t>
        <w:br/>
        <w:t>de CD4 y CD8, así como otras pruebas  y  medicamentos  en  el  marco  de  la</w:t>
        <w:br/>
        <w:t>atención en el hospital, ver Peritaje de Nilda Esthela Villacres  Aviles  de</w:t>
        <w:br/>
        <w:t>25 de febrero de 2010 (expediente de prueba, folios 3875 a  3894);  Peritaje</w:t>
        <w:br/>
        <w:t>de Carmen Carrasco de 13 de ferbero de 2015. (expediente de  prueba,  folios</w:t>
        <w:br/>
        <w:t>3959 a 3997), y Peritaje de Diana Molina Yépez de  25  de  febrero  de  2015</w:t>
        <w:br/>
        <w:t>(expediente de prueba, folios 3901 a 3950).</w:t>
        <w:br/>
        <w:br/>
        <w:t>[239]       La Corte observa que existe una certificación del  Líder  de  la</w:t>
        <w:br/>
        <w:t>Unidad de Medicina Interna del hospital de Azogues, del 4 de mayo  de  2015,</w:t>
        <w:br/>
        <w:t>respecto a una solicitud de  elaboración de los exámenes de  Carga  Viral  y</w:t>
        <w:br/>
        <w:t>CD4 el 5 de noviembre de 2014. En dicha certificación se señala que solo  se</w:t>
        <w:br/>
        <w:t>obtuvo el resultado de  los  CD4,  “ya  que  no  existía[n]  reactivos  para</w:t>
        <w:br/>
        <w:t>realizar el examen de carga viral”.  Sin  perjuicio  de  lo  anterior,  esta</w:t>
        <w:br/>
        <w:t>información evidencia prueba sobre problemas de disponibilidad en  noviembre</w:t>
        <w:br/>
        <w:t>de 2014, sin que pueda considerarse  que  tiene  peso  probatorio  sobre  la</w:t>
        <w:br/>
        <w:t>falta de disponibilidad en otros momentos. Cfr. Certificación de 4  de  mayo</w:t>
        <w:br/>
        <w:t>de 2015 (expediente de prueba, folio 4131).</w:t>
        <w:br/>
        <w:br/>
        <w:t>[240]       Cfr. Declaración de Talía Gonzales Lluyen la  audiencia  púbicla</w:t>
        <w:br/>
        <w:t>celebrada en el presente caso; Oficio de Talía Gonzales Lluy a Ramiro  Ávila</w:t>
        <w:br/>
        <w:t>respecto de su visita al hospital Vicente Corral Moscoso de 26  de  mayo  de</w:t>
        <w:br/>
        <w:t>2014 (expediente de prueba, folios 1184 a  1186);  Oficio  de  Talía  a  las</w:t>
        <w:br/>
        <w:t>Autoridades del Ministerio de Salud Pública del Ecuador de  26  de  mayo  de</w:t>
        <w:br/>
        <w:t>2014 (expediente de  prueba,  folios  1188  a  1189);  Declaración  de  Ivan</w:t>
        <w:br/>
        <w:t>Mauricio Lluy de 5 de marzo de 2015 (expediente de  prueba,  folios  3585  y</w:t>
        <w:br/>
        <w:t>3586), y Cfr. Carta de Teresa Lluy  de  18  de  mayo  de  2015  a  la  Corte</w:t>
        <w:br/>
        <w:t>Interamericana de Derechos Humanos (expediente  de  prueba,  folios  4122  y</w:t>
        <w:br/>
        <w:t>4123).</w:t>
        <w:br/>
        <w:br/>
        <w:t>[241]       Declaración  de  Talía  Gonzales  Lluyen  la  audiencia  púbicla</w:t>
        <w:br/>
        <w:t>celebrada en el presente caso.</w:t>
        <w:br/>
        <w:br/>
        <w:br/>
        <w:t>[242]       Cfr. Certificado emitido por el  Laboratorio  Services  Interlab</w:t>
        <w:br/>
        <w:t>S.A. de 3 de abril de 2014 (expediente de medias provisionales,  folio  10),</w:t>
        <w:br/>
        <w:t>y Certificado emitido por el Instituto Nacional de  Investigación  de  Salud</w:t>
        <w:br/>
        <w:t>Pública de 5 de noviembre  de  2014  (expediente  de  medias  provisionales,</w:t>
        <w:br/>
        <w:t>folio 12).</w:t>
        <w:br/>
        <w:br/>
        <w:br/>
        <w:t>[243]       Cfr. Caso Vargas  Areco  Vs.  Paraguay.  Fondo,  Reparaciones  y</w:t>
        <w:br/>
        <w:t>Costas. Sentencia de 26 de septiembre de 2006. Serie C No. 155, párr. 83,  y</w:t>
        <w:br/>
        <w:t>Caso Suárez Peralta Vs. Ecuador, párr. 156.</w:t>
        <w:br/>
        <w:br/>
        <w:t>[244]           Cfr.  Caso  Vera  Vera  y  otra   Vs.   Ecuador.   Excepción</w:t>
        <w:br/>
        <w:t>Preliminar, Fondo, Reparaciones y Costas. Sentencia de 19 de mayo  de  2011.</w:t>
        <w:br/>
        <w:t>Serie C No. 226, párr. 104,  y  Caso  Furlan  y  Familiares  Vs.  Argentina.</w:t>
        <w:br/>
        <w:t>Excepciones Preliminares, Fondo, Reparaciones y Costas. Sentencia de  31  de</w:t>
        <w:br/>
        <w:t>agosto de 2012. Serie C No. 246, párr. 249.</w:t>
        <w:br/>
        <w:br/>
        <w:t>[245] Cfr. Caso Bámaca Velásquez Vs. Guatemala. Fondo. Sentencia  de  25  de</w:t>
        <w:br/>
        <w:t>noviembre de 2000. Serie C No. 70, párr. 163, y  Caso  Furlan  y  Familiares</w:t>
        <w:br/>
        <w:t>Vs. Argentina, párr. 249.</w:t>
        <w:br/>
        <w:br/>
        <w:t>[246]       Cfr.  Caso  Baldeón  García  Vs.  Perú.  Fondo,  Reparaciones  y</w:t>
        <w:br/>
        <w:t>Costas. Sentencia de 6 de abril de 2006. Serie  C  No.  147,  párr.  128,  y</w:t>
        <w:br/>
        <w:t>Caso Furlan y Familiares Vs. Argentina, párr. 249.</w:t>
        <w:br/>
        <w:br/>
        <w:t>[247]       Cfr. Caso de  las  Niñas  Yean  y  Bosico.  Sentencia  de  8  de</w:t>
        <w:br/>
        <w:t>septiembre de 2005. Serie C No 130, párr. 204, y Caso  Furlan  y  Familiares</w:t>
        <w:br/>
        <w:t>Vs. Argentina, párr. 250.</w:t>
        <w:br/>
        <w:br/>
        <w:t>[248]        Escritura  de  declaración  juramentada  otorgada  por   Teresa</w:t>
        <w:br/>
        <w:t>Gonzales Lluy de 22 de abril de 2014 (expediente de prueba,  folios  1087  y</w:t>
        <w:br/>
        <w:t>1088).</w:t>
        <w:br/>
        <w:br/>
        <w:t>[249]        Escritura  de  declaración  juramentada  otorgada  por   Teresa</w:t>
        <w:br/>
        <w:t>Gonzales Lluy de 22 de abril de 2014 (expediente de prueba, folio 1078).</w:t>
        <w:br/>
        <w:br/>
        <w:t>[250]        Escritura  de  declaración  juramentada  otorgada  por   Teresa</w:t>
        <w:br/>
        <w:t>Gonzales Lluy de 22 de abril de 2014 (expediente de prueba, folio 1086)  Con</w:t>
        <w:br/>
        <w:t>respecto a la salud de su madre, el señor Iván Lluy ha  declarado  que  esta</w:t>
        <w:br/>
        <w:t>situación también le preocupa, debido a que “[e]l  estrés  [le]s  ha  pasado</w:t>
        <w:br/>
        <w:t>factura y esto [le]s afecta día a día, algunas veces h[a] tenido que  llevar</w:t>
        <w:br/>
        <w:t>[a su mamá]  de  urgencia  a  la  clínica  [porque]  su  presión  ha  subido</w:t>
        <w:br/>
        <w:t>exageradamente”. Escritura de  declaración  juramentada  otorgada  por  Iván</w:t>
        <w:br/>
        <w:t>Lluy de 22 de abril de 2014 (expediente de prueba, folio 1116).</w:t>
        <w:br/>
        <w:br/>
        <w:t>[251]       Cfr. Escritura de declaración juramentada  otorgada  por  Teresa</w:t>
        <w:br/>
        <w:t>Gonzales Lluy de 22 de abril de 2014 (expediente  de  prueba,  folios  1078,</w:t>
        <w:br/>
        <w:t>1085 y 1086).</w:t>
        <w:br/>
        <w:br/>
        <w:t>[252]        Escritura  de  declaración  juramentada  otorgada  por   Teresa</w:t>
        <w:br/>
        <w:t>Gonzales Lluy de 22 de abril de 2014 (expediente de prueba, folio 1078).</w:t>
        <w:br/>
        <w:br/>
        <w:t>[253]        Escritura  de  declaración  juramentada  otorgada  por   Teresa</w:t>
        <w:br/>
        <w:t>Gonzales Lluy de 22 de abril de 2014 (expediente de prueba, folio 1078).</w:t>
        <w:br/>
        <w:br/>
        <w:t>[254] Peritaje Sonia Nivelo Cabrera a Teresa Gonzales Lluy de 12 de  febrero</w:t>
        <w:br/>
        <w:t>de 2015 (expediente de prueba, folio 3616).</w:t>
        <w:br/>
        <w:br/>
        <w:t>[255] Cfr. Escritura de declaración juramentada otorgada por Iván Lluy  Lluy</w:t>
        <w:br/>
        <w:t>de 22 de abril de 2014 (expediente de prueba, folios 3574, 3575, 3576).</w:t>
        <w:br/>
        <w:br/>
        <w:t>[256]       Escritura de declaración juramentada otorgada por Iván  Lluy  de</w:t>
        <w:br/>
        <w:t>22 de abril de 2014 (expediente de prueba, folio 1115).</w:t>
        <w:br/>
        <w:br/>
        <w:t>[257]       Escritura de declaración juramentada otorgada por Iván  Lluy  de</w:t>
        <w:br/>
        <w:t>22 de abril de 2014 (expediente de prueba, folio 1115).</w:t>
        <w:br/>
        <w:br/>
        <w:t>[258]        Escritura  de  declaración  juramentada  otorgada  por   Teresa</w:t>
        <w:br/>
        <w:t>Gonzales Lluy de 22 de abril de 2014 (expediente de prueba, folio 1079).</w:t>
        <w:br/>
        <w:br/>
        <w:t>[259]        Escritura  de  declaración  juramentada  otorgada  por   Teresa</w:t>
        <w:br/>
        <w:t>Gonzales Lluy de 22 de abril de 2014 (expediente de prueba, folio 1080).</w:t>
        <w:br/>
        <w:br/>
        <w:t>[260]        Escritura  de  declaración  juramentada  otorgada  por   Teresa</w:t>
        <w:br/>
        <w:t>Gonzales Lluy de 22 de abril de 2014 (expediente de prueba, folio 1081).</w:t>
        <w:br/>
        <w:br/>
        <w:t>[261] Peritaje de Sonia Nivelo Cabrera a  Teresa  Gonzales  Lluy  de  12  de</w:t>
        <w:br/>
        <w:t>febrero de 2015 (expediente de prueba, folios 3618 y 3619).</w:t>
        <w:br/>
        <w:br/>
        <w:t>[262]       En lo pertinente para el presente caso,  dicho  artículo  señala</w:t>
        <w:br/>
        <w:t>que: “1. Toda persona tiene derecho a la educación.  2. Los  Estados  partes</w:t>
        <w:br/>
        <w:t>en el presente Protocolo convienen en que  la  educación  deberá  orientarse</w:t>
        <w:br/>
        <w:t>hacia el pleno desarrollo de la personalidad humana  y  del  sentido  de  su</w:t>
        <w:br/>
        <w:t>dignidad y deberá  fortalecer  el  respeto  por  los  derechos  humanos,  el</w:t>
        <w:br/>
        <w:t>pluralismo ideológico, las libertades fundamentales, la justicia y  la  paz.</w:t>
        <w:br/>
        <w:t>Convienen, asimismo,  en  que  la  educación  debe  capacitar  a  todas  las</w:t>
        <w:br/>
        <w:t>personas  para  participar  efectivamente  en  una  sociedad  democrática  y</w:t>
        <w:br/>
        <w:t>pluralista, lograr una subsistencia  digna,  favorecer  la  comprensión,  la</w:t>
        <w:br/>
        <w:t>tolerancia y la  amistad  entre  todas  las  naciones  y  todos  los  grupos</w:t>
        <w:br/>
        <w:t>raciales, étnicos o religiosos y  promover  las  actividades  en  favor  del</w:t>
        <w:br/>
        <w:t>mantenimiento de la paz. 3. Los Estados  partes  en  el  presente  Protocolo</w:t>
        <w:br/>
        <w:t>reconocen que, con objeto de lograr el pleno  ejercicio  del  derecho  a  la</w:t>
        <w:br/>
        <w:t>educación: a. la enseñanza primaria  debe  ser  obligatoria  y  asequible  a</w:t>
        <w:br/>
        <w:t>todos gratuitamente; b. la enseñanza secundaria en  sus  diferentes  formas,</w:t>
        <w:br/>
        <w:t>incluso  la  enseñanza  secundaria   técnica   y   profesional,   debe   ser</w:t>
        <w:br/>
        <w:t>generalizada  y  hacerse  accesible  a  todos,  por  cuantos   medios   sean</w:t>
        <w:br/>
        <w:t>apropiados, y en particular por la implantación progresiva de  la  enseñanza</w:t>
        <w:br/>
        <w:t>gratuita; c. la enseñanza  superior  debe  hacerse  igualmente  accesible  a</w:t>
        <w:br/>
        <w:t>todos, sobre la base de la capacidad de cada uno, por  cuantos  medios  sean</w:t>
        <w:br/>
        <w:t>apropiados y en particular, por la implantación progresiva de  la  enseñanza</w:t>
        <w:br/>
        <w:t>gratuita […]”.</w:t>
        <w:br/>
        <w:br/>
        <w:t>[263]       El Art. 19 (6) del Protocolo permite la aplicación  del  sistema</w:t>
        <w:br/>
        <w:t>de peticiones individuales regulado por los artículos 44 a 51 y 61 a  69  de</w:t>
        <w:br/>
        <w:t>la  Convención  Americana  sobre  Derechos  Humanos  si  se  presentase  una</w:t>
        <w:br/>
        <w:t>vulneración a los Arts. 8 (1) (Derechos  Sindicales)  y  13  (Derecho  a  la</w:t>
        <w:br/>
        <w:t>educación) del Protocolo.</w:t>
        <w:br/>
        <w:br/>
        <w:t>[264]       El  Pacto  Internacional  de  Derechos  Económicos,  Sociales  y</w:t>
        <w:br/>
        <w:t>Culturales (artículos 13 y 14), la  Carta  de  la  Organización  de  Estados</w:t>
        <w:br/>
        <w:t>Americanos (artículo  49),  la  Declaración  Americana  de  los  Derechos  y</w:t>
        <w:br/>
        <w:t>Deberes del  Hombre  (artículo  XII)  y  la  Declaración  Universal  de  los</w:t>
        <w:br/>
        <w:t>Derechos  Humanos  (artículo  26)  son  algunos  referentes  que   estipulan</w:t>
        <w:br/>
        <w:t>obligaciones o deberes de los Estados relativos al derecho a la educación.</w:t>
        <w:br/>
        <w:br/>
        <w:t>[265]       Cfr. Naciones Unidas, Consejo  Económico  y  Social,  Comité  de</w:t>
        <w:br/>
        <w:t>Derechos Económicos, Sociales y Culturales.  Observación General Número  13,</w:t>
        <w:br/>
        <w:t>E/C.12/1999/10, 8 de diciembre de 1999, párr. 1.</w:t>
        <w:br/>
        <w:br/>
        <w:t>[266]       Cfr. Naciones Unidas, Consejo  Económico  y  Social,  Comité  de</w:t>
        <w:br/>
        <w:t>Derechos Económicos, Sociales y Culturales.  Observación General Número  13,</w:t>
        <w:br/>
        <w:t>E/C.12/1999/10, 8 de diciembre de 1999, párr. 6.</w:t>
        <w:br/>
        <w:br/>
        <w:t>[267]       Cfr. Caso Furlan y  familiares  Vs.  Argentina,  párr.  133.  Al</w:t>
        <w:br/>
        <w:t>respecto, la Convención sobre los Derechos de las Personas con  Discapacidad</w:t>
        <w:br/>
        <w:t>establece que “la discapacidad es un concepto  que  evoluciona”  y  que  las</w:t>
        <w:br/>
        <w:t>personas con discapacidad  “incluyen  a  aquellas  que  tengan  deficiencias</w:t>
        <w:br/>
        <w:t>físicas, mentales,  intelectuales  o  sensoriales  a  largo  plazo  que,  al</w:t>
        <w:br/>
        <w:t>interactuar con diversas barreras, puedan impedir su participación  plena  y</w:t>
        <w:br/>
        <w:t>efectiva en la sociedad, en igualdad de condiciones  con  las  demás”.  Esta</w:t>
        <w:br/>
        <w:t>Convención fue ratificada por el Ecuador el 3 de abril de 2008.</w:t>
        <w:br/>
        <w:br/>
        <w:t>[268]       Cfr. Caso Furlan y familiares Vs. Argentina, párr. 133,  y  Caso</w:t>
        <w:br/>
        <w:t>Artavia Murillo y otros (Fecundación in vitro) Vs. Costa  Rica.  Excepciones</w:t>
        <w:br/>
        <w:t>Preliminares, Fondo, Reparaciones y Costas. Sentencia de 28 de Noviembre  de</w:t>
        <w:br/>
        <w:t>2012. Serie C No. 257, párrs. 291 y 292. Ver además, el  Artículo  1  de  la</w:t>
        <w:br/>
        <w:t>Convención sobre los Derechos de las Personas con Discapacidad.</w:t>
        <w:br/>
        <w:br/>
        <w:t>[269]       En este sentido, en el informe de  política  de  discapacidad  y</w:t>
        <w:br/>
        <w:t>VIH realizado por la Organización Mundial de la Salud, el  Alto  Comisionado</w:t>
        <w:br/>
        <w:t>de las Naciones Unidas para los Derechos Humanos y ONUSIDA se reconoció  que</w:t>
        <w:br/>
        <w:t>cuando se interpongan  barreras  económicas,  políticas  o  sociales  en  la</w:t>
        <w:br/>
        <w:t>participación efectiva  en  igualdad  de  condiciones  de  una  persona  con</w:t>
        <w:br/>
        <w:t>VIH/SIDA, puede considerarse que la persona  tiene  una  discapacidad.  Cfr.</w:t>
        <w:br/>
        <w:t>Organización Mundial de la Salud. Disability and HIV Policy Brief.</w:t>
        <w:br/>
        <w:t xml:space="preserve"> 1 de abril de 2009. De igual manera, en 1996  el  Programa  Conjunto  sobre</w:t>
        <w:br/>
        <w:t>VIH/SIDA de las Naciones Unidas (ONUSIDA) recomendó que el  VIH   debía  ser</w:t>
        <w:br/>
        <w:t>considerado como una discapacidad en l​1 de abril de 2009. De  igual  manera,</w:t>
        <w:br/>
        <w:t>en  1996  el  Programa  Conjunto  sobre  VIH/SIDA  de  las  Naciones  Unidas</w:t>
        <w:br/>
        <w:t>(ONUSIDA) recomendó que el VIH  debía ser considerado como una  discapacidad</w:t>
        <w:br/>
        <w:t>en la medida  en  que  las  personas  que  presentan  el  virus  sufren  una</w:t>
        <w:br/>
        <w:t>constante discriminación en razón de su condición.  Al respecto, se  afirmó:</w:t>
        <w:br/>
        <w:t>“Las consecuencias de la discapacidad del VIH  asintomático  es  que  muchas</w:t>
        <w:br/>
        <w:t>veces las personas que viven con VIH, así como aquellos que se sospecha  que</w:t>
        <w:br/>
        <w:t>viven con VIH, son discriminados debido a  que  se  percibe  de  una  manera</w:t>
        <w:br/>
        <w:t>errada que no funcionan; existe una percepción errada que son una amenaza  a</w:t>
        <w:br/>
        <w:t>la salud pública[.] Por lo tanto, si ellos no están discapacitados  por  las</w:t>
        <w:br/>
        <w:t>condiciones  relacionadas  con  el  VIH,  s[í]  lo  estarán  por  el   trato</w:t>
        <w:br/>
        <w:t>discriminatorio que reciben por su estatus de VIH. El resultado  es  que  se</w:t>
        <w:br/>
        <w:t>les niega la posibilidad de ser productivos,  aut[os]uficientes  y  miembros</w:t>
        <w:br/>
        <w:t>plenos e  iguales  de  la  sociedad”.  Declaración  de  ONUSIDA  VIH/SIDA  y</w:t>
        <w:br/>
        <w:t>Discapacidad. Comisión de las Naciones  Unidas  de  Derechos  Humanos,  Sub-</w:t>
        <w:br/>
        <w:t>Comisión  de  la  Prevención  de  la  Discriminación  y  Protección  de  las</w:t>
        <w:br/>
        <w:t>Minorías. Sesión 48. Agosto de 1996.</w:t>
        <w:br/>
        <w:br/>
        <w:t>[270]       Cfr. Declaración de ONUSIDA VIH/SIDA  y  Discapacidad.  Comisión</w:t>
        <w:br/>
        <w:t>de las Naciones Unidas de Derechos Humanos, Sub-Comisión  de  la  Prevención</w:t>
        <w:br/>
        <w:t>de la Discriminación y Protección de las  Minorías.  Sesión  48.  Agosto  de</w:t>
        <w:br/>
        <w:t>1996,  en  la  que  se  recomendó  que  el  VIH  sea  considerado  como  una</w:t>
        <w:br/>
        <w:t>discapacidad.</w:t>
        <w:br/>
        <w:br/>
        <w:t>[271]       Cfr. TEDH, Kiyutin Vs. Rusia, (No. 2700/10),  Sentencia  del  10</w:t>
        <w:br/>
        <w:t>de marzo de 2011, párr. 57.</w:t>
        <w:br/>
        <w:br/>
        <w:t>[272]        Ver,  inter  alia,  en  los  Estados  Unidos  de  América:  The</w:t>
        <w:br/>
        <w:t>Americans with Disabilities Act of 1990. A partir  de  dicho  documento,  el</w:t>
        <w:br/>
        <w:t>Departamento de Justicia de Estados Unidos ha afirmado que las personas  con</w:t>
        <w:br/>
        <w:t>VIH se encuentran protegidas bajo The Americans with  Disabilities  Act.  En</w:t>
        <w:br/>
        <w:t>el Reino Unido: The Disability Discrimination Act (DDA) of  2005.  En  Nueva</w:t>
        <w:br/>
        <w:t>Zelanda:  Human  Rights  Act  of  1993.  En  Hong  Kong:   Ordenanza   sobre</w:t>
        <w:br/>
        <w:t>Discriminación  y  Discapacidad  de  1995.  Por  su   parte,   el   Tribunal</w:t>
        <w:br/>
        <w:t>Constitucional peruano ha señalado que “teniendo en cuenta que el Estado  ha</w:t>
        <w:br/>
        <w:t>puesto en marcha, tal como se sugirió en la  STC  02945-2003-AA/TC,  medidas</w:t>
        <w:br/>
        <w:t>concretas para la satisfacción de los derechos sociales en los pacientes  de</w:t>
        <w:br/>
        <w:t>VIH/SIDA, este Colegiado  considera  que  es  oportuno  hacer  extensiva  la</w:t>
        <w:br/>
        <w:t>especial protección consagrada en el artículo 7º de la  Constitución  a  las</w:t>
        <w:br/>
        <w:t>personas que padecen de una deficiencia física producto de la infección  con</w:t>
        <w:br/>
        <w:t>VIH  o  el  desarrollo  del  SIDA,  pues  es  evidente  que  el  estado   de</w:t>
        <w:br/>
        <w:t>vulnerabilidad manifiesta en que se encuentra este sector  de  la  población</w:t>
        <w:br/>
        <w:t>necesita de una protección reforzada para que puedan  ejercer  sus  derechos</w:t>
        <w:br/>
        <w:t>fundamentales  a  plenitud,  sin   que   se   vean   sometidos   a   medidas</w:t>
        <w:br/>
        <w:t>discriminatorias o a acciones arbitrarias por el solo hecho  de  padecer  de</w:t>
        <w:br/>
        <w:t>la referida patología. Con esta afirmación se reitera, tal  como  lo  señala</w:t>
        <w:br/>
        <w:t>el mencionado artículo 7º, que  este  gran  sector  de  la  población  tiene</w:t>
        <w:br/>
        <w:t>derecho al respeto de su dignidad  y  a  un  régimen  legal  de  protección,</w:t>
        <w:br/>
        <w:t>atención,  readaptación  y  seguridad.  Tribunal  Constitucional  del  Perú.</w:t>
        <w:br/>
        <w:t>Sentencia de 9 de agosto de 2011. Expediente N° 04749-2009-PA/TC, párr. 31.</w:t>
        <w:br/>
        <w:br/>
        <w:t>[273]       Oficina del Alto Comisionado de las  Naciones  Unidas  para  los</w:t>
        <w:br/>
        <w:t>Derechos Humanos (OACNUDH) y el Programa Conjunto  de  las  Naciones  Unidas</w:t>
        <w:br/>
        <w:t>sobre el VIH/SIDA (ONUSIDA), Directrices internacionales sobre  el  VIH/SIDA</w:t>
        <w:br/>
        <w:t>y los derechos humanos. Versión consolidada de 2006.</w:t>
        <w:br/>
        <w:br/>
        <w:t>[274]       Oficina del Alto Comisionado de las  Naciones  Unidas  para  los</w:t>
        <w:br/>
        <w:t>Derechos Humanos (OACNUDH) y el Programa Conjunto  de  las  Naciones  Unidas</w:t>
        <w:br/>
        <w:t>sobre el VIH/SIDA (ONUSIDA), Directrices internacionales sobre  el  VIH/SIDA</w:t>
        <w:br/>
        <w:t>y los derechos humanos. Versión consolidada de 2006, párr. 136.</w:t>
        <w:br/>
        <w:br/>
        <w:t>[275]       Oficina del Alto Comisionado de las  Naciones  Unidas  para  los</w:t>
        <w:br/>
        <w:t>Derechos Humanos (OACNUDH) y el Programa Conjunto  de  las  Naciones  Unidas</w:t>
        <w:br/>
        <w:t>sobre el VIH/SIDA (ONUSIDA), Directrices internacionales sobre  el  VIH/SIDA</w:t>
        <w:br/>
        <w:t>y los derechos humanos. Versión consolidada  de  2006,  párr.  137.  Por  su</w:t>
        <w:br/>
        <w:t>parte, el artículo 24 de la Convención de Discapacidad, señala que:  “2.  Al</w:t>
        <w:br/>
        <w:t>hacer efectivo este derecho [a la educación], los Estados Partes  asegurarán</w:t>
        <w:br/>
        <w:t>que: a) Las personas  con  discapacidad  no  queden  excluidas  del  sistema</w:t>
        <w:br/>
        <w:t>general de educación por motivos de discapacidad, y  que  los  niños  y  las</w:t>
        <w:br/>
        <w:t>niñas  con  discapacidad  no  queden  excluidos  de  la  enseñanza  primaria</w:t>
        <w:br/>
        <w:t>gratuita y  obligatoria  ni  de  la  enseñanza  secundaria  por  motivos  de</w:t>
        <w:br/>
        <w:t>discapacidad;  b)  Las  personas  con  discapacidad  puedan  acceder  a  una</w:t>
        <w:br/>
        <w:t>educación primaria  y  secundaria  inclusiva,  de  calidad  y  gratuita,  en</w:t>
        <w:br/>
        <w:t>igualdad de condiciones con las demás, en la comunidad en que vivan”.</w:t>
        <w:br/>
        <w:br/>
        <w:t>[276]       Oficina del Alto Comisionado de las  Naciones  Unidas  para  los</w:t>
        <w:br/>
        <w:t>Derechos Humanos (OACNUDH) y el Programa Conjunto  de  las  Naciones  Unidas</w:t>
        <w:br/>
        <w:t>sobre el VIH/SIDA (ONUSIDA), Directrices internacionales sobre  el  VIH/SIDA</w:t>
        <w:br/>
        <w:t>y los derechos humanos. Versión consolidada de 2006, párr. 137.</w:t>
        <w:br/>
        <w:br/>
        <w:t>[277]       Cfr. Caso Apitz  Barbera  y  otros  Vs.  Venezuela.  Excepción</w:t>
        <w:br/>
        <w:t>Preliminar, Fondo, Reparaciones y Costas. Sentencia  de  5  de  agosto  de</w:t>
        <w:br/>
        <w:t>2008. Serie C No. 182, párr. 209, y Caso Granier y  otros  (Radio  Caracas</w:t>
        <w:br/>
        <w:t>Televisión) Vs. Venezuela. Excepciones Preliminares, Fondo, Reparaciones y</w:t>
        <w:br/>
        <w:t>Costas. Sentencia de 22 de junio de 2015. Serie C No. 293,  párrs.  216  a</w:t>
        <w:br/>
        <w:t>218.</w:t>
        <w:br/>
        <w:br/>
        <w:t>[278]       Sentencia de amparo del Tercer Tribunal  de  lo  Contencioso  de</w:t>
        <w:br/>
        <w:t>Cuenca de 11 de febrero de 2000 (expediente de prueba, folio 1148).</w:t>
        <w:br/>
        <w:br/>
        <w:t>[279]       Sentencia de amparo del Tercer Tribunal  de  lo  Contencioso  de</w:t>
        <w:br/>
        <w:t>Cuenca de 11 de febrero de 2000 (expediente de prueba, folio 1148).</w:t>
        <w:br/>
        <w:br/>
        <w:t>[280]       Sentencia de amparo del Tercer Tribunal  de  lo  Contencioso  de</w:t>
        <w:br/>
        <w:t>Cuenca de 11 de febrero de 2000 (expediente de prueba, folio 1149).</w:t>
        <w:br/>
        <w:br/>
        <w:t>[281]       Audiencia pública de la Acción de amparo constitucional de 9  de</w:t>
        <w:br/>
        <w:t>febrero de 2000 (expediente de prueba, folio 1132).</w:t>
        <w:br/>
        <w:br/>
        <w:t>[282]       Audiencia pública de la Acción de amparo constitucional de 9  de</w:t>
        <w:br/>
        <w:t>febrero de 2000 (expediente de prueba, folio 1132).</w:t>
        <w:br/>
        <w:br/>
        <w:t>[283]       Audiencia pública de la Acción de amparo constitucional de 9  de</w:t>
        <w:br/>
        <w:t>febrero de 2000 (expediente de prueba, folio 1133).</w:t>
        <w:br/>
        <w:br/>
        <w:t>[284]       Audiencia pública de la Acción de amparo constitucional de 9  de</w:t>
        <w:br/>
        <w:t>febrero de 2000 (expediente de prueba, folio 1134).</w:t>
        <w:br/>
        <w:br/>
        <w:t>[285]       Audiencia pública de la Acción de amparo constitucional de 9  de</w:t>
        <w:br/>
        <w:t>febrero de 2000 (expediente de prueba, folio 1134).</w:t>
        <w:br/>
        <w:br/>
        <w:t>[286]       Audiencia pública de la Acción de amparo constitucional de 9  de</w:t>
        <w:br/>
        <w:t>febrero de 2000 (expediente de prueba, folio 1134).</w:t>
        <w:br/>
        <w:br/>
        <w:t>[287]       Audiencia pública de la Acción de amparo constitucional de 9  de</w:t>
        <w:br/>
        <w:t>febrero de 2000 (expediente de prueba, folio 1134).</w:t>
        <w:br/>
        <w:br/>
        <w:t>[288]       Audiencia pública de la Acción de amparo constitucional de 9  de</w:t>
        <w:br/>
        <w:t>febrero de 2000 (expediente de prueba, folio 1135).</w:t>
        <w:br/>
        <w:br/>
        <w:t>[289]       Audiencia pública de la Acción de amparo constitucional de 9  de</w:t>
        <w:br/>
        <w:t>febrero de 2000 (expediente de prueba, folio 1135).</w:t>
        <w:br/>
        <w:br/>
        <w:t>[290]       Oficio de JOM de 21 de diciembre de 1999 (expediente de  prueba,</w:t>
        <w:br/>
        <w:t>folio 1138).</w:t>
        <w:br/>
        <w:br/>
        <w:t>[291]       Oficio de NV de 7 de diciembre de 1999  (expediente  de  prueba,</w:t>
        <w:br/>
        <w:t>folio 1139).</w:t>
        <w:br/>
        <w:br/>
        <w:t>[292]       Oficio de RG de 10 de febrero de  2000  (expediente  de  prueba,</w:t>
        <w:br/>
        <w:t>folios 1140 y 1141).</w:t>
        <w:br/>
        <w:br/>
        <w:t>[293]       Sentencia de amparo del Tercer Tribunal  de  lo  Contencioso  de</w:t>
        <w:br/>
        <w:t>Cuenca de 11 de febrero de 2000, (expediente de prueba, folio 1148).</w:t>
        <w:br/>
        <w:br/>
        <w:t>[294]       Sentencia de amparo del Tercer Tribunal  de  lo  Contencioso  de</w:t>
        <w:br/>
        <w:t>Cuenca de 11 de febrero de 2000, (expediente de prueba, folio 1148).</w:t>
        <w:br/>
        <w:br/>
        <w:t>[295]       Sentencia de amparo del Tercer Tribunal  de  lo  Contencioso  de</w:t>
        <w:br/>
        <w:t>Cuenca de 11 de febrero de 2000, (expediente de prueba, folio 1148).</w:t>
        <w:br/>
        <w:br/>
        <w:t>[296]       Sentencia de amparo del Tercer Tribunal  de  lo  Contencioso  de</w:t>
        <w:br/>
        <w:t>Cuenca de 11 de febrero de 2000, (expediente de prueba, folio 1148).</w:t>
        <w:br/>
        <w:br/>
        <w:t>[297]       Ver Caso Atala Riffo y Niñas Vs. Chile.  Fondo,  Reparaciones  y</w:t>
        <w:br/>
        <w:t>Costas. Sentencia del 24 de febrero de 2012. Serie C No. 239, párr. 81,  que</w:t>
        <w:br/>
        <w:t>cita la definición del Comité de Derechos Humanos  del  Pacto  Internacional</w:t>
        <w:br/>
        <w:t>de Derechos  Civiles  y  Políticos.  Naciones  Unidas,  Comité  de  Derechos</w:t>
        <w:br/>
        <w:t>Humanos, Observación General No. 18, No discriminación, 10 de  noviembre  de</w:t>
        <w:br/>
        <w:t>1989, CCPR/C/37, párr. 6. Dicho Comité elaboró tal definición, en el  ámbito</w:t>
        <w:br/>
        <w:t>universal,  tomando   como   base   las   definiciones   de   discriminación</w:t>
        <w:br/>
        <w:t>establecidas en el artículo 1.1 de  la  Convención  Internacional  sobre  la</w:t>
        <w:br/>
        <w:t>Eliminación de todas las Formas de Discriminación Racial y el  artículo  1.1</w:t>
        <w:br/>
        <w:t>de la Convención sobre la Eliminación de Todas las Formas de  Discriminación</w:t>
        <w:br/>
        <w:t>contra la Mujer. En el ámbito interamericano, la  Convención  Interamericana</w:t>
        <w:br/>
        <w:t>para la Eliminación  de  todas  las  Formas  de  Discriminación  contra  las</w:t>
        <w:br/>
        <w:t>Personas con  Discapacidad  ha  desarrollado  la  siguiente  definición:  El</w:t>
        <w:br/>
        <w:t>término "discriminación contra  las  personas  con  discapacidad"  significa</w:t>
        <w:br/>
        <w:t>toda  distinción,  exclusión  o  restricción  basada  en  una  discapacidad,</w:t>
        <w:br/>
        <w:t>antecedente  de  discapacidad,  consecuencia  de  discapacidad  anterior   o</w:t>
        <w:br/>
        <w:t>percepción de una discapacidad presente o pasada,  que  tenga  el  efecto  o</w:t>
        <w:br/>
        <w:t>propósito de impedir o anular el reconocimiento, goce o ejercicio por  parte</w:t>
        <w:br/>
        <w:t>de las personas con discapacidad,  de  sus  derechos  humanos  y  libertades</w:t>
        <w:br/>
        <w:t>fundamentales […].</w:t>
        <w:br/>
        <w:br/>
        <w:t>[298]        Comité  de  Derechos   Económicos,   Sociales   y   Culturales,</w:t>
        <w:br/>
        <w:t>‘Observación General No. 14: El derecho  al  disfrute  del  más  alto  nivel</w:t>
        <w:br/>
        <w:t>posible de salud’ de 11 de agosto de 2000. UN Doc E/C.12/2000/4, párr. 18.</w:t>
        <w:br/>
        <w:br/>
        <w:t>[299]       Comité  de  los  Derechos  del  Niño  de  las  Naciones  Unidas,</w:t>
        <w:br/>
        <w:t>‘Observación General No. 3:  El VIH/SIDA y los derechos del niño’ de  17  de</w:t>
        <w:br/>
        <w:t>marzo de 2003. UN Doc CRC/GC/2003/3, párr. 9.</w:t>
        <w:br/>
        <w:br/>
        <w:t>[300]       Al respecto la antigua Comisión señaló que:  “discrimination  on</w:t>
        <w:br/>
        <w:t>the basis of AIDS or HIV  status,  actual  or  presumed,  is  prohibited  by</w:t>
        <w:br/>
        <w:t>existing international human rights standards, and that the term  "or  other</w:t>
        <w:br/>
        <w:t>status" in  non-discrimination  provisions  in  international  human  rights</w:t>
        <w:br/>
        <w:t>texts can be interpreted to cover health status,  including  HIV/AIDS”  Cfr.</w:t>
        <w:br/>
        <w:t>The Protection of Human Rights in  the  Context  of  Human  Immunodeficiency</w:t>
        <w:br/>
        <w:t>Virus (HIV) and Acquired Immune Deficiency Syndrome (AIDS),  United  Nations</w:t>
        <w:br/>
        <w:t>Commission on Human Rights, Resolution 1995/44, 3 March 1995, párr. 1.</w:t>
        <w:br/>
        <w:br/>
        <w:t>[301]       Comisión de Derechos Humanos de las  Naciones  Unidas,  ‘Informe</w:t>
        <w:br/>
        <w:t>del Relator Especial de la Comisión de Derechos Humanos sobre el derecho  de</w:t>
        <w:br/>
        <w:t>toda persona al disfrute del más  alto  nivel  posible  de  salud  física  y</w:t>
        <w:br/>
        <w:t>mental’, 2003 UN Doc E/CN.4/2003/58 15, párrs. 64 a 75; Asamblea General  de</w:t>
        <w:br/>
        <w:t>las Naciones Unidas,  ‘Informe  del  Relator  Especial  de  la  Comisión  de</w:t>
        <w:br/>
        <w:t>Derechos Humanos sobre el derecho de toda persona al disfrute del  más  alto</w:t>
        <w:br/>
        <w:t>nivel posible de salud física y mental’. (2010) UN Doc A/65/255, párr. 8.</w:t>
        <w:br/>
        <w:br/>
        <w:t>[302]       “[…] Classifications based on race or national  origin  […]  and</w:t>
        <w:br/>
        <w:t>classifications  affecting  fundamental  rights,  […]  are  given  the  most</w:t>
        <w:br/>
        <w:t>exacting scrutiny. Between these  extremes  of  rational  basis  review  and</w:t>
        <w:br/>
        <w:t>strict scrutiny lies a level of intermediate scrutiny, which  generally  has</w:t>
        <w:br/>
        <w:t>been  applied  to   discriminatory   classifications   based   on   sex   or</w:t>
        <w:br/>
        <w:t>illegitimacy.  […]  To  withstand   intermediate   scrutiny,   a   statutory</w:t>
        <w:br/>
        <w:t>classification must be substantially related to  an  important  governmental</w:t>
        <w:br/>
        <w:t>objective”. Cfr. Clark v. Jeter, 486 U.S.  456,  461  (1988);  Korematsu  v.</w:t>
        <w:br/>
        <w:t>United States, 323 U.S. 214, 216 (1944) y  McLaughlin v. Florida,  379  U.S.</w:t>
        <w:br/>
        <w:t>184, 196 (1964).</w:t>
        <w:br/>
        <w:br/>
        <w:t>[303]       En las sentencias C-093 de 2001 y C-671 de 2001, se  explicó  el</w:t>
        <w:br/>
        <w:t>alcance de este tipo de escrutinio, denominado test integrado  de  igualdad:</w:t>
        <w:br/>
        <w:t>“[a] fin de determinar  si  el  trato  discriminatorio  vulnera  el  derecho</w:t>
        <w:br/>
        <w:t>fundamental a la igualdad, la Corte ha elaborado un modelo de  análisis  que</w:t>
        <w:br/>
        <w:t>integra el juicio de proporcionalidad y el test de igualdad. Lo que en  este</w:t>
        <w:br/>
        <w:t>modelo se hace, básicamente, es retomar y armonizar los elementos  del  test</w:t>
        <w:br/>
        <w:t>o juicio de  proporcionalidad  europeo  con  los  aportes  de  la  tendencia</w:t>
        <w:br/>
        <w:t>estadounidense. Así, se emplean las etapas metodológicas del  test  europeo,</w:t>
        <w:br/>
        <w:t>que comprende las siguientes fases de análisis: (i) se examina si la  medida</w:t>
        <w:br/>
        <w:t>es o no adecuada, es  decir,  si  constituye  o  no  un  medio  idóneo  para</w:t>
        <w:br/>
        <w:t>alcanzar un fin constitucionalmente válido; (ii)  se  analiza  si  el  trato</w:t>
        <w:br/>
        <w:t>diferente es o no necesario o indispensable; y (iii) se realiza un  análisis</w:t>
        <w:br/>
        <w:t>de proporcionalidad  en  estricto  sentido,  para  determinar  si  el  trato</w:t>
        <w:br/>
        <w:t>desigual no sacrifica  valores  y  principios  constitucionales  que  tengan</w:t>
        <w:br/>
        <w:t>mayor relevancia que los  alcanzados  con  la  medida  diferencia.  De  otra</w:t>
        <w:br/>
        <w:t>parte, se toman los distintos niveles de intensidad en la aplicación de  los</w:t>
        <w:br/>
        <w:t>escrutinios o tests de igualdad. Dichos  niveles  pueden  variar  entre  (i)</w:t>
        <w:br/>
        <w:t>estricto,  en  el  cual  el  trato  diferente  debe  constituir  una  medida</w:t>
        <w:br/>
        <w:t>necesaria para alcanzar  un  objetivo  constitucionalmente  imperioso;  (ii)</w:t>
        <w:br/>
        <w:t>intermedio,  es  aquel   en   el   cual   el   fin   debe   ser   importante</w:t>
        <w:br/>
        <w:t>constitucionalmente y el medio debe ser altamente conducente para lograr  el</w:t>
        <w:br/>
        <w:t>fin propuesto; y (iii) flexible o de mera razonabilidad,  es  decir  que  es</w:t>
        <w:br/>
        <w:t>suficiente con que la medida sea potencialmente adecuada  para  alcanzar  un</w:t>
        <w:br/>
        <w:t>propósito que no esté prohibido por el ordenamiento. Lo anterior debe  tener</w:t>
        <w:br/>
        <w:t>aplicación, según el carácter de la  disposición  legislativa  o  la  medida</w:t>
        <w:br/>
        <w:t>administrativa atacada”. El test  integrado  fue  aplicado  en  un  caso  de</w:t>
        <w:br/>
        <w:t>discriminación por VIH en la sentencia T-376 de 2013.</w:t>
        <w:br/>
        <w:br/>
        <w:t>[304]       “Presunción de  inconstitucionalidad  de  la  norma  local  sólo</w:t>
        <w:br/>
        <w:t>podía ser levantada por la provincia  demandada  con  una  cuidadosa  prueba</w:t>
        <w:br/>
        <w:t>sobre los fines que había intentado resguardar y sobre los medios que  había</w:t>
        <w:br/>
        <w:t>utilizado al efecto. En cuanto a los primeros, deben ser sustanciales  y  no</w:t>
        <w:br/>
        <w:t>bastará que sean meramente convenientes. En  cuanto  a  los  segundos,  será</w:t>
        <w:br/>
        <w:t>insuficiente  una  genérica  "adecuación"  a  los  fines,  sino  que  deberá</w:t>
        <w:br/>
        <w:t>juzgarse si los promueven efectivamente  y,  además,  si  no  existen  otras</w:t>
        <w:br/>
        <w:t>alternativas  menos  restrictivas  para  los  derechos  en  juego  que   las</w:t>
        <w:br/>
        <w:t>impuestas por la regulación cuestionada”. Corte Suprema de  Justicia  de  la</w:t>
        <w:br/>
        <w:t>Nación de Argentina, Caso Hooft, Pedro Cornelio Federico  c/  Buenos  Aires,</w:t>
        <w:br/>
        <w:t>Provincia de s/ acción declarativa de inconstitucionalidad, 16 de  noviembre</w:t>
        <w:br/>
        <w:t>de 2004, párr. 6.</w:t>
        <w:br/>
        <w:br/>
        <w:t>[305]       La Sala Constitucional ha enfatizado que cuando se  imponen  las</w:t>
        <w:br/>
        <w:t>restricciones innecesarias e irrazonables en el lugar de empleo  a  personas</w:t>
        <w:br/>
        <w:t>con SIDA constituye una discriminación. Se exige una  justificación  fuerte,</w:t>
        <w:br/>
        <w:t>razonable  y  proporcionada  de  toda  distinción  de  trato   o   de   toda</w:t>
        <w:br/>
        <w:t>singularidad normativa. Corte Suprema de Justicia de Costa  Rica.  Sentencia</w:t>
        <w:br/>
        <w:t xml:space="preserve">nº 01874 de 29 de enero de 2010. </w:t>
        <w:br/>
        <w:br/>
        <w:t>[306]       Cfr. Mutatis mutandi, Caso Atala Riffo y Niñas Vs. Chile,  párr.</w:t>
        <w:br/>
        <w:t>124 y Caso Granier y otros (Radio Caracas Televisión) Vs.  Venezuela,  párr.</w:t>
        <w:br/>
        <w:t>228.</w:t>
        <w:br/>
        <w:br/>
        <w:t>[307]       Este principio exige que una medida tenga  un  fin  o  propósito</w:t>
        <w:br/>
        <w:t>legítimo, y que sea  un  medio  adecuado,  necesario  y  proporcionado  para</w:t>
        <w:br/>
        <w:t>alcanzar  el  propósito.  Para  ello,  la  Corte:  i)   verificará   si   la</w:t>
        <w:br/>
        <w:t>diferenciación de trato se fundamentó en una finalidad legítima  de  acuerdo</w:t>
        <w:br/>
        <w:t>con la Convención; ii) examinará si la diferenciación fue adecuada o  idónea</w:t>
        <w:br/>
        <w:t>para lograr la finalidad  perseguida,  es  decir  si  existió  una  relación</w:t>
        <w:br/>
        <w:t>lógica de medio a fin entre el objetivo y el medio.  (Cfr.  Caso  Kimel  Vs.</w:t>
        <w:br/>
        <w:t>Argentina, párr. 70);  iii)  evaluará  la  necesidad  de  tal  medida,  esto</w:t>
        <w:br/>
        <w:t>requiere examinar si  hay  alternativas  existentes  para  alcanzar  el  fin</w:t>
        <w:br/>
        <w:t>legítimo perseguido y precisar la mayor o menor lesividad de aquéllas  (Cfr.</w:t>
        <w:br/>
        <w:t>Caso Chaparro Álvarez y Lapo Íñiguez Vs. Ecuador. Excepciones  Preliminares,</w:t>
        <w:br/>
        <w:t>Fondo, Reparaciones y Costas. Sentencia de 21 de noviembre de 2007. Serie  C</w:t>
        <w:br/>
        <w:t>No. 170, párr. 93; Caso  Kimel  Vs.  Argentina,  párr.  74;  Caso  Castañeda</w:t>
        <w:br/>
        <w:t>Gutman Vs. México, párr. 196; Caso Usón  Ramírez  Vs.  Venezuela.  Excepción</w:t>
        <w:br/>
        <w:t>Preliminar, Fondo, Reparaciones y Costas. Sentencia de 20  de  noviembre  de</w:t>
        <w:br/>
        <w:t>2009.  Serie  C  No.  207,  párr.  72),  y   iv)   analizará   la   estricta</w:t>
        <w:br/>
        <w:t>proporcionalidad de la medida, es  decir,  si  la  diferenciación  de  trato</w:t>
        <w:br/>
        <w:t>garantizó en forma amplia el fin legítimo perseguido,  sin  hacer  nugatorio</w:t>
        <w:br/>
        <w:t>el derecho a la igualdad y el derecho a la  educación.  Para  efectuar  esta</w:t>
        <w:br/>
        <w:t>ponderación se debe analizar tres elementos: el grado de afectación  de  uno</w:t>
        <w:br/>
        <w:t>de los bienes en juego, determinando si la intensidad  de  dicha  afectación</w:t>
        <w:br/>
        <w:t>fue grave, intermedia o moderada; la  importancia  de  la  satisfacción  del</w:t>
        <w:br/>
        <w:t>bien contrario; y si la satisfacción de éste justifica  la  restricción  del</w:t>
        <w:br/>
        <w:t>otro (Caso Kimel Vs. Argentina, párr. 84; Caso Usón Ramírez  Vs.  Venezuela,</w:t>
        <w:br/>
        <w:t>párr. 80; Caso Artavia Murillo y otros  (Fecundación  in  vitro)  Vs.  Costa</w:t>
        <w:br/>
        <w:t>Rica, párrs. 273 y 274, y Caso Granier y otros  (Radio  Caracas  Televisión)</w:t>
        <w:br/>
        <w:t>Vs. Venezuela, párr. 144).</w:t>
        <w:br/>
        <w:br/>
        <w:t>[308]       Cfr. TEDH. Caso Kiyutin v. Rusia (Demanda no.  2700/10),  15  de</w:t>
        <w:br/>
        <w:t>Septiembre de 2011. Por su parte, la Corte Constitucional  de  Colombia,  al</w:t>
        <w:br/>
        <w:t>analizar la violación del derecho a la igualdad de un estudiante con  VIH  a</w:t>
        <w:br/>
        <w:t>quien se le prohibió la realización  de  sus  prácticas  estudiantiles  como</w:t>
        <w:br/>
        <w:t>auxiliar de enfermería en  un  hospital  por  alegado  riesgo  de  contagio,</w:t>
        <w:br/>
        <w:t>señaló que era necesario un juicio estricto de  igualdad  habida  cuenta  de</w:t>
        <w:br/>
        <w:t>que el trato diferenciado se fundamentó (i) en  un  criterio  sospechoso  de</w:t>
        <w:br/>
        <w:t>discriminación (estado de salud del accionante por ser portador del VIH);  y</w:t>
        <w:br/>
        <w:t>(ii) porque con la medida  se  podrían  estar  restringiendo  ilegítimamente</w:t>
        <w:br/>
        <w:t>derechos fundamentales como la educación o  el  derecho  a  la  libertad  de</w:t>
        <w:br/>
        <w:t>elección de profesión u oficio, entre  otros  de  una  persona  que  por  su</w:t>
        <w:br/>
        <w:t>condición de salud se encuentra en una situación  de  debilidad  manifiesta.</w:t>
        <w:br/>
        <w:t>La Corte Constitucional señaló que “[l]a mera condición de portador del  VIH</w:t>
        <w:br/>
        <w:t>no puede ser argumento para  descomponer  de  un  tajo  la  profesión  o  la</w:t>
        <w:br/>
        <w:t>carrera de una persona a pesar de  ser  portadora  del  VIH,  ya  que  dicha</w:t>
        <w:br/>
        <w:t>condición no constituye  razón  suficiente  para  plantear  alternativas  de</w:t>
        <w:br/>
        <w:t>reubicación profesional […] Los factores determinantes del  riesgo  para  la</w:t>
        <w:br/>
        <w:t>salud de un profesional de salud infectado con el  VIH,  están  relacionados</w:t>
        <w:br/>
        <w:t>con su estado inmunológico, el  tipo  de  ambiente  ocupacional  al  que  se</w:t>
        <w:br/>
        <w:t>exponga y al correcto uso de las barreras de protección ya que  la  práctica</w:t>
        <w:br/>
        <w:t>cuidadosa de los procedimientos de control de infecciones,  protegen  a  los</w:t>
        <w:br/>
        <w:t>pacientes y a los proveedores de atención en salud, contra las  enfermedades</w:t>
        <w:br/>
        <w:t>infecto-contagiosas. Por ello, en principio las medidas restrictivas que  se</w:t>
        <w:br/>
        <w:t>adopten contra este grupo históricamente discriminado, no pueden  significar</w:t>
        <w:br/>
        <w:t>el confinamiento del ejercicio de su profesión, por su mera  condición,  así</w:t>
        <w:br/>
        <w:t>que en cada caso concreto deberán analizarse las particularidades del  mismo</w:t>
        <w:br/>
        <w:t>y observar si la medida restrictiva o el trato diferencial se adapta o no  a</w:t>
        <w:br/>
        <w:t>la Constitución”. Ver Sentencia T-948 de  2008.  Por  su  parte  la  Suprema</w:t>
        <w:br/>
        <w:t>Corte de Justicia de la Nación de México ha señalado que el despido  de  las</w:t>
        <w:br/>
        <w:t>fuerzas armadas por seropositividad para el VIH era  ilegal  porque  violaba</w:t>
        <w:br/>
        <w:t>el principio constitucional de discriminación por razón  de  salud.  Suprema</w:t>
        <w:br/>
        <w:t>Corte de Justicia de México en pleno 131/2007. Amparo en revisión 307/2007.</w:t>
        <w:br/>
        <w:br/>
        <w:t>[309]       TEDH. Caso  Kiyutin  v.  Rusia  (Demanda  no.  2700/10),  15  de</w:t>
        <w:br/>
        <w:t>Septiembre de 2011.</w:t>
        <w:br/>
        <w:br/>
        <w:t>[310]       En similar sentido, la Corte Constitucional de Colombia  analizó</w:t>
        <w:br/>
        <w:t>la discriminación contra una persona con VIH privada de libertad, quien  por</w:t>
        <w:br/>
        <w:t>ser  víctima  de  constantes  agresiones  en  razón  de  su  condición,  fue</w:t>
        <w:br/>
        <w:t>trasladado a un centro carcelario ubicado en otra ciudad en la  cual  además</w:t>
        <w:br/>
        <w:t>residía su  familia.  Sin  embargo,  mediante  resolución  se  le  volvió  a</w:t>
        <w:br/>
        <w:t>trasladar a  la  cárcel  anterior  donde  había  sido  víctima  de  diversas</w:t>
        <w:br/>
        <w:t>agresiones.  Las  instituciones  carcelarias  para  justificar  el  traslado</w:t>
        <w:br/>
        <w:t>alegaron que  dicha  persona  amenazaba  con  inyectar  su  sangre  a  otras</w:t>
        <w:br/>
        <w:t>personas privadas de  libertad.  La  Corte  Constitucional  aseveró  que  la</w:t>
        <w:br/>
        <w:t>condición médica  y  en  particular  el  tener  VIH/SIDA  es  una  categoría</w:t>
        <w:br/>
        <w:t>protegida y criterio sospechoso de diferenciación.  Al  efectuar  un  juicio</w:t>
        <w:br/>
        <w:t>estricto de igualdad se señaló que: “si bien la seguridad  de  la  población</w:t>
        <w:br/>
        <w:t>carcelaria y principalmente la importancia de evitar  que  una  persona  les</w:t>
        <w:br/>
        <w:t>inyecte sangre con el virus del VIH podría considerarse un  fin  legítimo  e</w:t>
        <w:br/>
        <w:t>incluso imperioso, y el traslado de la cárcel de  Barranquilla  a  Sincelejo</w:t>
        <w:br/>
        <w:t>parece adecuado para conseguirlo, no considera la Sala que se trate  de  una</w:t>
        <w:br/>
        <w:t>medida necesaria, pues las directivas  de  la  institución  deben  estar  en</w:t>
        <w:br/>
        <w:t>capacidad de controlar el acceso de jeringas y otros  elementos  de  riesgo,</w:t>
        <w:br/>
        <w:t>especialmente  en  caso  de  tener  identificada  una   amenaza   de   tales</w:t>
        <w:br/>
        <w:t>características; poseen, además, la obligación de  controlar  los  actos  de</w:t>
        <w:br/>
        <w:t>violencia entre las personas privadas de la libertad, y el deber de  otorgar</w:t>
        <w:br/>
        <w:t>una atención psicológica y  social  adecuada,  suponiendo  que  una  persona</w:t>
        <w:br/>
        <w:t>desplegara una amenaza  de  esa  entidad.  De  igual  forma,  la  medida  es</w:t>
        <w:br/>
        <w:t>evidentemente desproporcionada  pues  la  afectación  de  los  derechos  del</w:t>
        <w:br/>
        <w:t>actor, una persona de especial protección constitucional es  particularmente</w:t>
        <w:br/>
        <w:t>intensa, mientras que no se encuentra fácticamente  demostrada  la  supuesta</w:t>
        <w:br/>
        <w:t>amenaza a la seguridad pública de la penitenciaría, en tanto el Director  de</w:t>
        <w:br/>
        <w:t>El Bosque se limita  a  señalar  que  “al  parecer”  dos  internos  con  VIH</w:t>
        <w:br/>
        <w:t>pretenden atacar a toda la población carcelaria. Y es en  este  punto  donde</w:t>
        <w:br/>
        <w:t>se  demuestra  con   toda   claridad   la   existencia   de   una   conducta</w:t>
        <w:br/>
        <w:t>discriminatoria dirigida en contra del peticionario por parte  del  Director</w:t>
        <w:br/>
        <w:t>de la cárcel El Bosque, pues la Sala  encuentra  que  sin  sustento  fáctico</w:t>
        <w:br/>
        <w:t>alguno,  este  funcionario  atribuye  a Rubén una  conducta  particularmente</w:t>
        <w:br/>
        <w:t>censurable, aspecto en el que este caso difiere de otros en los  que  se  ha</w:t>
        <w:br/>
        <w:t>aplicado una presunción de discriminación, lo  que  indica  el  uso  de  una</w:t>
        <w:br/>
        <w:t>regla  de  apreciación  de  las  pruebas  destinada  a  llenar  los   vacíos</w:t>
        <w:br/>
        <w:t>probatorios  derivados  de  la  dificultad   de   demostrar   un   acto   de</w:t>
        <w:br/>
        <w:t>discriminación”. Sentencia T-376 de 2013.</w:t>
        <w:br/>
        <w:br/>
        <w:t>[311]       Cfr.  Caso  Norín  Catrimán  y  otros  (Dirigentes,  miembros  y</w:t>
        <w:br/>
        <w:t>activista del Pueblo Indígena Mapuche)  Vs.  Chile.  Fondo,  Reparaciones  y</w:t>
        <w:br/>
        <w:t>Costas. Sentencia de 29 de mayo de 2014. Serie C No. 279,  párr.226  y  Caso</w:t>
        <w:br/>
        <w:t>Caso Atala Riffo y Niñas Vs. Chile, párr. 95.</w:t>
        <w:br/>
        <w:br/>
        <w:t>[312]       Por el contrario, altas cortes como la  Sala  Constitucional  de</w:t>
        <w:br/>
        <w:t>la Corte Suprema de Justicia de Costa  Rica  han  señalado  que  el  interés</w:t>
        <w:br/>
        <w:t>superior del niño prevalece  en  determinados  casos  sobre  otros  derechos</w:t>
        <w:br/>
        <w:t>legítimos, así como respecto al deber estatal de garantizar el derecho a  la</w:t>
        <w:br/>
        <w:t>educación y a adoptar medidas para eliminar la discriminación en materia  de</w:t>
        <w:br/>
        <w:t>educación. Ello fue señalado en el caso de un niño con síndrome de  Asperger</w:t>
        <w:br/>
        <w:t>que se encontraba bajo tutela del Patronato Nacional de la  Infancia  y  que</w:t>
        <w:br/>
        <w:t>no estaba siendo llevado a la escuela  porque  el  Patronato  alegó  que  no</w:t>
        <w:br/>
        <w:t>tenía los medios para darle acceso  al  derecho  a  la  educación.  La  Sala</w:t>
        <w:br/>
        <w:t>Constitucional de la Corte Suprema determinó que, en atención  al  principio</w:t>
        <w:br/>
        <w:t>del interés superior del niño, “el derecho del menor, dependiendo  del  caso</w:t>
        <w:br/>
        <w:t>concreto, prevalece frente a otros derechos, aunque estos  sean  legítimos”.</w:t>
        <w:br/>
        <w:t>Además, señaló que, en materia de educación, las  adecuaciones  curriculares</w:t>
        <w:br/>
        <w:t>también implican adecuaciones de acceso, para garantizar  el  derecho  a  la</w:t>
        <w:br/>
        <w:t>educación en condiciones de igualdad.  La  Sala  consideró  que  “cuando  un</w:t>
        <w:br/>
        <w:t>menor necesita adecuaciones especiales para su aprendizaje, el derecho a  la</w:t>
        <w:br/>
        <w:t>educación no se garantiza con el mero ingreso a una  institución  educativa,</w:t>
        <w:br/>
        <w:t>sino que debe brindársele de acuerdo con sus necesidades. De no ser así,  el</w:t>
        <w:br/>
        <w:t>menor estudiaría en condiciones discriminatorias”. Asimismo, resaltó que  el</w:t>
        <w:br/>
        <w:t>Estado debe adoptar medidas para eliminar progresivamente la  discriminación</w:t>
        <w:br/>
        <w:t>y proveer a las personas con discapacidad los servicios de  apoyo  y  ayudas</w:t>
        <w:br/>
        <w:t>técnicas requeridas para garantizar el ejercicio de sus derechos y  deberes.</w:t>
        <w:br/>
        <w:t>Sentencia  de  la  Corte  Suprema  de   Justicia   de   Costa   Rica,   Sala</w:t>
        <w:br/>
        <w:t>Constitucional.  Resolución  N°  2014-012897   de   2014.   Disponible   en:</w:t>
        <w:br/>
        <w:t>http://jurisprudencia.poder-</w:t>
        <w:br/>
        <w:t>judicial.go.cr/SCIJ_PJ/busqueda/jurisprudencia/jur_Documento.aspx?param1=Fic</w:t>
        <w:br/>
        <w:t>ha_Sentencia&amp;nValor1=1&amp;nValor2=631082&amp;strTipM=T&amp;strDirSel=directo</w:t>
        <w:br/>
        <w:br/>
        <w:t>[313]       ONU, Comité  de  Derechos  Económicos,  Sociales  y  Culturales.</w:t>
        <w:br/>
        <w:t>Observación General 13, El derecho a la educación (artículo  13  del  Pacto)</w:t>
        <w:br/>
        <w:t>U.N. Doc. E/C.12/1999/10, párr. 6.</w:t>
        <w:br/>
        <w:br/>
        <w:t>[314]       Comité de Derechos del Niño. Observación General  1,  Propósitos</w:t>
        <w:br/>
        <w:t>de la educación. U.N. Doc. HRI/GEN/1/Rev.7 at 332, párr. 9.</w:t>
        <w:br/>
        <w:br/>
        <w:t>[315]       La antigua Comisión estableció: “Pide además a los  Estados  que</w:t>
        <w:br/>
        <w:t>adopten todas las medidas  necesarias,  incluidos  programas  apropiados  de</w:t>
        <w:br/>
        <w:t>educación,  formación  y  de   medios   de   difusión   para   combatir   la</w:t>
        <w:br/>
        <w:t>discriminación, los prejuicios y la estigmatización, y  para  garantizar  el</w:t>
        <w:br/>
        <w:t>pleno disfrute de los derechos civiles, políticos,  económicos,  sociales  y</w:t>
        <w:br/>
        <w:t>culturales por las personas infectadas y afectadas por  el  VIH/SIDA”.  Cfr.</w:t>
        <w:br/>
        <w:t>Organización de Naciones Unidas, Comisión de  Derechos  Humanos.  Protección</w:t>
        <w:br/>
        <w:t>de  los  derechos  humanos  de  las  personas  infectada  con  el  virus  de</w:t>
        <w:br/>
        <w:t>inmunodeficiencia humana  (VIH)  y  con  el  síndrome  de  inmunodeficiencia</w:t>
        <w:br/>
        <w:t>adquirida (SIDA). U.N. Doc. E/CN.4/RES/1999/49 27 de abril  de  1999,  párr.</w:t>
        <w:br/>
        <w:t>7.</w:t>
        <w:br/>
        <w:br/>
        <w:t>[316]       Así por ejemplo, la Corte Constitucional de  Colombia  tuvo  que</w:t>
        <w:br/>
        <w:t>analizar el ya mencionado caso donde se discutía si se vulneraba el  derecho</w:t>
        <w:br/>
        <w:t>a la igualdad de un estudiante por la decisión de un hospital de impedir  en</w:t>
        <w:br/>
        <w:t>sus  instalaciones  las  prácticas  profesionales  que  debía  cumplir  como</w:t>
        <w:br/>
        <w:t>requisito para optar por  el  título  de  auxiliar  de  enfermería,  con  el</w:t>
        <w:br/>
        <w:t>argumento de ser portador del (VIH/SIDA),  dado  que  ello  representaba  un</w:t>
        <w:br/>
        <w:t>riesgo tanto para los pacientes como para él, debido a la naturaleza de  las</w:t>
        <w:br/>
        <w:t>actividades que se desarrollan en este  tipo  de  prácticas  médicas.  Dicha</w:t>
        <w:br/>
        <w:t>Corte señaló que, al momento de ponderar temas del riesgo de las personas  y</w:t>
        <w:br/>
        <w:t>la situación de una persona que portadora del VIH:</w:t>
        <w:br/>
        <w:br/>
        <w:t>“Retomando la aplicación del test al presente caso y ponderando lo  plasmado</w:t>
        <w:br/>
        <w:t>en los conceptos trascritos, la  decisión  asumida  por  el  gerente  de  la</w:t>
        <w:br/>
        <w:t>entidad accionada, consistente en impedir el  desarrollo  de  las  prácticas</w:t>
        <w:br/>
        <w:t>profesionales  en  las  instalaciones  de  la   Clínica,   argumentando   la</w:t>
        <w:br/>
        <w:t>protección del señor X-503 por ser portador del VIH y la  de  los  pacientes</w:t>
        <w:br/>
        <w:t>que pudiesen tener contacto con él,  la  Sala  concluye  que  la  medida  no</w:t>
        <w:br/>
        <w:t>resulta  necesaria,  ya  que  un  estudiante  auxiliar  de  enfermería  está</w:t>
        <w:br/>
        <w:t>expuesto a los mismos riesgos que genera un entorno hospitalario en el  cual</w:t>
        <w:br/>
        <w:t>se desarrollan actividades propias de esta profesión, lo cual,  en  el  caso</w:t>
        <w:br/>
        <w:t>específico de X-503, no se aumenta por tratarse de una práctica  de  gineco-</w:t>
        <w:br/>
        <w:t>obstetricia o en el futuro el ejercicio de su  profesión  como  auxiliar  de</w:t>
        <w:br/>
        <w:t>enfermería.</w:t>
        <w:br/>
        <w:br/>
        <w:t>De otra parte, la condición de portador de VIH  seropositivo  del  señor  X-</w:t>
        <w:br/>
        <w:t>503, conforme a los conceptos y argumentos de las entidades  accionadas,  no</w:t>
        <w:br/>
        <w:t>representa ningún riesgo adicional para los pacientes de cualquier  servicio</w:t>
        <w:br/>
        <w:t>en general y del servicio de gineco-obstetricia en  específico  que  tuviese</w:t>
        <w:br/>
        <w:t>contacto con el accionante, ya que así lo indican expertos  en  la  materia,</w:t>
        <w:br/>
        <w:t>concluyendo que la trasmisión por parte de los profesionales de la salud  es</w:t>
        <w:br/>
        <w:t>improbable.</w:t>
        <w:br/>
        <w:br/>
        <w:t>En síntesis, la medida no es necesaria porque existe una  alternativa  a  la</w:t>
        <w:br/>
        <w:t>decisión de impedir absolutamente el desarrollo de las practicas, es  decir,</w:t>
        <w:br/>
        <w:t>la entidad como institución prestadora de servicios  de  salud  está  en  la</w:t>
        <w:br/>
        <w:t>obligación de proveer medidas generales  de  bioseguridad  y  garantizar  la</w:t>
        <w:br/>
        <w:t>disponibilidad de los medios de protección para todo el  personal  a  través</w:t>
        <w:br/>
        <w:t>del programa de salud ocupacional. De la misma forma existen  protocolos  de</w:t>
        <w:br/>
        <w:t>prevención del riesgo biológico que al ser conocidos  y  aplicados,  reducen</w:t>
        <w:br/>
        <w:t>de manera ostensible los riesgos de contagio de parte y parte”. Sentencia T-</w:t>
        <w:br/>
        <w:t>948 de 2008.</w:t>
        <w:br/>
        <w:br/>
        <w:t>[317]       Cfr. Caso Caso Atala Riffo y Niñas  Vs.  Chile,  párr.  110.  En</w:t>
        <w:br/>
        <w:t>similar perspectiva, otro caso relevante es el contenido en la Sentencia  T-</w:t>
        <w:br/>
        <w:t>816 de 2005 de la Corte Constitucional de Colombia, en el  que  una  persona</w:t>
        <w:br/>
        <w:t>pretendía ingresar al nivel ejecutivo de la Policía  Nacional  de  Colombia,</w:t>
        <w:br/>
        <w:t>habiendo aprobado los distintos exámenes requeridos para  el  ingreso  a  la</w:t>
        <w:br/>
        <w:t>institución. En este caso la policía consideró no apto al accionante  en  la</w:t>
        <w:br/>
        <w:t>medida que se trataba de una persona “infectada”  con  el  VIH.  Consecuente</w:t>
        <w:br/>
        <w:t>con el precedente de la materia y protegiendo el derecho a la  igualdad,  la</w:t>
        <w:br/>
        <w:t>Corte manifestó: “Es de resaltar que si bien  la  decisión  de  declarar  no</w:t>
        <w:br/>
        <w:t>apto al portador del virus de VIH se fundamenta en fines legítimos,  no  los</w:t>
        <w:br/>
        <w:t>cumple, pues es claro para esta Sala que la condición del señor,  aunada  al</w:t>
        <w:br/>
        <w:t>desarrollo de las actividades académicas de la Escuela Nacional  de  Policía</w:t>
        <w:br/>
        <w:t>e incluso a las que son  propias  de  la  Policía  Nacional,  no  constituye</w:t>
        <w:br/>
        <w:t>ninguna amenaza para su vida, para la de sus compañeros y, mucho menos,  son</w:t>
        <w:br/>
        <w:t>contrarias a la prevalencia del interés general. Por ende, la  actuación  de</w:t>
        <w:br/>
        <w:t>la entidad demandada en el proceso de admisión y  selección  que  siguió  el</w:t>
        <w:br/>
        <w:t>actor, como aspirante a ser integrante del curso de nivel  ejecutivo  de  la</w:t>
        <w:br/>
        <w:t>institución, no se compadece de los mandatos constitucionales  […].“[Existe]</w:t>
        <w:br/>
        <w:t>una clara discriminación en  contra  del  actor,  cuando  le  considera  “no</w:t>
        <w:br/>
        <w:t>apto”, tan solo por su condición de portador sano del virus. “[M]ás allá  de</w:t>
        <w:br/>
        <w:t>toda duda, como lo señalan las pruebas obrantes en el expediente,  el  actor</w:t>
        <w:br/>
        <w:t>ha sido víctima directa de una discriminación  que,  consecuencialmente,  ha</w:t>
        <w:br/>
        <w:t>vulnerado  sus  derechos  a  la  igualdad,  al  libre   desarrollo   de   la</w:t>
        <w:br/>
        <w:t>personalidad y con ello, a escoger libremente profesión  u  oficio.  Lo  que</w:t>
        <w:br/>
        <w:t>amenaza inevitablemente su plan de vida”. Sentencia T-816 2005.</w:t>
        <w:br/>
        <w:br/>
        <w:t>[318]       Respecto a este  punto,  la  Sala  Constitucional  de  la  Corte</w:t>
        <w:br/>
        <w:t>Suprema de Justicia de Costa Rica tuvo que analizar la situación de un  niño</w:t>
        <w:br/>
        <w:t>con asperger que cursa el sexto grado en la escuela. El niño protagonizó  un</w:t>
        <w:br/>
        <w:t>cuadro de descontrol y se alteró, ofendió y pateó a su profesor.  Por  ello,</w:t>
        <w:br/>
        <w:t>el profesor se negó a aceptar al niño en sus clases,  por  lo  que  dejó  de</w:t>
        <w:br/>
        <w:t>recibir lecciones de forma regular.  La  Sala  Constitucional  ordenó  a  la</w:t>
        <w:br/>
        <w:t>Directora del Centro Educativo adoptar de manera inmediata las  medidas  que</w:t>
        <w:br/>
        <w:t>sean necesarias, dentro del ámbito de su  competencia,  para  que  al  menor</w:t>
        <w:br/>
        <w:t>amparado le sea impartida la materia  correspondiente  a  las  lecciones  de</w:t>
        <w:br/>
        <w:t>Ciencias,  Matemática  y  Agricultura  que  perdió  debido  a  la  situación</w:t>
        <w:br/>
        <w:t>alegada,  así  como  aplicar  las  recomendaciones  que  brinde  la  Asesora</w:t>
        <w:br/>
        <w:t>Nacional  de  Educación  Especial  para  adecuar  el  proceso  educativo  al</w:t>
        <w:br/>
        <w:t>amparado, de acuerdo con su situación particular. La Corte resalta que  este</w:t>
        <w:br/>
        <w:t>caso es ilustrativo en tanto que el resultado de la ponderación de  derechos</w:t>
        <w:br/>
        <w:t>realizada exigió tutelar el derecho del niño a  la  educación  y  ordenó  la</w:t>
        <w:br/>
        <w:t>adopción de los ajustes necesarios  para  que  el  menor  pudiese  continuar</w:t>
        <w:br/>
        <w:t>recibiendo sus clases, aun cuando el mismo presentaba cuadros de  descontrol</w:t>
        <w:br/>
        <w:t>que podían afectar a terceras personas. Sentencia de  la  Corte  Suprema  de</w:t>
        <w:br/>
        <w:t>Justicia de Costa Rica, Sala Constitucional. Resolución N°15334-08. En  otro</w:t>
        <w:br/>
        <w:t>caso de un niño con síndrome de Asperger, la misma Sala Constitucional  tuvo</w:t>
        <w:br/>
        <w:t>que analizar que  al  niño  le  fue  negada  su  matrícula  en  un  Colegio,</w:t>
        <w:br/>
        <w:t>aduciendo que no estaban preparados para  aceptarlo  en  la  institución,  a</w:t>
        <w:br/>
        <w:t>pesar de que por la cercanía del lugar resultaba en  su  mayor  interés  que</w:t>
        <w:br/>
        <w:t>asistiera a ese colegio.  La  Sala  Constitucional  ordenó  al  Ministro  de</w:t>
        <w:br/>
        <w:t>Educación Pública que proveyera lo necesario para que, en el plazo de  cinco</w:t>
        <w:br/>
        <w:t>días, personal calificado del Ministerio  analizara  el  caso  del  amparado</w:t>
        <w:br/>
        <w:t>–con la participación de su madre,  la  psicóloga  y  el  neurólogo  que  lo</w:t>
        <w:br/>
        <w:t>atienden- y determinara su mejor ubicación posible, en consideración de  sus</w:t>
        <w:br/>
        <w:t>circunstancias  personales,  así  como  de  las  particularidades   de   las</w:t>
        <w:br/>
        <w:t>instituciones educativas de la zona. Asimismo, ordenó que  se  les  brindase</w:t>
        <w:br/>
        <w:t>el apoyo necesario, en caso de  que  tal  decisión  implique  un  cambio  de</w:t>
        <w:br/>
        <w:t>centro educativo. Como se observa, este caso  es  ilustrativo  de  la  forma</w:t>
        <w:br/>
        <w:t>como la Sala ordenó, en tutela del derecho a la educación del menor, que  el</w:t>
        <w:br/>
        <w:t>Ministerio de Educación Pública atendiera y determinara cuál  era  el  mejor</w:t>
        <w:br/>
        <w:t>centro para atender las necesidades del niño. Sentencia de la Corte  Suprema</w:t>
        <w:br/>
        <w:t>de Justicia de Costa Rica, Sala Constitucional. Resolución N°7784-05.</w:t>
        <w:br/>
        <w:br/>
        <w:t>[319]       Sobre el concepto de estereotipos, mutatis  mutandi,  cfr.  Caso</w:t>
        <w:br/>
        <w:t>Caso Atala Riffo y Niñas Vs. Chile,  párr.  111  y  Caso  González  y  otras</w:t>
        <w:br/>
        <w:t>(“Campo Algodonero”) Vs. México, párr. 401.</w:t>
        <w:br/>
        <w:br/>
        <w:t>[320]       Cfr. Derechos y garantías de niñas y niños en el contexto de  la</w:t>
        <w:br/>
        <w:t>migración y/o en necesidad de protección internacional.  Opinión  Consultiva</w:t>
        <w:br/>
        <w:t>OC-21/14 de 19 de agosto de 2014. Serie A  No.  21,  párr.  66  y  Condición</w:t>
        <w:br/>
        <w:t>Jurídica y Derechos Humanos del Niño. Opinión Consultiva OC-17/02 de  28  de</w:t>
        <w:br/>
        <w:t>agosto de 2002. Serie A  No.  17,  párr.  56.  En  sentido  similar,  veáse:</w:t>
        <w:br/>
        <w:t>Preámbulo de la Convención Americana.</w:t>
        <w:br/>
        <w:br/>
        <w:t>[321]       Derechos y garantías de niñas y  niños  en  el  contexto  de  la</w:t>
        <w:br/>
        <w:t>migración  y/o  en  necesidad  de  protección  internacional,  párr.  164  y</w:t>
        <w:br/>
        <w:t>Condición Jurídica y Derechos Humanos del Niño.  Opinión  Consultiva,  párr.</w:t>
        <w:br/>
        <w:t>60. En sentido similar, veáse: Preámbulo de la Convención Americana.</w:t>
        <w:br/>
        <w:br/>
        <w:t>[322]       Cfr. Oficio de NV de 7  de  diciembre  de  1999  (expediente  de</w:t>
        <w:br/>
        <w:t>prueba, folio 1139).</w:t>
        <w:br/>
        <w:br/>
        <w:t>[323]       Audiencia Pública de la Acción de amparo constitucional de 9  de</w:t>
        <w:br/>
        <w:t>febrero de 2000 (expediente de prueba, folio 1134).</w:t>
        <w:br/>
        <w:br/>
        <w:t>[324]       Cfr. Oficio de JOM de 21 de diciembre  de  1999  (expediente  de</w:t>
        <w:br/>
        <w:t>prueba, folio 1138).</w:t>
        <w:br/>
        <w:br/>
        <w:t>[325]       Sentencia de amparo del Tercer Tribunal  de  lo  Contencioso  de</w:t>
        <w:br/>
        <w:t>Cuenca de 11 de febrero de 2000 (expediente de prueba, folio 1148).</w:t>
        <w:br/>
        <w:br/>
        <w:t>[326]       Escritura de declaración juramentada otorgada  por  Teresa  Lluy</w:t>
        <w:br/>
        <w:t>de 22 de abril de 2014 (expediente de prueba, folio 1082).</w:t>
        <w:br/>
        <w:br/>
        <w:br/>
        <w:t>[327]       Oficina  del  Alto  Comisionado  de  Naciones  Unidas  para  los</w:t>
        <w:br/>
        <w:t>Derechos Humanos y  Programa  Conjunto  de  las  Naciones  Unidas  sobre  el</w:t>
        <w:br/>
        <w:t>VIH/SIDA, Directrices internacionales  sobre  el  VIH/SIDA  y  los  derechos</w:t>
        <w:br/>
        <w:t>humanos,     1996     y     2006,     párr.     107.     Disponible      en:</w:t>
        <w:br/>
        <w:t>http://data.unaids.org/pub/Report/2006/jc1252-</w:t>
        <w:br/>
        <w:t>internationalguidelines_es.pdf.  ONUSIDA  ha  señalado  además,  que   “[e]l</w:t>
        <w:br/>
        <w:t>estigma está ligado al poder y  el  dominio  en  todos  los  niveles  de  la</w:t>
        <w:br/>
        <w:t>sociedad en su conjunto[;] crea desigualdad social, y se  ve  reforzado  por</w:t>
        <w:br/>
        <w:t>ella […] el estigma relacionado con  el  VIH/SIDA  conduce  a  menudo  a  la</w:t>
        <w:br/>
        <w:t>discriminación en razón del VIH/SIDA. Ello, a su vez, lleva a  la  violación</w:t>
        <w:br/>
        <w:t>de los derechos  humanos  de  las  personas  con  el  VIH/SIDA  [y]  de  sus</w:t>
        <w:br/>
        <w:t>familias”. Sobre  el  estigma  social  provocado  por  el  VIH,  ONUSIDA  ha</w:t>
        <w:br/>
        <w:t>señalado que es una característica que  “desprestigia  considerablemente”  a</w:t>
        <w:br/>
        <w:t>un  individuo  ante  los  ojos  de  otros.   También   tiene   consecuencias</w:t>
        <w:br/>
        <w:t>importantes sobre el modo en que los individuos se  perciben  a  sí  mismos.</w:t>
        <w:br/>
        <w:t>Gran parte del estigma relacionado con el VIH y el SIDA se  construye  sobre</w:t>
        <w:br/>
        <w:t>concepciones negativas anteriores y las refuerza. A menudo, la familia y  la</w:t>
        <w:br/>
        <w:t>comunidad perpetúan el estigma y la discriminación, en parte por  miedo,  en</w:t>
        <w:br/>
        <w:t>parte por ignorancia y en parte porque resulta cómodo culpar  a  quienes  se</w:t>
        <w:br/>
        <w:t>han visto afectados primero. Muchas veces, el  estigma  relacionado  con  el</w:t>
        <w:br/>
        <w:t>VIH utiliza y refuerza las desigualdades sociales  existentes.  Entre  ellas</w:t>
        <w:br/>
        <w:t>cabe mencionar, las desigualdades de género,  la  desigualdades  que  niegan</w:t>
        <w:br/>
        <w:t>los derechos de los  y  las  trabajadores(as)  sexuales,  las  desigualdades</w:t>
        <w:br/>
        <w:t>basadas en el origen étnico y las desigualdades asociadas con la  sexualidad</w:t>
        <w:br/>
        <w:t>en general y con la homosexualidad y transexualidad en particular.  ONUSIDA,</w:t>
        <w:br/>
        <w:t>“Comunicar en VIH y  SIDA.  Manual  de  capacitación  en  VIH  y  SIDA  para</w:t>
        <w:br/>
        <w:t>comunicadores    sociales”,    2006.     Disponible     en     línea     en:</w:t>
        <w:br/>
        <w:t>http://www.unicef.org/venezuela/spanish/Comunicar_sobre_VIH_Sida.pdf p. 32.</w:t>
        <w:br/>
        <w:br/>
        <w:t>[328]       Los Estados  deberían  promulgar  o  fortalecer  las  leyes  que</w:t>
        <w:br/>
        <w:t>combaten  la  discriminación  u  otras  leyes   que   protegen   contra   la</w:t>
        <w:br/>
        <w:t>discriminación en los sectores tanto  público  como  privado  a  los  grupos</w:t>
        <w:br/>
        <w:t>vulnerables, las personas que viven con el  VIH  y  las  discapacitadas.  En</w:t>
        <w:br/>
        <w:t>colaboración con la comunidad y por conducto de ella, los  Estados  deberían</w:t>
        <w:br/>
        <w:t>fomentar un entorno protector y habilitante para las mujeres,  los  niños  u</w:t>
        <w:br/>
        <w:t>otros  grupos  vulnerables,  combatiendo  los  prejuicios  y   desigualdades</w:t>
        <w:br/>
        <w:t>causantes de esa vulnerabilidad mediante el diálogo con la  comunidad  y  en</w:t>
        <w:br/>
        <w:t>particular mediante servicios sociales y de salud especiales  y  apoyando  a</w:t>
        <w:br/>
        <w:t>los grupos de la comunidad. Oficina del Alto  Comisionado  de  las  Naciones</w:t>
        <w:br/>
        <w:t>Unidas para los Derechos Humanos (OACNUDH) y el  Programa  Conjunto  de  las</w:t>
        <w:br/>
        <w:t>Naciones Unidas sobre el  VIH/SIDA  (ONUSIDA),  Directrices  internacionales</w:t>
        <w:br/>
        <w:t>sobre el VIH/SIDA y los  derechos  humanos.  Versión  consolidada  de  2006.</w:t>
        <w:br/>
        <w:t>Disponible        en:         http://data.unaids.org/pub/Report/2006/jc1252-</w:t>
        <w:br/>
        <w:t>internationalguidelines_es.pdf</w:t>
        <w:br/>
        <w:br/>
        <w:t>[329]       Declaración juramentada de Teresa Lluy de 22 de  abril  de  2014</w:t>
        <w:br/>
        <w:t>(expediente de prueba, folios 1082 y 1083).</w:t>
        <w:br/>
        <w:br/>
        <w:t>[330]       Comité de los Derechos del  Niño.  Observación  General  No.  1,</w:t>
        <w:br/>
        <w:t>Propósitos de la Educación, 2001, párr. 9.</w:t>
        <w:br/>
        <w:br/>
        <w:t>[331]       Comité de los Derechos del Niño. Observación General No.  3,  El</w:t>
        <w:br/>
        <w:t>VIH/SIDA y los derechos del niño, 2003, párr. 18.</w:t>
        <w:br/>
        <w:br/>
        <w:t>[332]       Comité de los Derechos del  Niño.  Observación  General  No.  7,</w:t>
        <w:br/>
        <w:t>Realización de los derechos del niño en la  primera  infancia,  2006,  párr.</w:t>
        <w:br/>
        <w:t>11.</w:t>
        <w:br/>
        <w:br/>
        <w:t>[333]       Declaración ante fedatario público de Clara  Vinueza  de  12  de</w:t>
        <w:br/>
        <w:t>febrero de 2015 (expediente de prueba, folio 3595).  La  declaración  de  la</w:t>
        <w:br/>
        <w:t>señora Vinueza no fue controvertida por el Estado.</w:t>
        <w:br/>
        <w:br/>
        <w:t>[334]       Declaración ante fedatario público de Clara  Vinueza  de  12  de</w:t>
        <w:br/>
        <w:t>febrero de 2015, (expediente de prueba, folio 3596).</w:t>
        <w:br/>
        <w:br/>
        <w:t>[335]       Declaración ante fedatario público de Clara  Vinueza  de  12  de</w:t>
        <w:br/>
        <w:t>febrero de 2015, (expediente de prueba, folio 3596).</w:t>
        <w:br/>
        <w:br/>
        <w:t>[336]       Declaración ante fedatario público de Clara  Vinueza  de  12  de</w:t>
        <w:br/>
        <w:t>febrero de 2015, (expediente de prueba, folio 3597).</w:t>
        <w:br/>
        <w:br/>
        <w:t>[337]       Declaración ante fedatario público de Clara  Vinueza  de  12  de</w:t>
        <w:br/>
        <w:t>febrero de 2015, (expediente de prueba, folio 3598).</w:t>
        <w:br/>
        <w:br/>
        <w:t>[338]       Declaración juramentada de Talía Gonzales Lluy de  22  de  abril</w:t>
        <w:br/>
        <w:t>de 2014, (expediente de prueba, folio 1097).</w:t>
        <w:br/>
        <w:br/>
        <w:t>[339]       Declaración juramentada de Iván Lluy de 22  de  abril  de  2014,</w:t>
        <w:br/>
        <w:t>(expediente de prueba, folio 1112).</w:t>
        <w:br/>
        <w:br/>
        <w:t>[340]       Comité CEDAW, Recomendación General  No.  28,  2010,  párr.  21.</w:t>
        <w:br/>
        <w:t>Asimismo, según el Comité CEDAW, “los Estados deben reconocer y prohibir  en</w:t>
        <w:br/>
        <w:t>sus instrumentos jurídicos estas formas entrecruzadas  de  discriminación  y</w:t>
        <w:br/>
        <w:t>su impacto negativo combinado  en  las  mujeres  afectadas”.  Comité  CEDAW,</w:t>
        <w:br/>
        <w:t>Recomendación General No. 28, 2010,  párr.  18.  En  el  mismo  sentido,  la</w:t>
        <w:br/>
        <w:t>Convención Interamericana para Prevenir, Sancionar y Erradicar la  Violencia</w:t>
        <w:br/>
        <w:t>Contra la Mujer (Convención de Belem do Pará), establece en  su  artículo  9</w:t>
        <w:br/>
        <w:t>lo siguiente: Para la  adopción  de  las  medidas  a  que  se  refiere  este</w:t>
        <w:br/>
        <w:t>capítulo, los Estados Partes tendrán especialmente en  cuenta  la  situación</w:t>
        <w:br/>
        <w:t>de vulnerabilidad a la violencia que pueda sufrir la mujer en  razón,  entre</w:t>
        <w:br/>
        <w:t>otras, de su raza o  de  su  condición  étnica,  de  migrante,  refugiada  o</w:t>
        <w:br/>
        <w:t>desplazada.  En igual sentido se considerará a la mujer  que  es  objeto  de</w:t>
        <w:br/>
        <w:t>violencia cuando está embarazada, es discapacitada, menor de edad,  anciana,</w:t>
        <w:br/>
        <w:t>o está en situación socioeconómica desfavorable o afectada  por  situaciones</w:t>
        <w:br/>
        <w:t>de conflictos armados o de privación de su libertad.</w:t>
        <w:br/>
        <w:br/>
        <w:t>[341]       Comité de los Derechos del Niño. Observación General No.  3,  El</w:t>
        <w:br/>
        <w:t>VIH/SIDA y los derechos del niño, 2003, párr. 7.</w:t>
        <w:br/>
        <w:br/>
        <w:t>[342]       Al respecto, el Tribunal Europeo  de  Derechos  Humanos,  en  el</w:t>
        <w:br/>
        <w:t>caso de B.S. Vs. España, reconoció la situación  de  extrema  vulnerabilidad</w:t>
        <w:br/>
        <w:t>de B.S., quien sufrió discriminación  por  género,  raza,  origen  nacional,</w:t>
        <w:br/>
        <w:t>estatus de extranjera y su trabajo como  trabajadora  sexual.  En  el  texto</w:t>
        <w:br/>
        <w:t>original, el  Tribunal  Europeo  indicó:  “In  the  light  of  the  evidence</w:t>
        <w:br/>
        <w:t>submitted in the present case, the Court considers that the  decisions  made</w:t>
        <w:br/>
        <w:t>by the domestic courts failed to take account of the applicant’s  particular</w:t>
        <w:br/>
        <w:t>vulnerability inherent in her position as an  African  woman  working  as  a</w:t>
        <w:br/>
        <w:t>prostitute”. Tribunal Europeo de  Derechos  Humanos  (TEDH),  Caso  B.S.  v.</w:t>
        <w:br/>
        <w:t>España, No. 47159/08, Sentencia de 24 de julio de  2012,  párr.  62.  En  el</w:t>
        <w:br/>
        <w:t>mismo sentido, consultar: CIDH, Acceso a la justicia para  mujeres  víctimas</w:t>
        <w:br/>
        <w:t>de violencia en las Américas, de 20 de enero de  2007,  párrs.  195  a  197;</w:t>
        <w:br/>
        <w:t>CIDH, Las mujeres frente a la violencia y la  discriminación  derivadas  del</w:t>
        <w:br/>
        <w:t>conflicto armado en Colombia, de 18 de octubre de 2006, párrs. 102 a 106,  y</w:t>
        <w:br/>
        <w:t>CIDH, Informe sobre el derecho de las mujeres a una vida libre de  violencia</w:t>
        <w:br/>
        <w:t>y discriminación en Haití, de 10 de marzo de 2009, párr. 90.</w:t>
        <w:br/>
        <w:br/>
        <w:t>[343]       Naciones Unidas,  Informe  de  la  Relatora  Especial  sobre  la</w:t>
        <w:br/>
        <w:t>violencia contra la mujer, sus causas y consecuencias, Rashida Manjoo, 2  de</w:t>
        <w:br/>
        <w:t>mayo de 2011. párr. 67.</w:t>
        <w:br/>
        <w:br/>
        <w:t>[344]       En relación  con  las  diferencias  biológicas,  estos  roles  y</w:t>
        <w:br/>
        <w:t>expectativas están generadas y afirmadas por factores sociales,  culturales,</w:t>
        <w:br/>
        <w:t>económicos y  políticos.  En  ese  sentido,  una  perspectiva  de  género  y</w:t>
        <w:br/>
        <w:t>sexualidad explica la fuerza motriz que existe detrás de las  diferencias  y</w:t>
        <w:br/>
        <w:t>desigualdades entre hombres y mujeres dentro de un  contexto  específico.  A</w:t>
        <w:br/>
        <w:t>su vez, esta fuerza también afecta a  la  vulnerabilidad  y  al  riesgo  del</w:t>
        <w:br/>
        <w:t>individuo, así como a su acceso a  los  servicios  y  a  su  capacidad  para</w:t>
        <w:br/>
        <w:t>practicar sus derechos humanos y por lo mismo, el género y la sexualidad  es</w:t>
        <w:br/>
        <w:t>un enfoque completo que engloba todos los  problemas  que  afectan  al  VIH.</w:t>
        <w:br/>
        <w:t>International  HIV/AIDS  Alliance,  Enfoques   de   género   y   sexualidad:</w:t>
        <w:br/>
        <w:t>respondiendo     al     VIH,     2010,     p.     16.     Disponible     en:</w:t>
        <w:br/>
        <w:t>http://www.aidsalliance.org/assets/000/000/897/90576-Enfoques-de-genero-y-</w:t>
        <w:br/>
        <w:t>sexualidad_original.pdf?1407754252.</w:t>
        <w:br/>
        <w:br/>
        <w:br/>
        <w:t>[345]       Al respecto, Talía ha  declarado:  “¿Cómo  tener  un  amigo,  un</w:t>
        <w:br/>
        <w:t>enamorado, qué le iba a decir, cómo contarle de mis sentimientos,  darle  un</w:t>
        <w:br/>
        <w:t>beso? Tenía y tengo mucho miedo, ¿cómo le cuento a un  enamorado  que  tengo</w:t>
        <w:br/>
        <w:t>VIH, que no fue mi culpa, que no me huya, que no tenga miedo,  que  soy  una</w:t>
        <w:br/>
        <w:t>persona con sentimientos y que como cualquier otra puedo amar y  quiero  ser</w:t>
        <w:br/>
        <w:t>amada? [..] anhelo […] tener lo que necesito para poder hacer en mi vida  lo</w:t>
        <w:br/>
        <w:t>que quiero, irme donde yo quiera, viajar […] estudiar lo que me  gusta,  que</w:t>
        <w:br/>
        <w:t>en medio de mi soledad, como niña, adolescente, mujer  joven,  si  no  puedo</w:t>
        <w:br/>
        <w:t>disfrutar de una buena amistad, un esposo, unos hijos, por lo menos mi  vida</w:t>
        <w:br/>
        <w:t>sola sea lo mejor posible”. Declaración  ante  fedatario  público  de  Talía</w:t>
        <w:br/>
        <w:t>Gonzales Lluy de 22 de abril de 2014, (expediente de  prueba,  folios  1101,</w:t>
        <w:br/>
        <w:t>1103 y 1104).</w:t>
        <w:br/>
        <w:br/>
        <w:br/>
        <w:t>[346]        Cfr.  Caso  Valle  Jaramillo  y  otros  Vs.  Colombia.   Fondo,</w:t>
        <w:br/>
        <w:t>Reparaciones y Costas. Sentencia de 27 de noviembre de  2008.  Serie  C  No.</w:t>
        <w:br/>
        <w:t>192, párr. 155, y Caso  Granier  y  otros  (Radio  Caracas  Televisión)  Vs.</w:t>
        <w:br/>
        <w:t>Venezuela, párr. 255.</w:t>
        <w:br/>
        <w:br/>
        <w:t>[347]            Cfr. Caso Anzualdo Castro Vs. Perú.  Excepción  Preliminar,</w:t>
        <w:br/>
        <w:t>Fondo, Reparaciones y Costas. Sentencia de 22 de septiembre de  2009.  Serie</w:t>
        <w:br/>
        <w:t>C No. 202, párr. 156, y Caso Granier y otros (Radio Caracas Televisión)  Vs.</w:t>
        <w:br/>
        <w:t>Venezuela, párr. 255.</w:t>
        <w:br/>
        <w:br/>
        <w:t>[348]       Cfr. inter alia, Caso Genie Lacayo  Vs.  Nicaragua.  Excepciones</w:t>
        <w:br/>
        <w:t>Preliminares. Sentencia de 27 de enero de 1995. Serie C No. 21, párr. 78,  y</w:t>
        <w:br/>
        <w:t>Caso Granier y otros (Radio Caracas Televisión) Vs. Venezuela, párr. 260.</w:t>
        <w:br/>
        <w:br/>
        <w:t>[349]       Al respecto, la Corte observa lo  señalado  por  ONUSIDA  en  su</w:t>
        <w:br/>
        <w:t>Séptima Directriz de las Directrices Internacionales  sobre  el  VIH/SIDA  y</w:t>
        <w:br/>
        <w:t>los Derechos Humanos, en el sentido de  que:  “[l]os  Estados  deberían  […]</w:t>
        <w:br/>
        <w:t>facilitar asistencia jurídica gratuita [a las  personas  que  viven  con  el</w:t>
        <w:br/>
        <w:t>VIH] para ejercer [sus derechos], ampliar el conocimiento de las  cuestiones</w:t>
        <w:br/>
        <w:t>jurídicas que plantea el VIH y utilizar, además  de  los  tribunales,  otros</w:t>
        <w:br/>
        <w:t>medios de protección  como  los  ministerios  de  justicia,  defensores  del</w:t>
        <w:br/>
        <w:t>pueblo, oficinas de denuncias sanitarias y comisiones de derechos  humanos”.</w:t>
        <w:br/>
        <w:t>La Corte nota que en los casos  en  donde  las  personas  se  encuentren  en</w:t>
        <w:br/>
        <w:t>condiciones de vulnerabilidad por su condición económica, y  además  existan</w:t>
        <w:br/>
        <w:t>otros factores que agraven esta vulnerabilidad, como el vivir  con  VIH,  el</w:t>
        <w:br/>
        <w:t>Estado debería facilitarles asesoría  jurídica  gratuita  para  ejercer  sus</w:t>
        <w:br/>
        <w:t>derechos cuando se trate de  procedimientos  que  revistan  una  importancia</w:t>
        <w:br/>
        <w:t>particular para preservar  la  integridad  de  las  personas  con  VIH,  por</w:t>
        <w:br/>
        <w:t>ejemplo, en los procesos para la solicitud de medicamentos.</w:t>
        <w:br/>
        <w:br/>
        <w:t>[350]       Cfr. Caso Ximenes Lópes Vs. Brasil, párr.  199,  y  Caso  Suárez</w:t>
        <w:br/>
        <w:t>Peralta Vs. Ecuador, párr. 101.</w:t>
        <w:br/>
        <w:br/>
        <w:t>[351]       Cfr. Caso Albán Cornejo y otros. Vs. Ecuador, párr. 90.</w:t>
        <w:br/>
        <w:br/>
        <w:t>[352]       Cfr. Caso Suárez Peralta Vs. Ecuador, párrs. 70, 71 y 101.</w:t>
        <w:br/>
        <w:br/>
        <w:t>[353]       Cfr. Caso Valle Jaramillo y otros Vs.  Colombia,  párr.  155,  y</w:t>
        <w:br/>
        <w:t>Caso Granier y otros (Radio Caracas Televisión) Vs. Venezuela, párr. 274.</w:t>
        <w:br/>
        <w:br/>
        <w:t>[354]       Cfr. Caso Furlan y familiares vs. Argentina, párr. 196.</w:t>
        <w:br/>
        <w:br/>
        <w:t>[355]       Cfr. Caso Suárez Peralta Vs. Ecuador, párrs. 102 y 103.</w:t>
        <w:br/>
        <w:br/>
        <w:t>[356]       Cfr. TEDH, Laudon Vs. Alemania (No. 14635/03), Sentencia  de  26</w:t>
        <w:br/>
        <w:t>de abril de  2007,  párr.  72;  TEDH,  Orzel  Vs.  Polonia  (No.  74816/01),</w:t>
        <w:br/>
        <w:t>Sentencia de 25 de junio de 2003, párr. 55, y TEDH, Inversen  Vs.  Dinamarca</w:t>
        <w:br/>
        <w:t>(No. 5989/03), Sentencia de 28 de diciembre de 2006, párr. 70.</w:t>
        <w:br/>
        <w:br/>
        <w:t xml:space="preserve">      [357]      Cfr. TEDH, X. Vs. Francia (No. 18020/91), Sentencia  de  31</w:t>
        <w:br/>
        <w:t>de marzo de 1992, párr. 47.</w:t>
        <w:br/>
        <w:br/>
        <w:t xml:space="preserve">       [358]       Cfr.  TEDH,  F.E.  Vs.  Francia  (No.  60/1998/963/1178),</w:t>
        <w:br/>
        <w:t>Sentencia de 30 de octubre de 1998, párr. 57.</w:t>
        <w:br/>
        <w:br/>
        <w:t>[359]       Caso Ximenes Lopes Vs. Brasil, párr. 204.</w:t>
        <w:br/>
        <w:br/>
        <w:t>[360]       En este punto la Corte nota que, con relación a  la  legislación</w:t>
        <w:br/>
        <w:t>interna, el perito Julio César Trujillo afirmó en la audiencia  pública  que</w:t>
        <w:br/>
        <w:t>el proceso civil podía haber seguido aun  con  la  prescripción  del  juicio</w:t>
        <w:br/>
        <w:t>penal. El perito  Trujillo  señaló  que  el  proceso  civil  podía  seguirse</w:t>
        <w:br/>
        <w:t>prescindiendo de todo juicio penal, por simple negligencia, siempre  que  la</w:t>
        <w:br/>
        <w:t>negligencia fuera grave y hubiera causado perjuicio; y afirmó además que  en</w:t>
        <w:br/>
        <w:t>este caso no cabía la prejudicialidad pues bastaba que  hubiera  negligencia</w:t>
        <w:br/>
        <w:t>aunque no hubiera habido la intensión dolosa de causar  los  perjuicios  que</w:t>
        <w:br/>
        <w:t>realmente causaron. Por otra parte, el perito Diego Zalamea León  afirmó  en</w:t>
        <w:br/>
        <w:t>la audiencia pública que en  el  presente  caso  operó  la  prejudicialidad,</w:t>
        <w:br/>
        <w:t>puesto que la señora Teresa ya había interpuesto una denuncia penal la  cual</w:t>
        <w:br/>
        <w:t>terminó en la prescripción del proceso, lo cual generó que ésta no fuera  la</w:t>
        <w:br/>
        <w:t>vía de acción adecuada, puesto que era la vía administrativa, por  ello,  la</w:t>
        <w:br/>
        <w:t>acción civil por daños y perjuicios no se propuso de forma correcta ni  ante</w:t>
        <w:br/>
        <w:t>el juez competente, lo cual generó que se aplicara la  prejudicialidad  como</w:t>
        <w:br/>
        <w:t>se establece en la legislación de la época en que se cometieron  los  hechos</w:t>
        <w:br/>
        <w:t>conforme a que se necesitara una sentencia condenatoria en el proceso  civil</w:t>
        <w:br/>
        <w:t>para poder interponer una demanda civil respecto a la reparación de daños  y</w:t>
        <w:br/>
        <w:t>perjuicios.</w:t>
        <w:br/>
        <w:br/>
        <w:t>[361]       Cfr.  Artículo 17 del Código de Procedimiento Penal del  Ecuador</w:t>
        <w:br/>
        <w:t>de 1983 (expediente de prueba, folio 1885).</w:t>
        <w:br/>
        <w:t>[362]       Según la Ex Sala de lo Civil, Mercantil y Familia  de  la  Corte</w:t>
        <w:br/>
        <w:t>Nacional de Justicia del Ecuador,  “para  demandar  por  daño  moral  deberá</w:t>
        <w:br/>
        <w:t>existir previamente una  sentencia  condenatoria  en  el  ámbito  penal.  La</w:t>
        <w:br/>
        <w:t>acción de daño moral es autónoma e independiente”.  Ex  Sala  de  lo  Civil,</w:t>
        <w:br/>
        <w:t>Mercantil Y Familia de la Corte Nacional de Justicia del Ecuador.  Sentencia</w:t>
        <w:br/>
        <w:t>0374-2011 de 26 de mayo de 2011.</w:t>
        <w:br/>
        <w:br/>
        <w:t>[363]       Entre otros, ver  el  artículo  1775  del  Código  Civil  de  la</w:t>
        <w:br/>
        <w:t>República Argentina: “Si la acción penal precede a la  acción  civil,  o  es</w:t>
        <w:br/>
        <w:t>intentada durante su curso, el  dictado  de  la  sentencia  definitiva  debe</w:t>
        <w:br/>
        <w:t>suspenderse en el proceso civil hasta la conclusión del proceso  penal,  con</w:t>
        <w:br/>
        <w:t>excepción de los siguientes casos: a) si median causas de  extinción  de  la</w:t>
        <w:br/>
        <w:t>acción penal; b) si la dilación del  procedimiento  penal  provoca,  en  los</w:t>
        <w:br/>
        <w:t>hechos, una frustración efectiva del derecho a ser  indemnizado;  c)  si  la</w:t>
        <w:br/>
        <w:t>acción civil por reparación del daño está fundada en un factor  objetivo  de</w:t>
        <w:br/>
        <w:t>responsabilidad”.</w:t>
        <w:br/>
        <w:br/>
        <w:t>[364]       Cfr. Caso Ximenes Lopes Vs. Brasil, párr.  204,  y  Caso  Suárez</w:t>
        <w:br/>
        <w:t>Peralta Vs. Ecuador, párr. 105.</w:t>
        <w:br/>
        <w:br/>
        <w:t>[365]       El artículo 63.1  de  la  Convención  Americana  establece  que: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libertades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br/>
        <w:t>[366]       Cfr. Caso  Velásquez  Rodríguez  Vs.  Honduras.  Reparaciones  y</w:t>
        <w:br/>
        <w:t>Costas. Sentencia de 21 de julio de 1989. Serie C No. 7, párr.  25,  y  Caso</w:t>
        <w:br/>
        <w:t>Cruz  Sánchez  y  otros   Vs.   Perú.   Excepciones   Preliminares,   Fondo,</w:t>
        <w:br/>
        <w:t>Reparaciones y Costas. Sentencia de 17 de abril de 2015. Serie  C  No.  292,</w:t>
        <w:br/>
        <w:t>párr. 451.</w:t>
        <w:br/>
        <w:br/>
        <w:t>[367]       Cfr. Caso Velásquez Rodríguez Vs. Honduras,  párr.  25,  y  Caso</w:t>
        <w:br/>
        <w:t>Cruz Sánchez y otros Vs. Perú, párr. 451.</w:t>
        <w:br/>
        <w:br/>
        <w:t>[368]                  Cfr. Caso Velásquez  Rodríguez  Vs.  Honduras,  párr.</w:t>
        <w:br/>
        <w:t>26, y Caso Cruz Sánchez y otros Vs. Perú, párr. 452.</w:t>
        <w:br/>
        <w:br/>
        <w:t>[369]            Cfr. Caso De la Masacre de las  Dos  Erres  Vs.  Guatemala.</w:t>
        <w:br/>
        <w:t>Excepción Preliminar, Fondo, Reparaciones  y  Costas.  Sentencia  de  24  de</w:t>
        <w:br/>
        <w:t>noviembre de 2009. Serie C No. 211, párr. 226, y Caso Cruz Sánchez  y  otros</w:t>
        <w:br/>
        <w:t>Vs. Perú, párr. 452.</w:t>
        <w:br/>
        <w:br/>
        <w:t>[370]        Cfr.  Caso  Ticona  Estrada  y  otros   Vs.   Bolivia.   Fondo,</w:t>
        <w:br/>
        <w:t>Reparaciones y Costas. Sentencia de 27 de noviembre de  2008.  Serie  C  No.</w:t>
        <w:br/>
        <w:t>191, párr. 110, y Caso Cruz Sánchez y otros Vs. Perú, párr. 453.</w:t>
        <w:br/>
        <w:br/>
        <w:t>[371]            Cfr. Caso Velásquez Rodríguez Vs.  Honduras,  párrs.  25  a</w:t>
        <w:br/>
        <w:t>27, y Caso Cruz Sánchez y otros Vs. Perú, párr. 454.</w:t>
        <w:br/>
        <w:br/>
        <w:t>[372]  Cfr.  Caso  de  la  Masacre  de  la  Rochela  Vs.  Colombia.   Fondo,</w:t>
        <w:br/>
        <w:t>Reparaciones y Costas. Sentencia de 11 de mayo de 2007.  Serie  C  No.  163,</w:t>
        <w:br/>
        <w:t>párr. 233, y Caso Cruz Sánchez y otros Vs. Perú, párr. 455.</w:t>
        <w:br/>
        <w:br/>
        <w:t>[373]       Cfr. Caso de la Masacre de las Dos  Erres,  párr.  233,  y  Caso</w:t>
        <w:br/>
        <w:t>Suárez Peralta Vs. Ecuador, párr. 172.</w:t>
        <w:br/>
        <w:br/>
        <w:t>[374]       De acuerdo con la información aportada por  los  representantes,</w:t>
        <w:br/>
        <w:t>antes de que Talía fuera atendida en  el  hospital  público  de  Azogues  su</w:t>
        <w:br/>
        <w:t>conteo de células CD4 se encontraba en 518. Para el 5 de noviembre de  2014,</w:t>
        <w:br/>
        <w:t>fecha en la cual ya se encontraba bajo la atención del hospital público,  su</w:t>
        <w:br/>
        <w:t>conteo bajó a 366, lo cual, señalaron,  fue  descrito  como  normal  por  el</w:t>
        <w:br/>
        <w:t>médico tratante del hospital. El 20 de mayo de 2015, su  conteo  de  células</w:t>
        <w:br/>
        <w:t>CD4 se encontraba en 256, y el 13 de julio de 2015 bajó a 171.</w:t>
        <w:br/>
        <w:br/>
        <w:t>[375]       El Estado informó que desde el 30 de octubre de  2014  Talía  ha</w:t>
        <w:br/>
        <w:t>sido atendida en la Unidad de Atención Integral del hospital Vicente  Corral</w:t>
        <w:br/>
        <w:t>Moscoso, en el que se le han venido  practicando  controles  periódicos.  En</w:t>
        <w:br/>
        <w:t>particular, señaló que los días 5 y 7 de noviembre de 2014, y 12  de  enero,</w:t>
        <w:br/>
        <w:t>3 de marzo, 4 de mayo, 26 de junio y 13 de julio de 2015 Talía ha acudido  a</w:t>
        <w:br/>
        <w:t>control.</w:t>
        <w:br/>
        <w:br/>
        <w:t>[376]        Dicha  Comisión  fue  conformada  bajo  la   coordinación   del</w:t>
        <w:br/>
        <w:t>Ministerio de Salud, con la participación de una  doctora  representante  de</w:t>
        <w:br/>
        <w:t>la Organización Panamericana de la Salud, la doctora de confianza  de  Talía</w:t>
        <w:br/>
        <w:t>Gonzales Lluy, un doctor del hospital Enrique Garcés de Quito, y  su  médico</w:t>
        <w:br/>
        <w:t>tratante en el hospital de Azogues.</w:t>
        <w:br/>
        <w:br/>
        <w:t>[377]       Cfr.  Caso  Barrios  Altos  Vs.  Perú.  Reparaciones  y  Costas.</w:t>
        <w:br/>
        <w:t>Sentencia de 30 de noviembre de 2001. Serie C No. 87,  párrs.  42  y  45,  y</w:t>
        <w:br/>
        <w:t>Caso Rodríguez Vera y otros (Desaparecidos  del  Palacio  de  Justicia)  Vs.</w:t>
        <w:br/>
        <w:t>Colombia, párr. 567.</w:t>
        <w:br/>
        <w:br/>
        <w:t>[378]       Cfr. Caso Cantoral Benavides Vs. Perú.  Reparaciones  y  Costas.</w:t>
        <w:br/>
        <w:t>Sentencia de 3 de diciembre de 2001. Serie C No. 88,párr. 79,  y  Caso  Cruz</w:t>
        <w:br/>
        <w:t>Sánchez y otros Vs. Perú, párr. 466.</w:t>
        <w:br/>
        <w:br/>
        <w:t>[379]       Cfr.  Caso  Cantoral  Benavides  Vs.  Perú,  párr.  81,  y  Caso</w:t>
        <w:br/>
        <w:t>Rodríguez Vera  y  otros  (“Desaparecidos  del  Palacio  de  Justicia”)  Vs.</w:t>
        <w:br/>
        <w:t>Colombia, párr. 576.</w:t>
        <w:br/>
        <w:br/>
        <w:br/>
        <w:br/>
        <w:t>[380]       Para ello, el Estado podrá tomar como base las estimaciones  que</w:t>
        <w:br/>
        <w:t>utiliza  la  Universidad  en  la  que  Talía  realizará  el  posgrado   para</w:t>
        <w:br/>
        <w:t>determinar  los  montos  de  becas  que  otorga  a  los   estudiantes   para</w:t>
        <w:br/>
        <w:t>manutención.</w:t>
        <w:br/>
        <w:br/>
        <w:t>[381]       En este sentido, la Corte destaca que el Comité de los  Derechos</w:t>
        <w:br/>
        <w:t>del Niño, en su Observación General No.  3,  subrayó  la  necesidad  de  dar</w:t>
        <w:br/>
        <w:t>protección jurídica, económica  y  social  a  los  niños  afectados  por  el</w:t>
        <w:br/>
        <w:t>VIH/SIDA para que tengan acceso a la vivienda, entre otros servicios, a  fin</w:t>
        <w:br/>
        <w:t>de reducir  su  vulnerabilidad.  Cfr.  Comité  de  los  Derechos  del  Niño.</w:t>
        <w:br/>
        <w:t>Observación  General  No.  3  El  VIH/SIDA  y   los   derechos   del   niño.</w:t>
        <w:br/>
        <w:t>CRC/GC/2003/3. Marzo de 2003, párr. 31.</w:t>
        <w:br/>
        <w:br/>
        <w:t>[382]       En similar sentido, ver Caso García  Cruz  y  Sánchez  Silvestre</w:t>
        <w:br/>
        <w:t>Vs. México. Fondo, Reparaciones y Costas. Sentencia de 26  de  noviembre  de</w:t>
        <w:br/>
        <w:t>2013. Serie C No. 273, párr. 79.</w:t>
        <w:br/>
        <w:br/>
        <w:t>[383]       Resolución N.0032 de la Defensoría del Pueblo de Ecuador  de  19</w:t>
        <w:br/>
        <w:t>de agosto del 2013; Informe de  seguimiento  de  cumplimiento  a  resolución</w:t>
        <w:br/>
        <w:t>defensorial de la Defensoría del Pueblo  de  26  de  noviembre  de  2014,  y</w:t>
        <w:br/>
        <w:t>Providencia N.180 de la Defensoría del Pueblo de 22 de  diciembre  de  2014.</w:t>
        <w:br/>
        <w:t>Estos documentos fueron enviados como anexos al escrito de amicus curiae  de</w:t>
        <w:br/>
        <w:t>la Defensoría del Pueblo  de  Ecuador  para  el  presente  caso.  En  dichos</w:t>
        <w:br/>
        <w:t>documentos, la  Defensoría  del  Pueblo  señaló  la  existencia  de  algunos</w:t>
        <w:br/>
        <w:t>problemas de desabasto de medicamentos para pacientes  con  VIH/SIDA  en  el</w:t>
        <w:br/>
        <w:t>Ecuador; además, informó que existían reportes respecto a  que  la  atención</w:t>
        <w:br/>
        <w:t>médica que recibían  los  pacientes  con  VIH/SIDA  resultaba  despectiva  y</w:t>
        <w:br/>
        <w:t>ofensiva.</w:t>
        <w:br/>
        <w:br/>
        <w:br/>
        <w:t>[384]        Constitución  de  la  República  del  Ecuador,  disponible  en:</w:t>
        <w:br/>
        <w:t>http://www.asambleanacional.gov.ec/documentos/constitucion_de_bolsillo.pdf.</w:t>
        <w:br/>
        <w:t>Este Tribunal estima que el referido documento es útil para el análisis  del</w:t>
        <w:br/>
        <w:t>presente caso, por lo cual lo incorpora de oficio al  acervo  probatorio  de</w:t>
        <w:br/>
        <w:t>conformidad con el artículo 58.a) de su Reglamento.</w:t>
        <w:br/>
        <w:br/>
        <w:t>[385]       Cfr. Ley Orgánica de Salud (expediente de prueba, folio 4243).</w:t>
        <w:br/>
        <w:br/>
        <w:t>[386]       Cfr. Ley  Orgánica  de  Discapacidades  (expediente  de  prueba,</w:t>
        <w:br/>
        <w:t>folio 4298).</w:t>
        <w:br/>
        <w:br/>
        <w:t>[387]       Cfr. Código de la Niñez y Adolescencia  (expediente  de  prueba,</w:t>
        <w:br/>
        <w:t>folio 3104).</w:t>
        <w:br/>
        <w:br/>
        <w:t>[388]       ONUSIDA, Estimaciones sobre el VIH y  el  SIDA  en  el  Ecuador,</w:t>
        <w:br/>
        <w:t>2014.                             Disponible                             en:</w:t>
        <w:br/>
        <w:t>http://www.unaids.org/es/regionscountries/countries/ecuador</w:t>
        <w:br/>
        <w:br/>
        <w:br/>
        <w:t>[389]       Cfr. Ley para la Prevención y Asistencia Integral  del  VIH/SIDA</w:t>
        <w:br/>
        <w:t>(expediente de prueba, folio 2120).</w:t>
        <w:br/>
        <w:br/>
        <w:t>[390]        Cfr.  Manual  del  Modelo  de  Atención   Integral   de   Salud</w:t>
        <w:br/>
        <w:t>(expediente de prueba, folio 4460).</w:t>
        <w:br/>
        <w:br/>
        <w:t>[391]       Cfr. Objetivos de Desarrollo del Milenio (expediente de  prueba,</w:t>
        <w:br/>
        <w:t>folio 4364).</w:t>
        <w:br/>
        <w:br/>
        <w:t>[392]        Cfr.  Prioridades   de   Investigación   en   Salud   2013-2017</w:t>
        <w:br/>
        <w:t>(expediente de prueba, folio 4175).</w:t>
        <w:br/>
        <w:br/>
        <w:t>[393]       Cfr. Plan Nacional Decenal de Protección Integral a la  Niñez  y</w:t>
        <w:br/>
        <w:t>Adolescencia (expediente de prueba, folio 3012).</w:t>
        <w:br/>
        <w:br/>
        <w:t>[394]       Cfr. Decreto de creación del Bono “Joaquín Gallegos Lara”  y  el</w:t>
        <w:br/>
        <w:t>Instructivo técnico para la inclusión, exclusión y bloqueo temporal  de  las</w:t>
        <w:br/>
        <w:t>personas con discapacidad severa en  situación  socioeconómica  crítica,  de</w:t>
        <w:br/>
        <w:t>las personas con enfermedades catastróficas, raras o huérfanas en  situación</w:t>
        <w:br/>
        <w:t>socioeconómica crítica y  menores  de  14  años  viviendo  con  VIH-SIDA  en</w:t>
        <w:br/>
        <w:t>situación socioeconómica  crítica  (expediente  de  prueba,  folios  3163  y</w:t>
        <w:br/>
        <w:t>3168).</w:t>
        <w:br/>
        <w:br/>
        <w:t>[395]       Cfr. Reglamento para la atención a  personas  con  VIH/SIDA  del</w:t>
        <w:br/>
        <w:t>Ministerio de Salud Pública (expediente de prueba, folio 3200).</w:t>
        <w:br/>
        <w:br/>
        <w:t>[396]       Cfr. Acuerdo del Ministerio de Salud para  la  conformación  del</w:t>
        <w:br/>
        <w:t>Comité Ecuatoriano Multisectorial  de  VIH/SIDA  –  CEMSIDA  (expediente  de</w:t>
        <w:br/>
        <w:t>prueba, folio 3227).</w:t>
        <w:br/>
        <w:br/>
        <w:t>[397]       Cfr. Estrategia Nacional de Salud Pública para VIH/SIDA-ITS  del</w:t>
        <w:br/>
        <w:t>Ministerio de Salud Pública (expediente de prueba, folio 3230).</w:t>
        <w:br/>
        <w:br/>
        <w:t>[398]       En dicho caso, la Corte ordenó al Estado llevar a  cabo,  en  un</w:t>
        <w:br/>
        <w:t>plazo razonable, una amplia difusión  de  los  derechos  de  los  pacientes,</w:t>
        <w:br/>
        <w:t>utilizando los medios de comunicación adecuados y aplicando  la  legislación</w:t>
        <w:br/>
        <w:t>existente en el Ecuador y los estándares internacionales, tomando en  cuenta</w:t>
        <w:br/>
        <w:t>que la Ley de Derechos y Amparo del  Paciente  establece  la  obligación  de</w:t>
        <w:br/>
        <w:t>mantener en todos los servicios de  salud  a  disposición  de  los  usuarios</w:t>
        <w:br/>
        <w:t>ejemplares de la Ley. Además, consideró necesario que  el  Estado  realizara</w:t>
        <w:br/>
        <w:t>un programa para la formación y capacitación a los operadores de justicia  y</w:t>
        <w:br/>
        <w:t>profesionales de la salud sobre la normativa que el Ecuador ha  implementado</w:t>
        <w:br/>
        <w:t>relativa a los derechos de los pacientes y  acerca  de  la  sanción  por  su</w:t>
        <w:br/>
        <w:t>incumplimiento.  Cfr.  Caso  Albán  Cornejo  y  otros  Vs.  Ecuador.  Fondo,</w:t>
        <w:br/>
        <w:t>Reparaciones y Costas. Sentencia de 22 de noviembre de  2007.  Serie  C  No.</w:t>
        <w:br/>
        <w:t>171, párrs. 162 a 164.</w:t>
        <w:br/>
        <w:br/>
        <w:t>[399]       La Ley Orgánica de Salud del año 2006 dispone en el artículo  71</w:t>
        <w:br/>
        <w:t>que “[l]a autoridad sanitaria nacional dictará las normas  relativas  a  los</w:t>
        <w:br/>
        <w:t>procesos de donación, transfusión, uso y vigilancia  de  la  calidad  de  la</w:t>
        <w:br/>
        <w:t>sangre humana con sus componentes y derivados, con el fin de  garantizar  el</w:t>
        <w:br/>
        <w:t>acceso equitativo, eficiente, suficiente y seguro,  la  preservación  de  la</w:t>
        <w:br/>
        <w:t>salud de los donantes y la máxima protección de los receptores así como  del</w:t>
        <w:br/>
        <w:t>personal de salud”. Para ello, establece en el artículo 72 que la  autoridad</w:t>
        <w:br/>
        <w:t>sanitaria nacional licenciará a los servicios de sangre públicos y  privados</w:t>
        <w:br/>
        <w:t>de acuerdo a la normativa vigente.  Asimismo,  el  artículo  75  señala  que</w:t>
        <w:br/>
        <w:t>“[l]os  establecimientos  autorizados  para  colectar  unidades  de  sangre,</w:t>
        <w:br/>
        <w:t>previamente a su utilización en transfusiones, están  obligados  a  realizar</w:t>
        <w:br/>
        <w:t>las pruebas para determinar el grupo y factor sanguíneo y  la  presencia  de</w:t>
        <w:br/>
        <w:t>anticuerpos irregulares, así como las serológicas  para  los  marcadores  de</w:t>
        <w:br/>
        <w:t>infección, determinados en la reglamentación correspondeinte de acuerdo  con</w:t>
        <w:br/>
        <w:t>el  perfil  epidemiológico  local,  regional  y  nacional,  y  los   avances</w:t>
        <w:br/>
        <w:t>tecnológicos”.</w:t>
        <w:br/>
        <w:br/>
        <w:t>[400]       Cfr. Informe sobre las acciones del Ministerio de Salud  Pública</w:t>
        <w:br/>
        <w:t>y del Programa Nacional de  Sangre  para  evitar  casos  de  transmisión  de</w:t>
        <w:br/>
        <w:t>infecciones  a  través  de  las  transfusiones  de  componentes   sanguíneos</w:t>
        <w:br/>
        <w:t>(expediente de prueba, folio 2500).</w:t>
        <w:br/>
        <w:br/>
        <w:t>[401]       El Estado señaló que a través del Decreto Ejecutivo No.  422  de</w:t>
        <w:br/>
        <w:t>6 de agosto de 2010 se creó el Bono Joaquín Gallegos Lara, a favor  de  “las</w:t>
        <w:br/>
        <w:t>personas con discapacidad severa y profunda  en  situación  crítica  que  no</w:t>
        <w:br/>
        <w:t>pueden gobernarse por sí mismos,  […]  o,  con  enfermedades  catastróficas,</w:t>
        <w:br/>
        <w:t>raras o huérfanas […] así como todos los menores de  catorce  años  viviendo</w:t>
        <w:br/>
        <w:t>con VIH[/SIDA]”.</w:t>
        <w:br/>
        <w:br/>
        <w:t>[402]       Cfr. Ley Orgánica de Salud, artículo 27 (expediente  de  prueba,</w:t>
        <w:br/>
        <w:t>folio 4250).</w:t>
        <w:br/>
        <w:br/>
        <w:t>[403]       Cfr. Código de la Niñez y Adolescencia, artículo 37  (expediente</w:t>
        <w:br/>
        <w:t>de prueba, folio 3108).</w:t>
        <w:br/>
        <w:br/>
        <w:t>[404]       Cfr. Código de la Niñez y Adolescencia, artículo  6  (expediente</w:t>
        <w:br/>
        <w:t>de prueba, folio 3104).</w:t>
        <w:br/>
        <w:br/>
        <w:t>[405]       Cfr. Decisión Ministerial “Sexualidad, la  prevención  del  ITS-</w:t>
        <w:br/>
        <w:t>VIH/SIDA libre de estereotipos y prejuicios para contribuir a  la  promoción</w:t>
        <w:br/>
        <w:t>de calidad de vida y erradicación de los estigmas y discriminación por  VIH-</w:t>
        <w:br/>
        <w:t>SIDA” de 21 de noviembre de 2008 (expediente de prueba, folio 3184).</w:t>
        <w:br/>
        <w:br/>
        <w:t>[406]       Cfr. Resolución del CONESUP.  RCP.S07.NO.166  de  mayo  de  2009</w:t>
        <w:br/>
        <w:t>(expediente de prueba, folio 3187).</w:t>
        <w:br/>
        <w:br/>
        <w:t>[407]        Cfr.  Dictamen  pericial  de  John  Herlyn  Antón   y   Gustavo</w:t>
        <w:br/>
        <w:t>Medinaceli (expediente de prueba, folio 3801).</w:t>
        <w:br/>
        <w:br/>
        <w:t>[408]       Cfr. Ley para la prevención y asistencia integral  del  VIH/SIDA</w:t>
        <w:br/>
        <w:t>(expediente de prueba, folio 2120).</w:t>
        <w:br/>
        <w:br/>
        <w:t>[409]       Los representantes  alegaron  que  la  Cruz  Roja  cobró  80.000</w:t>
        <w:br/>
        <w:t>sucres en la primera atención a Talía, por concepto de reactivos.</w:t>
        <w:br/>
        <w:br/>
        <w:t>[410]       La madre de Talía declaró  que  “gastaba  alrededor  de  $500  a</w:t>
        <w:br/>
        <w:t>$1.500 mensuales”.</w:t>
        <w:br/>
        <w:br/>
        <w:t>[411]       Según los representantes, dicho  examen,  realizado  en  al  año</w:t>
        <w:br/>
        <w:t>2000, tuvo un costo de $8.000.</w:t>
        <w:br/>
        <w:br/>
        <w:t>[412]       Según los representantes, los pasajes de avión fueron  comprados</w:t>
        <w:br/>
        <w:t>durante los años 2000 y 2003, y tuvieron un costo de $5.000.</w:t>
        <w:br/>
        <w:br/>
        <w:t>[413]       Respecto de  los  alimentos  nutricionales,  los  representantes</w:t>
        <w:br/>
        <w:t>señalaron que entre los años 2005 y 2014 los gastos fueron de $10.000.</w:t>
        <w:br/>
        <w:br/>
        <w:t>[414]       Los representantes señalaron que por el internamiento  de  Talía</w:t>
        <w:br/>
        <w:t>en el año 2005 incurrieron en gastos por el monto de $2.000.</w:t>
        <w:br/>
        <w:br/>
        <w:t>[415]       Los representantes señalaron que la familia  Lluy  ha  incurrido</w:t>
        <w:br/>
        <w:t>en gastos de aproximadamente $15.000 cada mes por este concepto.</w:t>
        <w:br/>
        <w:br/>
        <w:t>[416]       Dichos exámenes, según  los  representantes,  se  realizan  cada</w:t>
        <w:br/>
        <w:t>tres meses desde el año 2001, y estimaron que para el  2014  habían  gastado</w:t>
        <w:br/>
        <w:t>$20.000 en su realización.</w:t>
        <w:br/>
        <w:br/>
        <w:t>[417]       En este sentido indicaron que durante el 2005 y  2014  Talía  ha</w:t>
        <w:br/>
        <w:t>sido tratada,  primero,  con  Viracep  y  Comvivir,  que  costaron  $20.196;</w:t>
        <w:br/>
        <w:t>posteriormente fue tratada con Stocrin y Tenvir, y actualmente se trata  con</w:t>
        <w:br/>
        <w:t>Tenvir y Efavirex.</w:t>
        <w:br/>
        <w:br/>
        <w:t>[418]        Los  representantes  señalaron  que  Teresa  Lluy  recordó  las</w:t>
        <w:br/>
        <w:t>siguientes deudas: i) US$ 8.000,00 solicitados a María  Soledad  Salinas  en</w:t>
        <w:br/>
        <w:t>el año 2000 para la realización del examen en Bélgica; ii) US$ 5.000,00  con</w:t>
        <w:br/>
        <w:t>un interés de 5% anual solicitados a Carmen Ruiz en el año 2001 para  gastos</w:t>
        <w:br/>
        <w:t>de Talía; iii) US$ 70.000,00 con un interés de 15% anual  solicitados  a  la</w:t>
        <w:br/>
        <w:t>Cooperativa Alfonso Jaramillo durante los años 2005 a 2011  para  gastos  de</w:t>
        <w:br/>
        <w:t>arriendo  y  mudanza;  iv)  US$  5.000,00  con  un  interés  de  15%   anual</w:t>
        <w:br/>
        <w:t>solicitados a la Cooperativa Coopera en el año 2004 para  gastos  de  Talía;</w:t>
        <w:br/>
        <w:t>v) US$ 5.000,00 con un interés de 15% anual  solicitados  a  la  Cooperativa</w:t>
        <w:br/>
        <w:t>Riobamba en el año 2006 para gastos  de  Talía;  vi)  US$  5.000,00  con  un</w:t>
        <w:br/>
        <w:t>interés de 15% anual solicitados al Banco Pichincha  en  el  año  2006  para</w:t>
        <w:br/>
        <w:t>gastos; vii) US$ 20.000,00 con un interés de 20%  anual  solicitados  en  el</w:t>
        <w:br/>
        <w:t>año 2007 a “chulqueros” para el pago de deudas; viii) US$ 10.000,00  con  un</w:t>
        <w:br/>
        <w:t>interés de 15% anual solicitados a Marisol  Salinas  en  el  año  2009  para</w:t>
        <w:br/>
        <w:t>gastos de Talía; ix) US$ 5.000,00 con un interés de  15%  anual  solicitados</w:t>
        <w:br/>
        <w:t>durante los años 2010 a 2012 a  la  Cooperativa  Cacpe  de  Gualaquiza  para</w:t>
        <w:br/>
        <w:t>gastos  generales;  x)  US$  5.000,00  con  un  interés  de   15.20%   anual</w:t>
        <w:br/>
        <w:t>solicitados en el año 2013 a la Cooperativa JEP para gastos de Talía, y  xi)</w:t>
        <w:br/>
        <w:t>US$ 10.000,00 con un interés de 15.20% anual solicitados en el  año  2014  a</w:t>
        <w:br/>
        <w:t>la Cooperativa JEP para gastos de Talía.</w:t>
        <w:br/>
        <w:br/>
        <w:t>[419] Los representantes afirmaron  que  actualmente  Teresa  Lluy  gana  en</w:t>
        <w:br/>
        <w:t>promedio US$ 50,00 (cincuenta dólares de  los  Estados  Unidos  de  América)</w:t>
        <w:br/>
        <w:t>mensuales, que con comisiones pueden ascender a US$ 144,00 (ciento  cuarenta</w:t>
        <w:br/>
        <w:t>y cuatro dólares de los Estados Unidos de  América),  y  en  ocasiones  gana</w:t>
        <w:br/>
        <w:t>menos dinero.</w:t>
        <w:br/>
        <w:br/>
        <w:t>[420]        Cfr.  Caso  Bámaca  Velásquez  Vs.  Guatemala.  Reparaciones  y</w:t>
        <w:br/>
        <w:t>Costas. Sentencia de 22 de febrero de 2002. Serie C  No.  91,  párr.  43,  y</w:t>
        <w:br/>
        <w:t>Caso Rodríguez Vera y otros (“Desaparecidos del Palacio  de  Justicia”)  Vs.</w:t>
        <w:br/>
        <w:t>Colombia, párr. 591.</w:t>
        <w:br/>
        <w:br/>
        <w:t>[421]       Cfr. Caso Bámaca Velásquez  Vs.  Guatemala,  párr.  43,  y  Caso</w:t>
        <w:br/>
        <w:t>Rodríguez Vera  y  otros  (“Desaparecidos  del  Palacio  de  Justicia”)  Vs.</w:t>
        <w:br/>
        <w:t>Colombia, párr. 591.</w:t>
        <w:br/>
        <w:br/>
        <w:t>[422]       Tabla de amortización de deudas activas a nombre  de  Iván  Lluy</w:t>
        <w:br/>
        <w:t>por el monto de US$ 12.584,88 (expediente de prueba, folio 1193);  extractos</w:t>
        <w:br/>
        <w:t>de créditos cancelados a nombre de Teresa Lluy  en  la  Cooperativa  Alfonso</w:t>
        <w:br/>
        <w:t>Jaramillo por el monto de US$ 84.590,00 (expediente de prueba,  folios  1195</w:t>
        <w:br/>
        <w:t>y 1196); créditos otorgados a Teresa Lluy por la  Cooperativa  de  Ahorro  y</w:t>
        <w:br/>
        <w:t>Crédito La Merced Ltda. por el monto de US$ 6.000,00 (expediente de  prueba,</w:t>
        <w:br/>
        <w:t>folios 1197 a 1199);  préstamo  a  nombre  de  Iván  Lluy  otorgado  por  la</w:t>
        <w:br/>
        <w:t>Cooperativa de Ahorro y Crédito  “Juventud  Ecuatoriana  Progresista”  Ltda.</w:t>
        <w:br/>
        <w:t>por el monto de US$ 5.000,00 (expediente de prueba, folio 1204); crédito  en</w:t>
        <w:br/>
        <w:t>mora a nombre de Teresa  Lluy  otorgado  por  la  Cooperativa  de  Ahorro  y</w:t>
        <w:br/>
        <w:t>Crédito de la Pequeña Empresa Gualaquiza por el monto  de  US$  2.000,00  de</w:t>
        <w:br/>
        <w:t>deuda inicial, US$ 400.00 de deuda capital y  US$  60,92  de  deuda  interés</w:t>
        <w:br/>
        <w:t>(expediente de prueba, folio 1207); liquidación de préstamo hecho  a  Teresa</w:t>
        <w:br/>
        <w:t>Lluy por la Cooperativa  “Alfonso  Jaramillo  León”  por  el  monto  de  US$</w:t>
        <w:br/>
        <w:t>4060,00 (expediente  de  prueba,  folio  1210);  tabla  de  amortización  de</w:t>
        <w:br/>
        <w:t>crédito a nombre de Teresa Lluy en Coopera Ltda. Ahorro  y  Crédito  por  el</w:t>
        <w:br/>
        <w:t>monto de US$ 2.953,98 (expediente de prueba, folio 1211), y deuda  cancelada</w:t>
        <w:br/>
        <w:t>a nombre de Teresa Lluy en el Banco del Pacífico  en  el  año  1999  por  el</w:t>
        <w:br/>
        <w:t>monto de 2.600.000 sucres (expediente de prueba, folio 1212).</w:t>
        <w:br/>
        <w:br/>
        <w:t>[423]       Demanda de juicio ejecutivo interpuesta por  la  Cooperativa  de</w:t>
        <w:br/>
        <w:t>Ahorro y Crédito La Merced Ltda. para el pago de US$ 1.002,96  por  concepto</w:t>
        <w:br/>
        <w:t>de dividendos vencidos, US$ 422,19 del saldo de la deuda, los  intereses  de</w:t>
        <w:br/>
        <w:t>mora calculados al máximo legal y las  costas  procesales.  La  cuantía  del</w:t>
        <w:br/>
        <w:t>ejecutivo fue establecida en US$  10.000,00  (expediente  de  prueba,  folio</w:t>
        <w:br/>
        <w:t>1200).</w:t>
        <w:br/>
        <w:br/>
        <w:t>[424]        Recibo  de  exámenes  médicos  realizados   por   International</w:t>
        <w:br/>
        <w:t>Laboratories Services Interlab S.A. a nombre de Talía Gonzales por  la  suma</w:t>
        <w:br/>
        <w:t>de US$ 489,44 (expediente de prueba, folio 1214); recibos de  transporte  de</w:t>
        <w:br/>
        <w:t>la empresa Ejecutivo San  Luis  de  Transportes  S.A.  con  destino  Cuenca-</w:t>
        <w:br/>
        <w:t>Guayaquil para dos adultos de fechas 2 y 3 de abril de 2014 por la  suma  de</w:t>
        <w:br/>
        <w:t>US$ 16,00 cada uno (expediente de prueba, folios 1214  y  1217);  recibo  de</w:t>
        <w:br/>
        <w:t>transporte de la Cooperativa de Transportes “S.A.N.T.A” a nombre  de  Teresa</w:t>
        <w:br/>
        <w:t>Lluy con destino Quito-Cuenca de fecha 27 de julio de 2012 para dos  adultos</w:t>
        <w:br/>
        <w:t>por la suma de US$ 18,00 (expediente de  prueba,  folio  1215);  recibos  de</w:t>
        <w:br/>
        <w:t>transporte de la Cooperativa de  Transportes  Flota  IMBABURA  a  nombre  de</w:t>
        <w:br/>
        <w:t>Teresa Lluy con destino Cuenca-Quito de fechas 26 de julio de 2012 y  14  de</w:t>
        <w:br/>
        <w:t>febrero y 1 de agosto de 2013 para dos adultos por  la  suma  de  US$  24,00</w:t>
        <w:br/>
        <w:t>cada uno (expediente de prueba, folios 1215 y 1216), y recibo de  transporte</w:t>
        <w:br/>
        <w:t>de la Cooperativa de  Transportes  “Turismo  Oriental”  con  destino  Quito-</w:t>
        <w:br/>
        <w:t>Cuenca de fecha 15 de junio de 2011 para dos adultos  por  la  suma  de  US$</w:t>
        <w:br/>
        <w:t>28,00 (expediente de  prueba,  folio  1216).  Respecto  de  los  suplementos</w:t>
        <w:br/>
        <w:t>alimenticios, presentaron facturas de Omnilife de fechas 4 y 23 de marzo  de</w:t>
        <w:br/>
        <w:t>2005 por el monto de US$ 707,40 y US$ 710,95; 15 de octubre de 2007  por  el</w:t>
        <w:br/>
        <w:t>monto de US$ 195,89; 24 de noviembre y 17 de diciembre de 2007 por el  monto</w:t>
        <w:br/>
        <w:t>de US$ 184,43 y US$ 201,43; 10 de abril de 2008 por el monto de US$  250,58;</w:t>
        <w:br/>
        <w:t>2 de diciembre de 2009  por  el  monto  de  US$  292,90;  factura  de  fecha</w:t>
        <w:br/>
        <w:t>ilegible por el monto de US$ 128,05; factura de 1 de agosto de 2011  por  el</w:t>
        <w:br/>
        <w:t>monto de US$ 168,46; factura de 6 de junio de  2013  por  el  monto  de  US$</w:t>
        <w:br/>
        <w:t>136,99; factura de 15 de noviembre de 2012 por el monto  de  US$  262,90,  y</w:t>
        <w:br/>
        <w:t>facturas de 24 de febrero y 17 de marzo  de  2014  por  los  montos  de  US$</w:t>
        <w:br/>
        <w:t>126,81 y US$ 186,15 (expediente de prueba, folios 1221 a 1230).</w:t>
        <w:br/>
        <w:br/>
        <w:t>[425]       Cfr. Caso  El  Amparo  Vs.  Venezuela.  Reparaciones  y  Costas.</w:t>
        <w:br/>
        <w:t>Sentencia de 14 de septiembre de 1996. Serie C No.  28,  párr.  35,  y  Caso</w:t>
        <w:br/>
        <w:t>Cruz Sánchez y otros Vs. Perú, párr. 482.</w:t>
        <w:br/>
        <w:br/>
        <w:t>[426]       Cfr. Caso de los Niños de la Calle (Villagrán Morales  y  otros)</w:t>
        <w:br/>
        <w:t>Vs. Guatemala. Reparaciones y Costas. Sentencia  de  26  de  mayo  de  2001.</w:t>
        <w:br/>
        <w:t>Serie C No. 77, párr. 84, y Caso Cruz Sánchez y otros Vs. Perú, párr. 482.</w:t>
        <w:br/>
        <w:br/>
        <w:t>[427]       Cfr. Caso  Velásquez  Rodríguez  Vs.  Honduras.  Reparaciones  y</w:t>
        <w:br/>
        <w:t>Costas, párr. 42, y Caso Cruz Sánchez y otros Vs. Perú, párr. 488.</w:t>
        <w:br/>
        <w:br/>
        <w:t>[428]       Cfr. Caso Garrido y  Baigorria  Vs.  Argentina.  Reparaciones  y</w:t>
        <w:br/>
        <w:t>Costas. Sentencia de 27 de agosto de 1998. Serie C No. 39, párr. 82, y  Caso</w:t>
        <w:br/>
        <w:t>Cruz Sánchez y otros Vs. Perú, párr. 488.</w:t>
        <w:br/>
        <w:br/>
        <w:t>[429]       Caso Garrido y Baigorria Vs. Argentina. Reparaciones  y  Costas,</w:t>
        <w:br/>
        <w:t>párr. 79, y Caso Cruz Sánchez y otros Vs. Perú, párr. 489.</w:t>
        <w:br/>
        <w:br/>
        <w:t>[430]       Cfr. Caso Chaparro Álvarez y Lapo  Íñiguez  Vs.  Ecuador,  párr.</w:t>
        <w:br/>
        <w:t>277, y Caso Cruz Sánchez y otros Vs. Perú, párr. 489.</w:t>
        <w:br/>
        <w:br/>
        <w:t>[431]       Cfr. Caso Ibsen  Cárdenas  e  Ibsen  Peña  Vs.  Bolivia.  Fondo,</w:t>
        <w:br/>
        <w:t>Reparaciones y Costas. Sentencia de 1 de septiembre de  2010.  Serie  C  No.</w:t>
        <w:br/>
        <w:t>217, párr. 291, y Caso Veliz Franco y otros vs. Guatemala, párr. 307.</w:t>
        <w:br/>
        <w:br/>
        <w:t>[432]       Párr. 191 de la Sentencia.</w:t>
        <w:br/>
        <w:br/>
        <w:t>[433]       Cfr. Caso “Cinco Pensionistas” Vs. Perú. Fondo,  Reparaciones  y</w:t>
        <w:br/>
        <w:t>Costas. Sentencia de 28 de febrero de 2003. Serie C No. 98, párr. 147.</w:t>
        <w:br/>
        <w:br/>
        <w:t>[434]       Caso Acevedo Buendía  y  otros  (“Cesantes  y  Jubilados  de  la</w:t>
        <w:br/>
        <w:t>Contraloría”) Vs. Perú. Excepción Preliminar, Fondo, Reparaciones y  Costas.</w:t>
        <w:br/>
        <w:t>Sentencia de 1 de julio de 2009 Serie C No. 198, párr.  103.</w:t>
        <w:br/>
        <w:br/>
        <w:t>[435]       “[R]esulta pertinente observar que si bien  el  artículo  26  se</w:t>
        <w:br/>
        <w:t>encuentra  en  el  capítulo  III  de  la  Convención,   titulado   ‘Derechos</w:t>
        <w:br/>
        <w:t>Económicos, Sociales y Culturales’, se ubica, también,  en  la  Parte  I  de</w:t>
        <w:br/>
        <w:t>dicho instrumento, titulado ‘Deberes de los Estados y  Derechos  Protegidos’</w:t>
        <w:br/>
        <w:t>y, por ende, está sujeto a las  obligaciones  generales  contenidas  en  los</w:t>
        <w:br/>
        <w:t>artículos 1.1 y 2 señalados en  el  capítulo  I  (titulado  ‘Enumeración  de</w:t>
        <w:br/>
        <w:t>Deberes’), así como lo están los artículos 3 al 25 señalados en el  capítulo</w:t>
        <w:br/>
        <w:t>II (titulado ‘Derechos Civiles y Políticos’)”. Caso Acevedo Buendía y  otros</w:t>
        <w:br/>
        <w:t>(“Cesantes y Jubilados de la Contraloría”) Vs. Perú, párr. 100.</w:t>
        <w:br/>
        <w:br/>
        <w:t>[436]       El artículo 34. i) de la Carta de la  OEA  establece  entre  los</w:t>
        <w:br/>
        <w:t>“objetivos básicos del desarrollo  integral”  la  “[d]efensa  del  potencial</w:t>
        <w:br/>
        <w:t>humano mediante la extensión y aplicación de los modernos  conocimientos  de</w:t>
        <w:br/>
        <w:t>la ciencia médica” (Subrayado fuera del texto).</w:t>
        <w:br/>
        <w:br/>
        <w:t>[437]       El artículo 45 de la  Carta  de  la  OEA  señala:  “Los  Estados</w:t>
        <w:br/>
        <w:t>miembros (…( convienen en dedicar sus máximos esfuerzos a la  aplicación  de</w:t>
        <w:br/>
        <w:t>los siguientes principios y mecanismos: […] h) Desarrollo  de  una  política</w:t>
        <w:br/>
        <w:t>eficiente de seguridad social”.</w:t>
        <w:br/>
        <w:t>[438]       “[I]t is not enough just to infer a right by its name  from  the</w:t>
        <w:br/>
        <w:t>Charter, it is also necessary that the Charter provides  a  minimum  content</w:t>
        <w:br/>
        <w:t>for that right. This minimum content could then be clarified – to a  certain</w:t>
        <w:br/>
        <w:t>extent – by other international instruments.  Defining  the  entire  content</w:t>
        <w:br/>
        <w:t>and scope of a right by means of other instruments would  invariably  result</w:t>
        <w:br/>
        <w:t>in  a  modification  of  the  Charter”.  (Traducción  propia)  Oswaldo  Ruiz</w:t>
        <w:br/>
        <w:t>Chiriboga, The American Convention And The Protocol  Of  San  Salvador:  Two</w:t>
        <w:br/>
        <w:t>Intertwined Treaties Non-Enforceability Of  Economic,  Social  And  Cultural</w:t>
        <w:br/>
        <w:t>Rights In The Inter-American System, Netherlands Quarterly of Human  Rights,</w:t>
        <w:br/>
        <w:t>Vol. 31/2 (2013), p. 171.</w:t>
        <w:br/>
        <w:br/>
        <w:t>[439]       Víctor Abramovich, y Julieta Rossi, ‘La Tutela de  los  Derechos</w:t>
        <w:br/>
        <w:t>Económicos, Sociales y  Culturales  en  el  Artículo  26  de  la  Convención</w:t>
        <w:br/>
        <w:t>Americana sobre Derechos Humanos’, Estudios Socio-Jurídicos, Vol.  9,  2007,</w:t>
        <w:br/>
        <w:t>p. 37.</w:t>
        <w:br/>
        <w:br/>
        <w:t>[440]       A manera  de  ejemplo,  el  artículo  XI  establece  que:  “Toda</w:t>
        <w:br/>
        <w:t>persona tiene derecho a que su salud sea preservada por  medidas  sanitarias</w:t>
        <w:br/>
        <w:t>y sociales, relativas a la  alimentación,  el  vestido,  la  vivienda  y  la</w:t>
        <w:br/>
        <w:t>asistencia médica, correspondientes  al  nivel  que  permitan  los  recursos</w:t>
        <w:br/>
        <w:t>públicos y los de la comunidad”.</w:t>
        <w:br/>
        <w:br/>
        <w:t>[441]       Al respecto, “[e]n el camino que debe seguirse  para  determinar</w:t>
        <w:br/>
        <w:t>si un derecho se encuentra implícito en la Carta  es  necesario,  a  nuestro</w:t>
        <w:br/>
        <w:t>entender, evitar el atajo de apelar directamente a la Declaración  Americana</w:t>
        <w:br/>
        <w:t>como  instrumento  que  informa  el  contenido  de  los   derechos   humanos</w:t>
        <w:br/>
        <w:t>consagrados en la Carta. [Esto teniendo en cuenta que] el artículo 26  habla</w:t>
        <w:br/>
        <w:t>de los derechos que se derivan de las normas económicas, sociales,  y  sobre</w:t>
        <w:br/>
        <w:t>educación, ciencia y cultura de la Carta y  no  remite  a  la  Declaración”.</w:t>
        <w:br/>
        <w:t>Víctor Abramovich, y Julieta Rossi, ‘La Tutela de los  Derechos  Económicos,</w:t>
        <w:br/>
        <w:t>Sociales y Culturales en el Artículo 26 de  la  Convención  Americana  sobre</w:t>
        <w:br/>
        <w:t>Derechos Humanos’, Estudios Socio-Jurídicos, Vol. 9, 2007, p. 47.</w:t>
        <w:br/>
        <w:t>[442]       En efecto, la razón por la cual la Sentencia decide que  no  hay</w:t>
        <w:br/>
        <w:t>violación es que “teniendo en cuenta que lo que está  bajo  análisis  no  es</w:t>
        <w:br/>
        <w:t>alguna providencia adoptada por el Estado que haya  impedido  el  desarrollo</w:t>
        <w:br/>
        <w:t>progresivo del derecho a  una  pensión,  sino  más  bien  el  incumplimiento</w:t>
        <w:br/>
        <w:t>estatal del pago ordenado por sus órganos judiciales, el Tribunal  considera</w:t>
        <w:br/>
        <w:t>que los derechos afectados son aquellos protegidos en los artículos 25 y  21</w:t>
        <w:br/>
        <w:t>de la Convención y no  encuentra  motivo  para  declarar  adicionalmente  el</w:t>
        <w:br/>
        <w:t>incumplimiento del artículo 26 de dicho instrumento”. Caso  Acevedo  Buendía</w:t>
        <w:br/>
        <w:t>y otros (“Cesantes y Jubilados de la Contraloría”) Vs. Perú, párr. 106.</w:t>
        <w:br/>
        <w:br/>
        <w:t>[443]       Por ejemplo, el artículo 45.b de la  Carta  establece  que:  “El</w:t>
        <w:br/>
        <w:t>trabajo es un derecho y un deber social, otorga dignidad a quien lo  realiza</w:t>
        <w:br/>
        <w:t>y debe prestarse en condiciones  que,  incluyendo  un  régimen  de  salarios</w:t>
        <w:br/>
        <w:t>justos, aseguren la vida, la salud y un nivel  económico  decoroso  para  el</w:t>
        <w:br/>
        <w:t>trabajador y su familia, tanto en sus años de trabajo como en  su  vejez,  o</w:t>
        <w:br/>
        <w:t>cuando cualquier circunstancia lo prive de la posibilidad de trabajar”.</w:t>
        <w:br/>
        <w:br/>
        <w:t>[444]       Corte Interamericana de Derechos Humanos, Documentos Básicos  en</w:t>
        <w:br/>
        <w:t>Materia de Derechos Humanos en  el  Sistema  Interamericano  (Actualizado  a</w:t>
        <w:br/>
        <w:t>febrero de 2012), 2012, pp 11.</w:t>
        <w:br/>
        <w:br/>
        <w:t>[445]       Los Estados que han  ratificado  el  Protocolo  son:  Argentina,</w:t>
        <w:br/>
        <w:t>Bolivia,  Brasil,  Colombia,  Costa   Rica,   Ecuador,   Honduras,   México,</w:t>
        <w:br/>
        <w:t>Nicaragua, Panamá,  Paraguay,  Perú,  El  Salvador,  Guatemala,  Suriname  y</w:t>
        <w:br/>
        <w:t>Uruguay.    Extraído    el    10    de    septiembre    de    2015     desde</w:t>
        <w:br/>
        <w:t>http://www.oas.org/juridico/spanish/firmas/a-52.html.</w:t>
        <w:br/>
        <w:br/>
        <w:t>[446]       Véase, Definiciones de términos fundamentales  en  la  Colección</w:t>
        <w:br/>
        <w:t>de    Tratados    de     las     Naciones     Unidas.     Consultado     en:</w:t>
        <w:br/>
        <w:t>http://www.un.org/es/treaty/untc.shtml#protocols.</w:t>
        <w:br/>
        <w:br/>
        <w:t>[447]       Párr. 291 de la Sentencia. .</w:t>
        <w:br/>
        <w:br/>
        <w:t>[448]       Ver, por ejemplo, Caso Artavia Murillo y otros  (Fecundación  in</w:t>
        <w:br/>
        <w:t>vitro) Vs. Costa  Rica.  Excepciones  Preliminares,  Fondo,  Reparaciones  y</w:t>
        <w:br/>
        <w:t>Costas. Sentencia del 28 de noviembre de 2012. Serie C No. 257,  párr.  178,</w:t>
        <w:br/>
        <w:t>y Caso Mohamed Vs. Argentina. Excepción Preliminar,  Fondo,  Reparaciones  y</w:t>
        <w:br/>
        <w:t>Costas. Sentencia del 23 de noviembre de 2012. Serie C No. 255, párr. 93.</w:t>
        <w:br/>
        <w:br/>
        <w:t>[449]       Cfr. Caso Artavia Murillo y otros  (Fecundación  in  vitro)  Vs.</w:t>
        <w:br/>
        <w:t>Costa Rica, párr. 191, y Caso González  y  otras  (“Campo  Algodonero”)  Vs.</w:t>
        <w:br/>
        <w:t>México. Excepción Preliminar, Fondo, Reparaciones y Costas. Sentencia de  16</w:t>
        <w:br/>
        <w:t>de noviembre de 2009. Serie C No. 205, párr. 43.</w:t>
        <w:br/>
        <w:br/>
        <w:t>[450]       Cfr. Caso Artavia Murillo y otros  (Fecundación  in  vitro)  Vs.</w:t>
        <w:br/>
        <w:t>Costa Rica, párrs. 191 a 244.</w:t>
        <w:br/>
        <w:br/>
        <w:t>[451]       Caso Artavia Murillo y otros (Fecundación in  vitro)  Vs.  Costa</w:t>
        <w:br/>
        <w:t>Rica, párr. 245, y El Derecho a la Información sobre la Asistencia  Consular</w:t>
        <w:br/>
        <w:t>en el Marco de las Garantías del Debido Proceso  Legal.  Opinión  Consultiva</w:t>
        <w:br/>
        <w:t>OC-16/99 de 1 de octubre de 1999. Serie A No. 16, párr. 114.</w:t>
        <w:br/>
        <w:t>[452]       “If the  ordinary  meaning  of  a  provision  is  clear  in  not</w:t>
        <w:br/>
        <w:t>granting jurisdiction to the IAS bodies,  the  object  and  purpose  of  the</w:t>
        <w:br/>
        <w:t>Convention cannot be used to overthrown that  result”.  (Traducción  propia)</w:t>
        <w:br/>
        <w:t>Oswaldo Ruiz Chiriboga, The American Convention  And  The  Protocol  Of  San</w:t>
        <w:br/>
        <w:t>Salvador: Two Intertwined Treaties Non-Enforceability  Of  Economic,  Social</w:t>
        <w:br/>
        <w:t>And Cultural Rights In The Inter-American System, Netherlands  Quarterly  of</w:t>
        <w:br/>
        <w:t>Human Rights, Vol. 31/2 (2013), p. 170.</w:t>
        <w:br/>
        <w:t>[453]       “The Court put forward the points of view of only  those  States</w:t>
        <w:br/>
        <w:t>which tried to materialise the exercise  of  ESC  rights  by  means  of  the</w:t>
        <w:br/>
        <w:t>activity of the Court. No mention was made of the  countries  which  opposed</w:t>
        <w:br/>
        <w:t>the enforceability of ESC rights and, more importantly, as  Burgorgue-Larsen</w:t>
        <w:br/>
        <w:t>recalls: nothing was said about the process which ultimately  gave  rise  to</w:t>
        <w:br/>
        <w:t>the drafting of Article 26 as such. Nor was anything said  about  the  scope</w:t>
        <w:br/>
        <w:t>the different States were prepared to confer  on  this  article.  Does  this</w:t>
        <w:br/>
        <w:t>mean that the article was the result of a compromise, or  did  it  represent</w:t>
        <w:br/>
        <w:t>those States which were in favour of giving economic and social rights  such</w:t>
        <w:br/>
        <w:t>an important place? Clearly, the silences of the  Court  were  part  of  its</w:t>
        <w:br/>
        <w:t>strategy to reach its  objective,  come  what  may,  namely  conferring  the</w:t>
        <w:br/>
        <w:t>widest scope possible on Article 26. But Brazil  and  Guatemala  aside,  the</w:t>
        <w:br/>
        <w:t>preparatory works show just how reluctant the majority  of  States  were  to</w:t>
        <w:br/>
        <w:t>recognize  that  what  was  to  become  Article  26  should  be  actionable”</w:t>
        <w:br/>
        <w:t>(Traducción propia) Oswaldo Ruiz Chiriboga, The American Convention And  The</w:t>
        <w:br/>
        <w:t>Protocol Of San Salvador: Two  Intertwined  Treaties  Non-Enforceability  Of</w:t>
        <w:br/>
        <w:t>Economic,  Social  And  Cultural  Rights  In  The   Inter-American   System,</w:t>
        <w:br/>
        <w:t>Netherlands Quarterly of Human Rights, Vol. 31/2 (2013), p. 170.</w:t>
        <w:br/>
        <w:br/>
        <w:t>[454]       Juan Carlos Upegui Mejía,  Diálogos  Judiciales  en  el  Sistema</w:t>
        <w:br/>
        <w:t>Interamericano de Garantía de los Derechos Humanos.  Barcelona,  España,  26</w:t>
        <w:br/>
        <w:t>de         febrero         de          2015.          Disponible          en</w:t>
        <w:br/>
        <w:t>https://www.youtube.com/watch?v=7cAls8PSzmo&amp;feature=youtu.be</w:t>
        <w:br/>
        <w:br/>
        <w:t>[455]       Caso Vélez Loor Vs.  Panamá.  Excepciones  Preliminares,  Fondo,</w:t>
        <w:br/>
        <w:t>Reparaciones y Costas. Sentencia de 23 de noviembre de  2010.  Serie  C  No.</w:t>
        <w:br/>
        <w:t>218, párr. 34.</w:t>
        <w:br/>
        <w:br/>
        <w:t>[456]        En el  mismo  sentido,  ver:  Caso  González  y  otras  (“Campo</w:t>
        <w:br/>
        <w:t>Algodonero”)  Vs.  México.  Excepción  Preliminar,  Fondo,  Reparaciones   y</w:t>
        <w:br/>
        <w:t>Costas. Sentencia de 16 de noviembre de 2009. Serie C No. 205, párr. 79.</w:t>
        <w:br/>
        <w:t>[457]       En similar sentido, el perito Courtis en  la  audiencia  pública</w:t>
        <w:br/>
        <w:t>del presente caso manifestó que: “No […] obje[ta] de[sde] el punto de  vista</w:t>
        <w:br/>
        <w:t>conceptual [que se interprete el derecho a la salud a través del  derecho  a</w:t>
        <w:br/>
        <w:t>la   integridad   física   porque]   los   derechos   [son]    indivisibles,</w:t>
        <w:br/>
        <w:t>interdependientes y de igual jerarquía”.</w:t>
        <w:br/>
        <w:br/>
        <w:t>[458]       “a Court interpretation of the scope of article  26  that  would</w:t>
        <w:br/>
        <w:t>permit direct access for ESC violations could constitute  either  broadening</w:t>
        <w:br/>
        <w:t>of the jurisdiction, or expansion of the "opportunities  to  detect,  expose</w:t>
        <w:br/>
        <w:t>or remedy noncompliance"-in either case, results likely to  produce  hostile</w:t>
        <w:br/>
        <w:t>state reaction. Again, in both cases, a given state's hostility  would  flow</w:t>
        <w:br/>
        <w:t>primarily from its belief that the supranational body is  engaging  in  more</w:t>
        <w:br/>
        <w:t>or a different kind of oversight than the state initially accepted. In  this</w:t>
        <w:br/>
        <w:t>model, state perception is more  important  than  the  correctness  (to  the</w:t>
        <w:br/>
        <w:t>extent that this may be judged objectively) of the  supranational  decision.</w:t>
        <w:br/>
        <w:t>If, as we argue, states understand the terms of the American Convention  and</w:t>
        <w:br/>
        <w:t>the Court's rulings in Five Pensioners and subsequent  cases  as  limits  on</w:t>
        <w:br/>
        <w:t>direct access for ESC litigation via article 26,  a  broader  interpretation</w:t>
        <w:br/>
        <w:t>of that article by the Court would constitute overlegalization”  (Traducción</w:t>
        <w:br/>
        <w:t>propia)      James L. Cavallaro,  and  Emily  Schaffer.  Rejoinder:  Justice</w:t>
        <w:br/>
        <w:t>before Justiciability: Inter-American  Litigation  and  Social  Change,  New</w:t>
        <w:br/>
        <w:t>York University Journal of International Law and Politics, Vol. 39, Issue  2</w:t>
        <w:br/>
        <w:t>(Winter 2006), p. 365.</w:t>
        <w:br/>
        <w:br/>
        <w:t>[459]  Al respecto, ver: “Sin lugar para la soberanía  popular.  Democracia,</w:t>
        <w:br/>
        <w:t>derechos y castigo en el caso Gelman”. Roberto Gargarella (2012).</w:t>
        <w:br/>
        <w:br/>
        <w:t>[460] En el proyecto considerado por la Conferencia Especializada en que  se</w:t>
        <w:br/>
        <w:t>adoptó la Convención se denominaba “Derechos  protegidos”  y  comprendía  el</w:t>
        <w:br/>
        <w:t>artículo referido al  desarrollo  progresivo  de  los  derechos  económicos,</w:t>
        <w:br/>
        <w:t>sociales y culturales.</w:t>
        <w:br/>
        <w:br/>
        <w:br/>
        <w:t>[461]       Artículo 31 de la Convención Americana sobre Derechos Humanos.</w:t>
        <w:br/>
        <w:br/>
        <w:br/>
        <w:t>[462]  Asimismo  se  pueden  utilizar  los  medios   complementarios   “para</w:t>
        <w:br/>
        <w:t>determinar el sentido cuando la interpretación dada de  conformidad  con  el</w:t>
        <w:br/>
        <w:t>artículo 31: a) deje ambiguo u  oscuro  el  sentido;  o  b)  conduzca  a  un</w:t>
        <w:br/>
        <w:t>resultado manifiestamente absurdo o irrazonable” pero  ése  no  es  el  caso</w:t>
        <w:br/>
        <w:t>aquí.</w:t>
        <w:br/>
        <w:br/>
        <w:br/>
        <w:t>[463]  Derechos  a   organizar   sindicatos,   así   como   federaciones   y</w:t>
        <w:br/>
        <w:t>confederaciones nacionales e internacionales, y libertad sindical.</w:t>
        <w:br/>
        <w:br/>
        <w:br/>
        <w:t>[464] Derecho a la educación.</w:t>
        <w:br/>
        <w:br/>
        <w:br/>
        <w:t>[465] Ver,  por  ejemplo,  Caso  Atala  Riffo  y  niñas  Vs.  Chile.  Fondo,</w:t>
        <w:br/>
        <w:t>Reparaciones y Costas. Sentencia del 24 de febrero  de  2012.  Serie  C  No.</w:t>
        <w:br/>
        <w:t>239, párr. 91.</w:t>
        <w:br/>
        <w:br/>
        <w:br/>
        <w:t>[466]       Actas  de  la  Conferencia  Especializada  Interamericana  sobre</w:t>
        <w:br/>
        <w:t>Derechos Humanos, 7 a 22 de noviembre de 1969, OEA/Ser.K/XVI/1.2, p. 37.</w:t>
        <w:br/>
        <w:br/>
        <w:br/>
        <w:t>[467] Actas de la Conferencia Especializada  Interamericana  sobre  Derechos</w:t>
        <w:br/>
        <w:t>Humanos, 7 a 22 de noviembre de 1969, OEA/Ser.K/XVI/1.2, pp. 42 y 43.</w:t>
        <w:br/>
        <w:br/>
        <w:br/>
        <w:t>[468]       Actas  de  la  Conferencia  Especializada  Interamericana  sobre</w:t>
        <w:br/>
        <w:t>Derechos Humanos, 7 a 22 de noviembre de 1969, OEA/Ser.K/XVI/1.2, p. 47.</w:t>
        <w:br/>
        <w:br/>
        <w:br/>
        <w:t>[469]       Actas  de  la  Conferencia  Especializada  Interamericana  sobre</w:t>
        <w:br/>
        <w:t>Derechos Humanos, 7 a 22 de noviembre de 1969, OEA/Ser.K/XVI/1.2, pp.  69  y</w:t>
        <w:br/>
        <w:t>70.</w:t>
        <w:br/>
        <w:br/>
        <w:br/>
        <w:t>[470]       Actas  de  la  Conferencia  Especializada  Interamericana  sobre</w:t>
        <w:br/>
        <w:t>Derechos Humanos, 7 a 22 de noviembre de 1969, OEA/Ser.K/XVI/1.2, p. 101.</w:t>
        <w:br/>
        <w:br/>
        <w:br/>
        <w:t>[471]       Actas  de  la  Conferencia  Especializada  Interamericana  sobre</w:t>
        <w:br/>
        <w:t>Derechos Humanos, 7 a 22 de noviembre de 1969, OEA/Ser.K/XVI/1.2, pp. 115  y</w:t>
        <w:br/>
        <w:t>116.</w:t>
        <w:br/>
        <w:br/>
        <w:br/>
        <w:t>[472]       Actas  de  la  Conferencia  Especializada  Interamericana  sobre</w:t>
        <w:br/>
        <w:t>Derechos Humanos, 7 a 22 de noviembre de 1969, OEA/Ser.K/XVI/1.2, pp. 124  y</w:t>
        <w:br/>
        <w:t>125.</w:t>
        <w:br/>
        <w:br/>
        <w:br/>
        <w:t>[473]       Actas  de  la  Conferencia  Especializada  Interamericana  sobre</w:t>
        <w:br/>
        <w:t>Derechos Humanos, 7 a 22 de noviembre de 1969, OEA/Ser.K/XVI/1.2, p. 318.</w:t>
        <w:br/>
        <w:br/>
        <w:br/>
        <w:t>[474]       Actas  de  la  Conferencia  Especializada  Interamericana  sobre</w:t>
        <w:br/>
        <w:t>Derechos Humanos, 7 a 22 de noviembre de 1969, OEA/Ser.K/XVI/1.2, p. 448.</w:t>
        <w:br/>
        <w:br/>
        <w:br/>
        <w:t>[475]       Adoptado en San Salvador, El Salvador, el  17  de  noviembre  de</w:t>
        <w:br/>
        <w:t>1988, en el  Decimoctavo  Período  Ordinario  de  Sesiones  de  la  Asamblea</w:t>
        <w:br/>
        <w:t>General de la Organización de Estados Americanos (“OEA”), entrando en  vigor</w:t>
        <w:br/>
        <w:t>el 16 de noviembre de 1999. Hasta la fecha este Protocolo  está  vigente  en</w:t>
        <w:br/>
        <w:t>16 países: Argentina, Bolivia, Brasil, Colombia,  Costa  Rica,  Ecuador,  El</w:t>
        <w:br/>
        <w:t>Salvador, Guatemala, Honduras, México, Nicaragua,  Panamá,  Paraguay,  Perú,</w:t>
        <w:br/>
        <w:t>Suriname y Uruguay.</w:t>
        <w:br/>
        <w:br/>
        <w:br/>
        <w:t>[476]        El  Tribunal  Distrital  de  lo  Contencioso   Nº   3   declaró</w:t>
        <w:br/>
        <w:t>inadmisible  el  recurso  de   amparo   constitucional,   considerando   que</w:t>
        <w:br/>
        <w:t>“exist[ía] un  conflicto  de  intereses,  entre  los  derechos  y  garantías</w:t>
        <w:br/>
        <w:t>individuales  de  [Talía]  frente  a  los  intereses  de   un   conglomerado</w:t>
        <w:br/>
        <w:t>estudiantil,  colisión  que  hac[ía]  que  predomin[ara]n  los  sociales   o</w:t>
        <w:br/>
        <w:t>colectivos, como lo es, el derecho a  la  vida,  frente  al  derecho  de  la</w:t>
        <w:br/>
        <w:t>educación”. Cfr. párr. 141 de la Sentencia.</w:t>
        <w:br/>
        <w:br/>
        <w:br/>
        <w:t>[477]       Párr. 144 de la Sentencia.</w:t>
        <w:br/>
        <w:br/>
        <w:t>[478]       “Artículo 13: Derecho a la Educación:</w:t>
        <w:br/>
        <w:t xml:space="preserve">        1.    Toda persona tiene derecho a la educación.</w:t>
        <w:br/>
        <w:t xml:space="preserve">        2.    Los Estados partes en el presente Protocolo convienen  en  que</w:t>
        <w:br/>
        <w:t>la educación deberá orientarse hacia el pleno desarrollo de la  personalidad</w:t>
        <w:br/>
        <w:t>humana y del sentido de su dignidad y deberá fortalecer el respeto  por  los</w:t>
        <w:br/>
        <w:t>derechos humanos, el pluralismo ideológico,  las  libertades  fundamentales,</w:t>
        <w:br/>
        <w:t>la justicia y  la  paz.  Convienen,  asimismo,  en  que  la  educación  debe</w:t>
        <w:br/>
        <w:t>capacitar  a  todas  las  personas  para  participar  efectivamente  en  una</w:t>
        <w:br/>
        <w:t>sociedad democrática y pluralista, lograr una subsistencia digna,  favorecer</w:t>
        <w:br/>
        <w:t>la comprensión, la tolerancia y la amistad entre todas las naciones y  todos</w:t>
        <w:br/>
        <w:t>los grupos raciales, étnicos o religiosos  y  promover  las  actividades  en</w:t>
        <w:br/>
        <w:t>favor del mantenimiento de la paz.</w:t>
        <w:br/>
        <w:t xml:space="preserve">        3.    Los Estados partes en el presente Protocolo reconocen que, con</w:t>
        <w:br/>
        <w:t>objeto de lograr el pleno ejercicio del derecho a la educación:</w:t>
        <w:br/>
        <w:t>a.    la enseñanza  primaria  debe  ser  obligatoria  y  asequible  a  todos</w:t>
        <w:br/>
        <w:t>gratuitamente;</w:t>
        <w:br/>
        <w:t>b.     la  enseñanza  secundaria  en  sus  diferentes  formas,  incluso   la</w:t>
        <w:br/>
        <w:t>enseñanza secundaria técnica y profesional, debe ser generalizada y  hacerse</w:t>
        <w:br/>
        <w:t>accesible a todos, por cuantos medios sean apropiados y en  particular,  por</w:t>
        <w:br/>
        <w:t>la implantación progresiva de la enseñanza gratuita;</w:t>
        <w:br/>
        <w:t>c.    la enseñanza superior  debe  hacerse  igualmente  accesible  a  todos,</w:t>
        <w:br/>
        <w:t>sobre la base  de  la  capacidad  de  cada  uno,  por  cuantos  medios  sean</w:t>
        <w:br/>
        <w:t>apropiados y en particular, por la implantación progresiva de  la  enseñanza</w:t>
        <w:br/>
        <w:t>gratuita;</w:t>
        <w:br/>
        <w:t>d.    se deberá fomentar o intensificar, en la  medida  de  lo  posible,  la</w:t>
        <w:br/>
        <w:t>educación básica para aquellas personas que no hayan  recibido  o  terminado</w:t>
        <w:br/>
        <w:t>el ciclo completo de instrucción primaria;</w:t>
        <w:br/>
        <w:t>e.    se deberán establecer programas de  enseñanza  diferenciada  para  los</w:t>
        <w:br/>
        <w:t>minusválidos a fin de proporcionar una especial instrucción  y  formación  a</w:t>
        <w:br/>
        <w:t>personas con impedimentos físicos o deficiencias mentales.</w:t>
        <w:br/>
        <w:t xml:space="preserve">        4.    Conforme con la legislación interna de los Estados partes, los</w:t>
        <w:br/>
        <w:t>padres tendrán derecho a escoger el tipo de educación que habrá de  darse  a</w:t>
        <w:br/>
        <w:t>sus  hijos,  siempre  que  ella  se  adecue  a  los  principios   enunciados</w:t>
        <w:br/>
        <w:t>precedentemente.</w:t>
        <w:br/>
        <w:t xml:space="preserve">       5.    Nada de lo dispuesto en este Protocolo  se  interpretará  como</w:t>
        <w:br/>
        <w:t>una restricción  de  la  libertad  de  los  particulares  y  entidades  para</w:t>
        <w:br/>
        <w:t>establecer  y  dirigir  instituciones  de  enseñanza,  de  acuerdo  con   la</w:t>
        <w:br/>
        <w:t>legislación interna de los Estados partes”.</w:t>
        <w:br/>
        <w:br/>
        <w:t>[479]        Comité  de  Derechos  Económicos,  Sociales  y  Culturales   de</w:t>
        <w:br/>
        <w:t>Naciones Unidas. Observación General No. 20, E/C.12/GC/20 de 2 de  julio  de</w:t>
        <w:br/>
        <w:t>2009, párr. 17.</w:t>
        <w:br/>
        <w:br/>
        <w:br/>
        <w:t>[480]       Convención Interamericana sobre la Protección  de  los  Derechos</w:t>
        <w:br/>
        <w:t>Humanos de las Personas Mayores, aprobada por la Asamblea General de la  OEA</w:t>
        <w:br/>
        <w:t>el 15 de junio de 2015, artículo 2.</w:t>
        <w:br/>
        <w:br/>
        <w:br/>
        <w:t>[481]       Para un mayor desarrollo doctrinal sobre el tema,  ver  Aylward,</w:t>
        <w:br/>
        <w:t>Carol, “Intersectionality: Crossing  the  Theoretical  and  Praxis  Divide”,</w:t>
        <w:br/>
        <w:t>Journal of Critical Race Inquiry, Vol  1,  No  1;  y  Góngora  Mera,  Manuel</w:t>
        <w:br/>
        <w:t>Eduardo,  “Derecho  a  la  salud  y   discriminación   interseccional:   Una</w:t>
        <w:br/>
        <w:t>perspectiva judicial de experiencias latinoamericanas,” en  Clérico,  Laura,</w:t>
        <w:br/>
        <w:t>Ronconi, Liliana, y Aldao, Martín (eds.): Tratado de  Derecho  a  la  Salud,</w:t>
        <w:br/>
        <w:t>Buenos Aires, Abeledo Perrot, 2013, págs. 133-159.</w:t>
        <w:br/>
        <w:br/>
        <w:t>[482]       Asamblea General de Naciones Unidas.  World  Conference  Against</w:t>
        <w:br/>
        <w:t>Racism, Racial Discrimination,  Xenophobia  and  Related  Intolerance.  “The</w:t>
        <w:br/>
        <w:t>idea of  ‘intersectionality’  seeks  to  capture  both  the  structural  and</w:t>
        <w:br/>
        <w:t>dynamic consequences of  the  interaction  between  two  or  more  forms  of</w:t>
        <w:br/>
        <w:t>discrimination  or  systems  of  subordination”.  “Whatever  the   type   of</w:t>
        <w:br/>
        <w:t>intersectional discrimination, the consequence is that  different  forms  of</w:t>
        <w:br/>
        <w:t>discrimination  are  more  often  than  not  experienced  simultaneously  by</w:t>
        <w:br/>
        <w:t>marginalized women”.  A/CONF.189/PC.3/5 de 27 de julio de 2001, párrs. 23  y</w:t>
        <w:br/>
        <w:t>32. Al respecto, el Comité de la CEDAW ha reconocido que  la  discriminación</w:t>
        <w:br/>
        <w:t>contra la mujer  basada  en  el  sexo  y  el  género  está  indisolublemente</w:t>
        <w:br/>
        <w:t>vinculada a otros factores que afectan a la mujer, como la raza,  el  origen</w:t>
        <w:br/>
        <w:t>étnico, la religión o las creencias,  la  salud,  la  condición  jurídica  y</w:t>
        <w:br/>
        <w:t>social, la edad, la clase, la casta, la orientación sexual  y  la  identidad</w:t>
        <w:br/>
        <w:t>de género. Comité para la Eliminación de la Discriminación contra  la  Mujer</w:t>
        <w:br/>
        <w:t>de Naciones Unidas. Dictamen  Comunicación  Nro.  17/2008,  Alyne  da  Silva</w:t>
        <w:br/>
        <w:t>Pimentel Teixeira Vs. Brasil. CEDAW/C/49/D/17/2008 de 27  de  septiembre  de</w:t>
        <w:br/>
        <w:t>2011, párr. 7.7.</w:t>
        <w:br/>
        <w:br/>
        <w:br/>
        <w:t>[483]       Cfr. Caso Suárez Peralta Vs. Ecuador. Excepciones  Preliminares,</w:t>
        <w:br/>
        <w:t>Fondo, Reparaciones y Costas. Sentencia de 21 de mayo de 2013. Serie  C  No.</w:t>
        <w:br/>
        <w:t>261.</w:t>
        <w:br/>
        <w:br/>
        <w:br/>
        <w:t>[484]       Cfr. Párrs. 193 a 197 de la Sentencia.</w:t>
        <w:br/>
        <w:br/>
        <w:br/>
        <w:t>[485]       Cfr. Párr. 198 de la Sentencia.</w:t>
        <w:br/>
        <w:br/>
        <w:br/>
        <w:t>[486]       Cfr. Párr. 174 de la Sentencia.</w:t>
        <w:br/>
        <w:br/>
        <w:br/>
        <w:t>[487]       Cfr. Párrs. 198 y 199 de la Sentencia.</w:t>
        <w:br/>
        <w:br/>
        <w:br/>
        <w:t>[488]       Cfr. Caso Acevedo Buendía y otros  (“Cesantes y Jubilados de  la</w:t>
        <w:br/>
        <w:t>Contraloría”) Vs. Perú. Excepción Preliminar, Fondo, Reparaciones y  Costas.</w:t>
        <w:br/>
        <w:t>Sentencia de 1 de julio de 2009. Serie C No. 198,  párr.  16:  “el  Tribunal</w:t>
        <w:br/>
        <w:t>ha señalado anteriormente que los términos amplios en que está redactada  la</w:t>
        <w:br/>
        <w:t>Convención indican que la Corte ejerce una jurisdicción  plena  sobre  todos</w:t>
        <w:br/>
        <w:t>sus artículos y disposiciones”, y así decide entrar al fondo del  asunto  al</w:t>
        <w:br/>
        <w:t>desestimar la excepción preliminar planteada  por  el  Estado,  precisamente</w:t>
        <w:br/>
        <w:t>sobre la supuesta incompetencia de la Corte IDH respecto del artículo 26  de</w:t>
        <w:br/>
        <w:t>la Convención Americana.</w:t>
        <w:br/>
        <w:br/>
        <w:br/>
        <w:t>[489]       Voto Conjunto Concurrente de los  Jueces  Roberto  F.  Caldas  y</w:t>
        <w:br/>
        <w:t>Eduardo Ferrer Mac-Gregor Poisot. Caso Canales Huapaya  y  otros  Vs.  Perú.</w:t>
        <w:br/>
        <w:t>Excepciones Preliminares, Fondo, Reparaciones y Costas. Sentencia de  24  de</w:t>
        <w:br/>
        <w:t>junio de 2015, especialmente párrs. 26  a  29.  En  dicho  voto  aludimos  a</w:t>
        <w:br/>
        <w:t>ejemplos relacionados con Protocolos  Adicionales  al  Convenio  Europeo  de</w:t>
        <w:br/>
        <w:t>Derechos Humanos y al Pacto Internacional de Derechos Civiles y Políticos.</w:t>
        <w:br/>
        <w:br/>
        <w:br/>
        <w:t>[490]       Voto Concurrente del Juez Eduardo Ferrer Mac-Gregor  Poisot,  en</w:t>
        <w:br/>
        <w:t>el  Caso  Suárez  Peralta  Vs.  Ecuador.  Excepciones  Preliminares,  Fondo,</w:t>
        <w:br/>
        <w:t>Reparaciones y Costas. Sentencia de 21 de mayo de 2013. Serie C No. 261.</w:t>
        <w:br/>
        <w:br/>
        <w:br/>
        <w:t>[491]       Cfr. Caso Acevedo Buendía y otros (“Cesantes y Jubilados  de  la</w:t>
        <w:br/>
        <w:t>Contraloría”) Vs. Perú, supra, párr. 100.</w:t>
        <w:br/>
        <w:br/>
        <w:t>[492]       La interpretación evolutiva del artículo  26  de  la  Convención</w:t>
        <w:br/>
        <w:t>Americana también tiene fundamento a la luz de la  normativa  constitucional</w:t>
        <w:br/>
        <w:t>y de las prácticas de las  altas  jurisdicciones  nacionales,  especialmente</w:t>
        <w:br/>
        <w:t>para  la  justiciabilidad  del  “derecho  a  la  salud”;  como  tratamos  de</w:t>
        <w:br/>
        <w:t>evidenciar en los párrs. 73 a 87, del Voto Concurrente  en  el  Caso  Suárez</w:t>
        <w:br/>
        <w:t>Peralta Vs. Ecuador. Sobre las prácticas judiciales para la  protección  del</w:t>
        <w:br/>
        <w:t>derecho a la salud en distintos países del mundo, véase Yamin, Alicia Ely  y</w:t>
        <w:br/>
        <w:t>Gloppen, Siri (coords.) La lucha por los derechos de  la  salud.  ¿Puede  la</w:t>
        <w:br/>
        <w:t>justicia ser una herramienta de cambio?, Buenos Aires, Siglo XXI, 2013.</w:t>
        <w:br/>
        <w:br/>
        <w:t>[493]       En los párrs. 172 y 173 de la Sentencia que motiva  el  presente</w:t>
        <w:br/>
        <w:t>Voto, se remarca “la interdependencia e indivisibilidad existente entre  los</w:t>
        <w:br/>
        <w:t>derechos  civiles  y  políticos  y  los  derechos  económicos,  sociales   y</w:t>
        <w:br/>
        <w:t>culturales,  ya  que  deben  ser  entendidos  integralmente  como   derechos</w:t>
        <w:br/>
        <w:t>humanos, sin jerarquía  entre  sí  y  exigibles  en  todos  los  casos  ante</w:t>
        <w:br/>
        <w:t>aquellas autoridades que  resulten  competentes  para  ello”.  Asimismo,  se</w:t>
        <w:br/>
        <w:t>recurre a una amplia normatividad relacionada con el  derecho  a  la  salud:</w:t>
        <w:br/>
        <w:t>“la Declaración Americana de los Derechos y Deberes del Hombre establece  en</w:t>
        <w:br/>
        <w:t>su Artículo XI que toda persona  tiene  el  derecho  ‘a  que  su  salud  sea</w:t>
        <w:br/>
        <w:t>preservada por medidas sanitarias y sociales, relativas a […] la  asistencia</w:t>
        <w:br/>
        <w:t>médica, correspondientes al nivel que permitan los recursos públicos  y  los</w:t>
        <w:br/>
        <w:t>de la comunidad’. Por su parte, el  Artículo  45  de  la  Carta  de  la  OEA</w:t>
        <w:br/>
        <w:t>requiere que los Estados Miembros “dedi[quen] sus máximos esfuerzos […  para</w:t>
        <w:br/>
        <w:t>el] [d]esarrollo de una política eficiente de  seguridad  social’.  En  este</w:t>
        <w:br/>
        <w:t>sentido, el artículo 10 del Protocolo Adicional a  la  Convención  Americana</w:t>
        <w:br/>
        <w:t>sobre Derechos  Humanos  en  materia  de  Derechos  Económicos,  Sociales  y</w:t>
        <w:br/>
        <w:t>Culturales, ratificado por Ecuador el 25 de marzo  de  1993,  establece  que</w:t>
        <w:br/>
        <w:t>toda persona tiene derecho a la salud, entendida como el  disfrute  del  más</w:t>
        <w:br/>
        <w:t>alto nivel de bienestar físico, mental y social, e indica que  la  salud  es</w:t>
        <w:br/>
        <w:t>un bien público. Adicionalmente, en julio de 2012, la  Asamblea  General  de</w:t>
        <w:br/>
        <w:t>la  Organización  de  Estados  Americanos  enfatizó  la   calidad   de   los</w:t>
        <w:br/>
        <w:t>establecimientos,  bienes  y  servicios  de  salud,  lo  cual  requiere   la</w:t>
        <w:br/>
        <w:t>presencia de personal médico capacitado, así como de condiciones  sanitarias</w:t>
        <w:br/>
        <w:t>adecuadas”. Véase, OEA. Indicadores de Progreso para  Medición  de  Derechos</w:t>
        <w:br/>
        <w:t>Contemplados en el Protocolo de San Salvador,  OEA/Ser.L/XXV.2.1,  Doc  2/11</w:t>
        <w:br/>
        <w:t>rev.2 de 16 de diciembre de 2011, párrs. 66 y 67. Incluso, en  la  Sentencia</w:t>
        <w:br/>
        <w:t>se consideran los elementos esenciales del derecho a la salud,  relativos  a</w:t>
        <w:br/>
        <w:t>la disponibilidad, accesibilidad, aceptabilidad y calidad, a que se  refiere</w:t>
        <w:br/>
        <w:t>el Comité  del  Pacto  Internacional  de  Derechos  Económicos,  Sociales  y</w:t>
        <w:br/>
        <w:t>Culturales de la ONU (Observación General N.  14),  de  conformidad  con  el</w:t>
        <w:br/>
        <w:t>párr. 173 de la Sentencia que motiva el presente Voto.</w:t>
        <w:br/>
        <w:br/>
        <w:t>[494]       Al respecto, véase  von  Bogdandy,  Armin,  Fix-Fierro,  Héctor,</w:t>
        <w:br/>
        <w:t>Morales  Antoniazzi,  Mariela  y  Ferrer  Mac-Gregor,   Eduardo   (coords.),</w:t>
        <w:br/>
        <w:t>Construcción y papel de los derechos sociales fundamentales.  Hacia  un  Ius</w:t>
        <w:br/>
        <w:t>Constitutionale  Commune  en  América  Latina,  México,   UNAM-IIJ-Instituto</w:t>
        <w:br/>
        <w:t>Iberoamericano    de    Derecho    Constitucional-Max-Planck-Institut    für</w:t>
        <w:br/>
        <w:t>ausländisches öffentiliches Recht und Völkerrecht, 2011.</w:t>
        <w:br/>
        <w:br/>
        <w:t>[495]       Cfr. Caso Acevedo Buendía y otros (“Cesantes y Jubilados  de  la</w:t>
        <w:br/>
        <w:t>Contraloría”) Vs. Perú, supra, párrs. 99-103.</w:t>
        <w:br/>
        <w:br/>
        <w:br/>
        <w:t>[496]        Protocolo  Adicional  al  Pacto   Internacional   de   Derechos</w:t>
        <w:br/>
        <w:t>Económicos Sociales y Culturales, suscrito por el Ecuador.</w:t>
        <w:br/>
        <w:br/>
        <w:br/>
        <w:t>[497]       Artículo  36.  Sistema  de  peticiones  individuales.  Cualquier</w:t>
        <w:br/>
        <w:t>persona  o  grupo  de  personas,  o  entidad  no  gubernamental   legalmente</w:t>
        <w:br/>
        <w:t>reconocida en uno o más Estados Miembros de la Organización de  los  Estados</w:t>
        <w:br/>
        <w:t>Americanos,  puede  presentar  a  la  Comisión  Interamericana  de  Derechos</w:t>
        <w:br/>
        <w:t>Humanos peticiones que contengan denuncias o quejas de violación  de  alguno</w:t>
        <w:br/>
        <w:t>de los artículos de la presente Convención por un Estado Parte.  /  Para  el</w:t>
        <w:br/>
        <w:t>desarrollo de lo previsto en el presente artículo se  tendrá  en  cuenta  la</w:t>
        <w:br/>
        <w:t>naturaleza progresiva de la vigencia de los derechos económicos, sociales  y</w:t>
        <w:br/>
        <w:t>culturales objeto de protección por  la  presente  Convención.  /  Asimismo,</w:t>
        <w:br/>
        <w:t>todo Estado Parte puede, en el momento del depósito  de  su  instrumento  de</w:t>
        <w:br/>
        <w:t>ratificación o de adhesión a la presente Convención, o en cualquier  momento</w:t>
        <w:br/>
        <w:t>posterior,  declarar  que   reconoce   la   competencia   de   la   Comisión</w:t>
        <w:br/>
        <w:t>Interamericana  de  Derechos   Humanos   para   recibir   y   examinar   las</w:t>
        <w:br/>
        <w:t>comunicaciones en que un Estado  Parte  alegue  que  otro  Estado  Parte  ha</w:t>
        <w:br/>
        <w:t>incurrido  en  violaciones  de  los  derechos  humanos  establecidos  en  la</w:t>
        <w:br/>
        <w:t>presente Convención. En  dicho  caso,  se  aplicarán  todas  las  normas  de</w:t>
        <w:br/>
        <w:t>procedimiento  pertinentes  contenidas  en  la  Convención  Americana  sobre</w:t>
        <w:br/>
        <w:t>Derechos Humanos. / […] Todo Estado Parte puede, en el momento del  depósito</w:t>
        <w:br/>
        <w:t>de su instrumento de ratificación o de adhesión a la presente Convención,  o</w:t>
        <w:br/>
        <w:t>en cualquier momento posterior, declarar que reconoce como obligatoria y  de</w:t>
        <w:br/>
        <w:t>pleno  derecho  y  sin  acuerdo  especial  la  competencia   de   la   Corte</w:t>
        <w:br/>
        <w:t>Interamericana de Derechos Humanos sobre todos  los  casos  relativos  a  la</w:t>
        <w:br/>
        <w:t>interpretación o aplicación de la presente Convención.  En  dicho  caso,  se</w:t>
        <w:br/>
        <w:t>aplicarán todas las normas de procedimiento  pertinentes  contenidas  en  la</w:t>
        <w:br/>
        <w:t>Convención Americana sobre Derechos Humanos.</w:t>
        <w:br/>
        <w:br/>
        <w:t>[498]       Así por ejemplo, en  el  Caso  del  Pueblo  Indígena  Kichwa  de</w:t>
        <w:br/>
        <w:t>Sarayaku Vs. Ecuador la Corte IDH  interpretó  el  “derecho  a  la  consulta</w:t>
        <w:br/>
        <w:t>previa, libre  e  informada”  de  las  comunidades  y  pueblos  indígenas  y</w:t>
        <w:br/>
        <w:t>tribales en el  reconocimiento  de  los  derechos  a  la  cultura  propia  o</w:t>
        <w:br/>
        <w:t>identidad cultural, reconocidos en el Convenio 169 de la  OIT.  En  el  Caso</w:t>
        <w:br/>
        <w:t>Chitay Nech Vs. Guatemala, la Corte IDH estableció  la  obligación  especial</w:t>
        <w:br/>
        <w:t>de garantizar el “derecho a  la  vida  cultural”  de  los  niños  indígenas.</w:t>
        <w:br/>
        <w:t>Además, en el Caso de la Masacre  de  las  Dos  Erres  Vs.  Guatemala,  para</w:t>
        <w:br/>
        <w:t>analizar la responsabilidad del Estado respecto de los  derechos  al  nombre</w:t>
        <w:br/>
        <w:t>(artículo 18), a la familia (artículo 17) y del niño  (artículo  19,  de  la</w:t>
        <w:br/>
        <w:t>Convención Americana), la  Corte  IDH  consideró  que  el  derecho  de  toda</w:t>
        <w:br/>
        <w:t>persona a recibir protección contra injerencias arbitrarias  o  ilegales  en</w:t>
        <w:br/>
        <w:t>su familia forma parte, implícitamente, del derecho a  la  protección  a  la</w:t>
        <w:br/>
        <w:t>familia y del niño. En similar sentido, en el Caso Gelman  Vs.  Uruguay,  la</w:t>
        <w:br/>
        <w:t>Corte IDH desarrolló el denominado “derecho a la identidad” (el cual  no  se</w:t>
        <w:br/>
        <w:t>encuentra expresamente contemplado en  la  Convención  Americana)  sobre  la</w:t>
        <w:br/>
        <w:t>base de lo dispuesto en el artículo 8 de la Convención  sobre  Derechos  del</w:t>
        <w:br/>
        <w:t>Niño, que establece que tal derecho comprende, entre otros, el derecho a  la</w:t>
        <w:br/>
        <w:t>nacionalidad, al nombre y a las relaciones de  familia.  En  el  Caso  Gomes</w:t>
        <w:br/>
        <w:t>Lund  y  Otros  (“Guerrilha  do   Araguaia”)   Vs.   Brasil,   el   Tribunal</w:t>
        <w:br/>
        <w:t>Interamericano declaró violado el “derecho a conocer la verdad” (derecho  no</w:t>
        <w:br/>
        <w:t>previsto de manera autónoma en la Convención Americana). Por otra parte,  en</w:t>
        <w:br/>
        <w:t>el Caso Masacres de El Mozote y lugares aledaños Vs. El Salvador,  la  Corte</w:t>
        <w:br/>
        <w:t>complementó su jurisprudencia en relación con  el  derecho  a  la  propiedad</w:t>
        <w:br/>
        <w:t>privada contemplado en el artículo 21 de la Convención al  referirse  a  los</w:t>
        <w:br/>
        <w:t>artículos 13 y 14 del Protocolo II adicional a los Convenios de  Ginebra  de</w:t>
        <w:br/>
        <w:t>1949 relativo a la protección de las víctimas de los conflictos armados  sin</w:t>
        <w:br/>
        <w:t>carácter internacional de 8 de junio de 1977 . Posteriormente,  en  el  Caso</w:t>
        <w:br/>
        <w:t>Masacre  de  Santo  Domingo  Vs.  Colombia,   el   Tribunal   Interamericano</w:t>
        <w:br/>
        <w:t>interpretó los alcances del mismo artículo 21 utilizando tratados  distintos</w:t>
        <w:br/>
        <w:t>a la Convención Americana. De esta  forma,  se  refirió  a  la  Norma  7  de</w:t>
        <w:br/>
        <w:t>Derecho Internacional Humanitario Consuetudinario, relativa a la  distinción</w:t>
        <w:br/>
        <w:t>entre bienes de carácter civil y objetivos militares  y  el  artículo  4.2.g</w:t>
        <w:br/>
        <w:t>del Protocolo II, respecto del acto de pillaje, para llenar de contenido  el</w:t>
        <w:br/>
        <w:t>derecho a la propiedad privada previsto en el artículo 21 de  la  Convención</w:t>
        <w:br/>
        <w:t>Americana.</w:t>
        <w:br/>
        <w:br/>
        <w:br/>
        <w:t>Como  se  puede  apreciar   de   estos   ejemplos   de   la   jurisprudencia</w:t>
        <w:br/>
        <w:t>interamericana, ha sido una práctica reiterada  de  la  Corte  IDH  utilizar</w:t>
        <w:br/>
        <w:t>distintos instrumentos y fuentes internacionales más allá del Pacto  de  San</w:t>
        <w:br/>
        <w:t>José para definir los contenidos e  incluso  ampliar  los  alcances  de  los</w:t>
        <w:br/>
        <w:t>derechos previstos en la Convención Americana y  precisar  las  obligaciones</w:t>
        <w:br/>
        <w:t>de los Estados, en  tanto  dichos  instrumentos  y  fuentes  internacionales</w:t>
        <w:br/>
        <w:t>forman parte  de  un  muy  comprensivo  corpus  iuris  internacional  en  la</w:t>
        <w:br/>
        <w:t>materia, utilizando, también el Protocolo de San  Salvador.  La  posibilidad</w:t>
        <w:br/>
        <w:t>de utilizar el Protocolo de San Salvador para darle contenido y  alcances  a</w:t>
        <w:br/>
        <w:t>los derechos económicos, sociales y culturales derivados del artículo 26  de</w:t>
        <w:br/>
        <w:t>la  Convención  Americana,  en  relación  con  las  obligaciones   generales</w:t>
        <w:br/>
        <w:t>previstas en los artículos 1 y 2 de  la  misma  es  viable  conforme  lo  ha</w:t>
        <w:br/>
        <w:t>venido realizando el Tribunal  Interamericana  para  dotar  de  contenido  a</w:t>
        <w:br/>
        <w:t>muchos derechos  convencionales  utilizando  distintos  tratados  y  fuentes</w:t>
        <w:br/>
        <w:t>distintos del Pacto de San José. De ahí que  también  podría  utilizarse  el</w:t>
        <w:br/>
        <w:t>Protocolo de San Salvador, junto  con  otros  instrumentos  internacionales,</w:t>
        <w:br/>
        <w:t>para establecer el contenido y alcances del derecho a la salud  que  protege</w:t>
        <w:br/>
        <w:t>el artículo 26 de la Convención Americana.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